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600" w:lineRule="exact"/>
        <w:rPr>
          <w:rFonts w:ascii="Times New Roman" w:hAnsi="Times New Roman" w:eastAsia="仿宋_GB2312"/>
        </w:rPr>
      </w:pPr>
    </w:p>
    <w:p>
      <w:pPr>
        <w:pStyle w:val="2"/>
        <w:adjustRightInd w:val="0"/>
        <w:snapToGrid w:val="0"/>
        <w:spacing w:before="0" w:after="0" w:line="600" w:lineRule="exact"/>
        <w:jc w:val="center"/>
        <w:rPr>
          <w:rFonts w:ascii="Times New Roman" w:hAnsi="Times New Roman" w:eastAsiaTheme="minorEastAsia"/>
          <w:sz w:val="44"/>
          <w:szCs w:val="44"/>
        </w:rPr>
      </w:pPr>
    </w:p>
    <w:p>
      <w:pPr>
        <w:pStyle w:val="2"/>
        <w:adjustRightInd w:val="0"/>
        <w:snapToGrid w:val="0"/>
        <w:spacing w:before="0" w:after="0" w:line="600" w:lineRule="exact"/>
        <w:jc w:val="center"/>
        <w:rPr>
          <w:rFonts w:ascii="Times New Roman" w:hAnsi="Times New Roman" w:eastAsiaTheme="minorEastAsia"/>
          <w:sz w:val="44"/>
          <w:szCs w:val="44"/>
        </w:rPr>
      </w:pPr>
      <w:r>
        <w:rPr>
          <w:rFonts w:hint="eastAsia" w:ascii="Times New Roman" w:hAnsi="Times New Roman" w:eastAsiaTheme="minorEastAsia"/>
          <w:sz w:val="44"/>
          <w:szCs w:val="44"/>
          <w:lang w:val="en-US" w:eastAsia="zh-CN"/>
        </w:rPr>
        <w:t>2021</w:t>
      </w:r>
      <w:r>
        <w:rPr>
          <w:rFonts w:ascii="Times New Roman" w:hAnsi="Times New Roman" w:eastAsiaTheme="minorEastAsia"/>
          <w:sz w:val="44"/>
          <w:szCs w:val="44"/>
        </w:rPr>
        <w:t>年度</w:t>
      </w:r>
      <w:r>
        <w:rPr>
          <w:rFonts w:hint="eastAsia" w:ascii="Times New Roman" w:hAnsi="Times New Roman" w:eastAsiaTheme="minorEastAsia"/>
          <w:sz w:val="44"/>
          <w:szCs w:val="44"/>
          <w:lang w:eastAsia="zh-CN"/>
        </w:rPr>
        <w:t>安全生产</w:t>
      </w:r>
      <w:r>
        <w:rPr>
          <w:rFonts w:ascii="Times New Roman" w:hAnsi="Times New Roman" w:eastAsiaTheme="minorEastAsia"/>
          <w:sz w:val="44"/>
          <w:szCs w:val="44"/>
        </w:rPr>
        <w:t>专项资金绩效报告</w:t>
      </w:r>
    </w:p>
    <w:p>
      <w:pPr>
        <w:pStyle w:val="2"/>
        <w:adjustRightInd w:val="0"/>
        <w:snapToGrid w:val="0"/>
        <w:spacing w:before="0" w:after="0" w:line="600" w:lineRule="exact"/>
        <w:jc w:val="center"/>
        <w:rPr>
          <w:rFonts w:ascii="Times New Roman" w:hAnsi="Times New Roman" w:eastAsia="楷体_GB2312"/>
          <w:b w:val="0"/>
        </w:rPr>
      </w:pPr>
    </w:p>
    <w:p>
      <w:pPr>
        <w:rPr>
          <w:rFonts w:eastAsia="仿宋_GB2312"/>
          <w:sz w:val="32"/>
          <w:szCs w:val="32"/>
        </w:rPr>
      </w:pPr>
    </w:p>
    <w:p>
      <w:pPr>
        <w:spacing w:line="600" w:lineRule="exact"/>
        <w:ind w:firstLine="640" w:firstLineChars="200"/>
        <w:rPr>
          <w:rFonts w:eastAsia="黑体"/>
          <w:sz w:val="32"/>
          <w:szCs w:val="32"/>
        </w:rPr>
      </w:pPr>
      <w:r>
        <w:rPr>
          <w:rFonts w:eastAsia="黑体"/>
          <w:sz w:val="32"/>
          <w:szCs w:val="32"/>
        </w:rPr>
        <w:t>一、项目概况</w:t>
      </w:r>
    </w:p>
    <w:p>
      <w:pPr>
        <w:spacing w:line="600" w:lineRule="exact"/>
        <w:ind w:firstLine="640" w:firstLineChars="200"/>
        <w:rPr>
          <w:rFonts w:eastAsia="仿宋_GB2312"/>
          <w:sz w:val="32"/>
          <w:szCs w:val="32"/>
        </w:rPr>
      </w:pPr>
      <w:r>
        <w:rPr>
          <w:rFonts w:eastAsia="仿宋_GB2312"/>
          <w:sz w:val="32"/>
          <w:szCs w:val="32"/>
        </w:rPr>
        <w:t>（一）项目单位基本情况。</w:t>
      </w:r>
    </w:p>
    <w:p>
      <w:pPr>
        <w:ind w:firstLine="640" w:firstLineChars="200"/>
        <w:rPr>
          <w:rFonts w:hint="default" w:ascii="仿宋" w:hAnsi="仿宋" w:eastAsia="仿宋" w:cs="Times New Roman"/>
          <w:sz w:val="32"/>
          <w:szCs w:val="32"/>
          <w:lang w:val="en-US" w:eastAsia="zh-CN"/>
        </w:rPr>
      </w:pPr>
      <w:r>
        <w:rPr>
          <w:rFonts w:hint="eastAsia" w:ascii="仿宋" w:hAnsi="仿宋" w:eastAsia="仿宋" w:cs="仿宋"/>
          <w:sz w:val="32"/>
          <w:szCs w:val="32"/>
        </w:rPr>
        <w:t>澧县应急管理局为一级部门预算的财政全额保障单位，下属地震局为独立二级预算单位。根据县编办核定，我局内设股室</w:t>
      </w:r>
      <w:r>
        <w:rPr>
          <w:rFonts w:ascii="仿宋" w:hAnsi="仿宋" w:eastAsia="仿宋" w:cs="仿宋"/>
          <w:sz w:val="32"/>
          <w:szCs w:val="32"/>
        </w:rPr>
        <w:t>7</w:t>
      </w:r>
      <w:r>
        <w:rPr>
          <w:rFonts w:hint="eastAsia" w:ascii="仿宋" w:hAnsi="仿宋" w:eastAsia="仿宋" w:cs="仿宋"/>
          <w:sz w:val="32"/>
          <w:szCs w:val="32"/>
        </w:rPr>
        <w:t>个，所属副局级单位</w:t>
      </w:r>
      <w:r>
        <w:rPr>
          <w:rFonts w:ascii="仿宋" w:hAnsi="仿宋" w:eastAsia="仿宋" w:cs="仿宋"/>
          <w:sz w:val="32"/>
          <w:szCs w:val="32"/>
        </w:rPr>
        <w:t>1</w:t>
      </w:r>
      <w:r>
        <w:rPr>
          <w:rFonts w:hint="eastAsia" w:ascii="仿宋" w:hAnsi="仿宋" w:eastAsia="仿宋" w:cs="仿宋"/>
          <w:sz w:val="32"/>
          <w:szCs w:val="32"/>
        </w:rPr>
        <w:t>个，股级事业单位</w:t>
      </w:r>
      <w:r>
        <w:rPr>
          <w:rFonts w:ascii="仿宋" w:hAnsi="仿宋" w:eastAsia="仿宋" w:cs="仿宋"/>
          <w:sz w:val="32"/>
          <w:szCs w:val="32"/>
        </w:rPr>
        <w:t>2</w:t>
      </w:r>
      <w:r>
        <w:rPr>
          <w:rFonts w:hint="eastAsia" w:ascii="仿宋" w:hAnsi="仿宋" w:eastAsia="仿宋" w:cs="仿宋"/>
          <w:sz w:val="32"/>
          <w:szCs w:val="32"/>
        </w:rPr>
        <w:t>个，</w:t>
      </w:r>
      <w:r>
        <w:rPr>
          <w:rFonts w:hint="eastAsia" w:ascii="仿宋" w:hAnsi="仿宋" w:eastAsia="仿宋" w:cs="仿宋"/>
          <w:sz w:val="32"/>
          <w:szCs w:val="32"/>
          <w:lang w:eastAsia="zh-CN"/>
        </w:rPr>
        <w:t>人员编制</w:t>
      </w:r>
      <w:r>
        <w:rPr>
          <w:rFonts w:hint="eastAsia" w:ascii="仿宋" w:hAnsi="仿宋" w:eastAsia="仿宋" w:cs="仿宋"/>
          <w:sz w:val="32"/>
          <w:szCs w:val="32"/>
          <w:lang w:val="en-US" w:eastAsia="zh-CN"/>
        </w:rPr>
        <w:t>59人，实际在职50人，退休7人。</w:t>
      </w:r>
    </w:p>
    <w:p>
      <w:pPr>
        <w:ind w:firstLine="640" w:firstLineChars="200"/>
        <w:rPr>
          <w:rFonts w:ascii="仿宋" w:hAnsi="仿宋" w:eastAsia="仿宋" w:cs="Times New Roman"/>
          <w:sz w:val="32"/>
          <w:szCs w:val="32"/>
        </w:rPr>
      </w:pPr>
      <w:r>
        <w:rPr>
          <w:rFonts w:hint="eastAsia" w:ascii="仿宋" w:hAnsi="仿宋" w:eastAsia="仿宋" w:cs="仿宋"/>
          <w:sz w:val="32"/>
          <w:szCs w:val="32"/>
        </w:rPr>
        <w:t>内设股室分别是办公室（政工室、财务股、安全生产综合协调股、法规股、行政审批服务办公室）、风险监测和综合减灾股（调查评估和统计股、工贸行业安全监督管理股）、自然灾害防治管理股（火灾防治股、地震和地质灾害救援股）、防汛抗旱股（防汛抗旱指挥部办公室）、安全生产基础股（非煤矿山安全监督管理股）、危险化学品监督管理股（烟花爆竹安全管理股）、救灾和物资保障股。</w:t>
      </w:r>
    </w:p>
    <w:p>
      <w:pPr>
        <w:ind w:firstLine="640" w:firstLineChars="200"/>
        <w:rPr>
          <w:rFonts w:eastAsia="仿宋_GB2312"/>
          <w:sz w:val="32"/>
          <w:szCs w:val="32"/>
        </w:rPr>
      </w:pPr>
      <w:r>
        <w:rPr>
          <w:rFonts w:hint="eastAsia" w:ascii="仿宋" w:hAnsi="仿宋" w:eastAsia="仿宋" w:cs="仿宋"/>
          <w:sz w:val="32"/>
          <w:szCs w:val="32"/>
        </w:rPr>
        <w:t>所属副局级事业单位是澧县地震局，股级事业单位是澧县安全生产监察大队和澧县应急救援指挥中心。</w:t>
      </w:r>
    </w:p>
    <w:p>
      <w:pPr>
        <w:numPr>
          <w:ilvl w:val="0"/>
          <w:numId w:val="1"/>
        </w:numPr>
        <w:spacing w:line="600" w:lineRule="exact"/>
        <w:ind w:firstLine="640" w:firstLineChars="200"/>
        <w:rPr>
          <w:rFonts w:hint="eastAsia" w:eastAsia="仿宋_GB2312"/>
          <w:sz w:val="32"/>
          <w:szCs w:val="32"/>
        </w:rPr>
      </w:pPr>
      <w:r>
        <w:rPr>
          <w:rFonts w:hint="eastAsia" w:eastAsia="仿宋_GB2312"/>
          <w:sz w:val="32"/>
          <w:szCs w:val="32"/>
          <w:lang w:eastAsia="zh-CN"/>
        </w:rPr>
        <w:t>根据常办法（</w:t>
      </w:r>
      <w:r>
        <w:rPr>
          <w:rFonts w:hint="eastAsia" w:eastAsia="仿宋_GB2312"/>
          <w:sz w:val="32"/>
          <w:szCs w:val="32"/>
          <w:lang w:val="en-US" w:eastAsia="zh-CN"/>
        </w:rPr>
        <w:t>2015</w:t>
      </w:r>
      <w:r>
        <w:rPr>
          <w:rFonts w:hint="eastAsia" w:eastAsia="仿宋_GB2312"/>
          <w:sz w:val="32"/>
          <w:szCs w:val="32"/>
          <w:lang w:eastAsia="zh-CN"/>
        </w:rPr>
        <w:t>）</w:t>
      </w:r>
      <w:r>
        <w:rPr>
          <w:rFonts w:hint="eastAsia" w:eastAsia="仿宋_GB2312"/>
          <w:sz w:val="32"/>
          <w:szCs w:val="32"/>
          <w:lang w:val="en-US" w:eastAsia="zh-CN"/>
        </w:rPr>
        <w:t>10号</w:t>
      </w:r>
      <w:r>
        <w:rPr>
          <w:rFonts w:hint="eastAsia" w:eastAsia="仿宋_GB2312"/>
          <w:sz w:val="32"/>
          <w:szCs w:val="32"/>
        </w:rPr>
        <w:t>《中共常德市委办公室常德市人民政府办公室关于进一步加强安全生产监管能力建设的实施意见》</w:t>
      </w:r>
      <w:r>
        <w:rPr>
          <w:rFonts w:hint="eastAsia" w:eastAsia="仿宋_GB2312"/>
          <w:sz w:val="32"/>
          <w:szCs w:val="32"/>
          <w:lang w:eastAsia="zh-CN"/>
        </w:rPr>
        <w:t>的依据，通过安全生产督导督查、安全巡查、宣传教育、应急演练，全面提升安全监管能力，实现“四落实”、“四提升”和“四匹配”，促进安全生产监管工作科学化、规范化、制度化和常态化，有效防范各类生产安全事故发生，确保人民生命财产安全和社会稳定。</w:t>
      </w:r>
      <w:r>
        <w:rPr>
          <w:rFonts w:hint="eastAsia" w:eastAsia="仿宋_GB2312"/>
          <w:sz w:val="32"/>
          <w:szCs w:val="32"/>
          <w:lang w:eastAsia="zh-CN"/>
        </w:rPr>
        <w:tab/>
      </w:r>
      <w:r>
        <w:rPr>
          <w:rFonts w:hint="eastAsia" w:eastAsia="仿宋_GB2312"/>
          <w:sz w:val="32"/>
          <w:szCs w:val="32"/>
          <w:lang w:eastAsia="zh-CN"/>
        </w:rPr>
        <w:tab/>
      </w:r>
      <w:r>
        <w:rPr>
          <w:rFonts w:hint="eastAsia" w:eastAsia="仿宋_GB2312"/>
          <w:sz w:val="32"/>
          <w:szCs w:val="32"/>
          <w:lang w:eastAsia="zh-CN"/>
        </w:rPr>
        <w:tab/>
      </w:r>
    </w:p>
    <w:p>
      <w:pPr>
        <w:numPr>
          <w:ilvl w:val="0"/>
          <w:numId w:val="0"/>
        </w:numPr>
        <w:spacing w:line="600" w:lineRule="exact"/>
        <w:ind w:firstLine="640" w:firstLineChars="200"/>
        <w:rPr>
          <w:rFonts w:eastAsia="黑体"/>
          <w:sz w:val="32"/>
          <w:szCs w:val="32"/>
        </w:rPr>
      </w:pPr>
      <w:r>
        <w:rPr>
          <w:rFonts w:eastAsia="黑体"/>
          <w:sz w:val="32"/>
          <w:szCs w:val="32"/>
        </w:rPr>
        <w:t>二、项目绩效目标</w:t>
      </w:r>
    </w:p>
    <w:p>
      <w:pPr>
        <w:spacing w:line="600" w:lineRule="exact"/>
        <w:ind w:firstLine="640" w:firstLineChars="200"/>
        <w:rPr>
          <w:rFonts w:eastAsia="仿宋_GB2312"/>
          <w:sz w:val="32"/>
          <w:szCs w:val="32"/>
        </w:rPr>
      </w:pPr>
      <w:r>
        <w:rPr>
          <w:rFonts w:eastAsia="仿宋_GB2312"/>
          <w:sz w:val="32"/>
          <w:szCs w:val="32"/>
        </w:rPr>
        <w:t>（一）项目绩效总目标。</w:t>
      </w:r>
    </w:p>
    <w:p>
      <w:pPr>
        <w:spacing w:line="600" w:lineRule="exact"/>
        <w:ind w:firstLine="640" w:firstLineChars="200"/>
        <w:rPr>
          <w:rFonts w:eastAsia="仿宋_GB2312"/>
          <w:sz w:val="32"/>
          <w:szCs w:val="32"/>
        </w:rPr>
      </w:pPr>
      <w:r>
        <w:rPr>
          <w:rFonts w:hint="eastAsia" w:eastAsia="仿宋_GB2312"/>
          <w:sz w:val="32"/>
          <w:szCs w:val="32"/>
        </w:rPr>
        <w:t xml:space="preserve"> 通过会议、培训，督促企业严格落实主体责任，严厉打击各类非法违法生产经营行为，有效防范各类生产安全事故发生，确保人民生命财产安全和社会稳定。</w:t>
      </w:r>
    </w:p>
    <w:p>
      <w:pPr>
        <w:spacing w:line="60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lang w:val="en-US" w:eastAsia="zh-CN"/>
        </w:rPr>
        <w:t>2021</w:t>
      </w:r>
      <w:r>
        <w:rPr>
          <w:rFonts w:eastAsia="仿宋_GB2312"/>
          <w:sz w:val="32"/>
          <w:szCs w:val="32"/>
        </w:rPr>
        <w:t>年绩效目标。</w:t>
      </w:r>
    </w:p>
    <w:p>
      <w:pPr>
        <w:spacing w:line="600" w:lineRule="exact"/>
        <w:ind w:firstLine="640" w:firstLineChars="200"/>
        <w:rPr>
          <w:rFonts w:eastAsia="仿宋_GB2312"/>
          <w:sz w:val="32"/>
          <w:szCs w:val="32"/>
        </w:rPr>
      </w:pPr>
      <w:r>
        <w:rPr>
          <w:rFonts w:hint="eastAsia" w:eastAsia="仿宋_GB2312"/>
          <w:sz w:val="32"/>
          <w:szCs w:val="32"/>
        </w:rPr>
        <w:t xml:space="preserve"> 打击非煤矿山、烟花爆竹、危险化学品等行业领域违法非法行为，坚决杜绝较大及以上生产安全事故。</w:t>
      </w:r>
    </w:p>
    <w:p>
      <w:pPr>
        <w:spacing w:line="600" w:lineRule="exact"/>
        <w:ind w:firstLine="640" w:firstLineChars="200"/>
        <w:rPr>
          <w:rFonts w:eastAsia="黑体"/>
          <w:sz w:val="32"/>
          <w:szCs w:val="32"/>
        </w:rPr>
      </w:pPr>
      <w:r>
        <w:rPr>
          <w:rFonts w:eastAsia="黑体"/>
          <w:sz w:val="32"/>
          <w:szCs w:val="32"/>
        </w:rPr>
        <w:t>三、项目资金使用及管理情况</w:t>
      </w:r>
    </w:p>
    <w:p>
      <w:pPr>
        <w:spacing w:line="600" w:lineRule="exact"/>
        <w:ind w:firstLine="640" w:firstLineChars="200"/>
        <w:rPr>
          <w:rFonts w:eastAsia="仿宋_GB2312"/>
          <w:sz w:val="32"/>
          <w:szCs w:val="32"/>
        </w:rPr>
      </w:pPr>
      <w:r>
        <w:rPr>
          <w:rFonts w:eastAsia="仿宋_GB2312"/>
          <w:sz w:val="32"/>
          <w:szCs w:val="32"/>
        </w:rPr>
        <w:t>（一）项目资金（包括财政资金、自筹资金）安排落实、总投入等情况。</w:t>
      </w:r>
    </w:p>
    <w:p>
      <w:pPr>
        <w:spacing w:line="600" w:lineRule="exact"/>
        <w:ind w:firstLine="640" w:firstLineChars="200"/>
        <w:rPr>
          <w:rFonts w:eastAsia="仿宋_GB2312"/>
          <w:sz w:val="32"/>
          <w:szCs w:val="32"/>
        </w:rPr>
      </w:pPr>
      <w:r>
        <w:rPr>
          <w:rFonts w:eastAsia="仿宋_GB2312"/>
          <w:sz w:val="32"/>
          <w:szCs w:val="32"/>
        </w:rPr>
        <w:t>（二）项目资金（主要指财政资金）实际使用情况。</w:t>
      </w:r>
    </w:p>
    <w:p>
      <w:pPr>
        <w:spacing w:line="600" w:lineRule="exact"/>
        <w:ind w:firstLine="640" w:firstLineChars="200"/>
        <w:rPr>
          <w:rFonts w:eastAsia="仿宋_GB2312"/>
          <w:sz w:val="32"/>
          <w:szCs w:val="32"/>
        </w:rPr>
      </w:pPr>
      <w:r>
        <w:rPr>
          <w:rFonts w:eastAsia="仿宋_GB2312"/>
          <w:sz w:val="32"/>
          <w:szCs w:val="32"/>
        </w:rPr>
        <w:t>（三）项目资金管理情况，主要包括管理制度、办法的制定及执行情况。</w:t>
      </w:r>
    </w:p>
    <w:p>
      <w:pPr>
        <w:spacing w:line="600" w:lineRule="exact"/>
        <w:ind w:firstLine="640" w:firstLineChars="200"/>
        <w:rPr>
          <w:rFonts w:eastAsia="黑体"/>
          <w:sz w:val="32"/>
          <w:szCs w:val="32"/>
        </w:rPr>
      </w:pPr>
      <w:r>
        <w:rPr>
          <w:rFonts w:eastAsia="黑体"/>
          <w:sz w:val="32"/>
          <w:szCs w:val="32"/>
        </w:rPr>
        <w:t>四、项目组织实施情况</w:t>
      </w:r>
    </w:p>
    <w:p>
      <w:pPr>
        <w:spacing w:line="600" w:lineRule="exact"/>
        <w:ind w:firstLine="640" w:firstLineChars="200"/>
        <w:rPr>
          <w:rFonts w:eastAsia="仿宋_GB2312"/>
          <w:sz w:val="32"/>
          <w:szCs w:val="32"/>
        </w:rPr>
      </w:pPr>
      <w:r>
        <w:rPr>
          <w:rFonts w:hint="eastAsia" w:eastAsia="仿宋_GB2312"/>
          <w:sz w:val="32"/>
          <w:szCs w:val="32"/>
          <w:lang w:eastAsia="zh-CN"/>
        </w:rPr>
        <w:t>通过安全生产督导督查、安全巡查、宣传教育、应急演练，全面提升安全监管能力，实现“四落实”、“四提升”和“四匹配”，促进安全生产监管工作科学化、规范化、制度化和常态化，有效防范各类生产安全事故发生，确保人民生命财产安全和社会稳定。</w:t>
      </w:r>
    </w:p>
    <w:p>
      <w:pPr>
        <w:spacing w:line="600" w:lineRule="exact"/>
        <w:ind w:firstLine="640" w:firstLineChars="200"/>
        <w:rPr>
          <w:rFonts w:eastAsia="黑体"/>
          <w:sz w:val="32"/>
          <w:szCs w:val="32"/>
        </w:rPr>
      </w:pPr>
      <w:r>
        <w:rPr>
          <w:rFonts w:eastAsia="黑体"/>
          <w:sz w:val="32"/>
          <w:szCs w:val="32"/>
        </w:rPr>
        <w:t>五、项目绩效情况</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积极适应“大安全、大应急、大减灾”的应急管理新格局，围绕争先创优的工作目标，积极推进安全生产各项重点工作，严格落实行业监管责任、强化安全生产监管执法、狠抓安全生产事故防控，全县安全生产形势总体稳定向好。澧县被市应急管理局推荐为全省安全生产先进县。</w:t>
      </w:r>
    </w:p>
    <w:p>
      <w:pPr>
        <w:spacing w:line="600" w:lineRule="exact"/>
        <w:ind w:firstLine="640" w:firstLineChars="200"/>
        <w:rPr>
          <w:rFonts w:eastAsia="黑体"/>
          <w:sz w:val="32"/>
          <w:szCs w:val="32"/>
        </w:rPr>
      </w:pPr>
      <w:r>
        <w:rPr>
          <w:rFonts w:eastAsia="黑体"/>
          <w:sz w:val="32"/>
          <w:szCs w:val="32"/>
        </w:rPr>
        <w:t>六、项目自评结果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rPr>
        <w:t>根据《澧县财政局关于下达20</w:t>
      </w:r>
      <w:r>
        <w:rPr>
          <w:rFonts w:hint="eastAsia" w:ascii="仿宋" w:hAnsi="仿宋" w:eastAsia="仿宋" w:cs="仿宋"/>
          <w:color w:val="000000" w:themeColor="text1"/>
          <w:sz w:val="32"/>
          <w:szCs w:val="32"/>
          <w:lang w:val="en-US" w:eastAsia="zh-CN"/>
        </w:rPr>
        <w:t>21</w:t>
      </w:r>
      <w:r>
        <w:rPr>
          <w:rFonts w:hint="eastAsia" w:ascii="仿宋" w:hAnsi="仿宋" w:eastAsia="仿宋" w:cs="仿宋"/>
          <w:color w:val="000000" w:themeColor="text1"/>
          <w:sz w:val="32"/>
          <w:szCs w:val="32"/>
        </w:rPr>
        <w:t>年度县本级财政资金预算绩效管理目标任务的通知》文件精神，我部专门成立了该专项资金的绩效评价工作小组，对项目的组织实施、项目的管理、项目的完成、项目的绩效情况进行了总结分析，综合自评得分9</w:t>
      </w:r>
      <w:r>
        <w:rPr>
          <w:rFonts w:hint="eastAsia" w:ascii="仿宋" w:hAnsi="仿宋" w:eastAsia="仿宋" w:cs="仿宋"/>
          <w:color w:val="000000" w:themeColor="text1"/>
          <w:sz w:val="32"/>
          <w:szCs w:val="32"/>
          <w:lang w:val="en-US" w:eastAsia="zh-CN"/>
        </w:rPr>
        <w:t>2</w:t>
      </w:r>
      <w:bookmarkStart w:id="0" w:name="_GoBack"/>
      <w:bookmarkEnd w:id="0"/>
      <w:r>
        <w:rPr>
          <w:rFonts w:hint="eastAsia" w:ascii="仿宋" w:hAnsi="仿宋" w:eastAsia="仿宋" w:cs="仿宋"/>
          <w:color w:val="000000" w:themeColor="text1"/>
          <w:sz w:val="32"/>
          <w:szCs w:val="32"/>
        </w:rPr>
        <w:t>分，该专项资金的使用达到了预期效果。</w:t>
      </w:r>
    </w:p>
    <w:p>
      <w:pPr>
        <w:spacing w:line="600" w:lineRule="exact"/>
        <w:ind w:firstLine="640" w:firstLineChars="200"/>
        <w:rPr>
          <w:rFonts w:eastAsia="黑体"/>
          <w:sz w:val="32"/>
          <w:szCs w:val="32"/>
        </w:rPr>
      </w:pPr>
      <w:r>
        <w:rPr>
          <w:rFonts w:eastAsia="黑体"/>
          <w:sz w:val="32"/>
          <w:szCs w:val="32"/>
        </w:rPr>
        <w:t>七、其他需要说明的问题</w:t>
      </w:r>
    </w:p>
    <w:p>
      <w:pPr>
        <w:ind w:firstLine="640" w:firstLineChars="200"/>
        <w:rPr>
          <w:rFonts w:hint="eastAsia" w:ascii="仿宋" w:hAnsi="仿宋" w:eastAsia="仿宋" w:cs="仿宋"/>
          <w:color w:val="000000" w:themeColor="text1"/>
        </w:rPr>
      </w:pPr>
      <w:r>
        <w:rPr>
          <w:rFonts w:hint="eastAsia" w:ascii="仿宋" w:hAnsi="仿宋" w:eastAsia="仿宋" w:cs="仿宋"/>
          <w:color w:val="000000" w:themeColor="text1"/>
          <w:sz w:val="32"/>
          <w:szCs w:val="32"/>
        </w:rPr>
        <w:t>后续在项目管理中，将进一步将考核细则落实，严格按照资金管理办法进行验收，项目方建好资金台帐，专款专用，让资金使用效率达到100%。</w:t>
      </w:r>
    </w:p>
    <w:p>
      <w:pPr>
        <w:spacing w:line="600" w:lineRule="exact"/>
        <w:ind w:firstLine="630"/>
        <w:rPr>
          <w:rFonts w:hint="eastAsia" w:ascii="仿宋" w:hAnsi="仿宋" w:eastAsia="仿宋" w:cs="仿宋"/>
          <w:sz w:val="32"/>
          <w:szCs w:val="32"/>
        </w:rPr>
      </w:pPr>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CA1BE"/>
    <w:multiLevelType w:val="singleLevel"/>
    <w:tmpl w:val="363CA1BE"/>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g1MDZiZDMwMTUxMTZjY2IyOTk3MmRkMzQwM2Y4ZDgifQ=="/>
  </w:docVars>
  <w:rsids>
    <w:rsidRoot w:val="00E64DE2"/>
    <w:rsid w:val="00061D78"/>
    <w:rsid w:val="001073B3"/>
    <w:rsid w:val="00164A35"/>
    <w:rsid w:val="001D5F82"/>
    <w:rsid w:val="001E725D"/>
    <w:rsid w:val="00240C57"/>
    <w:rsid w:val="0026042E"/>
    <w:rsid w:val="002A4890"/>
    <w:rsid w:val="002D25E0"/>
    <w:rsid w:val="00385044"/>
    <w:rsid w:val="003F3FCC"/>
    <w:rsid w:val="004348F1"/>
    <w:rsid w:val="00517D78"/>
    <w:rsid w:val="00541B5C"/>
    <w:rsid w:val="00561701"/>
    <w:rsid w:val="00570A97"/>
    <w:rsid w:val="005A085E"/>
    <w:rsid w:val="005A1105"/>
    <w:rsid w:val="005A42DD"/>
    <w:rsid w:val="0065442E"/>
    <w:rsid w:val="006F293C"/>
    <w:rsid w:val="00727977"/>
    <w:rsid w:val="00746AE9"/>
    <w:rsid w:val="00806D75"/>
    <w:rsid w:val="00814AFE"/>
    <w:rsid w:val="008367F5"/>
    <w:rsid w:val="0094322D"/>
    <w:rsid w:val="009C2DBB"/>
    <w:rsid w:val="00A300D1"/>
    <w:rsid w:val="00A32113"/>
    <w:rsid w:val="00A50D4E"/>
    <w:rsid w:val="00A62B79"/>
    <w:rsid w:val="00B66D8E"/>
    <w:rsid w:val="00B741B6"/>
    <w:rsid w:val="00B8007C"/>
    <w:rsid w:val="00CF24E0"/>
    <w:rsid w:val="00D36058"/>
    <w:rsid w:val="00D82DA2"/>
    <w:rsid w:val="00E40501"/>
    <w:rsid w:val="00E64DE2"/>
    <w:rsid w:val="00EC53F0"/>
    <w:rsid w:val="00F728A2"/>
    <w:rsid w:val="00FC32B9"/>
    <w:rsid w:val="00FF5750"/>
    <w:rsid w:val="3C08504D"/>
    <w:rsid w:val="5E1971FC"/>
    <w:rsid w:val="6F267C0A"/>
    <w:rsid w:val="70176520"/>
    <w:rsid w:val="7F6D25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1"/>
    <w:semiHidden/>
    <w:qFormat/>
    <w:uiPriority w:val="99"/>
    <w:pPr>
      <w:shd w:val="clear" w:color="auto" w:fill="00008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2 Char"/>
    <w:basedOn w:val="7"/>
    <w:link w:val="2"/>
    <w:qFormat/>
    <w:locked/>
    <w:uiPriority w:val="99"/>
    <w:rPr>
      <w:rFonts w:ascii="Cambria" w:hAnsi="Cambria" w:eastAsia="宋体" w:cs="Times New Roman"/>
      <w:b/>
      <w:bCs/>
    </w:rPr>
  </w:style>
  <w:style w:type="character" w:customStyle="1" w:styleId="9">
    <w:name w:val="页眉 Char"/>
    <w:basedOn w:val="7"/>
    <w:link w:val="5"/>
    <w:semiHidden/>
    <w:qFormat/>
    <w:locked/>
    <w:uiPriority w:val="99"/>
    <w:rPr>
      <w:rFonts w:eastAsia="宋体" w:cs="Times New Roman"/>
      <w:sz w:val="18"/>
      <w:szCs w:val="18"/>
    </w:rPr>
  </w:style>
  <w:style w:type="character" w:customStyle="1" w:styleId="10">
    <w:name w:val="页脚 Char"/>
    <w:basedOn w:val="7"/>
    <w:link w:val="4"/>
    <w:semiHidden/>
    <w:qFormat/>
    <w:locked/>
    <w:uiPriority w:val="99"/>
    <w:rPr>
      <w:rFonts w:eastAsia="宋体" w:cs="Times New Roman"/>
      <w:sz w:val="18"/>
      <w:szCs w:val="18"/>
    </w:rPr>
  </w:style>
  <w:style w:type="character" w:customStyle="1" w:styleId="11">
    <w:name w:val="文档结构图 Char"/>
    <w:basedOn w:val="7"/>
    <w:link w:val="3"/>
    <w:semiHidden/>
    <w:qFormat/>
    <w:locked/>
    <w:uiPriority w:val="99"/>
    <w:rPr>
      <w:rFonts w:eastAsia="宋体"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1227</Words>
  <Characters>1246</Characters>
  <Lines>4</Lines>
  <Paragraphs>1</Paragraphs>
  <TotalTime>3</TotalTime>
  <ScaleCrop>false</ScaleCrop>
  <LinksUpToDate>false</LinksUpToDate>
  <CharactersWithSpaces>1251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2016-12-13T07:56:00Z</dcterms:created>
  <dc:creator>Lenovo</dc:creator>
  <cp:lastModifiedBy>Administrator</cp:lastModifiedBy>
  <cp:lastPrinted>2018-04-16T00:44:00Z</cp:lastPrinted>
  <dcterms:modified xsi:type="dcterms:W3CDTF">2022-08-29T02:40:10Z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CB15207E36914A4AB06F17360C76C05B</vt:lpwstr>
  </property>
</Properties>
</file>