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hint="eastAsia" w:ascii="方正小标宋简体" w:hAnsi="方正小标宋简体" w:eastAsia="方正小标宋简体" w:cs="方正小标宋简体"/>
          <w:b/>
          <w:sz w:val="52"/>
          <w:szCs w:val="52"/>
          <w:lang w:eastAsia="zh-CN"/>
        </w:rPr>
      </w:pPr>
      <w:r>
        <w:rPr>
          <w:rFonts w:hint="eastAsia" w:ascii="方正小标宋简体" w:hAnsi="方正小标宋简体" w:eastAsia="方正小标宋简体" w:cs="方正小标宋简体"/>
          <w:b/>
          <w:sz w:val="52"/>
          <w:szCs w:val="52"/>
        </w:rPr>
        <w:t>2021年度澧县</w:t>
      </w:r>
      <w:r>
        <w:rPr>
          <w:rFonts w:hint="eastAsia" w:ascii="方正小标宋简体" w:hAnsi="方正小标宋简体" w:eastAsia="方正小标宋简体" w:cs="方正小标宋简体"/>
          <w:b/>
          <w:sz w:val="52"/>
          <w:szCs w:val="52"/>
          <w:lang w:eastAsia="zh-CN"/>
        </w:rPr>
        <w:t>高新技术产业</w:t>
      </w:r>
      <w:r>
        <w:rPr>
          <w:rFonts w:hint="eastAsia" w:ascii="方正小标宋简体" w:hAnsi="方正小标宋简体" w:eastAsia="方正小标宋简体" w:cs="方正小标宋简体"/>
          <w:b/>
          <w:sz w:val="52"/>
          <w:szCs w:val="52"/>
          <w:lang w:val="en-US" w:eastAsia="zh-CN"/>
        </w:rPr>
        <w:t xml:space="preserve">          </w:t>
      </w:r>
      <w:r>
        <w:rPr>
          <w:rFonts w:hint="eastAsia" w:ascii="方正小标宋简体" w:hAnsi="方正小标宋简体" w:eastAsia="方正小标宋简体" w:cs="方正小标宋简体"/>
          <w:b/>
          <w:sz w:val="52"/>
          <w:szCs w:val="52"/>
          <w:lang w:eastAsia="zh-CN"/>
        </w:rPr>
        <w:t>开发区管理委员会</w:t>
      </w: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整体支出绩效自评报告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lang w:eastAsia="zh-CN"/>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单位名称：（盖章）</w:t>
      </w:r>
    </w:p>
    <w:p>
      <w:pPr>
        <w:jc w:val="center"/>
        <w:rPr>
          <w:rFonts w:ascii="方正黑体简体" w:hAnsi="方正黑体简体" w:eastAsia="方正黑体简体" w:cs="方正黑体简体"/>
          <w:sz w:val="32"/>
          <w:szCs w:val="32"/>
        </w:rPr>
      </w:pPr>
    </w:p>
    <w:p>
      <w:pPr>
        <w:jc w:val="center"/>
        <w:rPr>
          <w:rFonts w:ascii="Times New Roman" w:hAnsi="Times New Roman" w:eastAsia="仿宋_GB2312" w:cs="Times New Roman"/>
          <w:sz w:val="32"/>
          <w:szCs w:val="32"/>
        </w:rPr>
      </w:pPr>
      <w:r>
        <w:rPr>
          <w:rFonts w:hint="eastAsia" w:ascii="方正黑体简体" w:hAnsi="方正黑体简体" w:eastAsia="方正黑体简体" w:cs="方正黑体简体"/>
          <w:sz w:val="32"/>
          <w:szCs w:val="32"/>
        </w:rPr>
        <w:t>2022年</w:t>
      </w:r>
      <w:r>
        <w:rPr>
          <w:rFonts w:hint="eastAsia" w:ascii="方正黑体简体" w:hAnsi="方正黑体简体" w:eastAsia="方正黑体简体" w:cs="方正黑体简体"/>
          <w:sz w:val="32"/>
          <w:szCs w:val="32"/>
          <w:lang w:val="en-US" w:eastAsia="zh-CN"/>
        </w:rPr>
        <w:t>6</w:t>
      </w:r>
      <w:r>
        <w:rPr>
          <w:rFonts w:hint="eastAsia" w:ascii="方正黑体简体" w:hAnsi="方正黑体简体" w:eastAsia="方正黑体简体" w:cs="方正黑体简体"/>
          <w:sz w:val="32"/>
          <w:szCs w:val="32"/>
        </w:rPr>
        <w:t>月1</w:t>
      </w:r>
      <w:r>
        <w:rPr>
          <w:rFonts w:hint="eastAsia" w:ascii="方正黑体简体" w:hAnsi="方正黑体简体" w:eastAsia="方正黑体简体" w:cs="方正黑体简体"/>
          <w:sz w:val="32"/>
          <w:szCs w:val="32"/>
          <w:lang w:val="en-US" w:eastAsia="zh-CN"/>
        </w:rPr>
        <w:t>6</w:t>
      </w:r>
      <w:r>
        <w:rPr>
          <w:rFonts w:hint="eastAsia" w:ascii="方正黑体简体" w:hAnsi="方正黑体简体" w:eastAsia="方正黑体简体" w:cs="方正黑体简体"/>
          <w:sz w:val="32"/>
          <w:szCs w:val="32"/>
        </w:rPr>
        <w:t>日</w:t>
      </w:r>
    </w:p>
    <w:p>
      <w:pPr>
        <w:rPr>
          <w:rFonts w:ascii="Times New Roman" w:hAnsi="Times New Roman" w:eastAsia="仿宋_GB2312" w:cs="Times New Roman"/>
          <w:sz w:val="32"/>
          <w:szCs w:val="32"/>
        </w:rPr>
      </w:pPr>
    </w:p>
    <w:p>
      <w:pPr>
        <w:spacing w:line="580" w:lineRule="exact"/>
        <w:jc w:val="center"/>
        <w:rPr>
          <w:rFonts w:hint="eastAsia" w:ascii="方正小标宋简体" w:hAnsi="方正小标宋简体" w:eastAsia="方正小标宋简体" w:cs="方正小标宋简体"/>
          <w:bCs/>
          <w:sz w:val="44"/>
          <w:szCs w:val="44"/>
        </w:rPr>
      </w:pPr>
    </w:p>
    <w:p>
      <w:pPr>
        <w:spacing w:line="58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2021年度澧县</w:t>
      </w:r>
      <w:r>
        <w:rPr>
          <w:rFonts w:hint="eastAsia" w:ascii="方正小标宋简体" w:hAnsi="方正小标宋简体" w:eastAsia="方正小标宋简体" w:cs="方正小标宋简体"/>
          <w:bCs/>
          <w:sz w:val="44"/>
          <w:szCs w:val="44"/>
          <w:lang w:eastAsia="zh-CN"/>
        </w:rPr>
        <w:t>高新技术产业开发区管理委会</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整体支出绩效自评报告</w:t>
      </w:r>
    </w:p>
    <w:p>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为加强财政支出绩效管理，提高财政资金使用效益，</w:t>
      </w:r>
      <w:r>
        <w:rPr>
          <w:rFonts w:hint="eastAsia" w:ascii="仿宋" w:hAnsi="仿宋" w:eastAsia="仿宋" w:cs="仿宋"/>
          <w:bCs/>
          <w:sz w:val="32"/>
          <w:szCs w:val="32"/>
        </w:rPr>
        <w:t>根据《湖南省财政厅关于印发&lt;湖南省预算支出绩效评价管理办法&gt;的通知》（湘财绩〔2020〕7号）、</w:t>
      </w:r>
      <w:r>
        <w:rPr>
          <w:rFonts w:hint="eastAsia" w:ascii="仿宋" w:hAnsi="仿宋" w:eastAsia="仿宋" w:cs="仿宋"/>
          <w:sz w:val="32"/>
          <w:szCs w:val="32"/>
        </w:rPr>
        <w:t>《澧县财政局关于开展2021年度预算支出绩效自评工作的通知》（澧财发</w:t>
      </w:r>
      <w:r>
        <w:rPr>
          <w:rFonts w:hint="eastAsia" w:ascii="仿宋" w:hAnsi="仿宋" w:eastAsia="仿宋" w:cs="仿宋"/>
          <w:bCs/>
          <w:sz w:val="32"/>
          <w:szCs w:val="32"/>
        </w:rPr>
        <w:t>〔2022〕</w:t>
      </w:r>
      <w:r>
        <w:rPr>
          <w:rFonts w:hint="eastAsia" w:ascii="仿宋" w:hAnsi="仿宋" w:eastAsia="仿宋" w:cs="仿宋"/>
          <w:sz w:val="32"/>
          <w:szCs w:val="32"/>
        </w:rPr>
        <w:t>11号）</w:t>
      </w:r>
      <w:r>
        <w:rPr>
          <w:rFonts w:hint="eastAsia" w:ascii="仿宋" w:hAnsi="仿宋" w:eastAsia="仿宋" w:cs="仿宋"/>
          <w:bCs/>
          <w:sz w:val="32"/>
          <w:szCs w:val="32"/>
        </w:rPr>
        <w:t>文件精神，对本单位</w:t>
      </w:r>
      <w:r>
        <w:rPr>
          <w:rFonts w:hint="eastAsia" w:ascii="仿宋" w:hAnsi="仿宋" w:eastAsia="仿宋" w:cs="仿宋"/>
          <w:sz w:val="32"/>
          <w:szCs w:val="32"/>
        </w:rPr>
        <w:t>2021年度部门整体支出</w:t>
      </w:r>
      <w:r>
        <w:rPr>
          <w:rFonts w:hint="eastAsia" w:ascii="仿宋" w:hAnsi="仿宋" w:eastAsia="仿宋" w:cs="仿宋"/>
          <w:bCs/>
          <w:sz w:val="32"/>
          <w:szCs w:val="32"/>
        </w:rPr>
        <w:t>进行了绩效自评，现将自评</w:t>
      </w:r>
      <w:r>
        <w:rPr>
          <w:rFonts w:hint="eastAsia" w:ascii="仿宋" w:hAnsi="仿宋" w:eastAsia="仿宋" w:cs="仿宋"/>
          <w:sz w:val="32"/>
          <w:szCs w:val="32"/>
        </w:rPr>
        <w:t>情况报告如下：</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pPr>
        <w:keepNext w:val="0"/>
        <w:keepLines w:val="0"/>
        <w:pageBreakBefore w:val="0"/>
        <w:widowControl/>
        <w:kinsoku/>
        <w:wordWrap/>
        <w:overflowPunct/>
        <w:topLinePunct w:val="0"/>
        <w:autoSpaceDE/>
        <w:autoSpaceDN/>
        <w:bidi w:val="0"/>
        <w:adjustRightInd/>
        <w:snapToGrid/>
        <w:spacing w:line="360" w:lineRule="auto"/>
        <w:ind w:left="0" w:firstLine="643" w:firstLineChars="200"/>
        <w:textAlignment w:val="auto"/>
        <w:rPr>
          <w:rFonts w:hint="eastAsia" w:ascii="仿宋" w:hAnsi="仿宋" w:eastAsia="仿宋" w:cs="仿宋"/>
          <w:b/>
          <w:color w:val="222222"/>
          <w:sz w:val="32"/>
          <w:szCs w:val="32"/>
        </w:rPr>
      </w:pPr>
      <w:r>
        <w:rPr>
          <w:rFonts w:hint="eastAsia" w:ascii="仿宋" w:hAnsi="仿宋" w:eastAsia="仿宋" w:cs="仿宋"/>
          <w:b/>
          <w:color w:val="222222"/>
          <w:sz w:val="32"/>
          <w:szCs w:val="32"/>
        </w:rPr>
        <w:t>（一）机构、人员构成</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澧县高新技术产业开发区管理委员会</w:t>
      </w:r>
      <w:r>
        <w:rPr>
          <w:rFonts w:hint="eastAsia" w:ascii="仿宋" w:hAnsi="仿宋" w:eastAsia="仿宋" w:cs="仿宋"/>
          <w:kern w:val="0"/>
          <w:sz w:val="32"/>
          <w:szCs w:val="32"/>
        </w:rPr>
        <w:t>内设机构包括：</w:t>
      </w:r>
      <w:r>
        <w:rPr>
          <w:rFonts w:hint="eastAsia" w:ascii="仿宋" w:hAnsi="仿宋" w:eastAsia="仿宋" w:cs="仿宋"/>
          <w:sz w:val="32"/>
          <w:szCs w:val="32"/>
        </w:rPr>
        <w:t>办公室（含财务室）、规划建设局、产业发展局、社会事务局、招商合作局、园区企业服务中心、安监站、自然资源局高新区分局。</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222222"/>
          <w:sz w:val="32"/>
          <w:szCs w:val="32"/>
        </w:rPr>
      </w:pPr>
      <w:r>
        <w:rPr>
          <w:rFonts w:hint="eastAsia" w:ascii="仿宋" w:hAnsi="仿宋" w:eastAsia="仿宋" w:cs="仿宋"/>
          <w:sz w:val="32"/>
          <w:szCs w:val="32"/>
          <w:lang w:eastAsia="zh-CN"/>
        </w:rPr>
        <w:t>单位编制人数</w:t>
      </w:r>
      <w:r>
        <w:rPr>
          <w:rFonts w:hint="eastAsia" w:ascii="仿宋" w:hAnsi="仿宋" w:eastAsia="仿宋" w:cs="仿宋"/>
          <w:sz w:val="32"/>
          <w:szCs w:val="32"/>
          <w:lang w:val="en-US" w:eastAsia="zh-CN"/>
        </w:rPr>
        <w:t>42</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年末实有人数</w:t>
      </w:r>
      <w:r>
        <w:rPr>
          <w:rFonts w:hint="eastAsia" w:ascii="仿宋" w:hAnsi="仿宋" w:eastAsia="仿宋" w:cs="仿宋"/>
          <w:sz w:val="32"/>
          <w:szCs w:val="32"/>
          <w:lang w:val="en-US" w:eastAsia="zh-CN"/>
        </w:rPr>
        <w:t>29</w:t>
      </w:r>
      <w:r>
        <w:rPr>
          <w:rFonts w:hint="eastAsia" w:ascii="仿宋" w:hAnsi="仿宋" w:eastAsia="仿宋" w:cs="仿宋"/>
          <w:sz w:val="32"/>
          <w:szCs w:val="32"/>
        </w:rPr>
        <w:t>人</w:t>
      </w:r>
      <w:r>
        <w:rPr>
          <w:rFonts w:hint="eastAsia" w:ascii="仿宋" w:hAnsi="仿宋" w:eastAsia="仿宋" w:cs="仿宋"/>
          <w:color w:val="222222"/>
          <w:sz w:val="32"/>
          <w:szCs w:val="32"/>
        </w:rPr>
        <w:t>。</w:t>
      </w:r>
    </w:p>
    <w:p>
      <w:pPr>
        <w:keepNext w:val="0"/>
        <w:keepLines w:val="0"/>
        <w:pageBreakBefore w:val="0"/>
        <w:widowControl/>
        <w:kinsoku/>
        <w:wordWrap/>
        <w:overflowPunct/>
        <w:topLinePunct w:val="0"/>
        <w:autoSpaceDE/>
        <w:autoSpaceDN/>
        <w:bidi w:val="0"/>
        <w:adjustRightInd/>
        <w:snapToGrid/>
        <w:spacing w:line="360" w:lineRule="auto"/>
        <w:ind w:left="0" w:firstLine="643" w:firstLineChars="200"/>
        <w:textAlignment w:val="auto"/>
        <w:rPr>
          <w:rFonts w:hint="eastAsia" w:ascii="仿宋" w:hAnsi="仿宋" w:eastAsia="仿宋" w:cs="仿宋"/>
          <w:b/>
          <w:color w:val="222222"/>
          <w:sz w:val="32"/>
          <w:szCs w:val="32"/>
        </w:rPr>
      </w:pPr>
      <w:r>
        <w:rPr>
          <w:rFonts w:hint="eastAsia" w:ascii="仿宋" w:hAnsi="仿宋" w:eastAsia="仿宋" w:cs="仿宋"/>
          <w:b/>
          <w:color w:val="222222"/>
          <w:sz w:val="32"/>
          <w:szCs w:val="32"/>
        </w:rPr>
        <w:t>（二）职能职责</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贯彻执行国家、省、市、县关于开发区各项工作方针、政策，研究制定适合开发区建设与发展的具体管理办法和实施细则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负责编制开发区建设总体规划和分步实施的详细规划</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依据批准的总体规划和分步实施详细规划，审批开发区内的各项建设项目，审批各类建设工程的规划、设计、负责工程项目的招标投标、施工管理和工程验收事务</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按规定的管理权限审批开发区规划区域内的固定资产投资项目和“三资”企业项目，下达基建项目和技术改造、技术引进项目的年度计划，核发投资许可证</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依法拟定开发区土地利用方案，报省人民政府审批</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受县房地产行政管理部门的委托，管理开发区的房屋产权、产籍以及房地产市场，直接办理房地产交易、出租、转让、抵押、变更登记手续</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负责开发区内行政性规费等收费项目的统一收取和代拨、代缴</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负责开发区内企业的统一监督管理</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逐步建立健全咨询、会计、法律、保险、金融等社会中介组织和支撑服务体系，积极做好社会保障工作</w:t>
      </w:r>
      <w:r>
        <w:rPr>
          <w:rFonts w:hint="eastAsia" w:ascii="仿宋" w:hAnsi="仿宋" w:eastAsia="仿宋" w:cs="仿宋"/>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负责制定招商引资和对进区企业的具体优惠政策为企业提供各种服务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承办县委、县政府交办的其他事项。</w:t>
      </w:r>
    </w:p>
    <w:p>
      <w:pPr>
        <w:keepNext w:val="0"/>
        <w:keepLines w:val="0"/>
        <w:pageBreakBefore w:val="0"/>
        <w:widowControl/>
        <w:kinsoku/>
        <w:wordWrap/>
        <w:overflowPunct/>
        <w:topLinePunct w:val="0"/>
        <w:autoSpaceDE/>
        <w:autoSpaceDN/>
        <w:bidi w:val="0"/>
        <w:adjustRightInd/>
        <w:spacing w:line="360" w:lineRule="auto"/>
        <w:ind w:firstLine="643" w:firstLineChars="200"/>
        <w:rPr>
          <w:rFonts w:hint="eastAsia" w:ascii="仿宋" w:hAnsi="仿宋" w:eastAsia="仿宋" w:cs="仿宋"/>
          <w:b/>
          <w:color w:val="222222"/>
          <w:sz w:val="32"/>
          <w:szCs w:val="32"/>
        </w:rPr>
      </w:pPr>
      <w:r>
        <w:rPr>
          <w:rFonts w:hint="eastAsia" w:ascii="仿宋" w:hAnsi="仿宋" w:eastAsia="仿宋" w:cs="仿宋"/>
          <w:b/>
          <w:color w:val="222222"/>
          <w:sz w:val="32"/>
          <w:szCs w:val="32"/>
        </w:rPr>
        <w:t>（三）部门整体支出情况</w:t>
      </w:r>
    </w:p>
    <w:p>
      <w:pPr>
        <w:keepNext w:val="0"/>
        <w:keepLines w:val="0"/>
        <w:pageBreakBefore w:val="0"/>
        <w:widowControl/>
        <w:kinsoku/>
        <w:wordWrap/>
        <w:overflowPunct/>
        <w:topLinePunct w:val="0"/>
        <w:autoSpaceDE/>
        <w:autoSpaceDN/>
        <w:bidi w:val="0"/>
        <w:adjustRightInd/>
        <w:spacing w:line="360" w:lineRule="auto"/>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2021年度部门预算收入</w:t>
      </w:r>
      <w:r>
        <w:rPr>
          <w:rFonts w:hint="eastAsia" w:ascii="仿宋" w:hAnsi="仿宋" w:eastAsia="仿宋" w:cs="仿宋"/>
          <w:color w:val="000000"/>
          <w:sz w:val="32"/>
          <w:szCs w:val="32"/>
          <w:lang w:val="en-US" w:eastAsia="zh-CN"/>
        </w:rPr>
        <w:t>15,452.07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，上年结转</w:t>
      </w:r>
      <w:r>
        <w:rPr>
          <w:rFonts w:hint="eastAsia" w:ascii="仿宋" w:hAnsi="仿宋" w:eastAsia="仿宋" w:cs="仿宋"/>
          <w:color w:val="000000"/>
          <w:sz w:val="32"/>
          <w:szCs w:val="32"/>
          <w:lang w:val="en-US" w:eastAsia="zh-CN"/>
        </w:rPr>
        <w:t>632.63万元，其中：</w:t>
      </w:r>
      <w:r>
        <w:rPr>
          <w:rFonts w:hint="eastAsia" w:ascii="仿宋" w:hAnsi="仿宋" w:eastAsia="仿宋" w:cs="仿宋"/>
          <w:color w:val="000000"/>
          <w:sz w:val="32"/>
          <w:szCs w:val="32"/>
        </w:rPr>
        <w:t>一般公共预算拨款收入</w:t>
      </w:r>
      <w:r>
        <w:rPr>
          <w:rFonts w:hint="eastAsia" w:ascii="仿宋" w:hAnsi="仿宋" w:eastAsia="仿宋" w:cs="仿宋"/>
          <w:color w:val="000000"/>
          <w:sz w:val="32"/>
          <w:szCs w:val="32"/>
          <w:lang w:val="en-US" w:eastAsia="zh-CN"/>
        </w:rPr>
        <w:t>368.07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上级补助收入</w:t>
      </w:r>
      <w:r>
        <w:rPr>
          <w:rFonts w:hint="eastAsia" w:ascii="仿宋" w:hAnsi="仿宋" w:eastAsia="仿宋" w:cs="仿宋"/>
          <w:color w:val="000000"/>
          <w:sz w:val="32"/>
          <w:szCs w:val="32"/>
          <w:lang w:val="en-US" w:eastAsia="zh-CN"/>
        </w:rPr>
        <w:t>15,084.00</w:t>
      </w:r>
      <w:r>
        <w:rPr>
          <w:rFonts w:hint="eastAsia" w:ascii="仿宋" w:hAnsi="仿宋" w:eastAsia="仿宋" w:cs="仿宋"/>
          <w:color w:val="000000"/>
          <w:sz w:val="32"/>
          <w:szCs w:val="32"/>
        </w:rPr>
        <w:t>万元。部门决算收入</w:t>
      </w:r>
      <w:r>
        <w:rPr>
          <w:rFonts w:hint="eastAsia" w:ascii="仿宋" w:hAnsi="仿宋" w:eastAsia="仿宋" w:cs="仿宋"/>
          <w:color w:val="000000"/>
          <w:sz w:val="32"/>
          <w:szCs w:val="32"/>
          <w:lang w:val="en-US" w:eastAsia="zh-CN"/>
        </w:rPr>
        <w:t>38,499.94</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上年结转</w:t>
      </w:r>
      <w:r>
        <w:rPr>
          <w:rFonts w:hint="eastAsia" w:ascii="仿宋" w:hAnsi="仿宋" w:eastAsia="仿宋" w:cs="仿宋"/>
          <w:color w:val="000000"/>
          <w:sz w:val="32"/>
          <w:szCs w:val="32"/>
          <w:lang w:val="en-US" w:eastAsia="zh-CN"/>
        </w:rPr>
        <w:t>632.63万元，</w:t>
      </w:r>
      <w:r>
        <w:rPr>
          <w:rFonts w:hint="eastAsia" w:ascii="仿宋" w:hAnsi="仿宋" w:eastAsia="仿宋" w:cs="仿宋"/>
          <w:color w:val="000000"/>
          <w:sz w:val="32"/>
          <w:szCs w:val="32"/>
        </w:rPr>
        <w:t>其中：一般公共预算拨款收入</w:t>
      </w:r>
      <w:r>
        <w:rPr>
          <w:rFonts w:hint="eastAsia" w:ascii="仿宋" w:hAnsi="仿宋" w:eastAsia="仿宋" w:cs="仿宋"/>
          <w:color w:val="000000"/>
          <w:sz w:val="32"/>
          <w:szCs w:val="32"/>
          <w:lang w:val="en-US" w:eastAsia="zh-CN"/>
        </w:rPr>
        <w:t>2,454.95</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政府性基金预算</w:t>
      </w:r>
      <w:r>
        <w:rPr>
          <w:rFonts w:hint="eastAsia" w:ascii="仿宋" w:hAnsi="仿宋" w:eastAsia="仿宋" w:cs="仿宋"/>
          <w:color w:val="000000"/>
          <w:sz w:val="32"/>
          <w:szCs w:val="32"/>
        </w:rPr>
        <w:t>财政拨款</w:t>
      </w:r>
      <w:r>
        <w:rPr>
          <w:rFonts w:hint="eastAsia" w:ascii="仿宋" w:hAnsi="仿宋" w:eastAsia="仿宋" w:cs="仿宋"/>
          <w:color w:val="000000"/>
          <w:sz w:val="32"/>
          <w:szCs w:val="32"/>
          <w:lang w:eastAsia="zh-CN"/>
        </w:rPr>
        <w:t>收入</w:t>
      </w:r>
      <w:r>
        <w:rPr>
          <w:rFonts w:hint="eastAsia" w:ascii="仿宋" w:hAnsi="仿宋" w:eastAsia="仿宋" w:cs="仿宋"/>
          <w:color w:val="000000"/>
          <w:sz w:val="32"/>
          <w:szCs w:val="32"/>
          <w:lang w:val="en-US" w:eastAsia="zh-CN"/>
        </w:rPr>
        <w:t>36,044.99</w:t>
      </w:r>
      <w:r>
        <w:rPr>
          <w:rFonts w:hint="eastAsia" w:ascii="仿宋" w:hAnsi="仿宋" w:eastAsia="仿宋" w:cs="仿宋"/>
          <w:color w:val="000000"/>
          <w:sz w:val="32"/>
          <w:szCs w:val="32"/>
        </w:rPr>
        <w:t>万元。</w:t>
      </w:r>
    </w:p>
    <w:p>
      <w:pPr>
        <w:keepNext w:val="0"/>
        <w:keepLines w:val="0"/>
        <w:pageBreakBefore w:val="0"/>
        <w:widowControl/>
        <w:kinsoku/>
        <w:wordWrap/>
        <w:overflowPunct/>
        <w:topLinePunct w:val="0"/>
        <w:autoSpaceDE/>
        <w:autoSpaceDN/>
        <w:bidi w:val="0"/>
        <w:adjustRightInd/>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2021年部门预算支出</w:t>
      </w:r>
      <w:r>
        <w:rPr>
          <w:rFonts w:hint="eastAsia" w:ascii="仿宋" w:hAnsi="仿宋" w:eastAsia="仿宋" w:cs="仿宋"/>
          <w:sz w:val="32"/>
          <w:szCs w:val="32"/>
          <w:lang w:val="en-US" w:eastAsia="zh-CN"/>
        </w:rPr>
        <w:t>16,084.70</w:t>
      </w:r>
      <w:r>
        <w:rPr>
          <w:rFonts w:hint="eastAsia" w:ascii="仿宋" w:hAnsi="仿宋" w:eastAsia="仿宋" w:cs="仿宋"/>
          <w:sz w:val="32"/>
          <w:szCs w:val="32"/>
        </w:rPr>
        <w:t>万元</w:t>
      </w:r>
      <w:r>
        <w:rPr>
          <w:rFonts w:hint="eastAsia" w:ascii="仿宋" w:hAnsi="仿宋" w:eastAsia="仿宋" w:cs="仿宋"/>
          <w:sz w:val="32"/>
          <w:szCs w:val="32"/>
          <w:lang w:val="en-US" w:eastAsia="zh-CN"/>
        </w:rPr>
        <w:t>(含</w:t>
      </w:r>
      <w:r>
        <w:rPr>
          <w:rFonts w:hint="eastAsia" w:ascii="仿宋" w:hAnsi="仿宋" w:eastAsia="仿宋" w:cs="仿宋"/>
          <w:color w:val="000000"/>
          <w:sz w:val="32"/>
          <w:szCs w:val="32"/>
          <w:lang w:eastAsia="zh-CN"/>
        </w:rPr>
        <w:t>上年结转</w:t>
      </w:r>
      <w:r>
        <w:rPr>
          <w:rFonts w:hint="eastAsia" w:ascii="仿宋" w:hAnsi="仿宋" w:eastAsia="仿宋" w:cs="仿宋"/>
          <w:color w:val="000000"/>
          <w:sz w:val="32"/>
          <w:szCs w:val="32"/>
          <w:lang w:val="en-US" w:eastAsia="zh-CN"/>
        </w:rPr>
        <w:t>632.63万元）,</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283.02</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15,801.68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部门</w:t>
      </w:r>
      <w:r>
        <w:rPr>
          <w:rFonts w:hint="eastAsia" w:ascii="仿宋" w:hAnsi="仿宋" w:eastAsia="仿宋" w:cs="仿宋"/>
          <w:color w:val="000000"/>
          <w:sz w:val="32"/>
          <w:szCs w:val="32"/>
        </w:rPr>
        <w:t>决算支出</w:t>
      </w:r>
      <w:r>
        <w:rPr>
          <w:rFonts w:hint="eastAsia" w:ascii="仿宋" w:hAnsi="仿宋" w:eastAsia="仿宋" w:cs="仿宋"/>
          <w:color w:val="000000"/>
          <w:sz w:val="32"/>
          <w:szCs w:val="32"/>
          <w:lang w:val="en-US" w:eastAsia="zh-CN"/>
        </w:rPr>
        <w:t>39,132.57</w:t>
      </w:r>
      <w:r>
        <w:rPr>
          <w:rFonts w:hint="eastAsia" w:ascii="仿宋" w:hAnsi="仿宋" w:eastAsia="仿宋" w:cs="仿宋"/>
          <w:color w:val="000000"/>
          <w:sz w:val="32"/>
          <w:szCs w:val="32"/>
        </w:rPr>
        <w:t>万元</w:t>
      </w:r>
      <w:r>
        <w:rPr>
          <w:rFonts w:hint="eastAsia" w:ascii="仿宋" w:hAnsi="仿宋" w:eastAsia="仿宋" w:cs="仿宋"/>
          <w:sz w:val="32"/>
          <w:szCs w:val="32"/>
          <w:lang w:val="en-US" w:eastAsia="zh-CN"/>
        </w:rPr>
        <w:t>(含</w:t>
      </w:r>
      <w:r>
        <w:rPr>
          <w:rFonts w:hint="eastAsia" w:ascii="仿宋" w:hAnsi="仿宋" w:eastAsia="仿宋" w:cs="仿宋"/>
          <w:color w:val="000000"/>
          <w:sz w:val="32"/>
          <w:szCs w:val="32"/>
          <w:lang w:eastAsia="zh-CN"/>
        </w:rPr>
        <w:t>上年结转</w:t>
      </w:r>
      <w:r>
        <w:rPr>
          <w:rFonts w:hint="eastAsia" w:ascii="仿宋" w:hAnsi="仿宋" w:eastAsia="仿宋" w:cs="仿宋"/>
          <w:color w:val="000000"/>
          <w:sz w:val="32"/>
          <w:szCs w:val="32"/>
          <w:lang w:val="en-US" w:eastAsia="zh-CN"/>
        </w:rPr>
        <w:t>632.63万元）</w:t>
      </w:r>
      <w:r>
        <w:rPr>
          <w:rFonts w:hint="eastAsia" w:ascii="仿宋" w:hAnsi="仿宋" w:eastAsia="仿宋" w:cs="仿宋"/>
          <w:color w:val="000000"/>
          <w:sz w:val="32"/>
          <w:szCs w:val="32"/>
        </w:rPr>
        <w:t>，其中：基本支出</w:t>
      </w:r>
      <w:r>
        <w:rPr>
          <w:rFonts w:hint="eastAsia" w:ascii="仿宋" w:hAnsi="仿宋" w:eastAsia="仿宋" w:cs="仿宋"/>
          <w:color w:val="000000"/>
          <w:sz w:val="32"/>
          <w:szCs w:val="32"/>
          <w:lang w:val="en-US" w:eastAsia="zh-CN"/>
        </w:rPr>
        <w:t>329.90</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val="en-US" w:eastAsia="zh-CN"/>
        </w:rPr>
        <w:t>38,802.67</w:t>
      </w:r>
      <w:r>
        <w:rPr>
          <w:rFonts w:hint="eastAsia" w:ascii="仿宋" w:hAnsi="仿宋" w:eastAsia="仿宋" w:cs="仿宋"/>
          <w:color w:val="000000"/>
          <w:sz w:val="32"/>
          <w:szCs w:val="32"/>
        </w:rPr>
        <w:t>万元。基本支出中人员经费支出</w:t>
      </w:r>
      <w:r>
        <w:rPr>
          <w:rFonts w:hint="eastAsia" w:ascii="仿宋" w:hAnsi="仿宋" w:eastAsia="仿宋" w:cs="仿宋"/>
          <w:color w:val="000000"/>
          <w:sz w:val="32"/>
          <w:szCs w:val="32"/>
          <w:lang w:val="en-US" w:eastAsia="zh-CN"/>
        </w:rPr>
        <w:t>316.27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日常公用经费支出</w:t>
      </w:r>
      <w:r>
        <w:rPr>
          <w:rFonts w:hint="eastAsia" w:ascii="仿宋" w:hAnsi="仿宋" w:eastAsia="仿宋" w:cs="仿宋"/>
          <w:color w:val="000000"/>
          <w:sz w:val="32"/>
          <w:szCs w:val="32"/>
          <w:lang w:val="en-US" w:eastAsia="zh-CN"/>
        </w:rPr>
        <w:t>13.63</w:t>
      </w:r>
      <w:r>
        <w:rPr>
          <w:rFonts w:hint="eastAsia" w:ascii="仿宋" w:hAnsi="仿宋" w:eastAsia="仿宋" w:cs="仿宋"/>
          <w:color w:val="000000"/>
          <w:sz w:val="32"/>
          <w:szCs w:val="32"/>
        </w:rPr>
        <w:t>万元。</w:t>
      </w:r>
    </w:p>
    <w:p>
      <w:pPr>
        <w:keepNext w:val="0"/>
        <w:keepLines w:val="0"/>
        <w:pageBreakBefore w:val="0"/>
        <w:widowControl/>
        <w:kinsoku/>
        <w:wordWrap/>
        <w:overflowPunct/>
        <w:topLinePunct w:val="0"/>
        <w:autoSpaceDE/>
        <w:autoSpaceDN/>
        <w:bidi w:val="0"/>
        <w:adjustRightInd/>
        <w:spacing w:line="360" w:lineRule="auto"/>
        <w:ind w:left="0" w:firstLine="640" w:firstLineChars="200"/>
        <w:rPr>
          <w:rFonts w:hint="eastAsia" w:ascii="仿宋" w:hAnsi="仿宋" w:eastAsia="仿宋" w:cs="仿宋"/>
          <w:color w:val="000000"/>
          <w:sz w:val="32"/>
          <w:szCs w:val="32"/>
        </w:rPr>
      </w:pPr>
      <w:r>
        <w:rPr>
          <w:rFonts w:hint="eastAsia" w:ascii="仿宋" w:hAnsi="仿宋" w:eastAsia="仿宋" w:cs="仿宋"/>
          <w:sz w:val="32"/>
          <w:szCs w:val="32"/>
        </w:rPr>
        <w:t>详见附件：部门整体支出明细表</w:t>
      </w:r>
    </w:p>
    <w:p>
      <w:pPr>
        <w:keepNext w:val="0"/>
        <w:keepLines w:val="0"/>
        <w:pageBreakBefore w:val="0"/>
        <w:widowControl/>
        <w:tabs>
          <w:tab w:val="left" w:pos="3080"/>
        </w:tabs>
        <w:kinsoku/>
        <w:wordWrap/>
        <w:overflowPunct/>
        <w:topLinePunct w:val="0"/>
        <w:autoSpaceDE/>
        <w:autoSpaceDN/>
        <w:bidi w:val="0"/>
        <w:adjustRightInd/>
        <w:spacing w:line="360" w:lineRule="auto"/>
        <w:ind w:left="0"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2021年度部门预、决算收支表</w:t>
      </w:r>
    </w:p>
    <w:p>
      <w:pPr>
        <w:keepNext w:val="0"/>
        <w:keepLines w:val="0"/>
        <w:pageBreakBefore w:val="0"/>
        <w:widowControl/>
        <w:tabs>
          <w:tab w:val="left" w:pos="3080"/>
        </w:tabs>
        <w:kinsoku/>
        <w:wordWrap/>
        <w:overflowPunct/>
        <w:topLinePunct w:val="0"/>
        <w:autoSpaceDE/>
        <w:autoSpaceDN/>
        <w:bidi w:val="0"/>
        <w:adjustRightInd/>
        <w:spacing w:line="360" w:lineRule="auto"/>
        <w:ind w:lef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（万元）</w:t>
      </w:r>
    </w:p>
    <w:tbl>
      <w:tblPr>
        <w:tblStyle w:val="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901"/>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rPr>
            </w:pPr>
            <w:r>
              <w:rPr>
                <w:rFonts w:hint="eastAsia" w:ascii="仿宋" w:hAnsi="仿宋" w:eastAsia="仿宋" w:cs="仿宋"/>
                <w:sz w:val="32"/>
                <w:szCs w:val="32"/>
              </w:rPr>
              <w:t>功能科目</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rPr>
            </w:pPr>
            <w:r>
              <w:rPr>
                <w:rFonts w:hint="eastAsia" w:ascii="仿宋" w:hAnsi="仿宋" w:eastAsia="仿宋" w:cs="仿宋"/>
                <w:sz w:val="32"/>
                <w:szCs w:val="32"/>
              </w:rPr>
              <w:t>预算金额</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rPr>
            </w:pPr>
            <w:r>
              <w:rPr>
                <w:rFonts w:hint="eastAsia" w:ascii="仿宋" w:hAnsi="仿宋" w:eastAsia="仿宋" w:cs="仿宋"/>
                <w:sz w:val="32"/>
                <w:szCs w:val="32"/>
              </w:rPr>
              <w:t>决算金额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rPr>
              <w:t>一般公共服务支出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306.49</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科学技术支出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40.00</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rPr>
              <w:t>社会保障和就业支出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29.03</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lang w:eastAsia="zh-CN"/>
              </w:rPr>
              <w:t>城乡社区</w:t>
            </w:r>
            <w:r>
              <w:rPr>
                <w:rFonts w:hint="eastAsia" w:ascii="仿宋" w:hAnsi="仿宋" w:eastAsia="仿宋" w:cs="仿宋"/>
                <w:sz w:val="32"/>
                <w:szCs w:val="32"/>
              </w:rPr>
              <w:t>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15,636.68</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rPr>
              <w:t>卫生健康支出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15.73</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rPr>
              <w:t>住房保障支出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21.77</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rPr>
              <w:t>资源勘探工业信息等支出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35.00</w:t>
            </w: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商业服务业等支出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灾害防治及应急管理支出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rPr>
            </w:pP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noWrap/>
          </w:tcPr>
          <w:p>
            <w:pPr>
              <w:keepNext w:val="0"/>
              <w:keepLines w:val="0"/>
              <w:pageBreakBefore w:val="0"/>
              <w:kinsoku/>
              <w:wordWrap/>
              <w:overflowPunct/>
              <w:topLinePunct w:val="0"/>
              <w:autoSpaceDE/>
              <w:autoSpaceDN/>
              <w:bidi w:val="0"/>
              <w:adjustRightInd/>
              <w:snapToGrid w:val="0"/>
              <w:spacing w:line="360" w:lineRule="auto"/>
              <w:ind w:left="0"/>
              <w:rPr>
                <w:rFonts w:hint="eastAsia" w:ascii="仿宋" w:hAnsi="仿宋" w:eastAsia="仿宋" w:cs="仿宋"/>
                <w:sz w:val="32"/>
                <w:szCs w:val="32"/>
              </w:rPr>
            </w:pPr>
            <w:r>
              <w:rPr>
                <w:rFonts w:hint="eastAsia" w:ascii="仿宋" w:hAnsi="仿宋" w:eastAsia="仿宋" w:cs="仿宋"/>
                <w:sz w:val="32"/>
                <w:szCs w:val="32"/>
              </w:rPr>
              <w:t>其他支出</w:t>
            </w:r>
          </w:p>
        </w:tc>
        <w:tc>
          <w:tcPr>
            <w:tcW w:w="1901"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rPr>
            </w:pPr>
          </w:p>
        </w:tc>
        <w:tc>
          <w:tcPr>
            <w:tcW w:w="3132" w:type="dxa"/>
            <w:noWrap/>
          </w:tcPr>
          <w:p>
            <w:pPr>
              <w:keepNext w:val="0"/>
              <w:keepLines w:val="0"/>
              <w:pageBreakBefore w:val="0"/>
              <w:kinsoku/>
              <w:wordWrap/>
              <w:overflowPunct/>
              <w:topLinePunct w:val="0"/>
              <w:autoSpaceDE/>
              <w:autoSpaceDN/>
              <w:bidi w:val="0"/>
              <w:adjustRightInd/>
              <w:snapToGrid w:val="0"/>
              <w:spacing w:line="360" w:lineRule="auto"/>
              <w:ind w:left="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16,532.37</w:t>
            </w:r>
          </w:p>
        </w:tc>
      </w:tr>
    </w:tbl>
    <w:p>
      <w:pPr>
        <w:keepNext w:val="0"/>
        <w:keepLines w:val="0"/>
        <w:pageBreakBefore w:val="0"/>
        <w:widowControl/>
        <w:kinsoku/>
        <w:wordWrap/>
        <w:overflowPunct/>
        <w:topLinePunct w:val="0"/>
        <w:autoSpaceDE/>
        <w:autoSpaceDN/>
        <w:bidi w:val="0"/>
        <w:adjustRightInd/>
        <w:spacing w:line="360" w:lineRule="auto"/>
        <w:ind w:left="0"/>
        <w:rPr>
          <w:rFonts w:hint="eastAsia" w:ascii="仿宋" w:hAnsi="仿宋" w:eastAsia="仿宋" w:cs="仿宋"/>
          <w:b/>
          <w:bCs/>
          <w:color w:val="222222"/>
          <w:sz w:val="32"/>
          <w:szCs w:val="32"/>
        </w:rPr>
      </w:pPr>
    </w:p>
    <w:p>
      <w:pPr>
        <w:keepNext w:val="0"/>
        <w:keepLines w:val="0"/>
        <w:pageBreakBefore w:val="0"/>
        <w:widowControl/>
        <w:kinsoku/>
        <w:wordWrap/>
        <w:overflowPunct/>
        <w:topLinePunct w:val="0"/>
        <w:autoSpaceDE/>
        <w:autoSpaceDN/>
        <w:bidi w:val="0"/>
        <w:adjustRightInd/>
        <w:spacing w:line="360" w:lineRule="auto"/>
        <w:ind w:left="0" w:firstLine="643" w:firstLineChars="200"/>
        <w:rPr>
          <w:rFonts w:hint="eastAsia" w:ascii="仿宋" w:hAnsi="仿宋" w:eastAsia="仿宋" w:cs="仿宋"/>
          <w:b/>
          <w:bCs/>
          <w:color w:val="000000"/>
          <w:sz w:val="32"/>
          <w:szCs w:val="32"/>
        </w:rPr>
      </w:pPr>
      <w:r>
        <w:rPr>
          <w:rFonts w:hint="eastAsia" w:ascii="仿宋" w:hAnsi="仿宋" w:eastAsia="仿宋" w:cs="仿宋"/>
          <w:b/>
          <w:bCs/>
          <w:color w:val="222222"/>
          <w:sz w:val="32"/>
          <w:szCs w:val="32"/>
        </w:rPr>
        <w:t>（四）“三公经费”支出情况</w:t>
      </w:r>
    </w:p>
    <w:p>
      <w:pPr>
        <w:keepNext w:val="0"/>
        <w:keepLines w:val="0"/>
        <w:pageBreakBefore w:val="0"/>
        <w:widowControl/>
        <w:kinsoku/>
        <w:wordWrap/>
        <w:overflowPunct/>
        <w:topLinePunct w:val="0"/>
        <w:autoSpaceDE/>
        <w:autoSpaceDN/>
        <w:bidi w:val="0"/>
        <w:adjustRightInd/>
        <w:spacing w:line="360" w:lineRule="auto"/>
        <w:ind w:left="0" w:firstLine="640" w:firstLineChars="200"/>
        <w:rPr>
          <w:rFonts w:hint="eastAsia" w:ascii="仿宋" w:hAnsi="仿宋" w:eastAsia="仿宋" w:cs="仿宋"/>
          <w:b/>
          <w:color w:val="222222"/>
          <w:sz w:val="32"/>
          <w:szCs w:val="32"/>
        </w:rPr>
      </w:pPr>
      <w:r>
        <w:rPr>
          <w:rFonts w:hint="eastAsia" w:ascii="仿宋" w:hAnsi="仿宋" w:eastAsia="仿宋" w:cs="仿宋"/>
          <w:color w:val="000000"/>
          <w:kern w:val="0"/>
          <w:sz w:val="32"/>
          <w:szCs w:val="32"/>
        </w:rPr>
        <w:t>2021年“三公”经费支出总额</w:t>
      </w:r>
      <w:r>
        <w:rPr>
          <w:rFonts w:hint="eastAsia" w:ascii="仿宋" w:hAnsi="仿宋" w:eastAsia="仿宋" w:cs="仿宋"/>
          <w:color w:val="000000"/>
          <w:kern w:val="0"/>
          <w:sz w:val="32"/>
          <w:szCs w:val="32"/>
          <w:lang w:val="en-US" w:eastAsia="zh-CN"/>
        </w:rPr>
        <w:t>0.14</w:t>
      </w:r>
      <w:r>
        <w:rPr>
          <w:rFonts w:hint="eastAsia" w:ascii="仿宋" w:hAnsi="仿宋" w:eastAsia="仿宋" w:cs="仿宋"/>
          <w:color w:val="000000"/>
          <w:kern w:val="0"/>
          <w:sz w:val="32"/>
          <w:szCs w:val="32"/>
        </w:rPr>
        <w:t>万元，其中全部为公务接待费，其他公务用车和因公出国费用</w:t>
      </w:r>
      <w:r>
        <w:rPr>
          <w:rFonts w:hint="eastAsia" w:ascii="仿宋" w:hAnsi="仿宋" w:eastAsia="仿宋" w:cs="仿宋"/>
          <w:color w:val="000000"/>
          <w:kern w:val="0"/>
          <w:sz w:val="32"/>
          <w:szCs w:val="32"/>
          <w:lang w:eastAsia="zh-CN"/>
        </w:rPr>
        <w:t>均</w:t>
      </w:r>
      <w:r>
        <w:rPr>
          <w:rFonts w:hint="eastAsia" w:ascii="仿宋" w:hAnsi="仿宋" w:eastAsia="仿宋" w:cs="仿宋"/>
          <w:color w:val="000000"/>
          <w:kern w:val="0"/>
          <w:sz w:val="32"/>
          <w:szCs w:val="32"/>
        </w:rPr>
        <w:t>为0</w:t>
      </w:r>
      <w:r>
        <w:rPr>
          <w:rFonts w:hint="eastAsia" w:ascii="仿宋" w:hAnsi="仿宋" w:eastAsia="仿宋" w:cs="仿宋"/>
          <w:color w:val="000000"/>
          <w:kern w:val="0"/>
          <w:sz w:val="32"/>
          <w:szCs w:val="32"/>
          <w:lang w:eastAsia="zh-CN"/>
        </w:rPr>
        <w:t>万元</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pacing w:line="360" w:lineRule="auto"/>
        <w:ind w:left="0" w:firstLine="643" w:firstLineChars="200"/>
        <w:rPr>
          <w:rFonts w:hint="eastAsia" w:ascii="仿宋" w:hAnsi="仿宋" w:eastAsia="仿宋" w:cs="仿宋"/>
          <w:color w:val="222222"/>
          <w:sz w:val="32"/>
          <w:szCs w:val="32"/>
        </w:rPr>
      </w:pPr>
      <w:r>
        <w:rPr>
          <w:rFonts w:hint="eastAsia" w:ascii="仿宋" w:hAnsi="仿宋" w:eastAsia="仿宋" w:cs="仿宋"/>
          <w:b/>
          <w:color w:val="222222"/>
          <w:sz w:val="32"/>
          <w:szCs w:val="32"/>
        </w:rPr>
        <w:t>（五）部门绩效目标</w:t>
      </w:r>
    </w:p>
    <w:p>
      <w:pPr>
        <w:keepNext w:val="0"/>
        <w:keepLines w:val="0"/>
        <w:pageBreakBefore w:val="0"/>
        <w:widowControl/>
        <w:kinsoku/>
        <w:wordWrap/>
        <w:overflowPunct/>
        <w:topLinePunct w:val="0"/>
        <w:autoSpaceDE/>
        <w:autoSpaceDN/>
        <w:bidi w:val="0"/>
        <w:adjustRightInd/>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集聚发展，奋力创建“五好园区”；产业发展，持续强化招商引资力度；整合资源，依托“科创产业园”建设智慧园区；明确定位，借助调区扩区拓宽发展空间；优化服务，打造“无事不扰、有求必应”品牌。</w:t>
      </w:r>
    </w:p>
    <w:p>
      <w:pPr>
        <w:keepNext w:val="0"/>
        <w:keepLines w:val="0"/>
        <w:pageBreakBefore w:val="0"/>
        <w:kinsoku/>
        <w:wordWrap/>
        <w:overflowPunct/>
        <w:topLinePunct w:val="0"/>
        <w:autoSpaceDE/>
        <w:autoSpaceDN/>
        <w:bidi w:val="0"/>
        <w:adjustRightInd/>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二、一般公共预算支出情况</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2021年度一般公共预算收入</w:t>
      </w:r>
      <w:r>
        <w:rPr>
          <w:rFonts w:hint="eastAsia" w:ascii="仿宋" w:hAnsi="仿宋" w:eastAsia="仿宋" w:cs="仿宋"/>
          <w:color w:val="000000"/>
          <w:sz w:val="32"/>
          <w:szCs w:val="32"/>
          <w:lang w:val="en-US" w:eastAsia="zh-CN"/>
        </w:rPr>
        <w:t>3,034.90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其中基本支出</w:t>
      </w:r>
      <w:r>
        <w:rPr>
          <w:rFonts w:hint="eastAsia" w:ascii="仿宋" w:hAnsi="仿宋" w:eastAsia="仿宋" w:cs="仿宋"/>
          <w:color w:val="000000"/>
          <w:sz w:val="32"/>
          <w:szCs w:val="32"/>
          <w:lang w:val="en-US" w:eastAsia="zh-CN"/>
        </w:rPr>
        <w:t>329.90</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val="en-US" w:eastAsia="zh-CN"/>
        </w:rPr>
        <w:t>2,705.00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基本支出明细：</w:t>
      </w:r>
      <w:r>
        <w:rPr>
          <w:rFonts w:hint="eastAsia" w:ascii="仿宋" w:hAnsi="仿宋" w:eastAsia="仿宋" w:cs="仿宋"/>
          <w:color w:val="000000"/>
          <w:sz w:val="32"/>
          <w:szCs w:val="32"/>
          <w:lang w:eastAsia="zh-CN"/>
        </w:rPr>
        <w:t>人员经费</w:t>
      </w:r>
      <w:r>
        <w:rPr>
          <w:rFonts w:hint="eastAsia" w:ascii="仿宋" w:hAnsi="仿宋" w:eastAsia="仿宋" w:cs="仿宋"/>
          <w:color w:val="000000"/>
          <w:sz w:val="32"/>
          <w:szCs w:val="32"/>
          <w:lang w:val="en-US" w:eastAsia="zh-CN"/>
        </w:rPr>
        <w:t>316.27</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公用经费</w:t>
      </w:r>
      <w:r>
        <w:rPr>
          <w:rFonts w:hint="eastAsia" w:ascii="仿宋" w:hAnsi="仿宋" w:eastAsia="仿宋" w:cs="仿宋"/>
          <w:color w:val="000000"/>
          <w:sz w:val="32"/>
          <w:szCs w:val="32"/>
          <w:lang w:val="en-US" w:eastAsia="zh-CN"/>
        </w:rPr>
        <w:t>13.63</w:t>
      </w:r>
      <w:r>
        <w:rPr>
          <w:rFonts w:hint="eastAsia" w:ascii="仿宋" w:hAnsi="仿宋" w:eastAsia="仿宋" w:cs="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left="0" w:firstLine="600"/>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项目支出明细：</w:t>
      </w:r>
      <w:r>
        <w:rPr>
          <w:rFonts w:hint="eastAsia" w:ascii="仿宋" w:hAnsi="仿宋" w:eastAsia="仿宋" w:cs="仿宋"/>
          <w:sz w:val="32"/>
          <w:szCs w:val="32"/>
          <w:lang w:eastAsia="zh-CN"/>
        </w:rPr>
        <w:t>综合服务大楼运转经费</w:t>
      </w:r>
      <w:r>
        <w:rPr>
          <w:rFonts w:hint="eastAsia" w:ascii="仿宋" w:hAnsi="仿宋" w:eastAsia="仿宋" w:cs="仿宋"/>
          <w:sz w:val="32"/>
          <w:szCs w:val="32"/>
          <w:lang w:val="en-US" w:eastAsia="zh-CN"/>
        </w:rPr>
        <w:t>40</w:t>
      </w:r>
      <w:r>
        <w:rPr>
          <w:rFonts w:hint="eastAsia" w:ascii="仿宋" w:hAnsi="仿宋" w:eastAsia="仿宋" w:cs="仿宋"/>
          <w:sz w:val="32"/>
          <w:szCs w:val="32"/>
        </w:rPr>
        <w:t>万元；</w:t>
      </w:r>
      <w:r>
        <w:rPr>
          <w:rFonts w:hint="eastAsia" w:ascii="仿宋" w:hAnsi="仿宋" w:eastAsia="仿宋" w:cs="仿宋"/>
          <w:sz w:val="32"/>
          <w:szCs w:val="32"/>
          <w:lang w:eastAsia="zh-CN"/>
        </w:rPr>
        <w:t>招商引资</w:t>
      </w:r>
      <w:r>
        <w:rPr>
          <w:rFonts w:hint="eastAsia" w:ascii="仿宋" w:hAnsi="仿宋" w:eastAsia="仿宋" w:cs="仿宋"/>
          <w:sz w:val="32"/>
          <w:szCs w:val="32"/>
        </w:rPr>
        <w:t>5</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第九批创新型省份建设资金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科普</w:t>
      </w:r>
      <w:r>
        <w:rPr>
          <w:rFonts w:hint="eastAsia" w:ascii="仿宋" w:hAnsi="仿宋" w:eastAsia="仿宋" w:cs="仿宋"/>
          <w:sz w:val="32"/>
          <w:szCs w:val="32"/>
          <w:lang w:val="en-US" w:eastAsia="zh-CN"/>
        </w:rPr>
        <w:t>)20</w:t>
      </w:r>
      <w:r>
        <w:rPr>
          <w:rFonts w:hint="eastAsia" w:ascii="仿宋" w:hAnsi="仿宋" w:eastAsia="仿宋" w:cs="仿宋"/>
          <w:sz w:val="32"/>
          <w:szCs w:val="32"/>
        </w:rPr>
        <w:t>万元；省政府真抓实干激励资金</w:t>
      </w:r>
      <w:r>
        <w:rPr>
          <w:rFonts w:hint="eastAsia" w:ascii="仿宋" w:hAnsi="仿宋" w:eastAsia="仿宋" w:cs="仿宋"/>
          <w:sz w:val="32"/>
          <w:szCs w:val="32"/>
          <w:lang w:val="en-US" w:eastAsia="zh-CN"/>
        </w:rPr>
        <w:t>40</w:t>
      </w:r>
      <w:r>
        <w:rPr>
          <w:rFonts w:hint="eastAsia" w:ascii="仿宋" w:hAnsi="仿宋" w:eastAsia="仿宋" w:cs="仿宋"/>
          <w:sz w:val="32"/>
          <w:szCs w:val="32"/>
        </w:rPr>
        <w:t>万元；新型建材产业园奖补</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500</w:t>
      </w:r>
      <w:r>
        <w:rPr>
          <w:rFonts w:hint="eastAsia" w:ascii="仿宋" w:hAnsi="仿宋" w:eastAsia="仿宋" w:cs="仿宋"/>
          <w:sz w:val="32"/>
          <w:szCs w:val="32"/>
        </w:rPr>
        <w:t>万元； 第三批制造强省奖励资金</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r>
        <w:rPr>
          <w:rFonts w:hint="eastAsia" w:ascii="仿宋" w:hAnsi="仿宋" w:eastAsia="仿宋" w:cs="仿宋"/>
          <w:sz w:val="32"/>
          <w:szCs w:val="32"/>
          <w:lang w:eastAsia="zh-CN"/>
        </w:rPr>
        <w:t>； 新增规模工业企业培育发展奖励资金</w:t>
      </w:r>
      <w:r>
        <w:rPr>
          <w:rFonts w:hint="eastAsia" w:ascii="仿宋" w:hAnsi="仿宋" w:eastAsia="仿宋" w:cs="仿宋"/>
          <w:sz w:val="32"/>
          <w:szCs w:val="32"/>
          <w:lang w:val="en-US" w:eastAsia="zh-CN"/>
        </w:rPr>
        <w:t>65万元； 2020年度全市工业化考核奖励资金（园区发展）5万元；新鹏投资奖补产业发展资金585万元；“135工程”奖补资金1,292万元；开放型经济发展资金3万元；安全生产重点工作支持资金5万元。</w:t>
      </w:r>
    </w:p>
    <w:p>
      <w:pPr>
        <w:keepNext w:val="0"/>
        <w:keepLines w:val="0"/>
        <w:pageBreakBefore w:val="0"/>
        <w:numPr>
          <w:ilvl w:val="0"/>
          <w:numId w:val="1"/>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政府性基金预算支出情况</w:t>
      </w:r>
    </w:p>
    <w:p>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政府性基金预算支出36,097.67万元，其中：园区基础设施建设、产业发展资金19,597.67万元，专项债券（科创产业园一期建设资金）16,500万元。</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四、国有资本经营预算支出情况</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lang w:eastAsia="zh-CN"/>
        </w:rPr>
        <w:t>无</w:t>
      </w:r>
      <w:r>
        <w:rPr>
          <w:rFonts w:hint="eastAsia" w:ascii="仿宋" w:hAnsi="仿宋" w:eastAsia="仿宋" w:cs="仿宋"/>
          <w:sz w:val="32"/>
          <w:szCs w:val="32"/>
        </w:rPr>
        <w:t>国有资本经营预算支出。</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五、社会保险基金预算支出情况</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我单位无社会保险基金预算支出的情况。</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单位整体支出绩效情况</w:t>
      </w:r>
    </w:p>
    <w:p>
      <w:pPr>
        <w:keepNext w:val="0"/>
        <w:keepLines w:val="0"/>
        <w:pageBreakBefore w:val="0"/>
        <w:kinsoku/>
        <w:wordWrap/>
        <w:overflowPunct/>
        <w:topLinePunct w:val="0"/>
        <w:autoSpaceDE/>
        <w:autoSpaceDN/>
        <w:bidi w:val="0"/>
        <w:adjustRightInd/>
        <w:snapToGrid w:val="0"/>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1.经济运行来势好。各项指标排位靠前，年内新增规模工业企业13家，园区规模以上工业企业达91家；全年园区产值首次突破200亿大关，同比增长25%以上；完成增加值约38亿元，同比增长20%左右；入库税金</w:t>
      </w:r>
      <w:r>
        <w:rPr>
          <w:rFonts w:hint="eastAsia" w:ascii="仿宋" w:hAnsi="仿宋" w:eastAsia="仿宋" w:cs="仿宋"/>
          <w:sz w:val="32"/>
          <w:szCs w:val="32"/>
          <w:lang w:val="en-US" w:eastAsia="zh-CN"/>
        </w:rPr>
        <w:t>2.9</w:t>
      </w:r>
      <w:r>
        <w:rPr>
          <w:rFonts w:hint="eastAsia" w:ascii="仿宋" w:hAnsi="仿宋" w:eastAsia="仿宋" w:cs="仿宋"/>
          <w:sz w:val="32"/>
          <w:szCs w:val="32"/>
        </w:rPr>
        <w:t>亿元，同比增长28%以上；完成固定资产投资40亿元。成功获批湖南省新型工业化产业示范基地、湖南省中小微企业创业创新基地。</w:t>
      </w:r>
    </w:p>
    <w:p>
      <w:pPr>
        <w:keepNext w:val="0"/>
        <w:keepLines w:val="0"/>
        <w:pageBreakBefore w:val="0"/>
        <w:kinsoku/>
        <w:wordWrap/>
        <w:overflowPunct/>
        <w:topLinePunct w:val="0"/>
        <w:autoSpaceDE/>
        <w:autoSpaceDN/>
        <w:bidi w:val="0"/>
        <w:adjustRightInd/>
        <w:snapToGrid w:val="0"/>
        <w:spacing w:line="360" w:lineRule="auto"/>
        <w:ind w:left="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2.五好园区初见效。制定了实施方案。6月份，全</w:t>
      </w:r>
      <w:r>
        <w:rPr>
          <w:rFonts w:hint="eastAsia" w:ascii="仿宋" w:hAnsi="仿宋" w:eastAsia="仿宋" w:cs="仿宋"/>
          <w:b w:val="0"/>
          <w:bCs w:val="0"/>
          <w:color w:val="000000"/>
          <w:sz w:val="32"/>
          <w:szCs w:val="32"/>
        </w:rPr>
        <w:t>省产业园区推进会中后，我们</w:t>
      </w:r>
      <w:r>
        <w:rPr>
          <w:rFonts w:hint="eastAsia" w:ascii="仿宋" w:hAnsi="仿宋" w:eastAsia="仿宋" w:cs="仿宋"/>
          <w:b w:val="0"/>
          <w:bCs w:val="0"/>
          <w:sz w:val="32"/>
          <w:szCs w:val="32"/>
        </w:rPr>
        <w:t>起草了《澧县创建“五好”园区实施方案》，并报县委、县政府讨论印发。制定了《澧县创建“五好”园区工作任务分解表》，将各项工作细化分解到相关县直单位。明确了发展方向，以医药医械与健康食品为主导产业，以新型建材与家居为特色产业。完善了体制机制。实施了省级园区机构清理整顿和省级园区赋权两项改革。园区机构清理工作顺利推进，省市机构编制文件已形成初稿、征求意见，即将下发。园区赋权工作，县政府已印发《赋权目录》，22个县直单位已向园区移交赋权交接书。</w:t>
      </w:r>
      <w:r>
        <w:rPr>
          <w:rFonts w:hint="eastAsia" w:ascii="仿宋" w:hAnsi="仿宋" w:eastAsia="仿宋" w:cs="仿宋"/>
          <w:b w:val="0"/>
          <w:bCs w:val="0"/>
          <w:color w:val="000000"/>
          <w:sz w:val="32"/>
          <w:szCs w:val="32"/>
        </w:rPr>
        <w:t>草拟了《澧县高新区职能正面清单》，剥离与园区主责主业无关的部分社会事务管理职能。</w:t>
      </w:r>
    </w:p>
    <w:p>
      <w:pPr>
        <w:keepNext w:val="0"/>
        <w:keepLines w:val="0"/>
        <w:pageBreakBefore w:val="0"/>
        <w:widowControl/>
        <w:kinsoku/>
        <w:wordWrap/>
        <w:overflowPunct/>
        <w:topLinePunct w:val="0"/>
        <w:autoSpaceDE/>
        <w:autoSpaceDN/>
        <w:bidi w:val="0"/>
        <w:adjustRightInd/>
        <w:snapToGrid w:val="0"/>
        <w:spacing w:line="360" w:lineRule="auto"/>
        <w:ind w:left="0" w:firstLine="640" w:firstLineChars="200"/>
        <w:textAlignment w:val="baseline"/>
        <w:rPr>
          <w:rStyle w:val="8"/>
          <w:rFonts w:hint="eastAsia" w:ascii="仿宋" w:hAnsi="仿宋" w:eastAsia="仿宋" w:cs="仿宋"/>
          <w:sz w:val="32"/>
          <w:szCs w:val="32"/>
        </w:rPr>
      </w:pPr>
      <w:r>
        <w:rPr>
          <w:rFonts w:hint="eastAsia" w:ascii="仿宋" w:hAnsi="仿宋" w:eastAsia="仿宋" w:cs="仿宋"/>
          <w:sz w:val="32"/>
          <w:szCs w:val="32"/>
        </w:rPr>
        <w:t>3.招商引资有成果。</w:t>
      </w:r>
      <w:r>
        <w:rPr>
          <w:rFonts w:hint="eastAsia" w:ascii="仿宋" w:hAnsi="仿宋" w:eastAsia="仿宋" w:cs="仿宋"/>
          <w:bCs/>
          <w:sz w:val="32"/>
          <w:szCs w:val="32"/>
          <w:lang w:val="en-US" w:eastAsia="zh-CN"/>
        </w:rPr>
        <w:t>2021年</w:t>
      </w:r>
      <w:r>
        <w:rPr>
          <w:rFonts w:hint="eastAsia" w:ascii="仿宋" w:hAnsi="仿宋" w:eastAsia="仿宋" w:cs="仿宋"/>
          <w:bCs/>
          <w:sz w:val="32"/>
          <w:szCs w:val="32"/>
        </w:rPr>
        <w:t>累计签约引进工业项目21个，其中亿元以上工业项目14个（其中5亿元以上项目2个），总投资约27.4亿元。东区创新创业园完成综合智慧能源、年产十万套瑜伽服饰、年产1000万颗义齿等签约项目共计7个，合计投资总额9.75亿元，租用标准厂房面积7.4万平方米。西区科创产业园签约落户东惠光显液晶屏、铂飞特新能源、双亚科技等项目9个，投资总额为15.3亿元，租用标准厂房面积8.7万平方米。已签约的拿地项目</w:t>
      </w:r>
      <w:r>
        <w:rPr>
          <w:rFonts w:hint="eastAsia" w:ascii="仿宋" w:hAnsi="仿宋" w:eastAsia="仿宋" w:cs="仿宋"/>
          <w:bCs/>
          <w:sz w:val="32"/>
          <w:szCs w:val="32"/>
          <w:lang w:val="en-US" w:eastAsia="zh-CN"/>
        </w:rPr>
        <w:t>4</w:t>
      </w:r>
      <w:r>
        <w:rPr>
          <w:rFonts w:hint="eastAsia" w:ascii="仿宋" w:hAnsi="仿宋" w:eastAsia="仿宋" w:cs="仿宋"/>
          <w:bCs/>
          <w:sz w:val="32"/>
          <w:szCs w:val="32"/>
        </w:rPr>
        <w:t>个，分别为李记地坪机械设备、佳垚智慧农业设备、</w:t>
      </w:r>
      <w:r>
        <w:rPr>
          <w:rFonts w:hint="eastAsia" w:ascii="仿宋" w:hAnsi="仿宋" w:eastAsia="仿宋" w:cs="仿宋"/>
          <w:bCs/>
          <w:sz w:val="32"/>
          <w:szCs w:val="32"/>
          <w:lang w:eastAsia="zh-CN"/>
        </w:rPr>
        <w:t>宝庄高端门窗、</w:t>
      </w:r>
      <w:r>
        <w:rPr>
          <w:rFonts w:hint="eastAsia" w:ascii="仿宋" w:hAnsi="仿宋" w:eastAsia="仿宋" w:cs="仿宋"/>
          <w:bCs/>
          <w:sz w:val="32"/>
          <w:szCs w:val="32"/>
        </w:rPr>
        <w:t>上海莱士血浆站</w:t>
      </w:r>
      <w:r>
        <w:rPr>
          <w:rFonts w:hint="eastAsia" w:ascii="仿宋" w:hAnsi="仿宋" w:eastAsia="仿宋" w:cs="仿宋"/>
          <w:bCs/>
          <w:sz w:val="32"/>
          <w:szCs w:val="32"/>
          <w:lang w:eastAsia="zh-CN"/>
        </w:rPr>
        <w:t>，合计签约总投资</w:t>
      </w:r>
      <w:r>
        <w:rPr>
          <w:rFonts w:hint="eastAsia" w:ascii="仿宋" w:hAnsi="仿宋" w:eastAsia="仿宋" w:cs="仿宋"/>
          <w:bCs/>
          <w:sz w:val="32"/>
          <w:szCs w:val="32"/>
          <w:lang w:val="en-US" w:eastAsia="zh-CN"/>
        </w:rPr>
        <w:t>2.15亿元</w:t>
      </w:r>
      <w:r>
        <w:rPr>
          <w:rFonts w:hint="eastAsia" w:ascii="仿宋" w:hAnsi="仿宋" w:eastAsia="仿宋" w:cs="仿宋"/>
          <w:bCs/>
          <w:sz w:val="32"/>
          <w:szCs w:val="32"/>
          <w:lang w:eastAsia="zh-CN"/>
        </w:rPr>
        <w:t>。</w:t>
      </w:r>
      <w:r>
        <w:rPr>
          <w:rFonts w:hint="eastAsia" w:ascii="仿宋" w:hAnsi="仿宋" w:eastAsia="仿宋" w:cs="仿宋"/>
          <w:bCs/>
          <w:sz w:val="32"/>
          <w:szCs w:val="32"/>
        </w:rPr>
        <w:t>此外还有佳乐食品等已签约入驻常德金跃科技（原亚琛汽配公司）的闲置厂房，天源纺织也已引资签约接盘。</w:t>
      </w:r>
    </w:p>
    <w:p>
      <w:pPr>
        <w:keepNext w:val="0"/>
        <w:keepLines w:val="0"/>
        <w:pageBreakBefore w:val="0"/>
        <w:kinsoku/>
        <w:wordWrap/>
        <w:overflowPunct/>
        <w:topLinePunct w:val="0"/>
        <w:autoSpaceDE/>
        <w:autoSpaceDN/>
        <w:bidi w:val="0"/>
        <w:adjustRightInd/>
        <w:snapToGrid w:val="0"/>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4.项目建设再升温。</w:t>
      </w:r>
      <w:r>
        <w:rPr>
          <w:rFonts w:hint="eastAsia" w:ascii="仿宋" w:hAnsi="仿宋" w:eastAsia="仿宋" w:cs="仿宋"/>
          <w:bCs/>
          <w:color w:val="000000"/>
          <w:sz w:val="32"/>
          <w:szCs w:val="32"/>
        </w:rPr>
        <w:t>今年园区围绕主特产业，积极建链补链强链，年度</w:t>
      </w:r>
      <w:r>
        <w:rPr>
          <w:rFonts w:hint="eastAsia" w:ascii="仿宋" w:hAnsi="仿宋" w:eastAsia="仿宋" w:cs="仿宋"/>
          <w:sz w:val="32"/>
          <w:szCs w:val="32"/>
        </w:rPr>
        <w:t>开工建设亿元以上工业项目</w:t>
      </w:r>
      <w:r>
        <w:rPr>
          <w:rFonts w:hint="eastAsia" w:ascii="仿宋" w:hAnsi="仿宋" w:eastAsia="仿宋" w:cs="仿宋"/>
          <w:color w:val="000000"/>
          <w:sz w:val="32"/>
          <w:szCs w:val="32"/>
        </w:rPr>
        <w:t>12个（申报工业项目12个，目前认定项目6个），</w:t>
      </w:r>
      <w:r>
        <w:rPr>
          <w:rFonts w:hint="eastAsia" w:ascii="仿宋" w:hAnsi="仿宋" w:eastAsia="仿宋" w:cs="仿宋"/>
          <w:sz w:val="32"/>
          <w:szCs w:val="32"/>
        </w:rPr>
        <w:t>建成投产亿元以上工业项目12个。目前仕云光电、双亚锂电池、佳鑫钢化玻璃、普特思、韩顺电子、圣融智能门窗等项目已建成投产，李记地坪机械等亿元项目已顺利开工，胤祥新材料、铂特电子等项目有望近期投产，四川华控近期经进场装修，新乡卫康、东惠光显、伟鑫达电子项目正在进行装修设计，图审通过之后立即进场装修。</w:t>
      </w:r>
    </w:p>
    <w:p>
      <w:pPr>
        <w:keepNext w:val="0"/>
        <w:keepLines w:val="0"/>
        <w:pageBreakBefore w:val="0"/>
        <w:kinsoku/>
        <w:wordWrap/>
        <w:overflowPunct/>
        <w:topLinePunct w:val="0"/>
        <w:autoSpaceDE/>
        <w:autoSpaceDN/>
        <w:bidi w:val="0"/>
        <w:adjustRightInd/>
        <w:snapToGrid w:val="0"/>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5.企业服务显提升。推行全程代办和工改系统网上审批</w:t>
      </w:r>
      <w:r>
        <w:rPr>
          <w:rFonts w:hint="eastAsia" w:ascii="仿宋" w:hAnsi="仿宋" w:eastAsia="仿宋" w:cs="仿宋"/>
          <w:bCs/>
          <w:color w:val="000000"/>
          <w:sz w:val="32"/>
          <w:szCs w:val="32"/>
        </w:rPr>
        <w:t>，</w:t>
      </w:r>
      <w:r>
        <w:rPr>
          <w:rFonts w:hint="eastAsia" w:ascii="仿宋" w:hAnsi="仿宋" w:eastAsia="仿宋" w:cs="仿宋"/>
          <w:sz w:val="32"/>
          <w:szCs w:val="32"/>
        </w:rPr>
        <w:t>工商注册、立项备案、规划许可、人才用工等均由园区全程代办、网上办理，提高了审批效能</w:t>
      </w:r>
      <w:r>
        <w:rPr>
          <w:rFonts w:hint="eastAsia" w:ascii="仿宋" w:hAnsi="仿宋" w:eastAsia="仿宋" w:cs="仿宋"/>
          <w:bCs/>
          <w:color w:val="000000"/>
          <w:sz w:val="32"/>
          <w:szCs w:val="32"/>
        </w:rPr>
        <w:t>。</w:t>
      </w:r>
      <w:r>
        <w:rPr>
          <w:rFonts w:hint="eastAsia" w:ascii="仿宋" w:hAnsi="仿宋" w:eastAsia="仿宋" w:cs="仿宋"/>
          <w:sz w:val="32"/>
          <w:szCs w:val="32"/>
        </w:rPr>
        <w:t>与县人社局密切协作，举办员工招聘会</w:t>
      </w:r>
      <w:r>
        <w:rPr>
          <w:rFonts w:hint="eastAsia" w:ascii="仿宋" w:hAnsi="仿宋" w:eastAsia="仿宋" w:cs="仿宋"/>
          <w:sz w:val="32"/>
          <w:szCs w:val="32"/>
          <w:lang w:val="en-US" w:eastAsia="zh-CN"/>
        </w:rPr>
        <w:t>30</w:t>
      </w:r>
      <w:bookmarkStart w:id="0" w:name="_GoBack"/>
      <w:bookmarkEnd w:id="0"/>
      <w:r>
        <w:rPr>
          <w:rFonts w:hint="eastAsia" w:ascii="仿宋" w:hAnsi="仿宋" w:eastAsia="仿宋" w:cs="仿宋"/>
          <w:sz w:val="32"/>
          <w:szCs w:val="32"/>
        </w:rPr>
        <w:t>场，同时,通过“澧州好工作”平台的推广，线下线上相结合，共为园区30多家企业招工2750人，较好地化解了企业用工难题。配合县金融办、财政局积极宣传开展金融超市进园区等活动。园区96家中小企业90%以上都已成功注册金融超市，全年共有18家企业在线融资1.5亿元。积极开展生产性服务。配合工信局、供电公司，调度组织园区企业错峰用电政策，保障了企业用电生产安全；积极协调企业水电气问题，燃气保持降费0.5元/方，水电立户办理也明显提速。</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七、存在的问题及原因分析</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1、部门整体绩效目标细化分解不具体，不够清晰。在绩效目标数量、质量、标准的要求上，有些环节不够明确。部分绩效目标没有具体分解到各</w:t>
      </w:r>
      <w:r>
        <w:rPr>
          <w:rFonts w:hint="eastAsia" w:ascii="仿宋" w:hAnsi="仿宋" w:eastAsia="仿宋" w:cs="仿宋"/>
          <w:sz w:val="32"/>
          <w:szCs w:val="32"/>
          <w:lang w:eastAsia="zh-CN"/>
        </w:rPr>
        <w:t>局</w:t>
      </w:r>
      <w:r>
        <w:rPr>
          <w:rFonts w:hint="eastAsia" w:ascii="仿宋" w:hAnsi="仿宋" w:eastAsia="仿宋" w:cs="仿宋"/>
          <w:sz w:val="32"/>
          <w:szCs w:val="32"/>
        </w:rPr>
        <w:t>室。</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2、内部管理制度不全，有些制度未得到有效执行。</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八、下一步改进措施</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1、明确绩效目标数量、进一步细化分解绩效目标，将具体目标分解到岗到人。</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rPr>
        <w:t>进一步建立健全内部管理制度，根据单位实际情况，制定规范可行的管理制度，使制度得到有效地执行</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九、单位整体支出绩效自评结果拟应用和公开情况</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color w:val="222222"/>
          <w:sz w:val="32"/>
          <w:szCs w:val="32"/>
        </w:rPr>
        <w:t>根据《澧县</w:t>
      </w:r>
      <w:r>
        <w:rPr>
          <w:rFonts w:hint="eastAsia" w:ascii="仿宋" w:hAnsi="仿宋" w:eastAsia="仿宋" w:cs="仿宋"/>
          <w:color w:val="222222"/>
          <w:sz w:val="32"/>
          <w:szCs w:val="32"/>
          <w:lang w:eastAsia="zh-CN"/>
        </w:rPr>
        <w:t>高新技术产业开发区管理委员会</w:t>
      </w:r>
      <w:r>
        <w:rPr>
          <w:rFonts w:hint="eastAsia" w:ascii="仿宋" w:hAnsi="仿宋" w:eastAsia="仿宋" w:cs="仿宋"/>
          <w:color w:val="222222"/>
          <w:sz w:val="32"/>
          <w:szCs w:val="32"/>
        </w:rPr>
        <w:t>2021年整体支出绩效自评表》的评分结果，综合自评得分 9</w:t>
      </w:r>
      <w:r>
        <w:rPr>
          <w:rFonts w:hint="eastAsia" w:ascii="仿宋" w:hAnsi="仿宋" w:eastAsia="仿宋" w:cs="仿宋"/>
          <w:color w:val="222222"/>
          <w:sz w:val="32"/>
          <w:szCs w:val="32"/>
          <w:lang w:val="en-US" w:eastAsia="zh-CN"/>
        </w:rPr>
        <w:t>7</w:t>
      </w:r>
      <w:r>
        <w:rPr>
          <w:rFonts w:hint="eastAsia" w:ascii="仿宋" w:hAnsi="仿宋" w:eastAsia="仿宋" w:cs="仿宋"/>
          <w:color w:val="222222"/>
          <w:sz w:val="32"/>
          <w:szCs w:val="32"/>
        </w:rPr>
        <w:t>分，较好地完成了年度绩效考核目标和任务。</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十、其他需要说明的情况</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1．部门整体支出绩效评价基础数据表</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2．部门整体支出绩效自评表</w:t>
      </w:r>
    </w:p>
    <w:p>
      <w:pPr>
        <w:keepNext w:val="0"/>
        <w:keepLines w:val="0"/>
        <w:pageBreakBefore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3．项目支出绩效自评表</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32"/>
          <w:szCs w:val="32"/>
        </w:rPr>
      </w:pPr>
    </w:p>
    <w:sectPr>
      <w:footerReference r:id="rId4" w:type="first"/>
      <w:footerReference r:id="rId3" w:type="default"/>
      <w:pgSz w:w="11900" w:h="16840"/>
      <w:pgMar w:top="1814" w:right="1587" w:bottom="1417" w:left="1587"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EF4BF"/>
    <w:multiLevelType w:val="singleLevel"/>
    <w:tmpl w:val="B8EEF4BF"/>
    <w:lvl w:ilvl="0" w:tentative="0">
      <w:start w:val="3"/>
      <w:numFmt w:val="chineseCounting"/>
      <w:suff w:val="nothing"/>
      <w:lvlText w:val="%1、"/>
      <w:lvlJc w:val="left"/>
      <w:rPr>
        <w:rFonts w:hint="eastAsia"/>
      </w:rPr>
    </w:lvl>
  </w:abstractNum>
  <w:abstractNum w:abstractNumId="1">
    <w:nsid w:val="72D08719"/>
    <w:multiLevelType w:val="singleLevel"/>
    <w:tmpl w:val="72D0871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NDQxN2RjNTYwYWM3NzY2MDY0Y2I5YzY5ZDc2MmIifQ=="/>
  </w:docVars>
  <w:rsids>
    <w:rsidRoot w:val="07290933"/>
    <w:rsid w:val="07290933"/>
    <w:rsid w:val="2C6170A5"/>
    <w:rsid w:val="420726CC"/>
    <w:rsid w:val="42291973"/>
    <w:rsid w:val="74CC7208"/>
    <w:rsid w:val="7918526B"/>
    <w:rsid w:val="7F7D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3261</Words>
  <Characters>3635</Characters>
  <Lines>0</Lines>
  <Paragraphs>0</Paragraphs>
  <TotalTime>27</TotalTime>
  <ScaleCrop>false</ScaleCrop>
  <LinksUpToDate>false</LinksUpToDate>
  <CharactersWithSpaces>3694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2022-06-20T08:51:00Z</dcterms:created>
  <dc:creator>海心</dc:creator>
  <cp:lastModifiedBy>海心</cp:lastModifiedBy>
  <cp:lastPrinted>2022-06-27T02:22:26Z</cp:lastPrinted>
  <dcterms:modified xsi:type="dcterms:W3CDTF">2022-06-27T02:25:02Z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3A23981157B54E94B7490AFC4EBB9A9D</vt:lpwstr>
  </property>
</Properties>
</file>