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附件6</w:t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2021年度</w:t>
      </w:r>
      <w:r>
        <w:rPr>
          <w:rFonts w:hint="eastAsia" w:ascii="Times New Roman" w:hAnsi="Times New Roman" w:cs="Times New Roman"/>
          <w:b/>
          <w:sz w:val="48"/>
          <w:szCs w:val="48"/>
          <w:lang w:val="en-US" w:eastAsia="zh-CN"/>
        </w:rPr>
        <w:t>澧县光荣院</w:t>
      </w:r>
      <w:r>
        <w:rPr>
          <w:rFonts w:ascii="Times New Roman" w:hAnsi="Times New Roman" w:cs="Times New Roman"/>
          <w:b/>
          <w:sz w:val="48"/>
          <w:szCs w:val="48"/>
        </w:rPr>
        <w:t>整体支出绩效</w:t>
      </w: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自评报告</w:t>
      </w: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单位名称：（盖章）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   月   日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spacing w:line="580" w:lineRule="exact"/>
        <w:jc w:val="center"/>
        <w:rPr>
          <w:rFonts w:ascii="Times New Roman" w:cs="Times New Roman" w:hAnsiTheme="majorEastAsia" w:eastAsiaTheme="majorEastAsia"/>
          <w:b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2021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年度</w:t>
      </w:r>
      <w:r>
        <w:rPr>
          <w:rFonts w:hint="eastAsia" w:ascii="Times New Roman" w:hAnsi="Times New Roman" w:cs="Times New Roman"/>
          <w:b/>
          <w:sz w:val="48"/>
          <w:szCs w:val="48"/>
          <w:lang w:val="en-US" w:eastAsia="zh-CN"/>
        </w:rPr>
        <w:t>澧县光荣院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整体支出绩效</w:t>
      </w: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cs="Times New Roman" w:hAnsiTheme="majorEastAsia" w:eastAsiaTheme="majorEastAsia"/>
          <w:b/>
          <w:sz w:val="44"/>
          <w:szCs w:val="44"/>
        </w:rPr>
        <w:t>自评报告</w:t>
      </w:r>
    </w:p>
    <w:p>
      <w:pPr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一、部门（单位）基本情况</w:t>
      </w:r>
    </w:p>
    <w:p>
      <w:pPr>
        <w:ind w:left="315" w:firstLine="320" w:firstLineChars="1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（一）机构、人员构成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澧县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光荣院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是澧县退役军人事务局下属二级事业单位，属财政全额拨款预算单位，单位编制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人，在职人数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人，退休人员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无公务用车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（二）单位主要职责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澧县光荣院是根据国家、省、市有关文件规定，接收符合条件入住光荣院的孤老烈军属老人、孤老复员军人等优抚对象，并全面安排好他们的衣、食、住、行、医、乐；对全县未集中供养孤老优抚对象定期探访及慰问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一般公共预算支出情况</w:t>
      </w:r>
    </w:p>
    <w:p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基本支出情况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firstLine="960" w:firstLineChars="300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202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</w:rPr>
        <w:t>年，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光荣院</w:t>
      </w:r>
      <w:r>
        <w:rPr>
          <w:rFonts w:hint="eastAsia" w:ascii="仿宋" w:hAnsi="仿宋" w:eastAsia="仿宋" w:cs="仿宋"/>
          <w:kern w:val="2"/>
          <w:sz w:val="32"/>
          <w:szCs w:val="32"/>
        </w:rPr>
        <w:t>决算支出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96.5117</w:t>
      </w:r>
      <w:r>
        <w:rPr>
          <w:rFonts w:hint="eastAsia" w:ascii="仿宋" w:hAnsi="仿宋" w:eastAsia="仿宋" w:cs="仿宋"/>
          <w:kern w:val="2"/>
          <w:sz w:val="32"/>
          <w:szCs w:val="32"/>
        </w:rPr>
        <w:t>万元。其中：基本支出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96.5117</w:t>
      </w:r>
      <w:r>
        <w:rPr>
          <w:rFonts w:hint="eastAsia" w:ascii="仿宋" w:hAnsi="仿宋" w:eastAsia="仿宋" w:cs="仿宋"/>
          <w:kern w:val="2"/>
          <w:sz w:val="32"/>
          <w:szCs w:val="32"/>
        </w:rPr>
        <w:t>万元，主要包括工资支出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71.1472</w:t>
      </w:r>
      <w:r>
        <w:rPr>
          <w:rFonts w:hint="eastAsia" w:ascii="仿宋" w:hAnsi="仿宋" w:eastAsia="仿宋" w:cs="仿宋"/>
          <w:kern w:val="2"/>
          <w:sz w:val="32"/>
          <w:szCs w:val="32"/>
        </w:rPr>
        <w:t>元，商品服务支出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10.1086</w:t>
      </w:r>
      <w:r>
        <w:rPr>
          <w:rFonts w:hint="eastAsia" w:ascii="仿宋" w:hAnsi="仿宋" w:eastAsia="仿宋" w:cs="仿宋"/>
          <w:kern w:val="2"/>
          <w:sz w:val="32"/>
          <w:szCs w:val="32"/>
        </w:rPr>
        <w:t>万元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，对个人和家庭支出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15.2559</w:t>
      </w:r>
      <w:r>
        <w:rPr>
          <w:rFonts w:hint="eastAsia" w:ascii="仿宋" w:hAnsi="仿宋" w:eastAsia="仿宋" w:cs="仿宋"/>
          <w:kern w:val="2"/>
          <w:sz w:val="32"/>
          <w:szCs w:val="32"/>
        </w:rPr>
        <w:t>。从功能分类看，分为社会保障和就业支出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86.4983</w:t>
      </w:r>
      <w:r>
        <w:rPr>
          <w:rFonts w:hint="eastAsia" w:ascii="仿宋" w:hAnsi="仿宋" w:eastAsia="仿宋" w:cs="仿宋"/>
          <w:kern w:val="2"/>
          <w:sz w:val="32"/>
          <w:szCs w:val="32"/>
        </w:rPr>
        <w:t>万元、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卫生健康支出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3.348万元、</w:t>
      </w:r>
      <w:r>
        <w:rPr>
          <w:rFonts w:hint="eastAsia" w:ascii="仿宋" w:hAnsi="仿宋" w:eastAsia="仿宋" w:cs="仿宋"/>
          <w:kern w:val="2"/>
          <w:sz w:val="32"/>
          <w:szCs w:val="32"/>
        </w:rPr>
        <w:t>住房保障支出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5.3568</w:t>
      </w:r>
      <w:r>
        <w:rPr>
          <w:rFonts w:hint="eastAsia" w:ascii="仿宋" w:hAnsi="仿宋" w:eastAsia="仿宋" w:cs="仿宋"/>
          <w:kern w:val="2"/>
          <w:sz w:val="32"/>
          <w:szCs w:val="32"/>
        </w:rPr>
        <w:t>万元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其他支出1.3086万元。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（二）项目支出情况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firstLine="960" w:firstLineChars="300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无项目支出。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政府性基金预算支出情况</w:t>
      </w:r>
    </w:p>
    <w:p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本单位无政府性基金预算支出。</w:t>
      </w:r>
    </w:p>
    <w:p>
      <w:pPr>
        <w:numPr>
          <w:ilvl w:val="0"/>
          <w:numId w:val="3"/>
        </w:numPr>
        <w:spacing w:line="58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国有资本经营预算支出情况</w:t>
      </w:r>
    </w:p>
    <w:p>
      <w:pPr>
        <w:numPr>
          <w:ilvl w:val="0"/>
          <w:numId w:val="0"/>
        </w:numPr>
        <w:spacing w:line="580" w:lineRule="exact"/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本单位无国有资本经营预算支出。</w:t>
      </w:r>
    </w:p>
    <w:p>
      <w:pPr>
        <w:numPr>
          <w:ilvl w:val="0"/>
          <w:numId w:val="3"/>
        </w:numPr>
        <w:spacing w:line="58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社会保险基金预算支出情况</w:t>
      </w:r>
    </w:p>
    <w:p>
      <w:pPr>
        <w:numPr>
          <w:ilvl w:val="0"/>
          <w:numId w:val="0"/>
        </w:numPr>
        <w:spacing w:line="580" w:lineRule="exact"/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本单位无社会保险基金预算支出。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六、单位整体支出绩效情况</w:t>
      </w:r>
    </w:p>
    <w:p>
      <w:pPr>
        <w:widowControl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年我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较好地完成了绩效目标，主要体现在以下方面：</w:t>
      </w:r>
    </w:p>
    <w:p>
      <w:pPr>
        <w:pStyle w:val="4"/>
        <w:numPr>
          <w:ilvl w:val="0"/>
          <w:numId w:val="0"/>
        </w:numPr>
        <w:spacing w:before="45" w:beforeAutospacing="0" w:after="45" w:afterAutospacing="0" w:line="480" w:lineRule="exact"/>
        <w:ind w:firstLine="643" w:firstLineChars="200"/>
        <w:rPr>
          <w:rFonts w:hint="eastAsia" w:ascii="仿宋" w:hAnsi="仿宋" w:eastAsia="仿宋" w:cs="仿宋"/>
          <w:b/>
          <w:bCs/>
          <w:color w:val="36363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63636"/>
          <w:sz w:val="32"/>
          <w:szCs w:val="32"/>
          <w:lang w:val="en-US" w:eastAsia="zh-CN"/>
        </w:rPr>
        <w:t>绩效指标完成情况</w:t>
      </w:r>
    </w:p>
    <w:tbl>
      <w:tblPr>
        <w:tblStyle w:val="5"/>
        <w:tblW w:w="94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185"/>
        <w:gridCol w:w="1245"/>
        <w:gridCol w:w="1380"/>
        <w:gridCol w:w="1635"/>
        <w:gridCol w:w="1335"/>
        <w:gridCol w:w="765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产出指标（50分）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优抚对象康复疗养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优抚对象培训合格率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财务规定的标准列支各项经费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10.1086万元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10.1086万元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效益指标（30分）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通过党和政府对优抚对象的关爱，让他们感受到社会的关怀和温暖。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改善保障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改善保障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实现第二个百年目标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社会公众或服务对象满意度指标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深化改革，提高办事效率和服务意识，服务对象满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</w:tbl>
    <w:p>
      <w:pPr>
        <w:pStyle w:val="4"/>
        <w:numPr>
          <w:ilvl w:val="0"/>
          <w:numId w:val="4"/>
        </w:numPr>
        <w:spacing w:before="45" w:beforeAutospacing="0" w:after="45" w:afterAutospacing="0" w:line="480" w:lineRule="exact"/>
        <w:ind w:left="-272" w:leftChars="0" w:firstLine="482" w:firstLineChars="0"/>
        <w:rPr>
          <w:rFonts w:hint="eastAsia" w:ascii="仿宋" w:hAnsi="仿宋" w:eastAsia="仿宋"/>
          <w:color w:val="363636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363636"/>
          <w:sz w:val="32"/>
          <w:szCs w:val="32"/>
          <w:lang w:val="en-US" w:eastAsia="zh-CN"/>
        </w:rPr>
        <w:t>产出指标。</w:t>
      </w:r>
    </w:p>
    <w:p>
      <w:pPr>
        <w:pStyle w:val="4"/>
        <w:numPr>
          <w:ilvl w:val="0"/>
          <w:numId w:val="0"/>
        </w:numPr>
        <w:spacing w:before="45" w:beforeAutospacing="0" w:after="45" w:afterAutospacing="0" w:line="480" w:lineRule="exact"/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363636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/>
          <w:color w:val="363636"/>
          <w:sz w:val="32"/>
          <w:szCs w:val="32"/>
          <w:lang w:val="en-US" w:eastAsia="zh-CN"/>
        </w:rPr>
        <w:t>数量指标。完</w:t>
      </w:r>
      <w:r>
        <w:rPr>
          <w:rFonts w:hint="eastAsia" w:ascii="仿宋" w:hAnsi="仿宋" w:eastAsia="仿宋" w:cs="仿宋"/>
          <w:color w:val="363636"/>
          <w:sz w:val="32"/>
          <w:szCs w:val="32"/>
          <w:lang w:val="en-US" w:eastAsia="zh-CN"/>
        </w:rPr>
        <w:t>成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优抚对象康复疗养20次。</w:t>
      </w:r>
    </w:p>
    <w:p>
      <w:pPr>
        <w:pStyle w:val="4"/>
        <w:numPr>
          <w:ilvl w:val="0"/>
          <w:numId w:val="0"/>
        </w:numPr>
        <w:spacing w:before="45" w:beforeAutospacing="0" w:after="45" w:afterAutospacing="0" w:line="480" w:lineRule="exact"/>
        <w:ind w:firstLine="640" w:firstLineChars="200"/>
        <w:rPr>
          <w:rFonts w:hint="eastAsia" w:ascii="仿宋" w:hAnsi="仿宋" w:eastAsia="仿宋" w:cs="仿宋"/>
          <w:color w:val="36363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63636"/>
          <w:sz w:val="32"/>
          <w:szCs w:val="32"/>
          <w:lang w:val="en-US" w:eastAsia="zh-CN"/>
        </w:rPr>
        <w:t>②质量指标。完成本年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优抚对象培训合格率</w:t>
      </w:r>
      <w:r>
        <w:rPr>
          <w:rFonts w:hint="eastAsia" w:ascii="仿宋" w:hAnsi="仿宋" w:eastAsia="仿宋" w:cs="仿宋"/>
          <w:color w:val="363636"/>
          <w:sz w:val="32"/>
          <w:szCs w:val="32"/>
          <w:lang w:val="en-US" w:eastAsia="zh-CN"/>
        </w:rPr>
        <w:t>100%。</w:t>
      </w:r>
    </w:p>
    <w:p>
      <w:pPr>
        <w:pStyle w:val="4"/>
        <w:numPr>
          <w:ilvl w:val="0"/>
          <w:numId w:val="0"/>
        </w:numPr>
        <w:spacing w:before="45" w:beforeAutospacing="0" w:after="45" w:afterAutospacing="0" w:line="480" w:lineRule="exact"/>
        <w:ind w:firstLine="640" w:firstLineChars="200"/>
        <w:rPr>
          <w:rFonts w:hint="eastAsia" w:ascii="仿宋" w:hAnsi="仿宋" w:eastAsia="仿宋" w:cs="仿宋"/>
          <w:color w:val="36363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63636"/>
          <w:sz w:val="32"/>
          <w:szCs w:val="32"/>
          <w:lang w:val="en-US" w:eastAsia="zh-CN"/>
        </w:rPr>
        <w:t>③时效指标。本年所有任务都在本年内按质按量完成。</w:t>
      </w:r>
    </w:p>
    <w:p>
      <w:pPr>
        <w:pStyle w:val="4"/>
        <w:numPr>
          <w:ilvl w:val="0"/>
          <w:numId w:val="0"/>
        </w:numPr>
        <w:spacing w:before="45" w:beforeAutospacing="0" w:after="45" w:afterAutospacing="0" w:line="480" w:lineRule="exact"/>
        <w:ind w:firstLine="640" w:firstLineChars="200"/>
        <w:rPr>
          <w:rFonts w:hint="eastAsia" w:ascii="仿宋" w:hAnsi="仿宋" w:eastAsia="仿宋" w:cs="仿宋"/>
          <w:color w:val="36363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63636"/>
          <w:sz w:val="32"/>
          <w:szCs w:val="32"/>
          <w:lang w:val="en-US" w:eastAsia="zh-CN"/>
        </w:rPr>
        <w:t>④成本指标。本年机关事务支出控制在预算范围内，总支出额度10.1086万元，成本全规率达100%。</w:t>
      </w:r>
    </w:p>
    <w:p>
      <w:pPr>
        <w:pStyle w:val="4"/>
        <w:numPr>
          <w:ilvl w:val="0"/>
          <w:numId w:val="4"/>
        </w:numPr>
        <w:spacing w:before="45" w:beforeAutospacing="0" w:after="45" w:afterAutospacing="0" w:line="480" w:lineRule="exact"/>
        <w:ind w:left="-272" w:leftChars="0" w:firstLine="482" w:firstLineChars="0"/>
        <w:rPr>
          <w:rFonts w:hint="eastAsia" w:ascii="仿宋" w:hAnsi="仿宋" w:eastAsia="仿宋" w:cs="仿宋"/>
          <w:color w:val="36363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63636"/>
          <w:sz w:val="32"/>
          <w:szCs w:val="32"/>
          <w:lang w:val="en-US" w:eastAsia="zh-CN"/>
        </w:rPr>
        <w:t>效益指标。</w:t>
      </w:r>
    </w:p>
    <w:p>
      <w:pPr>
        <w:pStyle w:val="4"/>
        <w:numPr>
          <w:ilvl w:val="0"/>
          <w:numId w:val="0"/>
        </w:numPr>
        <w:spacing w:before="45" w:beforeAutospacing="0" w:after="45" w:afterAutospacing="0" w:line="480" w:lineRule="exact"/>
        <w:ind w:left="482" w:leftChars="0" w:firstLine="156" w:firstLineChars="49"/>
        <w:rPr>
          <w:rFonts w:hint="eastAsia" w:ascii="仿宋" w:hAnsi="仿宋" w:eastAsia="仿宋" w:cs="仿宋"/>
          <w:color w:val="36363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63636"/>
          <w:sz w:val="32"/>
          <w:szCs w:val="32"/>
          <w:lang w:val="en-US" w:eastAsia="zh-CN"/>
        </w:rPr>
        <w:t>①社会效益。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通过精准服务，实现孤老烈军属老人老有所养，老有所依；通过对优抚老军人的康复疗养，使优抚老军人感受到社会的关怀和温暖。</w:t>
      </w:r>
    </w:p>
    <w:p>
      <w:pPr>
        <w:widowControl/>
        <w:shd w:val="clear" w:color="auto" w:fill="FFFFFF"/>
        <w:spacing w:before="100" w:beforeAutospacing="1" w:after="300"/>
        <w:ind w:firstLine="48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63636"/>
          <w:sz w:val="32"/>
          <w:szCs w:val="32"/>
          <w:lang w:val="en-US" w:eastAsia="zh-CN"/>
        </w:rPr>
        <w:t>②可持续影响。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保障了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优抚孤寡老人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的生活质量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，增强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老年人幸福感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，有利于和谐社会的建立。</w:t>
      </w:r>
    </w:p>
    <w:p>
      <w:pPr>
        <w:widowControl/>
        <w:shd w:val="clear" w:color="auto" w:fill="FFFFFF"/>
        <w:spacing w:before="100" w:beforeAutospacing="1" w:after="300"/>
        <w:ind w:firstLine="480"/>
        <w:jc w:val="left"/>
        <w:rPr>
          <w:rFonts w:hint="eastAsia" w:ascii="仿宋" w:hAnsi="仿宋" w:eastAsia="仿宋" w:cs="仿宋"/>
          <w:color w:val="36363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63636"/>
          <w:sz w:val="32"/>
          <w:szCs w:val="32"/>
          <w:lang w:val="en-US" w:eastAsia="zh-CN"/>
        </w:rPr>
        <w:t xml:space="preserve"> ③满意度。主管单位满意度95%，受益对象满意度95%，社会公众满意度或认可度95%。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七、存在的问题及原因分析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1、政府采购预算欠精准。计划政府采购4万元，预算用于全县优抚对象短期疗养，实际支出5万元。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2、绩效目标欠科学。2021年申报的整体绩效目标，指标不够细化、量化。未能完全与部门年度的任务数或计划数相对应，目标与部门预算匹配不充分。</w:t>
      </w:r>
    </w:p>
    <w:p>
      <w:pPr>
        <w:numPr>
          <w:ilvl w:val="0"/>
          <w:numId w:val="5"/>
        </w:num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下一步改进措施</w:t>
      </w:r>
    </w:p>
    <w:p>
      <w:pPr>
        <w:numPr>
          <w:ilvl w:val="0"/>
          <w:numId w:val="6"/>
        </w:numPr>
        <w:spacing w:line="580" w:lineRule="exact"/>
        <w:ind w:left="48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完善预算编制。单位各项收入支出全面纳入预算管理，</w:t>
      </w:r>
    </w:p>
    <w:p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统筹安排。根据人员编制和相关标准编制基本支出预算；将部门整体的绩效目标细化分解为具体的工作任务；</w:t>
      </w:r>
    </w:p>
    <w:p>
      <w:pPr>
        <w:numPr>
          <w:ilvl w:val="0"/>
          <w:numId w:val="6"/>
        </w:numPr>
        <w:spacing w:line="580" w:lineRule="exact"/>
        <w:ind w:left="48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加强绩效管理。提高绩效认识，重视绩效目标。细化</w:t>
      </w:r>
    </w:p>
    <w:p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部门工作计划，根据工作计划合理设置绩效目标。专项资金应根据专项资金申报资金用途，细化量化绩效目标。</w:t>
      </w:r>
    </w:p>
    <w:p>
      <w:pPr>
        <w:numPr>
          <w:ilvl w:val="0"/>
          <w:numId w:val="6"/>
        </w:numPr>
        <w:spacing w:line="580" w:lineRule="exact"/>
        <w:ind w:left="48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严格按照年度目标或计划实际情况编制资产采购预</w:t>
      </w:r>
    </w:p>
    <w:p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算，严格按照资产采购预算进行资产或工程项目采购。</w:t>
      </w:r>
    </w:p>
    <w:p>
      <w:pPr>
        <w:numPr>
          <w:ilvl w:val="0"/>
          <w:numId w:val="5"/>
        </w:numPr>
        <w:spacing w:line="580" w:lineRule="exact"/>
        <w:ind w:left="0" w:leftChars="0"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单位整体支出绩效自评结果拟应用和公开情况</w:t>
      </w:r>
    </w:p>
    <w:p>
      <w:pPr>
        <w:numPr>
          <w:ilvl w:val="0"/>
          <w:numId w:val="0"/>
        </w:numPr>
        <w:spacing w:line="580" w:lineRule="exact"/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本单位整体支出绩效自评结果会在下一年度作为参考，预决算已在网站公开 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十、其他需要说明的情况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无。</w:t>
      </w: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报告需要以下附件：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．部门整体支出绩效评价基础数据表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．部门整体支出绩效自评表</w:t>
      </w: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仿宋" w:eastAsia="仿宋" w:cs="Times New Roman"/>
          <w:sz w:val="32"/>
          <w:szCs w:val="32"/>
        </w:rPr>
        <w:t>．项目支出绩效自评表（一个项目支出一张表）</w:t>
      </w: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580" w:lineRule="exact"/>
        <w:rPr>
          <w:rFonts w:ascii="Times New Roman" w:hAnsi="仿宋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</w:rPr>
      </w:pPr>
    </w:p>
    <w:tbl>
      <w:tblPr>
        <w:tblStyle w:val="5"/>
        <w:tblW w:w="94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979"/>
        <w:gridCol w:w="1298"/>
        <w:gridCol w:w="1013"/>
        <w:gridCol w:w="1298"/>
        <w:gridCol w:w="902"/>
        <w:gridCol w:w="1298"/>
        <w:gridCol w:w="1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年度部门整体支出绩效评价基础数据表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填报单位：    澧县光荣院                                             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财政供养人员情况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编制数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年实际在职人数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经费控制情况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年决算数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年预算数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三公经费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．公务用车购置和维护经费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其中：公车购置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公车运行维护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．出国经费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．公务接待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．业务工作专项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．运行维护专项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7.5056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9.55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．办公经费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．水电费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1.7056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．其他交通费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印刷费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手续费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邮电费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维（护）费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物业管理费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政府采购金额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部门整体支出预算调整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楼堂馆所控制情况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(2021年完工项目)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批复规模(㎡)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实际规模(㎡)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规模控制率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预算投资（万元）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实际投资（万元）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投资概算控制率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厉行节约保障措施</w:t>
            </w:r>
          </w:p>
        </w:tc>
        <w:tc>
          <w:tcPr>
            <w:tcW w:w="65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需要填报基本支出以外的所有项目支出情况，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填报基本支出中的一般商品和服务支出。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填报日期：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2022.6.13        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联系电话：15273642968</w:t>
            </w:r>
          </w:p>
        </w:tc>
      </w:tr>
    </w:tbl>
    <w:p>
      <w:pPr>
        <w:rPr>
          <w:rFonts w:ascii="Times New Roman" w:hAnsi="Times New Roman" w:eastAsia="仿宋" w:cs="Times New Roman"/>
        </w:rPr>
      </w:pPr>
    </w:p>
    <w:tbl>
      <w:tblPr>
        <w:tblStyle w:val="5"/>
        <w:tblW w:w="8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19"/>
        <w:gridCol w:w="246"/>
        <w:gridCol w:w="621"/>
        <w:gridCol w:w="232"/>
        <w:gridCol w:w="711"/>
        <w:gridCol w:w="248"/>
        <w:gridCol w:w="989"/>
        <w:gridCol w:w="1219"/>
        <w:gridCol w:w="790"/>
        <w:gridCol w:w="790"/>
        <w:gridCol w:w="1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年度部门整体支出绩效自评表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预算单位名称</w:t>
            </w:r>
          </w:p>
        </w:tc>
        <w:tc>
          <w:tcPr>
            <w:tcW w:w="80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澧县光荣院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2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年度预算申请（万元）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1.855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94.657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按收入性质分：94.657</w:t>
            </w:r>
          </w:p>
        </w:tc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按支出性质分：96.512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其中：一般公共预算：94.657</w:t>
            </w:r>
          </w:p>
        </w:tc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其中：基本支出：96.512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政府性基金拨款：</w:t>
            </w:r>
          </w:p>
        </w:tc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纳入专户管理的非税收入拨款：</w:t>
            </w:r>
          </w:p>
        </w:tc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其他资金：</w:t>
            </w:r>
          </w:p>
        </w:tc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1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1、通过精准服务，实现孤老烈军属老人老有所养，老有所依；                                     2、通过对优抚老军人的康复疗养，使优抚老军人感受到社会的关怀和温暖；完成省、市、县的各项工作。</w:t>
            </w:r>
          </w:p>
        </w:tc>
        <w:tc>
          <w:tcPr>
            <w:tcW w:w="3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优抚对象进行康复疗养、心理咨询、健康讲座；积极做好优抚对象稳定工作，维护优抚对象的利益，给优抚对象提供更好的康复、疗养，提供舒适的环境；通过党和政府对优抚对象的关爱，让他们感受到社会的关怀和温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产出指标（50分）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优抚对象康复疗养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优抚对象培训合格率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财务规定的标准列支各项经费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10.1086万元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10.1086万元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效益指标（30分）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通过党和政府对优抚对象的关爱，让他们感受到社会的关怀和温暖。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改善保障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改善保障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实现第二个百年目标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社会公众或服务对象满意度指标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深化改革，提高办事效率和服务意识，服务对象满意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填报日期：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6月10日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联系电话：15273642968</w:t>
            </w:r>
          </w:p>
        </w:tc>
      </w:tr>
    </w:tbl>
    <w:p>
      <w:pPr>
        <w:rPr>
          <w:rFonts w:ascii="Times New Roman" w:hAnsi="Times New Roman" w:eastAsia="仿宋" w:cs="Times New Roman"/>
        </w:rPr>
      </w:pPr>
    </w:p>
    <w:sectPr>
      <w:pgSz w:w="11900" w:h="16840"/>
      <w:pgMar w:top="567" w:right="1800" w:bottom="567" w:left="1134" w:header="0" w:footer="601" w:gutter="0"/>
      <w:cols w:space="0" w:num="1"/>
      <w:titlePg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EF31C2"/>
    <w:multiLevelType w:val="singleLevel"/>
    <w:tmpl w:val="89EF31C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0950E23"/>
    <w:multiLevelType w:val="singleLevel"/>
    <w:tmpl w:val="D0950E23"/>
    <w:lvl w:ilvl="0" w:tentative="0">
      <w:start w:val="1"/>
      <w:numFmt w:val="decimal"/>
      <w:suff w:val="nothing"/>
      <w:lvlText w:val="（%1）"/>
      <w:lvlJc w:val="left"/>
      <w:pPr>
        <w:ind w:left="-272"/>
      </w:pPr>
    </w:lvl>
  </w:abstractNum>
  <w:abstractNum w:abstractNumId="2">
    <w:nsid w:val="E33F7BB3"/>
    <w:multiLevelType w:val="singleLevel"/>
    <w:tmpl w:val="E33F7BB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3480739"/>
    <w:multiLevelType w:val="singleLevel"/>
    <w:tmpl w:val="F3480739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4">
    <w:nsid w:val="1791228E"/>
    <w:multiLevelType w:val="singleLevel"/>
    <w:tmpl w:val="1791228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365E8FC"/>
    <w:multiLevelType w:val="singleLevel"/>
    <w:tmpl w:val="5365E8F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MzZDAwZWEwYjg3OTFlNTI3MGYzOWFiMWNhYjVhYTQifQ=="/>
  </w:docVars>
  <w:rsids>
    <w:rsidRoot w:val="27D94564"/>
    <w:rsid w:val="00226E16"/>
    <w:rsid w:val="005A3C2A"/>
    <w:rsid w:val="00626EFA"/>
    <w:rsid w:val="006638A9"/>
    <w:rsid w:val="00981C3B"/>
    <w:rsid w:val="00B9329D"/>
    <w:rsid w:val="00C140B6"/>
    <w:rsid w:val="00E40EA6"/>
    <w:rsid w:val="00F07D7E"/>
    <w:rsid w:val="00F92C09"/>
    <w:rsid w:val="02E602C3"/>
    <w:rsid w:val="05386702"/>
    <w:rsid w:val="0569626F"/>
    <w:rsid w:val="06CE08C4"/>
    <w:rsid w:val="075613E1"/>
    <w:rsid w:val="079526AD"/>
    <w:rsid w:val="0BEF1125"/>
    <w:rsid w:val="142B04A5"/>
    <w:rsid w:val="14C16929"/>
    <w:rsid w:val="17571D9C"/>
    <w:rsid w:val="1A366198"/>
    <w:rsid w:val="1F5E5F75"/>
    <w:rsid w:val="1FBC4566"/>
    <w:rsid w:val="206D3054"/>
    <w:rsid w:val="217D2499"/>
    <w:rsid w:val="225C4890"/>
    <w:rsid w:val="27D94564"/>
    <w:rsid w:val="28333324"/>
    <w:rsid w:val="287C746C"/>
    <w:rsid w:val="2AF459E0"/>
    <w:rsid w:val="303D766A"/>
    <w:rsid w:val="310E4A4E"/>
    <w:rsid w:val="356E5F27"/>
    <w:rsid w:val="36FA25D0"/>
    <w:rsid w:val="3AD76784"/>
    <w:rsid w:val="3DF5156D"/>
    <w:rsid w:val="3E1A70B4"/>
    <w:rsid w:val="3E3A7756"/>
    <w:rsid w:val="42F74A1F"/>
    <w:rsid w:val="45D67313"/>
    <w:rsid w:val="4AD44F71"/>
    <w:rsid w:val="4B2A2DEB"/>
    <w:rsid w:val="4B775B0D"/>
    <w:rsid w:val="505446A7"/>
    <w:rsid w:val="525C7843"/>
    <w:rsid w:val="560A5808"/>
    <w:rsid w:val="57773066"/>
    <w:rsid w:val="586F195A"/>
    <w:rsid w:val="59977B18"/>
    <w:rsid w:val="5D925255"/>
    <w:rsid w:val="5EA93E10"/>
    <w:rsid w:val="64BA24D5"/>
    <w:rsid w:val="65474C27"/>
    <w:rsid w:val="65EE1393"/>
    <w:rsid w:val="6AF763FC"/>
    <w:rsid w:val="6D41184B"/>
    <w:rsid w:val="6F8052AD"/>
    <w:rsid w:val="737C62D9"/>
    <w:rsid w:val="742C2EA5"/>
    <w:rsid w:val="74DF7FCF"/>
    <w:rsid w:val="7608009B"/>
    <w:rsid w:val="781D7969"/>
    <w:rsid w:val="78D21D5D"/>
    <w:rsid w:val="7ADB139D"/>
    <w:rsid w:val="7EA45F4A"/>
    <w:rsid w:val="7F9B24BF"/>
    <w:rsid w:val="7FBE1F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3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1">
    <w:name w:val="font61"/>
    <w:basedOn w:val="6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41"/>
    <w:basedOn w:val="6"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13">
    <w:name w:val="font51"/>
    <w:basedOn w:val="6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4">
    <w:name w:val="font71"/>
    <w:basedOn w:val="6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21"/>
    <w:basedOn w:val="6"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8</Pages>
  <Words>2465</Words>
  <Characters>2819</Characters>
  <Lines>4</Lines>
  <Paragraphs>1</Paragraphs>
  <TotalTime>32</TotalTime>
  <ScaleCrop>false</ScaleCrop>
  <LinksUpToDate>false</LinksUpToDate>
  <CharactersWithSpaces>2988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2022-03-25T03:19:00Z</dcterms:created>
  <dc:creator>小明同学</dc:creator>
  <cp:lastModifiedBy>lx</cp:lastModifiedBy>
  <cp:lastPrinted>2022-03-28T07:16:00Z</cp:lastPrinted>
  <dcterms:modified xsi:type="dcterms:W3CDTF">2022-08-26T04:03:03Z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2C748869A0314D468FCA60B514AE4557</vt:lpwstr>
  </property>
</Properties>
</file>