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w:t>
      </w:r>
      <w:r>
        <w:rPr>
          <w:rFonts w:ascii="Times New Roman" w:cs="Times New Roman" w:hAnsiTheme="minorEastAsia"/>
          <w:b/>
          <w:sz w:val="48"/>
          <w:szCs w:val="48"/>
        </w:rPr>
        <w:t>年度</w:t>
      </w:r>
      <w:r>
        <w:rPr>
          <w:rFonts w:hint="eastAsia" w:ascii="Times New Roman" w:cs="Times New Roman" w:hAnsiTheme="minorEastAsia"/>
          <w:b/>
          <w:sz w:val="48"/>
          <w:szCs w:val="48"/>
        </w:rPr>
        <w:t>住房保障服务中心</w:t>
      </w:r>
      <w:r>
        <w:rPr>
          <w:rFonts w:ascii="Times New Roman" w:cs="Times New Roman" w:hAnsiTheme="minorEastAsia"/>
          <w:b/>
          <w:sz w:val="48"/>
          <w:szCs w:val="48"/>
        </w:rPr>
        <w:t>整体支出</w:t>
      </w:r>
    </w:p>
    <w:p>
      <w:pPr>
        <w:jc w:val="center"/>
        <w:rPr>
          <w:rFonts w:ascii="Times New Roman" w:hAnsi="Times New Roman" w:cs="Times New Roman"/>
          <w:b/>
          <w:sz w:val="48"/>
          <w:szCs w:val="48"/>
        </w:rPr>
      </w:pPr>
      <w:r>
        <w:rPr>
          <w:rFonts w:ascii="Times New Roman" w:cs="Times New Roman" w:hAnsiTheme="minorEastAsia"/>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rPr>
          <w:rFonts w:ascii="Times New Roman" w:hAnsi="Times New Roman" w:cs="Times New Roman" w:eastAsiaTheme="majorEastAsia"/>
          <w:b/>
          <w:sz w:val="36"/>
          <w:szCs w:val="36"/>
        </w:rPr>
      </w:pPr>
    </w:p>
    <w:p>
      <w:pPr>
        <w:spacing w:line="580" w:lineRule="exact"/>
        <w:jc w:val="center"/>
        <w:rPr>
          <w:rFonts w:cs="Times New Roman" w:asciiTheme="majorEastAsia" w:hAnsiTheme="majorEastAsia" w:eastAsiaTheme="majorEastAsia"/>
          <w:b/>
          <w:sz w:val="44"/>
          <w:szCs w:val="44"/>
        </w:rPr>
      </w:pPr>
      <w:r>
        <w:rPr>
          <w:rFonts w:cs="Times New Roman" w:asciiTheme="majorEastAsia" w:hAnsiTheme="majorEastAsia" w:eastAsiaTheme="majorEastAsia"/>
          <w:b/>
          <w:sz w:val="44"/>
          <w:szCs w:val="44"/>
        </w:rPr>
        <w:t>2021年度</w:t>
      </w:r>
      <w:r>
        <w:rPr>
          <w:rFonts w:hint="eastAsia" w:cs="Times New Roman" w:asciiTheme="majorEastAsia" w:hAnsiTheme="majorEastAsia" w:eastAsiaTheme="majorEastAsia"/>
          <w:b/>
          <w:sz w:val="44"/>
          <w:szCs w:val="44"/>
        </w:rPr>
        <w:t>澧县住房保障服务中心</w:t>
      </w:r>
      <w:r>
        <w:rPr>
          <w:rFonts w:cs="Times New Roman" w:asciiTheme="majorEastAsia" w:hAnsiTheme="majorEastAsia" w:eastAsiaTheme="majorEastAsia"/>
          <w:b/>
          <w:sz w:val="44"/>
          <w:szCs w:val="44"/>
        </w:rPr>
        <w:t>整体支出</w:t>
      </w:r>
    </w:p>
    <w:p>
      <w:pPr>
        <w:spacing w:line="580" w:lineRule="exact"/>
        <w:jc w:val="center"/>
        <w:rPr>
          <w:rFonts w:cs="Times New Roman" w:asciiTheme="majorEastAsia" w:hAnsiTheme="majorEastAsia" w:eastAsiaTheme="majorEastAsia"/>
          <w:b/>
          <w:sz w:val="44"/>
          <w:szCs w:val="44"/>
        </w:rPr>
      </w:pPr>
      <w:r>
        <w:rPr>
          <w:rFonts w:cs="Times New Roman" w:asciiTheme="majorEastAsia" w:hAnsiTheme="majorEastAsia" w:eastAsiaTheme="majorEastAsia"/>
          <w:b/>
          <w:sz w:val="44"/>
          <w:szCs w:val="44"/>
        </w:rPr>
        <w:t>绩效自评报告</w:t>
      </w:r>
    </w:p>
    <w:p>
      <w:pPr>
        <w:spacing w:line="580" w:lineRule="exact"/>
        <w:rPr>
          <w:rFonts w:ascii="仿宋" w:hAnsi="仿宋" w:eastAsia="仿宋" w:cs="Times New Roman"/>
          <w:sz w:val="32"/>
          <w:szCs w:val="32"/>
        </w:rPr>
      </w:pP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一、部门（单位）基本情况</w:t>
      </w:r>
    </w:p>
    <w:p>
      <w:pPr>
        <w:widowControl/>
        <w:spacing w:line="580" w:lineRule="exact"/>
        <w:ind w:firstLine="643" w:firstLineChars="200"/>
        <w:jc w:val="left"/>
        <w:rPr>
          <w:rFonts w:eastAsia="楷体_GB2312"/>
          <w:b/>
          <w:sz w:val="32"/>
          <w:szCs w:val="32"/>
        </w:rPr>
      </w:pPr>
      <w:r>
        <w:rPr>
          <w:rFonts w:eastAsia="楷体_GB2312"/>
          <w:b/>
          <w:sz w:val="32"/>
          <w:szCs w:val="32"/>
        </w:rPr>
        <w:t>职能职责</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县住房保障服务中心承担原县房地产管理局的相关公益性职能和县住建系统相关事业单位的住房保障等公益服务职能。</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受县政府委托，由县住房和城乡建设局（县人防办）授权，负责县城区商品房合同网签备案、销售价格申报管理；负责物业管理、住房保障管理、房屋安全鉴定、白蚁防治管理等行政职能。</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依法负责全县公租房建设、服务、后续运营管理、安置房服务、棚户区改造、老旧小区改造、房地产服务、房屋维修资金管理服务、商品房预售资金监管、白蚁防治服务、房屋租赁服务、物业服务等工作。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承办县委、县政府及上级部门交办的其他事宜。</w:t>
      </w:r>
    </w:p>
    <w:p>
      <w:pPr>
        <w:widowControl/>
        <w:spacing w:line="580" w:lineRule="exact"/>
        <w:ind w:firstLine="643" w:firstLineChars="200"/>
        <w:jc w:val="left"/>
        <w:rPr>
          <w:rFonts w:eastAsia="楷体_GB2312"/>
          <w:b/>
          <w:sz w:val="32"/>
          <w:szCs w:val="32"/>
        </w:rPr>
      </w:pPr>
      <w:r>
        <w:rPr>
          <w:rFonts w:eastAsia="楷体_GB2312"/>
          <w:b/>
          <w:sz w:val="32"/>
          <w:szCs w:val="32"/>
        </w:rPr>
        <w:t>机构设置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澧县住房保障服务中心内设股室共计</w:t>
      </w:r>
      <w:r>
        <w:rPr>
          <w:rFonts w:hint="eastAsia" w:ascii="仿宋" w:hAnsi="仿宋" w:eastAsia="仿宋"/>
          <w:sz w:val="32"/>
          <w:szCs w:val="32"/>
          <w:lang w:val="en-US" w:eastAsia="zh-CN"/>
        </w:rPr>
        <w:t>20</w:t>
      </w:r>
      <w:r>
        <w:rPr>
          <w:rFonts w:hint="eastAsia" w:ascii="仿宋" w:hAnsi="仿宋" w:eastAsia="仿宋"/>
          <w:sz w:val="32"/>
          <w:szCs w:val="32"/>
        </w:rPr>
        <w:t>个，分别为：办公室、政工股、财务股、法制股、老旧改管理股、棚改管理股、公租房建设管理股、保障股、运营管理股、监察室、行政审批办公室、物业专项维修资金管理中心，物业管理办公室，租赁及房屋安全鉴定管理股、房地产执法监察大队，国有公房管理股、白蚁防治股</w:t>
      </w:r>
      <w:r>
        <w:rPr>
          <w:rFonts w:hint="eastAsia" w:ascii="仿宋" w:hAnsi="仿宋" w:eastAsia="仿宋"/>
          <w:sz w:val="32"/>
          <w:szCs w:val="32"/>
          <w:lang w:eastAsia="zh-CN"/>
        </w:rPr>
        <w:t>，</w:t>
      </w:r>
      <w:r>
        <w:rPr>
          <w:rFonts w:hint="eastAsia" w:ascii="仿宋" w:hAnsi="仿宋" w:eastAsia="仿宋"/>
          <w:sz w:val="32"/>
          <w:szCs w:val="32"/>
          <w:lang w:val="en-US" w:eastAsia="zh-CN"/>
        </w:rPr>
        <w:t>安置办证股，王家厂所及大堰垱所</w:t>
      </w:r>
      <w:r>
        <w:rPr>
          <w:rFonts w:hint="eastAsia" w:ascii="仿宋" w:hAnsi="仿宋" w:eastAsia="仿宋"/>
          <w:sz w:val="32"/>
          <w:szCs w:val="32"/>
        </w:rPr>
        <w:t>。</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人员编制：</w:t>
      </w:r>
      <w:r>
        <w:rPr>
          <w:rFonts w:ascii="仿宋" w:hAnsi="仿宋" w:eastAsia="仿宋"/>
          <w:sz w:val="32"/>
          <w:szCs w:val="32"/>
        </w:rPr>
        <w:t>人员编制</w:t>
      </w:r>
      <w:r>
        <w:rPr>
          <w:rFonts w:hint="eastAsia" w:ascii="仿宋" w:hAnsi="仿宋" w:eastAsia="仿宋"/>
          <w:sz w:val="32"/>
          <w:szCs w:val="32"/>
        </w:rPr>
        <w:t>107人，实际在职在岗人员107人，退休人员11</w:t>
      </w:r>
      <w:r>
        <w:rPr>
          <w:rFonts w:hint="eastAsia" w:ascii="仿宋" w:hAnsi="仿宋" w:eastAsia="仿宋"/>
          <w:sz w:val="32"/>
          <w:szCs w:val="32"/>
          <w:lang w:val="en-US" w:eastAsia="zh-CN"/>
        </w:rPr>
        <w:t>0</w:t>
      </w:r>
      <w:r>
        <w:rPr>
          <w:rFonts w:hint="eastAsia" w:ascii="仿宋" w:hAnsi="仿宋" w:eastAsia="仿宋"/>
          <w:sz w:val="32"/>
          <w:szCs w:val="32"/>
        </w:rPr>
        <w:t>人。</w:t>
      </w:r>
      <w:bookmarkStart w:id="0" w:name="_GoBack"/>
      <w:bookmarkEnd w:id="0"/>
    </w:p>
    <w:p>
      <w:pPr>
        <w:spacing w:line="580" w:lineRule="exact"/>
        <w:ind w:firstLine="643" w:firstLineChars="200"/>
        <w:rPr>
          <w:rFonts w:ascii="仿宋" w:hAnsi="仿宋" w:eastAsia="仿宋"/>
          <w:sz w:val="32"/>
          <w:szCs w:val="32"/>
        </w:rPr>
      </w:pPr>
      <w:r>
        <w:rPr>
          <w:rFonts w:hint="eastAsia" w:ascii="仿宋" w:hAnsi="仿宋" w:eastAsia="仿宋"/>
          <w:b/>
          <w:sz w:val="32"/>
          <w:szCs w:val="32"/>
        </w:rPr>
        <w:t>车辆编制：</w:t>
      </w:r>
      <w:r>
        <w:rPr>
          <w:rFonts w:ascii="仿宋" w:hAnsi="仿宋" w:eastAsia="仿宋"/>
          <w:sz w:val="32"/>
          <w:szCs w:val="32"/>
        </w:rPr>
        <w:t>公务车辆编制</w:t>
      </w:r>
      <w:r>
        <w:rPr>
          <w:rFonts w:hint="eastAsia" w:ascii="仿宋" w:hAnsi="仿宋" w:eastAsia="仿宋"/>
          <w:sz w:val="32"/>
          <w:szCs w:val="32"/>
        </w:rPr>
        <w:t>3台，实有公务车辆3台，用途为其他公务用车。</w:t>
      </w:r>
    </w:p>
    <w:p>
      <w:pPr>
        <w:spacing w:line="580" w:lineRule="exact"/>
        <w:ind w:firstLine="643" w:firstLineChars="200"/>
        <w:rPr>
          <w:rFonts w:ascii="仿宋" w:hAnsi="仿宋" w:eastAsia="仿宋" w:cs="Times New Roman"/>
          <w:sz w:val="32"/>
          <w:szCs w:val="32"/>
        </w:rPr>
      </w:pPr>
      <w:r>
        <w:rPr>
          <w:rFonts w:hint="eastAsia" w:ascii="仿宋" w:hAnsi="仿宋" w:eastAsia="仿宋"/>
          <w:b/>
          <w:sz w:val="32"/>
          <w:szCs w:val="32"/>
        </w:rPr>
        <w:t>年度绩效目标：</w:t>
      </w:r>
      <w:r>
        <w:rPr>
          <w:rFonts w:ascii="仿宋" w:hAnsi="仿宋" w:eastAsia="仿宋" w:cs="Times New Roman"/>
          <w:sz w:val="32"/>
          <w:szCs w:val="32"/>
        </w:rPr>
        <w:t>认真贯彻执行国家</w:t>
      </w:r>
      <w:r>
        <w:rPr>
          <w:rFonts w:hint="eastAsia" w:ascii="仿宋" w:hAnsi="仿宋" w:eastAsia="仿宋" w:cs="Times New Roman"/>
          <w:sz w:val="32"/>
          <w:szCs w:val="32"/>
        </w:rPr>
        <w:t>、</w:t>
      </w:r>
      <w:r>
        <w:rPr>
          <w:rFonts w:ascii="仿宋" w:hAnsi="仿宋" w:eastAsia="仿宋" w:cs="Times New Roman"/>
          <w:sz w:val="32"/>
          <w:szCs w:val="32"/>
        </w:rPr>
        <w:t>省市有关房地产业的政策</w:t>
      </w:r>
      <w:r>
        <w:rPr>
          <w:rFonts w:hint="eastAsia" w:ascii="仿宋" w:hAnsi="仿宋" w:eastAsia="仿宋" w:cs="Times New Roman"/>
          <w:sz w:val="32"/>
          <w:szCs w:val="32"/>
        </w:rPr>
        <w:t>、</w:t>
      </w:r>
      <w:r>
        <w:rPr>
          <w:rFonts w:ascii="仿宋" w:hAnsi="仿宋" w:eastAsia="仿宋" w:cs="Times New Roman"/>
          <w:sz w:val="32"/>
          <w:szCs w:val="32"/>
        </w:rPr>
        <w:t>法律法规及规定</w:t>
      </w:r>
      <w:r>
        <w:rPr>
          <w:rFonts w:hint="eastAsia" w:ascii="仿宋" w:hAnsi="仿宋" w:eastAsia="仿宋" w:cs="Times New Roman"/>
          <w:sz w:val="32"/>
          <w:szCs w:val="32"/>
        </w:rPr>
        <w:t>，</w:t>
      </w:r>
      <w:r>
        <w:rPr>
          <w:rFonts w:ascii="仿宋" w:hAnsi="仿宋" w:eastAsia="仿宋" w:cs="Times New Roman"/>
          <w:sz w:val="32"/>
          <w:szCs w:val="32"/>
        </w:rPr>
        <w:t>拟定符合本县房产管理的办法措施和房地产业与城市住宅建设发展规划</w:t>
      </w:r>
      <w:r>
        <w:rPr>
          <w:rFonts w:hint="eastAsia" w:ascii="仿宋" w:hAnsi="仿宋" w:eastAsia="仿宋" w:cs="Times New Roman"/>
          <w:sz w:val="32"/>
          <w:szCs w:val="32"/>
        </w:rPr>
        <w:t>；</w:t>
      </w:r>
      <w:r>
        <w:rPr>
          <w:rFonts w:ascii="仿宋" w:hAnsi="仿宋" w:eastAsia="仿宋" w:cs="Times New Roman"/>
          <w:sz w:val="32"/>
          <w:szCs w:val="32"/>
        </w:rPr>
        <w:t>依法履行全县房地产市场管理的</w:t>
      </w:r>
      <w:r>
        <w:rPr>
          <w:rFonts w:hint="eastAsia" w:ascii="仿宋" w:hAnsi="仿宋" w:eastAsia="仿宋" w:cs="Times New Roman"/>
          <w:sz w:val="32"/>
          <w:szCs w:val="32"/>
        </w:rPr>
        <w:t>行政</w:t>
      </w:r>
      <w:r>
        <w:rPr>
          <w:rFonts w:ascii="仿宋" w:hAnsi="仿宋" w:eastAsia="仿宋" w:cs="Times New Roman"/>
          <w:sz w:val="32"/>
          <w:szCs w:val="32"/>
        </w:rPr>
        <w:t>执法工作</w:t>
      </w:r>
      <w:r>
        <w:rPr>
          <w:rFonts w:hint="eastAsia" w:ascii="仿宋" w:hAnsi="仿宋" w:eastAsia="仿宋" w:cs="Times New Roman"/>
          <w:sz w:val="32"/>
          <w:szCs w:val="32"/>
        </w:rPr>
        <w:t>，</w:t>
      </w:r>
      <w:r>
        <w:rPr>
          <w:rFonts w:ascii="仿宋" w:hAnsi="仿宋" w:eastAsia="仿宋" w:cs="Times New Roman"/>
          <w:sz w:val="32"/>
          <w:szCs w:val="32"/>
        </w:rPr>
        <w:t>规范房地产市场秩序</w:t>
      </w:r>
      <w:r>
        <w:rPr>
          <w:rFonts w:hint="eastAsia" w:ascii="仿宋" w:hAnsi="仿宋" w:eastAsia="仿宋" w:cs="Times New Roman"/>
          <w:sz w:val="32"/>
          <w:szCs w:val="32"/>
        </w:rPr>
        <w:t>；加强对全县物业管理的制度，监督全县房屋维修资金的归集和使用管理工作；做好全县棚户区改造和城镇老旧小区改造改造，租赁补贴做到应保尽保，加强保障性小区物业管理和修缮养护；加强对全县房屋安全鉴定、白蚁防治管理，负责房地产咨询、评估、经纪、测绘等中介服务市场的管理，强化房屋中介服务机构资质的审核和报批；加强组织建设，大力改进文风会风，加强经费及资产管理，降低行政成本。完善机关有关制度；保障干部职工待遇，日常工作运转正常；全面完成县委、县政府及上级部门交办的其他事项。</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二、一般公共预算支出情况</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（一）基本支出情况</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2021年基本支出1195.43万元，其中工资福利支出943万元，商品和服务支出159.71万元，对个人和家庭补助支出81万元，其他资本性支出11.71万元。</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（二）项目支出情况</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年项目支出20688.72万元，其中老旧小区改造项目支出15152.58万元，棚户区改造项目支出2808.32万元，公共租赁住房项目支出1769.26万元，保障小区基础设施配套及维护管理项目支出791.08万元，疫情期间财政补贴项目支出167.48万元。</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三、政府性基金预算支出情况</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2021年政府性基金3312.47万元全部用于保障性安居工程项目支出，其中棚户区改造项目基础设施配套支出246.25万元，老旧小区改造项目支出3066.22万元。</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四、国有资本经营预算支出情况</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无。</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五、社会保险基金预算支出情况</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无。</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六、部门整体支出绩效情况</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年度部门整体收支平衡，全面完成整体绩效目标。白蚁防治专项资金在使用方面符合专项资金的支出范畴。保障性安居工程专项资金使用符合国家保障政策规定要求。厉行节约，三公经费有效控制在预算计划内。</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全面完成棚户区改建、扩建、翻建任务目标；全面完成城镇老旧小区改造工作任务；按规定发放住房保障租赁补贴  1000余户；全面完成非税收入入库目标任务；对全县60个物业服务项目的服务质量进行了全方位监督管理；全年共发放房屋租赁登记备案1000本；全面完成全县白蚁预防、灭治工作计划任务；累计编制《澧县房地产市场情况》月刊共12期；群众来信来访回复率100%。</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进一步规范保障性安居工程的投资、建设、分配及运营管理等工作；不断提高房地产市场管理监管力度，提高服务水平，有效稳定全县消费市场；搞好政策宣传，积极落实优惠政策到位；大力开展矛盾纠纷排查化解，妥善处理信访突出问题，确保综治安全和信访稳定。为提高城市品位、完善城市功能、改善人民交通环境和居住环境作出重要贡献。社会公众、企业和服务对象的满意率达95%以上。</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七、存在的问题及原因分析</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保障性安居工程专项资金预算支出执行存在偏差。一方面由于保障性安居工程项目计划报批时间长、是否全部批准立项具有不确定性，导致年度预算收入不准确；另一方面因为项目实施期限和进度不能完全统一，导致预算资金支付执行有偏差。</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2、政府采购项目预算管理有待加强。</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由于保障性安居工程项目资金预算不准确，导致编制相应的政府采购项目资金预算不准确。</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八、下一步改进措施</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夯实预算编制工作基础</w:t>
      </w:r>
      <w:r>
        <w:rPr>
          <w:rFonts w:hint="eastAsia" w:ascii="仿宋" w:hAnsi="仿宋" w:eastAsia="仿宋" w:cs="Times New Roman"/>
          <w:sz w:val="32"/>
          <w:szCs w:val="32"/>
        </w:rPr>
        <w:t>，</w:t>
      </w:r>
      <w:r>
        <w:rPr>
          <w:rFonts w:ascii="仿宋" w:hAnsi="仿宋" w:eastAsia="仿宋" w:cs="Times New Roman"/>
          <w:sz w:val="32"/>
          <w:szCs w:val="32"/>
        </w:rPr>
        <w:t>多渠道汇总项目计划数据</w:t>
      </w:r>
      <w:r>
        <w:rPr>
          <w:rFonts w:hint="eastAsia" w:ascii="仿宋" w:hAnsi="仿宋" w:eastAsia="仿宋" w:cs="Times New Roman"/>
          <w:sz w:val="32"/>
          <w:szCs w:val="32"/>
        </w:rPr>
        <w:t>，</w:t>
      </w:r>
      <w:r>
        <w:rPr>
          <w:rFonts w:ascii="仿宋" w:hAnsi="仿宋" w:eastAsia="仿宋" w:cs="Times New Roman"/>
          <w:sz w:val="32"/>
          <w:szCs w:val="32"/>
        </w:rPr>
        <w:t>及时跟踪项目申报进度</w:t>
      </w:r>
      <w:r>
        <w:rPr>
          <w:rFonts w:hint="eastAsia" w:ascii="仿宋" w:hAnsi="仿宋" w:eastAsia="仿宋" w:cs="Times New Roman"/>
          <w:sz w:val="32"/>
          <w:szCs w:val="32"/>
        </w:rPr>
        <w:t>，</w:t>
      </w:r>
      <w:r>
        <w:rPr>
          <w:rFonts w:ascii="仿宋" w:hAnsi="仿宋" w:eastAsia="仿宋" w:cs="Times New Roman"/>
          <w:sz w:val="32"/>
          <w:szCs w:val="32"/>
        </w:rPr>
        <w:t>科学编制年度部门预算草案并适时调整修正</w:t>
      </w:r>
      <w:r>
        <w:rPr>
          <w:rFonts w:hint="eastAsia" w:ascii="仿宋" w:hAnsi="仿宋" w:eastAsia="仿宋" w:cs="Times New Roman"/>
          <w:sz w:val="32"/>
          <w:szCs w:val="32"/>
        </w:rPr>
        <w:t>。</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九、部门整体支出绩效自评结果拟应用和公开情况</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我中心成立了绩效自评小组，认真制定年度绩效评价方案，严格执行批复的预算计划，对专项资金的使用范围及对象进行跟踪调查，对部门整体收支情况实行全程监督。</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对本中心年度整体支出绩效自评结果进行张贴公开，多方听取意见和建议，对存在的问题深入剖析查找原因，制定整改方案，完善整改措施，确保问题得到圆满解决并以此促进其他工作的高效开展。</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十、其他需要说明的情况</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无。</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报告需要以下附件：</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1．部门整体支出绩效评价基础数据表</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2．部门整体支出绩效自评表</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3．项目支出绩效自评表（一个项目支出一张表）</w:t>
      </w:r>
    </w:p>
    <w:p>
      <w:pPr>
        <w:rPr>
          <w:rFonts w:ascii="仿宋" w:hAnsi="仿宋" w:eastAsia="仿宋"/>
        </w:rPr>
      </w:pPr>
    </w:p>
    <w:p>
      <w:pPr>
        <w:rPr>
          <w:rFonts w:ascii="仿宋" w:hAnsi="仿宋" w:eastAsia="仿宋"/>
        </w:rPr>
      </w:pPr>
    </w:p>
    <w:p>
      <w:pPr>
        <w:rPr>
          <w:rFonts w:ascii="仿宋" w:hAnsi="仿宋" w:eastAsia="仿宋"/>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3N2I2NWQ0MTc2OGFjNDdiN2JhMWM4MzZkZTM2ZWEifQ=="/>
  </w:docVars>
  <w:rsids>
    <w:rsidRoot w:val="27D94564"/>
    <w:rsid w:val="0000064E"/>
    <w:rsid w:val="000056DD"/>
    <w:rsid w:val="00060E35"/>
    <w:rsid w:val="000F2B55"/>
    <w:rsid w:val="00134767"/>
    <w:rsid w:val="001B00EC"/>
    <w:rsid w:val="001F4200"/>
    <w:rsid w:val="0021779B"/>
    <w:rsid w:val="00226E16"/>
    <w:rsid w:val="00227832"/>
    <w:rsid w:val="0027790E"/>
    <w:rsid w:val="00352B87"/>
    <w:rsid w:val="004F232B"/>
    <w:rsid w:val="004F47BD"/>
    <w:rsid w:val="0059577D"/>
    <w:rsid w:val="005A2EF7"/>
    <w:rsid w:val="005A3C2A"/>
    <w:rsid w:val="005B3646"/>
    <w:rsid w:val="00624FB5"/>
    <w:rsid w:val="00626EFA"/>
    <w:rsid w:val="00646800"/>
    <w:rsid w:val="009872EC"/>
    <w:rsid w:val="00BA7ACA"/>
    <w:rsid w:val="00DA3F6D"/>
    <w:rsid w:val="00E40EA6"/>
    <w:rsid w:val="00EF7849"/>
    <w:rsid w:val="00F15F05"/>
    <w:rsid w:val="00FA6214"/>
    <w:rsid w:val="02E602C3"/>
    <w:rsid w:val="0569626F"/>
    <w:rsid w:val="1F5E5F75"/>
    <w:rsid w:val="27D94564"/>
    <w:rsid w:val="287C746C"/>
    <w:rsid w:val="2AF459E0"/>
    <w:rsid w:val="356E5F27"/>
    <w:rsid w:val="3AD76784"/>
    <w:rsid w:val="4AD44F71"/>
    <w:rsid w:val="525C7843"/>
    <w:rsid w:val="65474C27"/>
    <w:rsid w:val="77DF3552"/>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6</Pages>
  <Words>2094</Words>
  <Characters>2203</Characters>
  <Lines>16</Lines>
  <Paragraphs>4</Paragraphs>
  <TotalTime>174</TotalTime>
  <ScaleCrop>false</ScaleCrop>
  <LinksUpToDate>false</LinksUpToDate>
  <CharactersWithSpaces>2211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admin</cp:lastModifiedBy>
  <cp:lastPrinted>2022-03-28T07:16:00Z</cp:lastPrinted>
  <dcterms:modified xsi:type="dcterms:W3CDTF">2022-09-01T01:55:27Z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2C748869A0314D468FCA60B514AE4557</vt:lpwstr>
  </property>
</Properties>
</file>