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napToGrid/>
        <w:spacing w:line="520" w:lineRule="exact"/>
        <w:jc w:val="center"/>
        <w:textAlignment w:val="auto"/>
        <w:rPr>
          <w:rFonts w:ascii="Times New Roman" w:hAnsi="Times New Roman" w:cs="Times New Roman" w:eastAsiaTheme="majorEastAsia"/>
          <w:b/>
          <w:sz w:val="44"/>
          <w:szCs w:val="44"/>
        </w:rPr>
      </w:pPr>
      <w:r>
        <w:rPr>
          <w:rFonts w:hint="eastAsia" w:ascii="Times New Roman" w:hAnsi="Times New Roman" w:cs="Times New Roman" w:eastAsiaTheme="majorEastAsia"/>
          <w:b/>
          <w:sz w:val="44"/>
          <w:szCs w:val="44"/>
        </w:rPr>
        <w:t>澧县城市管理行政执法大队</w:t>
      </w:r>
    </w:p>
    <w:p>
      <w:pPr>
        <w:keepNext w:val="0"/>
        <w:keepLines w:val="0"/>
        <w:pageBreakBefore w:val="0"/>
        <w:kinsoku/>
        <w:wordWrap/>
        <w:overflowPunct/>
        <w:topLinePunct w:val="0"/>
        <w:autoSpaceDN/>
        <w:bidi w:val="0"/>
        <w:adjustRightInd/>
        <w:snapToGrid/>
        <w:spacing w:line="520" w:lineRule="exact"/>
        <w:jc w:val="center"/>
        <w:textAlignment w:val="auto"/>
        <w:rPr>
          <w:rFonts w:ascii="Times New Roman" w:hAnsi="Times New Roman" w:cs="Times New Roman" w:eastAsiaTheme="majorEastAsia"/>
          <w:b/>
          <w:sz w:val="44"/>
          <w:szCs w:val="44"/>
        </w:rPr>
      </w:pPr>
      <w:r>
        <w:rPr>
          <w:rFonts w:ascii="Times New Roman" w:hAnsi="Times New Roman" w:cs="Times New Roman" w:eastAsiaTheme="majorEastAsia"/>
          <w:b/>
          <w:sz w:val="44"/>
          <w:szCs w:val="44"/>
        </w:rPr>
        <w:t>2021</w:t>
      </w:r>
      <w:r>
        <w:rPr>
          <w:rFonts w:ascii="Times New Roman" w:cs="Times New Roman" w:hAnsiTheme="majorEastAsia" w:eastAsiaTheme="majorEastAsia"/>
          <w:b/>
          <w:sz w:val="44"/>
          <w:szCs w:val="44"/>
        </w:rPr>
        <w:t>年度整体绩效评</w:t>
      </w:r>
      <w:r>
        <w:rPr>
          <w:rFonts w:hint="eastAsia" w:ascii="Times New Roman" w:cs="Times New Roman" w:hAnsiTheme="majorEastAsia" w:eastAsiaTheme="majorEastAsia"/>
          <w:b/>
          <w:sz w:val="44"/>
          <w:szCs w:val="44"/>
          <w:lang w:eastAsia="zh-CN"/>
        </w:rPr>
        <w:t>价</w:t>
      </w:r>
      <w:r>
        <w:rPr>
          <w:rFonts w:ascii="Times New Roman" w:cs="Times New Roman" w:hAnsiTheme="majorEastAsia" w:eastAsiaTheme="majorEastAsia"/>
          <w:b/>
          <w:sz w:val="44"/>
          <w:szCs w:val="44"/>
        </w:rPr>
        <w:t>报告</w:t>
      </w:r>
    </w:p>
    <w:p>
      <w:pPr>
        <w:keepNext w:val="0"/>
        <w:keepLines w:val="0"/>
        <w:pageBreakBefore w:val="0"/>
        <w:kinsoku/>
        <w:wordWrap/>
        <w:overflowPunct/>
        <w:topLinePunct w:val="0"/>
        <w:autoSpaceDN/>
        <w:bidi w:val="0"/>
        <w:adjustRightInd/>
        <w:snapToGrid/>
        <w:spacing w:line="520" w:lineRule="exact"/>
        <w:textAlignment w:val="auto"/>
        <w:rPr>
          <w:rFonts w:ascii="Times New Roman" w:hAnsi="Times New Roman" w:eastAsia="仿宋" w:cs="Times New Roman"/>
          <w:sz w:val="32"/>
          <w:szCs w:val="32"/>
        </w:rPr>
      </w:pPr>
    </w:p>
    <w:p>
      <w:pPr>
        <w:keepNext w:val="0"/>
        <w:keepLines w:val="0"/>
        <w:pageBreakBefore w:val="0"/>
        <w:kinsoku/>
        <w:wordWrap/>
        <w:overflowPunct/>
        <w:topLinePunct w:val="0"/>
        <w:autoSpaceDN/>
        <w:bidi w:val="0"/>
        <w:adjustRightInd/>
        <w:snapToGrid/>
        <w:spacing w:line="520" w:lineRule="exact"/>
        <w:ind w:firstLine="640" w:firstLineChars="200"/>
        <w:textAlignment w:val="auto"/>
        <w:rPr>
          <w:rFonts w:ascii="Times New Roman" w:hAnsi="Times New Roman" w:eastAsia="黑体" w:cs="Times New Roman"/>
          <w:sz w:val="32"/>
          <w:szCs w:val="32"/>
        </w:rPr>
      </w:pPr>
      <w:r>
        <w:rPr>
          <w:rFonts w:ascii="Times New Roman" w:hAnsi="黑体" w:eastAsia="黑体" w:cs="Times New Roman"/>
          <w:sz w:val="32"/>
          <w:szCs w:val="32"/>
        </w:rPr>
        <w:t>一、部门（单位）基本情况</w:t>
      </w:r>
    </w:p>
    <w:p>
      <w:pPr>
        <w:keepNext w:val="0"/>
        <w:keepLines w:val="0"/>
        <w:pageBreakBefore w:val="0"/>
        <w:kinsoku/>
        <w:wordWrap/>
        <w:overflowPunct/>
        <w:topLinePunct w:val="0"/>
        <w:autoSpaceDN/>
        <w:bidi w:val="0"/>
        <w:adjustRightInd/>
        <w:snapToGrid/>
        <w:spacing w:line="520" w:lineRule="exact"/>
        <w:ind w:firstLine="640" w:firstLineChars="200"/>
        <w:textAlignment w:val="auto"/>
        <w:rPr>
          <w:rFonts w:ascii="仿宋" w:hAnsi="仿宋" w:eastAsia="仿宋"/>
          <w:sz w:val="32"/>
          <w:szCs w:val="32"/>
        </w:rPr>
      </w:pPr>
      <w:r>
        <w:rPr>
          <w:rFonts w:ascii="仿宋" w:hAnsi="仿宋" w:eastAsia="仿宋"/>
          <w:color w:val="222222"/>
          <w:sz w:val="32"/>
          <w:szCs w:val="32"/>
        </w:rPr>
        <w:t>（一） 机构、人员构成</w:t>
      </w:r>
      <w:r>
        <w:rPr>
          <w:rFonts w:hint="eastAsia" w:ascii="仿宋" w:hAnsi="仿宋" w:eastAsia="仿宋"/>
          <w:color w:val="222222"/>
          <w:sz w:val="32"/>
          <w:szCs w:val="32"/>
        </w:rPr>
        <w:t>:</w:t>
      </w:r>
      <w:r>
        <w:rPr>
          <w:rFonts w:hint="eastAsia" w:ascii="仿宋" w:hAnsi="仿宋" w:eastAsia="仿宋"/>
          <w:sz w:val="32"/>
          <w:szCs w:val="32"/>
        </w:rPr>
        <w:t xml:space="preserve"> 澧县城市管理行政执法大队是县城管局下设的二级全额拨款事业单位，大队定编126人，现实有人员191人。其中：在岗174人、退休14人、挂靠人员1人、聘请人员2名。大队现有大小车辆34辆（双排座10辆、面包车3辆、皮卡车20辆，小车1辆）。</w:t>
      </w:r>
    </w:p>
    <w:p>
      <w:pPr>
        <w:keepNext w:val="0"/>
        <w:keepLines w:val="0"/>
        <w:pageBreakBefore w:val="0"/>
        <w:kinsoku/>
        <w:wordWrap/>
        <w:overflowPunct/>
        <w:topLinePunct w:val="0"/>
        <w:autoSpaceDN/>
        <w:bidi w:val="0"/>
        <w:adjustRightInd/>
        <w:snapToGrid/>
        <w:spacing w:line="520" w:lineRule="exact"/>
        <w:ind w:firstLine="720" w:firstLineChars="225"/>
        <w:textAlignment w:val="auto"/>
        <w:rPr>
          <w:rFonts w:ascii="仿宋" w:hAnsi="仿宋" w:eastAsia="仿宋" w:cs="仿宋"/>
          <w:color w:val="000000"/>
          <w:sz w:val="32"/>
          <w:szCs w:val="32"/>
        </w:rPr>
      </w:pPr>
      <w:r>
        <w:rPr>
          <w:rFonts w:ascii="仿宋" w:hAnsi="仿宋" w:eastAsia="仿宋"/>
          <w:color w:val="222222"/>
          <w:sz w:val="32"/>
          <w:szCs w:val="32"/>
        </w:rPr>
        <w:t>（二） 单位主要职责</w:t>
      </w:r>
      <w:r>
        <w:rPr>
          <w:rFonts w:hint="eastAsia" w:ascii="仿宋" w:hAnsi="仿宋" w:eastAsia="仿宋"/>
          <w:color w:val="222222"/>
          <w:sz w:val="32"/>
          <w:szCs w:val="32"/>
        </w:rPr>
        <w:t>:</w:t>
      </w:r>
      <w:r>
        <w:rPr>
          <w:rFonts w:hint="eastAsia" w:ascii="仿宋" w:hAnsi="仿宋" w:eastAsia="仿宋" w:cs="仿宋"/>
          <w:color w:val="000000"/>
          <w:sz w:val="32"/>
          <w:szCs w:val="32"/>
        </w:rPr>
        <w:t>行使城市市容和环境卫生管理方面法律、法规、规章规定的行政处罚权； 行使城市规划管理方面法律、法规、规章规定的在城市规划区内，对未取得《建设用地规划许可证》或利用失效、转让、买卖、涂改的《建设用地规划许可证》占用土地的行政处罚权；行使对未办理《建设工程规划许可证》进行建设，影响城市规划的行政处罚权。</w:t>
      </w:r>
    </w:p>
    <w:p>
      <w:pPr>
        <w:keepNext w:val="0"/>
        <w:keepLines w:val="0"/>
        <w:pageBreakBefore w:val="0"/>
        <w:kinsoku/>
        <w:wordWrap/>
        <w:overflowPunct/>
        <w:topLinePunct w:val="0"/>
        <w:autoSpaceDN/>
        <w:bidi w:val="0"/>
        <w:adjustRightInd/>
        <w:snapToGrid/>
        <w:spacing w:line="520" w:lineRule="exact"/>
        <w:ind w:firstLine="640" w:firstLineChars="200"/>
        <w:textAlignment w:val="auto"/>
        <w:rPr>
          <w:rFonts w:ascii="Times New Roman" w:hAnsi="Times New Roman" w:eastAsia="黑体" w:cs="Times New Roman"/>
          <w:sz w:val="32"/>
          <w:szCs w:val="32"/>
        </w:rPr>
      </w:pPr>
      <w:r>
        <w:rPr>
          <w:rFonts w:ascii="Times New Roman" w:hAnsi="黑体" w:eastAsia="黑体" w:cs="Times New Roman"/>
          <w:sz w:val="32"/>
          <w:szCs w:val="32"/>
        </w:rPr>
        <w:t>二、一般公共预算支出情况</w:t>
      </w:r>
    </w:p>
    <w:p>
      <w:pPr>
        <w:keepNext w:val="0"/>
        <w:keepLines w:val="0"/>
        <w:pageBreakBefore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 w:cs="Times New Roman"/>
          <w:sz w:val="32"/>
          <w:szCs w:val="32"/>
        </w:rPr>
      </w:pPr>
      <w:r>
        <w:rPr>
          <w:rFonts w:ascii="Times New Roman" w:hAnsi="仿宋" w:eastAsia="仿宋" w:cs="Times New Roman"/>
          <w:sz w:val="32"/>
          <w:szCs w:val="32"/>
        </w:rPr>
        <w:t>（一）基本支出情况</w:t>
      </w:r>
      <w:r>
        <w:rPr>
          <w:rFonts w:hint="eastAsia" w:ascii="Times New Roman" w:hAnsi="仿宋" w:eastAsia="仿宋" w:cs="Times New Roman"/>
          <w:sz w:val="32"/>
          <w:szCs w:val="32"/>
        </w:rPr>
        <w:t>：工资福利支出1882.69万元，商品服务支出142.88万元</w:t>
      </w:r>
      <w:bookmarkStart w:id="0" w:name="_GoBack"/>
      <w:bookmarkEnd w:id="0"/>
      <w:r>
        <w:rPr>
          <w:rFonts w:hint="eastAsia" w:ascii="Times New Roman" w:hAnsi="仿宋" w:eastAsia="仿宋" w:cs="Times New Roman"/>
          <w:sz w:val="32"/>
          <w:szCs w:val="32"/>
        </w:rPr>
        <w:t>，对个人和家庭补助25.81万元。共计2051.38万元。</w:t>
      </w:r>
    </w:p>
    <w:p>
      <w:pPr>
        <w:keepNext w:val="0"/>
        <w:keepLines w:val="0"/>
        <w:pageBreakBefore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 w:cs="Times New Roman"/>
          <w:sz w:val="32"/>
          <w:szCs w:val="32"/>
        </w:rPr>
      </w:pPr>
      <w:r>
        <w:rPr>
          <w:rFonts w:ascii="Times New Roman" w:hAnsi="仿宋" w:eastAsia="仿宋" w:cs="Times New Roman"/>
          <w:sz w:val="32"/>
          <w:szCs w:val="32"/>
        </w:rPr>
        <w:t>（二）项目支出情况</w:t>
      </w:r>
      <w:r>
        <w:rPr>
          <w:rFonts w:hint="eastAsia" w:ascii="Times New Roman" w:hAnsi="仿宋" w:eastAsia="仿宋" w:cs="Times New Roman"/>
          <w:sz w:val="32"/>
          <w:szCs w:val="32"/>
        </w:rPr>
        <w:t>：无</w:t>
      </w:r>
    </w:p>
    <w:p>
      <w:pPr>
        <w:keepNext w:val="0"/>
        <w:keepLines w:val="0"/>
        <w:pageBreakBefore w:val="0"/>
        <w:kinsoku/>
        <w:wordWrap/>
        <w:overflowPunct/>
        <w:topLinePunct w:val="0"/>
        <w:autoSpaceDN/>
        <w:bidi w:val="0"/>
        <w:adjustRightInd/>
        <w:snapToGrid/>
        <w:spacing w:line="520" w:lineRule="exact"/>
        <w:ind w:firstLine="640" w:firstLineChars="200"/>
        <w:textAlignment w:val="auto"/>
        <w:rPr>
          <w:rFonts w:ascii="Times New Roman" w:hAnsi="黑体" w:eastAsia="黑体" w:cs="Times New Roman"/>
          <w:sz w:val="32"/>
          <w:szCs w:val="32"/>
        </w:rPr>
      </w:pPr>
      <w:r>
        <w:rPr>
          <w:rFonts w:ascii="Times New Roman" w:hAnsi="黑体" w:eastAsia="黑体" w:cs="Times New Roman"/>
          <w:sz w:val="32"/>
          <w:szCs w:val="32"/>
        </w:rPr>
        <w:t>三、政府性基金预算支出情况</w:t>
      </w:r>
    </w:p>
    <w:p>
      <w:pPr>
        <w:keepNext w:val="0"/>
        <w:keepLines w:val="0"/>
        <w:pageBreakBefore w:val="0"/>
        <w:kinsoku/>
        <w:wordWrap/>
        <w:overflowPunct/>
        <w:topLinePunct w:val="0"/>
        <w:autoSpaceDN/>
        <w:bidi w:val="0"/>
        <w:adjustRightInd/>
        <w:snapToGrid/>
        <w:spacing w:line="52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2021年度财政拨款185.24万元，上年结转187.31万元，共372.55万元，商品服务支出230.88万元，对个人和家庭的补助30万元，资本性支出111.67万元。</w:t>
      </w:r>
    </w:p>
    <w:p>
      <w:pPr>
        <w:keepNext w:val="0"/>
        <w:keepLines w:val="0"/>
        <w:pageBreakBefore w:val="0"/>
        <w:kinsoku/>
        <w:wordWrap/>
        <w:overflowPunct/>
        <w:topLinePunct w:val="0"/>
        <w:autoSpaceDN/>
        <w:bidi w:val="0"/>
        <w:adjustRightInd/>
        <w:snapToGrid/>
        <w:spacing w:line="520" w:lineRule="exact"/>
        <w:ind w:firstLine="640" w:firstLineChars="200"/>
        <w:textAlignment w:val="auto"/>
        <w:rPr>
          <w:rFonts w:ascii="Times New Roman" w:hAnsi="黑体" w:eastAsia="黑体" w:cs="Times New Roman"/>
          <w:sz w:val="32"/>
          <w:szCs w:val="32"/>
        </w:rPr>
      </w:pPr>
      <w:r>
        <w:rPr>
          <w:rFonts w:ascii="Times New Roman" w:hAnsi="黑体" w:eastAsia="黑体" w:cs="Times New Roman"/>
          <w:sz w:val="32"/>
          <w:szCs w:val="32"/>
        </w:rPr>
        <w:t>四、国有资本经营预算支出情况</w:t>
      </w:r>
    </w:p>
    <w:p>
      <w:pPr>
        <w:keepNext w:val="0"/>
        <w:keepLines w:val="0"/>
        <w:pageBreakBefore w:val="0"/>
        <w:kinsoku/>
        <w:wordWrap/>
        <w:overflowPunct/>
        <w:topLinePunct w:val="0"/>
        <w:autoSpaceDN/>
        <w:bidi w:val="0"/>
        <w:adjustRightInd/>
        <w:snapToGrid/>
        <w:spacing w:line="520" w:lineRule="exact"/>
        <w:ind w:firstLine="640" w:firstLineChars="200"/>
        <w:textAlignment w:val="auto"/>
        <w:rPr>
          <w:rFonts w:ascii="Times New Roman" w:hAnsi="Times New Roman" w:eastAsia="黑体" w:cs="Times New Roman"/>
          <w:sz w:val="32"/>
          <w:szCs w:val="32"/>
        </w:rPr>
      </w:pPr>
      <w:r>
        <w:rPr>
          <w:rFonts w:hint="eastAsia" w:ascii="Times New Roman" w:hAnsi="黑体" w:eastAsia="黑体" w:cs="Times New Roman"/>
          <w:sz w:val="32"/>
          <w:szCs w:val="32"/>
        </w:rPr>
        <w:t xml:space="preserve">    无</w:t>
      </w:r>
    </w:p>
    <w:p>
      <w:pPr>
        <w:keepNext w:val="0"/>
        <w:keepLines w:val="0"/>
        <w:pageBreakBefore w:val="0"/>
        <w:kinsoku/>
        <w:wordWrap/>
        <w:overflowPunct/>
        <w:topLinePunct w:val="0"/>
        <w:autoSpaceDN/>
        <w:bidi w:val="0"/>
        <w:adjustRightInd/>
        <w:snapToGrid/>
        <w:spacing w:line="520" w:lineRule="exact"/>
        <w:ind w:firstLine="640" w:firstLineChars="200"/>
        <w:textAlignment w:val="auto"/>
        <w:rPr>
          <w:rFonts w:ascii="Times New Roman" w:hAnsi="黑体" w:eastAsia="黑体" w:cs="Times New Roman"/>
          <w:sz w:val="32"/>
          <w:szCs w:val="32"/>
        </w:rPr>
      </w:pPr>
      <w:r>
        <w:rPr>
          <w:rFonts w:ascii="Times New Roman" w:hAnsi="黑体" w:eastAsia="黑体" w:cs="Times New Roman"/>
          <w:sz w:val="32"/>
          <w:szCs w:val="32"/>
        </w:rPr>
        <w:t>五、社会保险基金预算支出情况</w:t>
      </w:r>
    </w:p>
    <w:p>
      <w:pPr>
        <w:keepNext w:val="0"/>
        <w:keepLines w:val="0"/>
        <w:pageBreakBefore w:val="0"/>
        <w:kinsoku/>
        <w:wordWrap/>
        <w:overflowPunct/>
        <w:topLinePunct w:val="0"/>
        <w:autoSpaceDN/>
        <w:bidi w:val="0"/>
        <w:adjustRightInd/>
        <w:snapToGrid/>
        <w:spacing w:line="520" w:lineRule="exact"/>
        <w:ind w:firstLine="640" w:firstLineChars="200"/>
        <w:textAlignment w:val="auto"/>
        <w:rPr>
          <w:rFonts w:ascii="Times New Roman" w:hAnsi="Times New Roman" w:eastAsia="黑体" w:cs="Times New Roman"/>
          <w:sz w:val="32"/>
          <w:szCs w:val="32"/>
        </w:rPr>
      </w:pPr>
      <w:r>
        <w:rPr>
          <w:rFonts w:hint="eastAsia" w:ascii="Times New Roman" w:hAnsi="黑体" w:eastAsia="黑体" w:cs="Times New Roman"/>
          <w:sz w:val="32"/>
          <w:szCs w:val="32"/>
        </w:rPr>
        <w:t xml:space="preserve">    无</w:t>
      </w:r>
    </w:p>
    <w:p>
      <w:pPr>
        <w:keepNext w:val="0"/>
        <w:keepLines w:val="0"/>
        <w:pageBreakBefore w:val="0"/>
        <w:kinsoku/>
        <w:wordWrap/>
        <w:overflowPunct/>
        <w:topLinePunct w:val="0"/>
        <w:autoSpaceDN/>
        <w:bidi w:val="0"/>
        <w:adjustRightInd/>
        <w:snapToGrid/>
        <w:spacing w:line="520" w:lineRule="exact"/>
        <w:ind w:firstLine="640" w:firstLineChars="200"/>
        <w:textAlignment w:val="auto"/>
        <w:rPr>
          <w:rFonts w:ascii="Times New Roman" w:hAnsi="Times New Roman" w:eastAsia="黑体" w:cs="Times New Roman"/>
          <w:sz w:val="32"/>
          <w:szCs w:val="32"/>
        </w:rPr>
      </w:pPr>
      <w:r>
        <w:rPr>
          <w:rFonts w:ascii="Times New Roman" w:hAnsi="黑体" w:eastAsia="黑体" w:cs="Times New Roman"/>
          <w:sz w:val="32"/>
          <w:szCs w:val="32"/>
        </w:rPr>
        <w:t>六、单位整体支出绩效情况</w:t>
      </w:r>
    </w:p>
    <w:p>
      <w:pPr>
        <w:pStyle w:val="4"/>
        <w:keepNext w:val="0"/>
        <w:keepLines w:val="0"/>
        <w:pageBreakBefore w:val="0"/>
        <w:shd w:val="clear" w:color="auto" w:fill="FFFFFF"/>
        <w:kinsoku/>
        <w:wordWrap/>
        <w:overflowPunct/>
        <w:topLinePunct w:val="0"/>
        <w:autoSpaceDN/>
        <w:bidi w:val="0"/>
        <w:adjustRightInd/>
        <w:snapToGrid/>
        <w:spacing w:before="0" w:beforeAutospacing="0" w:after="0" w:afterAutospacing="0" w:line="520" w:lineRule="exact"/>
        <w:ind w:firstLine="435" w:firstLineChars="150"/>
        <w:jc w:val="both"/>
        <w:textAlignment w:val="auto"/>
        <w:rPr>
          <w:rFonts w:ascii="仿宋" w:hAnsi="仿宋" w:eastAsia="仿宋" w:cstheme="minorBidi"/>
          <w:kern w:val="2"/>
          <w:sz w:val="32"/>
          <w:szCs w:val="32"/>
        </w:rPr>
      </w:pPr>
      <w:r>
        <w:rPr>
          <w:rFonts w:hint="eastAsia" w:ascii="仿宋" w:hAnsi="仿宋" w:eastAsia="仿宋" w:cs="Times New Roman"/>
          <w:spacing w:val="-15"/>
          <w:sz w:val="32"/>
          <w:szCs w:val="32"/>
        </w:rPr>
        <w:t>2021年，深入贯彻落实党的十九届五中、六中全会精神及县委经济工作会议精神，紧紧围绕县委“三新四高”的战略定位和使命，持续坚持“抓管理、重法制、强服务、提品质”的城市管理工作理念，立足本职、履职尽责，全面提升市民文明素质和城市文明程度，努力营造良好的城市发展环境和人居环境。开展了“四个专项整治”：一是非机动车乱停乱放专项整治；二是马路市场专项整治；三是乱堆乱放行为专项整治；四是小摊小贩专项整治。今年以来，城管执法大队对城区52家夜市烧烤摊点油烟净化装置安装情况进行了检查。对6家未安装油烟净化装置的商户立案处罚。对三灶以下的239家餐饮饮食单位油烟净化设备的安装情况进行了检查。在今年国卫复审攻坚阶段，大队全员上岗，双休、节假日取消休息，每天出动执法人员150人，执法车辆30余台。规范出店经营7400余处，清理流动摊担3500余起，规范乱停乱靠2600余起，清理乱吊乱挂等六乱行为5800余处，清理、查处“牛皮癣”3000余处、规范夜市经营门店300余家。对城区道路路牙护坡清理、“牛皮癣”清理、乱堆乱码清理、影响城市市容临时建筑清理等专项清理行动，共动用机械车辆200余台次，民工600余人次，印刷《关于开展城区“牛皮癣”专项整治的公告》1000份。对县城区空闲地块填铺完成临时停车场40余处，铺设面积17万平方米，共用砂石9船（约1.1万吨），涉及澧西、澧阳、澧浦3个街道办事处，彻底解决了群众停车难问题。期间，雇用铲车、挖掘机、炮机、压路机、渣土车等众多大型设备1100余台次，民工120余人次。建立健全了预防“两违”工作的</w:t>
      </w:r>
      <w:r>
        <w:fldChar w:fldCharType="begin"/>
      </w:r>
      <w:r>
        <w:instrText xml:space="preserve"> HYPERLINK "https://www.gwyoo.com/article/shijicailiao/gzzd/" </w:instrText>
      </w:r>
      <w:r>
        <w:fldChar w:fldCharType="separate"/>
      </w:r>
      <w:r>
        <w:rPr>
          <w:rFonts w:hint="eastAsia" w:ascii="仿宋" w:hAnsi="仿宋" w:eastAsia="仿宋" w:cs="Times New Roman"/>
          <w:spacing w:val="-15"/>
          <w:sz w:val="32"/>
          <w:szCs w:val="32"/>
        </w:rPr>
        <w:t>制度</w:t>
      </w:r>
      <w:r>
        <w:rPr>
          <w:rFonts w:hint="eastAsia" w:ascii="仿宋" w:hAnsi="仿宋" w:eastAsia="仿宋" w:cs="Times New Roman"/>
          <w:spacing w:val="-15"/>
          <w:sz w:val="32"/>
          <w:szCs w:val="32"/>
        </w:rPr>
        <w:fldChar w:fldCharType="end"/>
      </w:r>
      <w:r>
        <w:rPr>
          <w:rFonts w:hint="eastAsia" w:ascii="仿宋" w:hAnsi="仿宋" w:eastAsia="仿宋" w:cs="Times New Roman"/>
          <w:spacing w:val="-15"/>
          <w:sz w:val="32"/>
          <w:szCs w:val="32"/>
        </w:rPr>
        <w:t>，组建了动态巡查执法队伍。发现违建，各中队通力合作，及时对当事人宣讲政策，加强</w:t>
      </w:r>
      <w:r>
        <w:fldChar w:fldCharType="begin"/>
      </w:r>
      <w:r>
        <w:instrText xml:space="preserve"> HYPERLINK "https://www.gwyoo.com/lunwen/sxzz/sxzh/" </w:instrText>
      </w:r>
      <w:r>
        <w:fldChar w:fldCharType="separate"/>
      </w:r>
      <w:r>
        <w:rPr>
          <w:rFonts w:hint="eastAsia" w:ascii="仿宋" w:hAnsi="仿宋" w:eastAsia="仿宋" w:cs="Times New Roman"/>
          <w:spacing w:val="-15"/>
          <w:sz w:val="32"/>
          <w:szCs w:val="32"/>
        </w:rPr>
        <w:t>思想</w:t>
      </w:r>
      <w:r>
        <w:rPr>
          <w:rFonts w:hint="eastAsia" w:ascii="仿宋" w:hAnsi="仿宋" w:eastAsia="仿宋" w:cs="Times New Roman"/>
          <w:spacing w:val="-15"/>
          <w:sz w:val="32"/>
          <w:szCs w:val="32"/>
        </w:rPr>
        <w:fldChar w:fldCharType="end"/>
      </w:r>
      <w:r>
        <w:rPr>
          <w:rFonts w:hint="eastAsia" w:ascii="仿宋" w:hAnsi="仿宋" w:eastAsia="仿宋" w:cs="Times New Roman"/>
          <w:spacing w:val="-15"/>
          <w:sz w:val="32"/>
          <w:szCs w:val="32"/>
        </w:rPr>
        <w:t>教育，促其</w:t>
      </w:r>
      <w:r>
        <w:fldChar w:fldCharType="begin"/>
      </w:r>
      <w:r>
        <w:instrText xml:space="preserve"> HYPERLINK "https://www.gwyoo.com/article/zuixinshisi/zgcs/" </w:instrText>
      </w:r>
      <w:r>
        <w:fldChar w:fldCharType="separate"/>
      </w:r>
      <w:r>
        <w:rPr>
          <w:rFonts w:hint="eastAsia" w:ascii="仿宋" w:hAnsi="仿宋" w:eastAsia="仿宋" w:cs="Times New Roman"/>
          <w:spacing w:val="-15"/>
          <w:sz w:val="32"/>
          <w:szCs w:val="32"/>
        </w:rPr>
        <w:t>整改</w:t>
      </w:r>
      <w:r>
        <w:rPr>
          <w:rFonts w:hint="eastAsia" w:ascii="仿宋" w:hAnsi="仿宋" w:eastAsia="仿宋" w:cs="Times New Roman"/>
          <w:spacing w:val="-15"/>
          <w:sz w:val="32"/>
          <w:szCs w:val="32"/>
        </w:rPr>
        <w:fldChar w:fldCharType="end"/>
      </w:r>
      <w:r>
        <w:rPr>
          <w:rFonts w:hint="eastAsia" w:ascii="仿宋" w:hAnsi="仿宋" w:eastAsia="仿宋" w:cs="Times New Roman"/>
          <w:spacing w:val="-15"/>
          <w:sz w:val="32"/>
          <w:szCs w:val="32"/>
        </w:rPr>
        <w:t>、自拆，起到了好的效果。一年来，拆除违法建筑462处，拆除面积30603.5平方米，极大地打击了违建行为，较好地遏制了“两违”建设蔓延。全年实施行政处罚2776起，简易程序2595起（违停处罚2443起，其他152起）；一般程序181起（规划88起，市容93起），无行政复议无行政诉讼。</w:t>
      </w:r>
      <w:r>
        <w:rPr>
          <w:rFonts w:hint="eastAsia" w:ascii="仿宋" w:hAnsi="仿宋" w:eastAsia="仿宋"/>
          <w:sz w:val="32"/>
          <w:szCs w:val="32"/>
        </w:rPr>
        <w:t>今年共</w:t>
      </w:r>
      <w:r>
        <w:rPr>
          <w:rFonts w:ascii="仿宋" w:hAnsi="仿宋" w:eastAsia="仿宋"/>
          <w:sz w:val="32"/>
          <w:szCs w:val="32"/>
        </w:rPr>
        <w:t>办理群众举报</w:t>
      </w:r>
      <w:r>
        <w:rPr>
          <w:rFonts w:hint="eastAsia" w:ascii="仿宋" w:hAnsi="仿宋" w:eastAsia="仿宋"/>
          <w:sz w:val="32"/>
          <w:szCs w:val="32"/>
        </w:rPr>
        <w:t>210余</w:t>
      </w:r>
      <w:r>
        <w:rPr>
          <w:rFonts w:ascii="仿宋" w:hAnsi="仿宋" w:eastAsia="仿宋"/>
          <w:sz w:val="32"/>
          <w:szCs w:val="32"/>
        </w:rPr>
        <w:t>件，办理</w:t>
      </w:r>
      <w:r>
        <w:rPr>
          <w:rFonts w:hint="eastAsia" w:ascii="仿宋" w:hAnsi="仿宋" w:eastAsia="仿宋"/>
          <w:sz w:val="32"/>
          <w:szCs w:val="32"/>
        </w:rPr>
        <w:t>人大代表、政协委员提案意见办理6</w:t>
      </w:r>
      <w:r>
        <w:rPr>
          <w:rFonts w:ascii="仿宋" w:hAnsi="仿宋" w:eastAsia="仿宋"/>
          <w:sz w:val="32"/>
          <w:szCs w:val="32"/>
        </w:rPr>
        <w:t xml:space="preserve"> 件</w:t>
      </w:r>
      <w:r>
        <w:rPr>
          <w:rFonts w:hint="eastAsia" w:ascii="仿宋" w:hAnsi="仿宋" w:eastAsia="仿宋"/>
          <w:sz w:val="32"/>
          <w:szCs w:val="32"/>
        </w:rPr>
        <w:t>，满意率100%。圆满的完成全年各项工作目标，在社会公众满意度调查中满意率达90%。</w:t>
      </w:r>
    </w:p>
    <w:p>
      <w:pPr>
        <w:keepNext w:val="0"/>
        <w:keepLines w:val="0"/>
        <w:pageBreakBefore w:val="0"/>
        <w:kinsoku/>
        <w:wordWrap/>
        <w:overflowPunct/>
        <w:topLinePunct w:val="0"/>
        <w:autoSpaceDN/>
        <w:bidi w:val="0"/>
        <w:adjustRightInd/>
        <w:snapToGrid/>
        <w:spacing w:line="520" w:lineRule="exact"/>
        <w:ind w:firstLine="640" w:firstLineChars="200"/>
        <w:textAlignment w:val="auto"/>
        <w:rPr>
          <w:rFonts w:ascii="Times New Roman" w:hAnsi="Times New Roman" w:eastAsia="黑体" w:cs="Times New Roman"/>
          <w:sz w:val="32"/>
          <w:szCs w:val="32"/>
        </w:rPr>
      </w:pPr>
      <w:r>
        <w:rPr>
          <w:rFonts w:ascii="Times New Roman" w:hAnsi="黑体" w:eastAsia="黑体" w:cs="Times New Roman"/>
          <w:sz w:val="32"/>
          <w:szCs w:val="32"/>
        </w:rPr>
        <w:t>七、存在的问题及原因分析</w:t>
      </w:r>
    </w:p>
    <w:p>
      <w:pPr>
        <w:keepNext w:val="0"/>
        <w:keepLines w:val="0"/>
        <w:pageBreakBefore w:val="0"/>
        <w:widowControl/>
        <w:kinsoku/>
        <w:wordWrap/>
        <w:overflowPunct/>
        <w:topLinePunct w:val="0"/>
        <w:autoSpaceDN/>
        <w:bidi w:val="0"/>
        <w:adjustRightInd/>
        <w:snapToGrid/>
        <w:spacing w:line="520" w:lineRule="exact"/>
        <w:ind w:firstLine="640" w:firstLineChars="200"/>
        <w:textAlignment w:val="auto"/>
        <w:rPr>
          <w:rFonts w:ascii="仿宋" w:hAnsi="仿宋" w:eastAsia="仿宋" w:cs="仿宋"/>
          <w:color w:val="000000"/>
          <w:sz w:val="32"/>
          <w:szCs w:val="32"/>
        </w:rPr>
      </w:pPr>
      <w:r>
        <w:rPr>
          <w:rFonts w:hint="eastAsia" w:ascii="仿宋" w:hAnsi="仿宋" w:eastAsia="仿宋" w:cs="仿宋"/>
          <w:bCs/>
          <w:color w:val="222222"/>
          <w:sz w:val="32"/>
          <w:szCs w:val="32"/>
        </w:rPr>
        <w:t>1、预算控制率比较差，差异原因：</w:t>
      </w:r>
      <w:r>
        <w:rPr>
          <w:rFonts w:ascii="仿宋" w:hAnsi="仿宋" w:eastAsia="仿宋" w:cs="仿宋"/>
          <w:bCs/>
          <w:color w:val="222222"/>
          <w:sz w:val="32"/>
          <w:szCs w:val="32"/>
        </w:rPr>
        <w:t>20</w:t>
      </w:r>
      <w:r>
        <w:rPr>
          <w:rFonts w:hint="eastAsia" w:ascii="仿宋" w:hAnsi="仿宋" w:eastAsia="仿宋" w:cs="仿宋"/>
          <w:bCs/>
          <w:color w:val="222222"/>
          <w:sz w:val="32"/>
          <w:szCs w:val="32"/>
        </w:rPr>
        <w:t>21年追加预算</w:t>
      </w:r>
      <w:r>
        <w:rPr>
          <w:rFonts w:hint="eastAsia" w:ascii="仿宋" w:hAnsi="仿宋" w:eastAsia="仿宋" w:cs="仿宋"/>
          <w:color w:val="000000"/>
          <w:sz w:val="32"/>
          <w:szCs w:val="32"/>
        </w:rPr>
        <w:t>251.73万元，增加主要为：</w:t>
      </w:r>
      <w:r>
        <w:rPr>
          <w:rFonts w:hint="eastAsia"/>
          <w:sz w:val="32"/>
          <w:szCs w:val="32"/>
        </w:rPr>
        <w:t>2020年综治奖金14.4万元，2020</w:t>
      </w:r>
      <w:r>
        <w:rPr>
          <w:rFonts w:hint="eastAsia" w:ascii="仿宋" w:hAnsi="仿宋" w:eastAsia="仿宋"/>
          <w:sz w:val="32"/>
          <w:szCs w:val="32"/>
        </w:rPr>
        <w:t>年绩效奖金26.7万元，工资微调15.93万元，预算2021年绩效奖金194.7万元</w:t>
      </w:r>
      <w:r>
        <w:rPr>
          <w:rFonts w:hint="eastAsia" w:ascii="仿宋" w:hAnsi="仿宋" w:eastAsia="仿宋" w:cs="仿宋"/>
          <w:color w:val="000000"/>
          <w:sz w:val="32"/>
          <w:szCs w:val="32"/>
        </w:rPr>
        <w:t>。</w:t>
      </w:r>
    </w:p>
    <w:p>
      <w:pPr>
        <w:keepNext w:val="0"/>
        <w:keepLines w:val="0"/>
        <w:pageBreakBefore w:val="0"/>
        <w:widowControl/>
        <w:kinsoku/>
        <w:wordWrap/>
        <w:overflowPunct/>
        <w:topLinePunct w:val="0"/>
        <w:autoSpaceDN/>
        <w:bidi w:val="0"/>
        <w:adjustRightInd/>
        <w:snapToGrid/>
        <w:spacing w:line="52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2、政府采购执行率差，差异原因：实际政府采购金额小于预算数。</w:t>
      </w:r>
    </w:p>
    <w:p>
      <w:pPr>
        <w:keepNext w:val="0"/>
        <w:keepLines w:val="0"/>
        <w:pageBreakBefore w:val="0"/>
        <w:kinsoku/>
        <w:wordWrap/>
        <w:overflowPunct/>
        <w:topLinePunct w:val="0"/>
        <w:autoSpaceDN/>
        <w:bidi w:val="0"/>
        <w:adjustRightInd/>
        <w:snapToGrid/>
        <w:spacing w:line="520" w:lineRule="exact"/>
        <w:ind w:firstLine="640" w:firstLineChars="200"/>
        <w:textAlignment w:val="auto"/>
        <w:rPr>
          <w:rFonts w:ascii="Times New Roman" w:hAnsi="黑体" w:eastAsia="黑体" w:cs="Times New Roman"/>
          <w:sz w:val="32"/>
          <w:szCs w:val="32"/>
        </w:rPr>
      </w:pPr>
      <w:r>
        <w:rPr>
          <w:rFonts w:ascii="Times New Roman" w:hAnsi="黑体" w:eastAsia="黑体" w:cs="Times New Roman"/>
          <w:sz w:val="32"/>
          <w:szCs w:val="32"/>
        </w:rPr>
        <w:t>八、下一步改进措施</w:t>
      </w:r>
    </w:p>
    <w:p>
      <w:pPr>
        <w:keepNext w:val="0"/>
        <w:keepLines w:val="0"/>
        <w:pageBreakBefore w:val="0"/>
        <w:widowControl/>
        <w:kinsoku/>
        <w:wordWrap/>
        <w:overflowPunct/>
        <w:topLinePunct w:val="0"/>
        <w:autoSpaceDE w:val="0"/>
        <w:autoSpaceDN/>
        <w:bidi w:val="0"/>
        <w:adjustRightInd/>
        <w:snapToGrid/>
        <w:spacing w:line="520" w:lineRule="exact"/>
        <w:ind w:firstLine="640" w:firstLineChars="200"/>
        <w:textAlignment w:val="auto"/>
        <w:rPr>
          <w:rFonts w:ascii="仿宋" w:hAnsi="仿宋" w:eastAsia="仿宋" w:cs="仿宋"/>
          <w:bCs/>
          <w:color w:val="000000"/>
          <w:sz w:val="32"/>
          <w:szCs w:val="32"/>
        </w:rPr>
      </w:pPr>
      <w:r>
        <w:rPr>
          <w:rFonts w:ascii="仿宋" w:hAnsi="仿宋" w:eastAsia="仿宋" w:cs="仿宋"/>
          <w:bCs/>
          <w:color w:val="000000"/>
          <w:sz w:val="32"/>
          <w:szCs w:val="32"/>
        </w:rPr>
        <w:t>1</w:t>
      </w:r>
      <w:r>
        <w:rPr>
          <w:rFonts w:hint="eastAsia" w:ascii="仿宋" w:hAnsi="仿宋" w:eastAsia="仿宋" w:cs="仿宋"/>
          <w:bCs/>
          <w:color w:val="000000"/>
          <w:sz w:val="32"/>
          <w:szCs w:val="32"/>
        </w:rPr>
        <w:t>、合理预算，要有前瞻性，及时和有关部门沟通协调，把工作做细致。</w:t>
      </w:r>
    </w:p>
    <w:p>
      <w:pPr>
        <w:keepNext w:val="0"/>
        <w:keepLines w:val="0"/>
        <w:pageBreakBefore w:val="0"/>
        <w:widowControl/>
        <w:kinsoku/>
        <w:wordWrap/>
        <w:overflowPunct/>
        <w:topLinePunct w:val="0"/>
        <w:autoSpaceDE w:val="0"/>
        <w:autoSpaceDN/>
        <w:bidi w:val="0"/>
        <w:adjustRightInd/>
        <w:snapToGrid/>
        <w:spacing w:line="520" w:lineRule="exact"/>
        <w:ind w:firstLine="640" w:firstLineChars="200"/>
        <w:textAlignment w:val="auto"/>
        <w:rPr>
          <w:rFonts w:ascii="仿宋" w:hAnsi="仿宋" w:eastAsia="仿宋" w:cs="仿宋"/>
          <w:bCs/>
          <w:color w:val="000000"/>
          <w:sz w:val="32"/>
          <w:szCs w:val="32"/>
        </w:rPr>
      </w:pPr>
      <w:r>
        <w:rPr>
          <w:rFonts w:hint="eastAsia" w:ascii="仿宋" w:hAnsi="仿宋" w:eastAsia="仿宋" w:cs="仿宋"/>
          <w:bCs/>
          <w:color w:val="000000"/>
          <w:sz w:val="32"/>
          <w:szCs w:val="32"/>
        </w:rPr>
        <w:t>2、严格按时间节点执行预算。</w:t>
      </w:r>
    </w:p>
    <w:p>
      <w:pPr>
        <w:keepNext w:val="0"/>
        <w:keepLines w:val="0"/>
        <w:pageBreakBefore w:val="0"/>
        <w:widowControl/>
        <w:kinsoku/>
        <w:wordWrap/>
        <w:overflowPunct/>
        <w:topLinePunct w:val="0"/>
        <w:autoSpaceDE w:val="0"/>
        <w:autoSpaceDN/>
        <w:bidi w:val="0"/>
        <w:adjustRightInd/>
        <w:snapToGrid/>
        <w:spacing w:line="520" w:lineRule="exact"/>
        <w:ind w:firstLine="640" w:firstLineChars="200"/>
        <w:textAlignment w:val="auto"/>
        <w:rPr>
          <w:rFonts w:ascii="仿宋" w:hAnsi="仿宋" w:eastAsia="仿宋" w:cs="仿宋"/>
          <w:bCs/>
          <w:color w:val="000000"/>
          <w:sz w:val="32"/>
          <w:szCs w:val="32"/>
        </w:rPr>
      </w:pPr>
      <w:r>
        <w:rPr>
          <w:rFonts w:hint="eastAsia" w:ascii="仿宋" w:hAnsi="仿宋" w:eastAsia="仿宋" w:cs="仿宋"/>
          <w:bCs/>
          <w:color w:val="000000"/>
          <w:sz w:val="32"/>
          <w:szCs w:val="32"/>
        </w:rPr>
        <w:t>3、合理预算政府采购额度，尽量做到无偏差。</w:t>
      </w:r>
    </w:p>
    <w:p>
      <w:pPr>
        <w:keepNext w:val="0"/>
        <w:keepLines w:val="0"/>
        <w:pageBreakBefore w:val="0"/>
        <w:kinsoku/>
        <w:wordWrap/>
        <w:overflowPunct/>
        <w:topLinePunct w:val="0"/>
        <w:autoSpaceDN/>
        <w:bidi w:val="0"/>
        <w:adjustRightInd/>
        <w:snapToGrid/>
        <w:spacing w:line="520" w:lineRule="exact"/>
        <w:ind w:firstLine="640" w:firstLineChars="200"/>
        <w:textAlignment w:val="auto"/>
        <w:rPr>
          <w:rFonts w:ascii="Times New Roman" w:hAnsi="黑体" w:eastAsia="黑体" w:cs="Times New Roman"/>
          <w:sz w:val="32"/>
          <w:szCs w:val="32"/>
        </w:rPr>
      </w:pPr>
      <w:r>
        <w:rPr>
          <w:rFonts w:ascii="Times New Roman" w:hAnsi="黑体" w:eastAsia="黑体" w:cs="Times New Roman"/>
          <w:sz w:val="32"/>
          <w:szCs w:val="32"/>
        </w:rPr>
        <w:t>九、单位整体支出绩效评</w:t>
      </w:r>
      <w:r>
        <w:rPr>
          <w:rFonts w:hint="eastAsia" w:ascii="Times New Roman" w:hAnsi="黑体" w:eastAsia="黑体" w:cs="Times New Roman"/>
          <w:sz w:val="32"/>
          <w:szCs w:val="32"/>
          <w:lang w:eastAsia="zh-CN"/>
        </w:rPr>
        <w:t>价</w:t>
      </w:r>
      <w:r>
        <w:rPr>
          <w:rFonts w:ascii="Times New Roman" w:hAnsi="黑体" w:eastAsia="黑体" w:cs="Times New Roman"/>
          <w:sz w:val="32"/>
          <w:szCs w:val="32"/>
        </w:rPr>
        <w:t>结果拟应用和公开情况</w:t>
      </w:r>
    </w:p>
    <w:p>
      <w:pPr>
        <w:keepNext w:val="0"/>
        <w:keepLines w:val="0"/>
        <w:pageBreakBefore w:val="0"/>
        <w:widowControl/>
        <w:kinsoku/>
        <w:wordWrap/>
        <w:overflowPunct/>
        <w:topLinePunct w:val="0"/>
        <w:autoSpaceDN/>
        <w:bidi w:val="0"/>
        <w:adjustRightInd/>
        <w:snapToGrid/>
        <w:spacing w:line="520" w:lineRule="exact"/>
        <w:ind w:firstLine="640" w:firstLineChars="200"/>
        <w:textAlignment w:val="auto"/>
        <w:rPr>
          <w:rFonts w:ascii="仿宋" w:hAnsi="仿宋" w:eastAsia="仿宋" w:cs="仿宋"/>
          <w:bCs/>
          <w:color w:val="222222"/>
          <w:sz w:val="32"/>
          <w:szCs w:val="32"/>
        </w:rPr>
      </w:pPr>
      <w:r>
        <w:rPr>
          <w:rFonts w:hint="eastAsia" w:ascii="仿宋" w:hAnsi="仿宋" w:eastAsia="仿宋" w:cs="仿宋"/>
          <w:bCs/>
          <w:color w:val="222222"/>
          <w:sz w:val="32"/>
          <w:szCs w:val="32"/>
        </w:rPr>
        <w:t>按部门整体支出绩效评价指标从投入、过程、产出及效率方面细化评分：综合评价得分92.4分，评价等级为优秀。</w:t>
      </w:r>
    </w:p>
    <w:p>
      <w:pPr>
        <w:keepNext w:val="0"/>
        <w:keepLines w:val="0"/>
        <w:pageBreakBefore w:val="0"/>
        <w:kinsoku/>
        <w:wordWrap/>
        <w:overflowPunct/>
        <w:topLinePunct w:val="0"/>
        <w:autoSpaceDN/>
        <w:bidi w:val="0"/>
        <w:adjustRightInd/>
        <w:snapToGrid/>
        <w:spacing w:line="520" w:lineRule="exact"/>
        <w:ind w:firstLine="640" w:firstLineChars="200"/>
        <w:textAlignment w:val="auto"/>
        <w:rPr>
          <w:rFonts w:ascii="Times New Roman" w:hAnsi="Times New Roman" w:eastAsia="黑体" w:cs="Times New Roman"/>
          <w:sz w:val="32"/>
          <w:szCs w:val="32"/>
        </w:rPr>
      </w:pPr>
      <w:r>
        <w:rPr>
          <w:rFonts w:ascii="Times New Roman" w:hAnsi="黑体" w:eastAsia="黑体" w:cs="Times New Roman"/>
          <w:sz w:val="32"/>
          <w:szCs w:val="32"/>
        </w:rPr>
        <w:t>十、其他需要说明的情况</w:t>
      </w:r>
    </w:p>
    <w:p>
      <w:pPr>
        <w:keepNext w:val="0"/>
        <w:keepLines w:val="0"/>
        <w:pageBreakBefore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 w:cs="Times New Roman"/>
          <w:sz w:val="32"/>
          <w:szCs w:val="32"/>
        </w:rPr>
      </w:pPr>
      <w:r>
        <w:rPr>
          <w:rFonts w:hint="eastAsia" w:ascii="Times New Roman" w:hAnsi="Times New Roman" w:eastAsia="仿宋" w:cs="Times New Roman"/>
          <w:sz w:val="32"/>
          <w:szCs w:val="32"/>
        </w:rPr>
        <w:t>无</w:t>
      </w:r>
    </w:p>
    <w:p>
      <w:pPr>
        <w:keepNext w:val="0"/>
        <w:keepLines w:val="0"/>
        <w:pageBreakBefore w:val="0"/>
        <w:kinsoku/>
        <w:wordWrap/>
        <w:overflowPunct/>
        <w:topLinePunct w:val="0"/>
        <w:autoSpaceDN/>
        <w:bidi w:val="0"/>
        <w:adjustRightInd/>
        <w:snapToGrid/>
        <w:spacing w:line="520" w:lineRule="exact"/>
        <w:textAlignment w:val="auto"/>
        <w:rPr>
          <w:rFonts w:ascii="Times New Roman" w:hAnsi="Times New Roman" w:eastAsia="仿宋" w:cs="Times New Roman"/>
        </w:rPr>
      </w:pPr>
    </w:p>
    <w:p>
      <w:pPr>
        <w:keepNext w:val="0"/>
        <w:keepLines w:val="0"/>
        <w:pageBreakBefore w:val="0"/>
        <w:kinsoku/>
        <w:wordWrap/>
        <w:overflowPunct/>
        <w:topLinePunct w:val="0"/>
        <w:autoSpaceDN/>
        <w:bidi w:val="0"/>
        <w:adjustRightInd/>
        <w:snapToGrid/>
        <w:spacing w:line="520" w:lineRule="exact"/>
        <w:textAlignment w:val="auto"/>
        <w:rPr>
          <w:rFonts w:ascii="Times New Roman" w:hAnsi="Times New Roman" w:eastAsia="仿宋" w:cs="Times New Roman"/>
        </w:rPr>
      </w:pPr>
    </w:p>
    <w:p>
      <w:pPr>
        <w:keepNext w:val="0"/>
        <w:keepLines w:val="0"/>
        <w:pageBreakBefore w:val="0"/>
        <w:kinsoku/>
        <w:wordWrap/>
        <w:overflowPunct/>
        <w:topLinePunct w:val="0"/>
        <w:autoSpaceDN/>
        <w:bidi w:val="0"/>
        <w:adjustRightInd/>
        <w:snapToGrid/>
        <w:spacing w:line="520" w:lineRule="exact"/>
        <w:textAlignment w:val="auto"/>
        <w:rPr>
          <w:rFonts w:ascii="Times New Roman" w:hAnsi="Times New Roman" w:eastAsia="仿宋" w:cs="Times New Roman"/>
        </w:rPr>
      </w:pPr>
    </w:p>
    <w:sectPr>
      <w:pgSz w:w="11900" w:h="16840"/>
      <w:pgMar w:top="1213" w:right="1689" w:bottom="1213" w:left="1689" w:header="0" w:footer="601" w:gutter="0"/>
      <w:paperSrc/>
      <w:cols w:space="0" w:num="1"/>
      <w:titlePg/>
      <w:rtlGutter w:val="0"/>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xZmI3NTNkN2Y0NWRlYzc3NDQ4Y2VlNDc4NDgyODcifQ=="/>
  </w:docVars>
  <w:rsids>
    <w:rsidRoot w:val="27D94564"/>
    <w:rsid w:val="00013CD9"/>
    <w:rsid w:val="000645F8"/>
    <w:rsid w:val="000D0B4C"/>
    <w:rsid w:val="00226E16"/>
    <w:rsid w:val="00235AB9"/>
    <w:rsid w:val="003105B4"/>
    <w:rsid w:val="004443E6"/>
    <w:rsid w:val="00535FFF"/>
    <w:rsid w:val="00565CAA"/>
    <w:rsid w:val="005A3C2A"/>
    <w:rsid w:val="00626EFA"/>
    <w:rsid w:val="006638A9"/>
    <w:rsid w:val="00737970"/>
    <w:rsid w:val="007567D0"/>
    <w:rsid w:val="007D33D0"/>
    <w:rsid w:val="00981C3B"/>
    <w:rsid w:val="009948DF"/>
    <w:rsid w:val="009B44F9"/>
    <w:rsid w:val="00B9329D"/>
    <w:rsid w:val="00C140B6"/>
    <w:rsid w:val="00C261B3"/>
    <w:rsid w:val="00E26E5C"/>
    <w:rsid w:val="00E40EA6"/>
    <w:rsid w:val="00F07D7E"/>
    <w:rsid w:val="00F15CF9"/>
    <w:rsid w:val="00F92C09"/>
    <w:rsid w:val="00F97000"/>
    <w:rsid w:val="00FA273F"/>
    <w:rsid w:val="00FB5604"/>
    <w:rsid w:val="00FC4664"/>
    <w:rsid w:val="02E602C3"/>
    <w:rsid w:val="0569626F"/>
    <w:rsid w:val="1F5E5F75"/>
    <w:rsid w:val="225C4890"/>
    <w:rsid w:val="27D94564"/>
    <w:rsid w:val="287C746C"/>
    <w:rsid w:val="2AF459E0"/>
    <w:rsid w:val="356E5F27"/>
    <w:rsid w:val="3AD76784"/>
    <w:rsid w:val="3E1A70B4"/>
    <w:rsid w:val="44223166"/>
    <w:rsid w:val="4AD44F71"/>
    <w:rsid w:val="4B2A2DEB"/>
    <w:rsid w:val="4B775B0D"/>
    <w:rsid w:val="4D8544CD"/>
    <w:rsid w:val="505446A7"/>
    <w:rsid w:val="525C7843"/>
    <w:rsid w:val="5EA93E10"/>
    <w:rsid w:val="64BA24D5"/>
    <w:rsid w:val="65474C27"/>
    <w:rsid w:val="737C62D9"/>
    <w:rsid w:val="78D21D5D"/>
    <w:rsid w:val="7ADB139D"/>
    <w:rsid w:val="7CC52D0C"/>
    <w:rsid w:val="7EA45F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sz w:val="24"/>
      <w:szCs w:val="24"/>
    </w:rPr>
  </w:style>
  <w:style w:type="character" w:customStyle="1" w:styleId="7">
    <w:name w:val="页眉 Char"/>
    <w:basedOn w:val="6"/>
    <w:link w:val="3"/>
    <w:qFormat/>
    <w:uiPriority w:val="0"/>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3</Pages>
  <Words>1632</Words>
  <Characters>1801</Characters>
  <Lines>15</Lines>
  <Paragraphs>4</Paragraphs>
  <TotalTime>3</TotalTime>
  <ScaleCrop>false</ScaleCrop>
  <LinksUpToDate>false</LinksUpToDate>
  <CharactersWithSpaces>1814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2022-03-25T03:19:00Z</dcterms:created>
  <dc:creator>小明同学</dc:creator>
  <cp:lastModifiedBy>鲁晓宁13975695565</cp:lastModifiedBy>
  <cp:lastPrinted>2022-03-28T07:16:00Z</cp:lastPrinted>
  <dcterms:modified xsi:type="dcterms:W3CDTF">2022-08-26T01:22:04Z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FB686CB293B4465797C66EC72C3B15D9</vt:lpwstr>
  </property>
</Properties>
</file>