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6"/>
          <w:szCs w:val="36"/>
        </w:rPr>
      </w:pPr>
    </w:p>
    <w:p>
      <w:pPr>
        <w:spacing w:line="560" w:lineRule="exact"/>
        <w:jc w:val="center"/>
        <w:rPr>
          <w:rFonts w:ascii="Times New Roman" w:hAnsi="Times New Roman" w:eastAsiaTheme="majorEastAsia"/>
          <w:b/>
          <w:kern w:val="0"/>
          <w:sz w:val="44"/>
          <w:szCs w:val="44"/>
        </w:rPr>
      </w:pPr>
      <w:r>
        <w:rPr>
          <w:rFonts w:hint="eastAsia" w:ascii="Times New Roman" w:hAnsi="Times New Roman" w:eastAsiaTheme="majorEastAsia"/>
          <w:b/>
          <w:kern w:val="0"/>
          <w:sz w:val="44"/>
          <w:szCs w:val="44"/>
          <w:lang w:eastAsia="zh-CN"/>
        </w:rPr>
        <w:t>澧县城市管理事务中心</w:t>
      </w: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lang w:val="en-US" w:eastAsia="zh-CN"/>
        </w:rPr>
        <w:t>21</w:t>
      </w:r>
      <w:r>
        <w:rPr>
          <w:rFonts w:ascii="Times New Roman" w:hAnsi="Times New Roman" w:eastAsiaTheme="majorEastAsia"/>
          <w:b/>
          <w:kern w:val="0"/>
          <w:sz w:val="44"/>
          <w:szCs w:val="44"/>
        </w:rPr>
        <w:t>年度整体绩效</w:t>
      </w:r>
      <w:r>
        <w:rPr>
          <w:rFonts w:hint="eastAsia" w:ascii="Times New Roman" w:hAnsi="Times New Roman" w:eastAsiaTheme="majorEastAsia"/>
          <w:b/>
          <w:kern w:val="0"/>
          <w:sz w:val="44"/>
          <w:szCs w:val="44"/>
          <w:lang w:eastAsia="zh-CN"/>
        </w:rPr>
        <w:t>评价</w:t>
      </w:r>
      <w:r>
        <w:rPr>
          <w:rFonts w:ascii="Times New Roman" w:hAnsi="Times New Roman" w:eastAsiaTheme="majorEastAsia"/>
          <w:b/>
          <w:kern w:val="0"/>
          <w:sz w:val="44"/>
          <w:szCs w:val="44"/>
        </w:rPr>
        <w:t>报告</w:t>
      </w:r>
      <w:bookmarkStart w:id="0" w:name="_GoBack"/>
      <w:bookmarkEnd w:id="0"/>
    </w:p>
    <w:p>
      <w:pPr>
        <w:spacing w:line="580" w:lineRule="exact"/>
        <w:rPr>
          <w:rFonts w:ascii="Times New Roman" w:hAnsi="Times New Roman" w:eastAsia="仿宋" w:cs="Times New Roman"/>
          <w:sz w:val="32"/>
          <w:szCs w:val="32"/>
        </w:rPr>
      </w:pP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一、部门基本情况</w:t>
      </w:r>
    </w:p>
    <w:p>
      <w:pPr>
        <w:widowControl/>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 机构、人员构成</w:t>
      </w:r>
    </w:p>
    <w:p>
      <w:pPr>
        <w:keepNext w:val="0"/>
        <w:keepLines w:val="0"/>
        <w:widowControl/>
        <w:suppressLineNumbers w:val="0"/>
        <w:snapToGrid w:val="0"/>
        <w:spacing w:before="0" w:beforeAutospacing="0" w:after="0" w:afterAutospacing="0" w:line="520" w:lineRule="exact"/>
        <w:ind w:left="0" w:right="0" w:firstLine="640" w:firstLineChars="200"/>
        <w:jc w:val="left"/>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澧县城市管理事务中心是澧县城市管理和综合执法局的二级预算单位，本中心由城市管理事务中心和城市管理与综合执法局市容环境大队组成。单位内设办公室、财务室、政工室、收费办、考核办、渣土执法大队、彭山垃圾填埋厂和固废流转中心等职能部门。核定编制数195人，实际在职人数97人。</w:t>
      </w:r>
    </w:p>
    <w:p>
      <w:pPr>
        <w:widowControl/>
        <w:numPr>
          <w:ilvl w:val="0"/>
          <w:numId w:val="1"/>
        </w:numPr>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单位主要职责</w:t>
      </w:r>
    </w:p>
    <w:p>
      <w:pPr>
        <w:keepNext w:val="0"/>
        <w:keepLines w:val="0"/>
        <w:widowControl/>
        <w:suppressLineNumbers w:val="0"/>
        <w:snapToGrid w:val="0"/>
        <w:spacing w:before="0" w:beforeAutospacing="0" w:after="0" w:afterAutospacing="0" w:line="520" w:lineRule="exact"/>
        <w:ind w:left="0" w:right="0" w:firstLine="640" w:firstLineChars="200"/>
        <w:jc w:val="left"/>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环卫三清考评工作；垃圾填埋场运行及渗透液处理；垃圾发电厂管理；城区垃圾处理费收取；渣土管理工作；市容市貌管理、城区环卫设施更新与维护工作等。</w:t>
      </w:r>
    </w:p>
    <w:p>
      <w:pPr>
        <w:widowControl/>
        <w:ind w:firstLine="640" w:firstLineChars="200"/>
        <w:rPr>
          <w:rFonts w:ascii="黑体" w:hAnsi="黑体" w:eastAsia="黑体" w:cs="黑体"/>
          <w:color w:val="222222"/>
          <w:kern w:val="0"/>
          <w:sz w:val="32"/>
          <w:szCs w:val="32"/>
        </w:rPr>
      </w:pPr>
      <w:r>
        <w:rPr>
          <w:rFonts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lang w:eastAsia="zh-CN"/>
        </w:rPr>
        <w:t>三</w:t>
      </w:r>
      <w:r>
        <w:rPr>
          <w:rFonts w:ascii="Times New Roman" w:hAnsi="Times New Roman" w:eastAsia="仿宋_GB2312"/>
          <w:color w:val="222222"/>
          <w:kern w:val="0"/>
          <w:sz w:val="32"/>
          <w:szCs w:val="32"/>
        </w:rPr>
        <w:t>）</w:t>
      </w:r>
      <w:r>
        <w:rPr>
          <w:rFonts w:hint="eastAsia" w:ascii="Times New Roman" w:hAnsi="Times New Roman" w:eastAsia="仿宋_GB2312"/>
          <w:color w:val="222222"/>
          <w:kern w:val="0"/>
          <w:sz w:val="32"/>
          <w:szCs w:val="32"/>
        </w:rPr>
        <w:t>部门财务情况</w:t>
      </w:r>
    </w:p>
    <w:p>
      <w:pPr>
        <w:widowControl/>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lang w:val="en-US" w:eastAsia="zh-CN"/>
        </w:rPr>
        <w:t>1，</w:t>
      </w:r>
      <w:r>
        <w:rPr>
          <w:rFonts w:ascii="Times New Roman" w:hAnsi="Times New Roman" w:eastAsia="仿宋_GB2312"/>
          <w:color w:val="222222"/>
          <w:kern w:val="0"/>
          <w:sz w:val="32"/>
          <w:szCs w:val="32"/>
        </w:rPr>
        <w:t>部门整体支出情况</w:t>
      </w:r>
    </w:p>
    <w:p>
      <w:pPr>
        <w:keepNext w:val="0"/>
        <w:keepLines w:val="0"/>
        <w:widowControl/>
        <w:suppressLineNumbers w:val="0"/>
        <w:snapToGrid w:val="0"/>
        <w:spacing w:before="0" w:beforeAutospacing="0" w:after="0" w:afterAutospacing="0" w:line="520" w:lineRule="exact"/>
        <w:ind w:left="0" w:right="0" w:firstLine="640" w:firstLineChars="200"/>
        <w:jc w:val="left"/>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2021年度部门整体收入2652.01万元，其中：一般公共预算拨款2652.01万元，政府性基金预算拨款0万元。部门整体支出2898.85万元，其中：其中基本支出1196.91万元，占总支出41.29%，项目支出1701.94万元，占总支出58.71%。</w:t>
      </w:r>
    </w:p>
    <w:p>
      <w:pPr>
        <w:widowControl/>
        <w:numPr>
          <w:ilvl w:val="0"/>
          <w:numId w:val="0"/>
        </w:numPr>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lang w:val="en-US" w:eastAsia="zh-CN"/>
        </w:rPr>
        <w:t>2，</w:t>
      </w:r>
      <w:r>
        <w:rPr>
          <w:rFonts w:ascii="Times New Roman" w:hAnsi="Times New Roman" w:eastAsia="仿宋_GB2312"/>
          <w:color w:val="222222"/>
          <w:kern w:val="0"/>
          <w:sz w:val="32"/>
          <w:szCs w:val="32"/>
        </w:rPr>
        <w:t>部门预算收支决算情况</w:t>
      </w:r>
    </w:p>
    <w:p>
      <w:pPr>
        <w:keepNext w:val="0"/>
        <w:keepLines w:val="0"/>
        <w:widowControl/>
        <w:suppressLineNumbers w:val="0"/>
        <w:snapToGrid w:val="0"/>
        <w:spacing w:before="0" w:beforeAutospacing="0" w:after="0" w:afterAutospacing="0" w:line="520" w:lineRule="exact"/>
        <w:ind w:left="0" w:right="0" w:firstLine="640" w:firstLineChars="200"/>
        <w:jc w:val="left"/>
        <w:rPr>
          <w:rFonts w:hint="default"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2021年预算收入3023.28万元，决算收入2898.85万元，差异率4.1%，预算支出总计3023.28万元，决算支出总计2898.85万元，差异率4.1%。差异原因：主要是人员经费中城乡社区环境卫生收入中职工年终绩效及综治奖未发放。</w:t>
      </w:r>
    </w:p>
    <w:p>
      <w:pPr>
        <w:widowControl/>
        <w:numPr>
          <w:ilvl w:val="0"/>
          <w:numId w:val="0"/>
        </w:numPr>
        <w:ind w:firstLine="640" w:firstLineChars="200"/>
        <w:rPr>
          <w:rFonts w:ascii="Times New Roman" w:hAnsi="Times New Roman" w:eastAsia="仿宋_GB2312"/>
          <w:color w:val="222222"/>
          <w:kern w:val="0"/>
          <w:sz w:val="32"/>
          <w:szCs w:val="32"/>
        </w:rPr>
      </w:pPr>
      <w:r>
        <w:rPr>
          <w:rFonts w:hint="eastAsia" w:ascii="Times New Roman" w:hAnsi="Times New Roman" w:eastAsia="仿宋_GB2312"/>
          <w:color w:val="222222"/>
          <w:kern w:val="0"/>
          <w:sz w:val="32"/>
          <w:szCs w:val="32"/>
          <w:lang w:val="en-US" w:eastAsia="zh-CN"/>
        </w:rPr>
        <w:t>3，</w:t>
      </w:r>
      <w:r>
        <w:rPr>
          <w:rFonts w:ascii="Times New Roman" w:hAnsi="Times New Roman" w:eastAsia="仿宋_GB2312"/>
          <w:color w:val="222222"/>
          <w:kern w:val="0"/>
          <w:sz w:val="32"/>
          <w:szCs w:val="32"/>
        </w:rPr>
        <w:t>“三公经费”支出使用和管理情况</w:t>
      </w:r>
    </w:p>
    <w:p>
      <w:pPr>
        <w:keepNext w:val="0"/>
        <w:keepLines w:val="0"/>
        <w:widowControl/>
        <w:suppressLineNumbers w:val="0"/>
        <w:snapToGrid w:val="0"/>
        <w:spacing w:before="0" w:beforeAutospacing="0" w:after="0" w:afterAutospacing="0" w:line="520" w:lineRule="exact"/>
        <w:ind w:left="0" w:right="0" w:firstLine="640" w:firstLineChars="200"/>
        <w:jc w:val="left"/>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2021年“三公”经费支出3.39万元，年初预算12.5万元，节约了72.08%。其中：因公出国（境）费0万元，公务用车购置及运行维护费（公务用车运行维护费）1.59万元，公务接待费1.8万元。</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（一）基本支出情况</w:t>
      </w:r>
    </w:p>
    <w:p>
      <w:pPr>
        <w:keepNext w:val="0"/>
        <w:keepLines w:val="0"/>
        <w:widowControl/>
        <w:suppressLineNumbers w:val="0"/>
        <w:snapToGrid w:val="0"/>
        <w:spacing w:before="0" w:beforeAutospacing="0" w:after="0" w:afterAutospacing="0" w:line="520" w:lineRule="exact"/>
        <w:ind w:left="0" w:right="0" w:firstLine="640" w:firstLineChars="200"/>
        <w:jc w:val="left"/>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2021年基本支出1196.91万元，主要包括：工资福利支出1050.49万元，商品和服务支出91.47万元，对个人和家庭的补助支出54.68万元，资本性支出0.27万元。</w:t>
      </w:r>
    </w:p>
    <w:p>
      <w:pPr>
        <w:numPr>
          <w:ilvl w:val="0"/>
          <w:numId w:val="0"/>
        </w:numPr>
        <w:spacing w:line="580" w:lineRule="exact"/>
        <w:ind w:leftChars="200" w:firstLine="320" w:firstLineChars="100"/>
        <w:rPr>
          <w:rFonts w:ascii="Times New Roman" w:hAnsi="仿宋" w:eastAsia="仿宋" w:cs="Times New Roman"/>
          <w:sz w:val="32"/>
          <w:szCs w:val="32"/>
        </w:rPr>
      </w:pPr>
      <w:r>
        <w:rPr>
          <w:rFonts w:ascii="Times New Roman" w:hAnsi="仿宋" w:eastAsia="仿宋" w:cs="Times New Roman"/>
          <w:sz w:val="32"/>
          <w:szCs w:val="32"/>
        </w:rPr>
        <w:t>（</w:t>
      </w:r>
      <w:r>
        <w:rPr>
          <w:rFonts w:hint="eastAsia" w:ascii="Times New Roman" w:hAnsi="仿宋" w:eastAsia="仿宋" w:cs="Times New Roman"/>
          <w:sz w:val="32"/>
          <w:szCs w:val="32"/>
          <w:lang w:eastAsia="zh-CN"/>
        </w:rPr>
        <w:t>二</w:t>
      </w:r>
      <w:r>
        <w:rPr>
          <w:rFonts w:ascii="Times New Roman" w:hAnsi="仿宋" w:eastAsia="仿宋" w:cs="Times New Roman"/>
          <w:sz w:val="32"/>
          <w:szCs w:val="32"/>
        </w:rPr>
        <w:t>）项目支出情况</w:t>
      </w:r>
    </w:p>
    <w:p>
      <w:pPr>
        <w:numPr>
          <w:ilvl w:val="0"/>
          <w:numId w:val="0"/>
        </w:numPr>
        <w:spacing w:line="580" w:lineRule="exact"/>
        <w:rPr>
          <w:rFonts w:hint="default" w:ascii="仿宋" w:hAnsi="仿宋" w:eastAsia="仿宋" w:cs="仿宋"/>
          <w:color w:val="222222"/>
          <w:kern w:val="0"/>
          <w:sz w:val="32"/>
          <w:szCs w:val="32"/>
          <w:lang w:val="en-US" w:eastAsia="zh-CN"/>
        </w:rPr>
      </w:pPr>
      <w:r>
        <w:rPr>
          <w:rFonts w:hint="eastAsia" w:ascii="Times New Roman" w:hAnsi="仿宋" w:eastAsia="仿宋" w:cs="Times New Roman"/>
          <w:sz w:val="32"/>
          <w:szCs w:val="32"/>
          <w:lang w:val="en-US" w:eastAsia="zh-CN"/>
        </w:rPr>
        <w:t xml:space="preserve">  </w:t>
      </w:r>
      <w:r>
        <w:rPr>
          <w:rFonts w:hint="eastAsia" w:ascii="仿宋" w:hAnsi="仿宋" w:eastAsia="仿宋" w:cs="仿宋"/>
          <w:color w:val="222222"/>
          <w:kern w:val="0"/>
          <w:sz w:val="32"/>
          <w:szCs w:val="32"/>
          <w:lang w:val="en-US" w:eastAsia="zh-CN"/>
        </w:rPr>
        <w:t xml:space="preserve">  2021年项目支出1701.94万元，其中填埋场渗滤液处理116.63万元，生活垃圾处理服务798.28万元，填埋场运行经费164.04万元，餐厨垃圾收集运输服务186.22万元，餐厨垃圾处理服务293.33万元，环卫业务工作143.44万元。</w:t>
      </w:r>
    </w:p>
    <w:p>
      <w:pPr>
        <w:numPr>
          <w:ilvl w:val="0"/>
          <w:numId w:val="2"/>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政府性基金预算支出情况</w:t>
      </w:r>
    </w:p>
    <w:p>
      <w:pPr>
        <w:numPr>
          <w:ilvl w:val="0"/>
          <w:numId w:val="0"/>
        </w:numPr>
        <w:spacing w:line="580" w:lineRule="exact"/>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Times New Roman" w:hAnsi="仿宋" w:eastAsia="仿宋" w:cs="Times New Roman"/>
          <w:sz w:val="32"/>
          <w:szCs w:val="32"/>
          <w:lang w:val="en-US" w:eastAsia="zh-CN"/>
        </w:rPr>
        <w:t>无</w:t>
      </w:r>
    </w:p>
    <w:p>
      <w:pPr>
        <w:numPr>
          <w:ilvl w:val="0"/>
          <w:numId w:val="2"/>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国有资本经营预算支出情况</w:t>
      </w:r>
    </w:p>
    <w:p>
      <w:pPr>
        <w:numPr>
          <w:ilvl w:val="0"/>
          <w:numId w:val="0"/>
        </w:numPr>
        <w:spacing w:line="580" w:lineRule="exact"/>
        <w:ind w:leftChars="200"/>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Times New Roman" w:hAnsi="仿宋" w:eastAsia="仿宋" w:cs="Times New Roman"/>
          <w:sz w:val="32"/>
          <w:szCs w:val="32"/>
          <w:lang w:val="en-US" w:eastAsia="zh-CN"/>
        </w:rPr>
        <w:t>无</w:t>
      </w:r>
    </w:p>
    <w:p>
      <w:pPr>
        <w:numPr>
          <w:ilvl w:val="0"/>
          <w:numId w:val="2"/>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社会保险基金预算支出情况</w:t>
      </w:r>
    </w:p>
    <w:p>
      <w:pPr>
        <w:numPr>
          <w:ilvl w:val="0"/>
          <w:numId w:val="0"/>
        </w:numPr>
        <w:spacing w:line="580" w:lineRule="exact"/>
        <w:ind w:firstLine="640" w:firstLineChars="200"/>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无</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六、单位整体支出绩效情况</w:t>
      </w:r>
    </w:p>
    <w:p>
      <w:pPr>
        <w:keepNext w:val="0"/>
        <w:keepLines w:val="0"/>
        <w:widowControl/>
        <w:suppressLineNumbers w:val="0"/>
        <w:snapToGrid w:val="0"/>
        <w:spacing w:before="0" w:beforeAutospacing="0" w:after="0" w:afterAutospacing="0" w:line="520" w:lineRule="exact"/>
        <w:ind w:left="0" w:right="0" w:firstLine="640" w:firstLineChars="200"/>
        <w:jc w:val="left"/>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2021年以提升服务为重心，认真开展城乡垃圾处理一体化PPP市场化、渣土专项整治、餐厨垃圾收运工作、疫情防控等工作。一年以来，共收集转运处理生活垃圾10万多吨，餐厨垃圾1万多吨，渣土运输行政许可6家，智能环保车已达到115台，渣土执法查处18起，教育整改1600多起，圆满完成垃圾处置收费任务。</w:t>
      </w:r>
    </w:p>
    <w:p>
      <w:pPr>
        <w:keepNext w:val="0"/>
        <w:keepLines w:val="0"/>
        <w:widowControl/>
        <w:suppressLineNumbers w:val="0"/>
        <w:snapToGrid w:val="0"/>
        <w:spacing w:before="0" w:beforeAutospacing="0" w:after="0" w:afterAutospacing="0" w:line="520" w:lineRule="exact"/>
        <w:ind w:left="0" w:right="0" w:firstLine="640" w:firstLineChars="200"/>
        <w:jc w:val="left"/>
        <w:rPr>
          <w:rFonts w:hint="eastAsia" w:ascii="仿宋" w:hAnsi="仿宋" w:eastAsia="仿宋" w:cs="仿宋"/>
          <w:color w:val="222222"/>
          <w:kern w:val="0"/>
          <w:sz w:val="32"/>
          <w:szCs w:val="32"/>
          <w:lang w:val="en-US" w:eastAsia="zh-CN"/>
        </w:rPr>
      </w:pPr>
      <w:r>
        <w:rPr>
          <w:rFonts w:hint="eastAsia" w:ascii="仿宋" w:hAnsi="仿宋" w:eastAsia="仿宋" w:cs="仿宋"/>
          <w:color w:val="222222"/>
          <w:kern w:val="0"/>
          <w:sz w:val="32"/>
          <w:szCs w:val="32"/>
          <w:lang w:val="en-US" w:eastAsia="zh-CN"/>
        </w:rPr>
        <w:t>较好的完成年初制订的绩效目标,减少、控制了环境污染，为市提供了良好的生活环境，提高了市民满意度、幸福感，增强了全民环境卫生意识。在预算配置、预算执行、预算管理等方面取得了较好的成效，综合评价得分90分，评价等级为良好。</w:t>
      </w:r>
    </w:p>
    <w:p>
      <w:pPr>
        <w:numPr>
          <w:ilvl w:val="0"/>
          <w:numId w:val="0"/>
        </w:numPr>
        <w:spacing w:line="580" w:lineRule="exact"/>
        <w:ind w:leftChars="200" w:firstLine="320" w:firstLineChars="100"/>
        <w:rPr>
          <w:rFonts w:ascii="Times New Roman" w:hAnsi="黑体" w:eastAsia="黑体" w:cs="Times New Roman"/>
          <w:sz w:val="32"/>
          <w:szCs w:val="32"/>
        </w:rPr>
      </w:pPr>
      <w:r>
        <w:rPr>
          <w:rFonts w:hint="eastAsia" w:ascii="Times New Roman" w:hAnsi="黑体" w:eastAsia="黑体" w:cs="Times New Roman"/>
          <w:sz w:val="32"/>
          <w:szCs w:val="32"/>
          <w:lang w:eastAsia="zh-CN"/>
        </w:rPr>
        <w:t>七、</w:t>
      </w:r>
      <w:r>
        <w:rPr>
          <w:rFonts w:ascii="Times New Roman" w:hAnsi="黑体" w:eastAsia="黑体" w:cs="Times New Roman"/>
          <w:sz w:val="32"/>
          <w:szCs w:val="32"/>
        </w:rPr>
        <w:t>存在的问题及原因分析</w:t>
      </w:r>
    </w:p>
    <w:p>
      <w:pPr>
        <w:numPr>
          <w:ilvl w:val="0"/>
          <w:numId w:val="0"/>
        </w:numPr>
        <w:spacing w:line="580" w:lineRule="exact"/>
        <w:rPr>
          <w:rFonts w:hint="eastAsia" w:ascii="Times New Roman" w:hAnsi="仿宋" w:eastAsia="仿宋"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Times New Roman" w:hAnsi="仿宋" w:eastAsia="仿宋" w:cs="Times New Roman"/>
          <w:sz w:val="32"/>
          <w:szCs w:val="32"/>
          <w:lang w:val="en-US" w:eastAsia="zh-CN"/>
        </w:rPr>
        <w:t xml:space="preserve"> 对预算绩效管理重要性认识不足，目前单位存在预算绩效理念欠缺的问题，其忽视了绩效管理工作的重要性，认为只要有财务部门参与即可，其他业务部门没有参与其中，部门之间缺少沟通，未科学精确的设置绩效目标，导致</w:t>
      </w:r>
      <w:r>
        <w:rPr>
          <w:rFonts w:hint="eastAsia" w:ascii="Times New Roman" w:hAnsi="仿宋" w:eastAsia="仿宋" w:cs="Times New Roman"/>
          <w:sz w:val="32"/>
          <w:szCs w:val="32"/>
          <w:lang w:eastAsia="zh-CN"/>
        </w:rPr>
        <w:t>有些</w:t>
      </w:r>
      <w:r>
        <w:rPr>
          <w:rFonts w:ascii="Times New Roman" w:hAnsi="仿宋" w:eastAsia="仿宋" w:cs="Times New Roman"/>
          <w:sz w:val="32"/>
          <w:szCs w:val="32"/>
        </w:rPr>
        <w:t>预算支出执行偏离绩效目标</w:t>
      </w:r>
      <w:r>
        <w:rPr>
          <w:rFonts w:hint="eastAsia" w:ascii="Times New Roman" w:hAnsi="仿宋" w:eastAsia="仿宋" w:cs="Times New Roman"/>
          <w:sz w:val="32"/>
          <w:szCs w:val="32"/>
          <w:lang w:eastAsia="zh-CN"/>
        </w:rPr>
        <w:t>。</w:t>
      </w:r>
    </w:p>
    <w:p>
      <w:pPr>
        <w:numPr>
          <w:ilvl w:val="0"/>
          <w:numId w:val="3"/>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下一步改进措施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7"/>
          <w:rFonts w:ascii="仿宋_GB2312" w:hAnsi="仿宋" w:eastAsia="仿宋_GB2312"/>
          <w:b w:val="0"/>
          <w:i w:val="0"/>
          <w:caps w:val="0"/>
          <w:color w:val="000000"/>
          <w:spacing w:val="0"/>
          <w:w w:val="100"/>
          <w:kern w:val="0"/>
          <w:sz w:val="32"/>
          <w:szCs w:val="32"/>
          <w:lang w:val="en-US" w:eastAsia="zh-CN" w:bidi="ar-SA"/>
        </w:rPr>
      </w:pPr>
      <w:r>
        <w:rPr>
          <w:rFonts w:ascii="Times New Roman" w:hAnsi="仿宋" w:eastAsia="仿宋" w:cs="Times New Roman"/>
          <w:sz w:val="32"/>
          <w:szCs w:val="32"/>
        </w:rPr>
        <w:t>（一）</w:t>
      </w:r>
      <w:r>
        <w:rPr>
          <w:rStyle w:val="7"/>
          <w:rFonts w:ascii="仿宋_GB2312" w:hAnsi="仿宋" w:eastAsia="仿宋_GB2312"/>
          <w:b w:val="0"/>
          <w:i w:val="0"/>
          <w:caps w:val="0"/>
          <w:color w:val="000000"/>
          <w:spacing w:val="0"/>
          <w:w w:val="100"/>
          <w:kern w:val="0"/>
          <w:sz w:val="32"/>
          <w:szCs w:val="32"/>
          <w:lang w:val="en-US" w:eastAsia="zh-CN" w:bidi="ar-SA"/>
        </w:rPr>
        <w:t>加强绩效目标申报工作</w:t>
      </w:r>
    </w:p>
    <w:p>
      <w:pPr>
        <w:spacing w:line="580" w:lineRule="exact"/>
        <w:ind w:firstLine="640" w:firstLineChars="200"/>
        <w:rPr>
          <w:rFonts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绩效目标各指标应由主管单位业务人员、财务人员共同商议，根据实际情况准确设置，设置的目标应可衡量、可考核。</w:t>
      </w:r>
    </w:p>
    <w:p>
      <w:pPr>
        <w:spacing w:line="580" w:lineRule="exact"/>
        <w:ind w:firstLine="640" w:firstLineChars="200"/>
        <w:rPr>
          <w:rFonts w:ascii="Times New Roman" w:hAnsi="仿宋" w:eastAsia="仿宋" w:cs="Times New Roman"/>
          <w:sz w:val="32"/>
          <w:szCs w:val="32"/>
          <w:lang w:val="en-US" w:eastAsia="zh-CN"/>
        </w:rPr>
      </w:pPr>
      <w:r>
        <w:rPr>
          <w:rFonts w:ascii="Times New Roman" w:hAnsi="仿宋" w:eastAsia="仿宋" w:cs="Times New Roman"/>
          <w:sz w:val="32"/>
          <w:szCs w:val="32"/>
          <w:lang w:val="en-US" w:eastAsia="zh-CN"/>
        </w:rPr>
        <w:t>（二）科学编制预算，加强预算管理</w:t>
      </w:r>
    </w:p>
    <w:p>
      <w:pPr>
        <w:spacing w:line="580" w:lineRule="exact"/>
        <w:ind w:firstLine="640" w:firstLineChars="200"/>
        <w:rPr>
          <w:rFonts w:ascii="Times New Roman" w:hAnsi="Times New Roman" w:eastAsia="仿宋" w:cs="Times New Roman"/>
        </w:rPr>
      </w:pPr>
      <w:r>
        <w:rPr>
          <w:rFonts w:hint="eastAsia" w:ascii="Times New Roman" w:hAnsi="仿宋" w:eastAsia="仿宋" w:cs="Times New Roman"/>
          <w:sz w:val="32"/>
          <w:szCs w:val="32"/>
          <w:lang w:val="en-US" w:eastAsia="zh-CN"/>
        </w:rPr>
        <w:t>根据上年度预算执行情况和年初工作计划进行预算编制，提高预算编制的准确性，减少预算调整幅度。单位根据工作进度建议财政部门及时下拨资金，在合理合规的前提下加快资金拨付，切实提高预算执行率。完善相关管理制度，做到有章可循。</w:t>
      </w:r>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81327"/>
    <w:multiLevelType w:val="singleLevel"/>
    <w:tmpl w:val="A4981327"/>
    <w:lvl w:ilvl="0" w:tentative="0">
      <w:start w:val="8"/>
      <w:numFmt w:val="chineseCounting"/>
      <w:suff w:val="nothing"/>
      <w:lvlText w:val="%1、"/>
      <w:lvlJc w:val="left"/>
      <w:rPr>
        <w:rFonts w:hint="eastAsia"/>
      </w:rPr>
    </w:lvl>
  </w:abstractNum>
  <w:abstractNum w:abstractNumId="1">
    <w:nsid w:val="02045454"/>
    <w:multiLevelType w:val="singleLevel"/>
    <w:tmpl w:val="02045454"/>
    <w:lvl w:ilvl="0" w:tentative="0">
      <w:start w:val="2"/>
      <w:numFmt w:val="chineseCounting"/>
      <w:suff w:val="space"/>
      <w:lvlText w:val="（%1）"/>
      <w:lvlJc w:val="left"/>
      <w:rPr>
        <w:rFonts w:hint="eastAsia"/>
      </w:rPr>
    </w:lvl>
  </w:abstractNum>
  <w:abstractNum w:abstractNumId="2">
    <w:nsid w:val="08AF0FBC"/>
    <w:multiLevelType w:val="singleLevel"/>
    <w:tmpl w:val="08AF0FBC"/>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iN2UyMjllMjgyNjkzNjMyZGMyNGFlMDg1ZjQ0MzUifQ=="/>
  </w:docVars>
  <w:rsids>
    <w:rsidRoot w:val="27D94564"/>
    <w:rsid w:val="00226E16"/>
    <w:rsid w:val="005A3C2A"/>
    <w:rsid w:val="00626EFA"/>
    <w:rsid w:val="006638A9"/>
    <w:rsid w:val="00981C3B"/>
    <w:rsid w:val="00B9329D"/>
    <w:rsid w:val="00C140B6"/>
    <w:rsid w:val="00E40EA6"/>
    <w:rsid w:val="00F07D7E"/>
    <w:rsid w:val="00F92C09"/>
    <w:rsid w:val="02E602C3"/>
    <w:rsid w:val="0569626F"/>
    <w:rsid w:val="06EA130F"/>
    <w:rsid w:val="0EEF57BA"/>
    <w:rsid w:val="13702C20"/>
    <w:rsid w:val="1C3B6A54"/>
    <w:rsid w:val="1F5E5F75"/>
    <w:rsid w:val="225C4890"/>
    <w:rsid w:val="22D777E9"/>
    <w:rsid w:val="27D94564"/>
    <w:rsid w:val="287C746C"/>
    <w:rsid w:val="2AF459E0"/>
    <w:rsid w:val="2DC441C1"/>
    <w:rsid w:val="2DDB7253"/>
    <w:rsid w:val="2F9270A9"/>
    <w:rsid w:val="356E5F27"/>
    <w:rsid w:val="398665D6"/>
    <w:rsid w:val="3A2B1123"/>
    <w:rsid w:val="3AD76784"/>
    <w:rsid w:val="3E1A70B4"/>
    <w:rsid w:val="443A2228"/>
    <w:rsid w:val="49C26F4A"/>
    <w:rsid w:val="4AA00457"/>
    <w:rsid w:val="4AD44F71"/>
    <w:rsid w:val="4B2A2DEB"/>
    <w:rsid w:val="4B775B0D"/>
    <w:rsid w:val="505446A7"/>
    <w:rsid w:val="525C7843"/>
    <w:rsid w:val="5D8B4324"/>
    <w:rsid w:val="5EA93E10"/>
    <w:rsid w:val="61F35002"/>
    <w:rsid w:val="64BA24D5"/>
    <w:rsid w:val="65474C27"/>
    <w:rsid w:val="6D065983"/>
    <w:rsid w:val="6D966442"/>
    <w:rsid w:val="70527A7A"/>
    <w:rsid w:val="728C3505"/>
    <w:rsid w:val="737C62D9"/>
    <w:rsid w:val="77AA38EF"/>
    <w:rsid w:val="78D21D5D"/>
    <w:rsid w:val="799817D1"/>
    <w:rsid w:val="7ADB139D"/>
    <w:rsid w:val="7DE55902"/>
    <w:rsid w:val="7EA45F4A"/>
    <w:rsid w:val="7F5D09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NormalCharacter"/>
    <w:link w:val="1"/>
    <w:semiHidden/>
    <w:qFormat/>
    <w:uiPriority w:val="0"/>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3</Pages>
  <Words>1330</Words>
  <Characters>1509</Characters>
  <Lines>4</Lines>
  <Paragraphs>1</Paragraphs>
  <TotalTime>0</TotalTime>
  <ScaleCrop>false</ScaleCrop>
  <LinksUpToDate>false</LinksUpToDate>
  <CharactersWithSpaces>1524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雨过天晴</cp:lastModifiedBy>
  <cp:lastPrinted>2022-03-28T07:16:00Z</cp:lastPrinted>
  <dcterms:modified xsi:type="dcterms:W3CDTF">2022-08-25T08:47:20Z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2C748869A0314D468FCA60B514AE4557</vt:lpwstr>
  </property>
</Properties>
</file>