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澧县供销合作社联合社2021年度</w:t>
      </w:r>
      <w:r>
        <w:rPr>
          <w:rFonts w:hint="eastAsia" w:ascii="方正小标宋简体" w:hAnsi="方正小标宋简体" w:eastAsia="方正小标宋简体" w:cs="方正小标宋简体"/>
          <w:b/>
          <w:sz w:val="52"/>
          <w:szCs w:val="52"/>
          <w:lang w:val="en-US" w:eastAsia="zh-CN"/>
        </w:rPr>
        <w:t xml:space="preserve">   </w:t>
      </w:r>
      <w:r>
        <w:rPr>
          <w:rFonts w:hint="eastAsia" w:ascii="方正小标宋简体" w:hAnsi="方正小标宋简体" w:eastAsia="方正小标宋简体" w:cs="方正小标宋简体"/>
          <w:b/>
          <w:sz w:val="52"/>
          <w:szCs w:val="52"/>
        </w:rPr>
        <w:t>整体支出绩效</w:t>
      </w:r>
      <w:r>
        <w:rPr>
          <w:rFonts w:hint="eastAsia" w:ascii="方正小标宋简体" w:hAnsi="方正小标宋简体" w:eastAsia="方正小标宋简体" w:cs="方正小标宋简体"/>
          <w:b/>
          <w:sz w:val="52"/>
          <w:szCs w:val="52"/>
          <w:lang w:eastAsia="zh-CN"/>
        </w:rPr>
        <w:t>评价</w:t>
      </w:r>
      <w:r>
        <w:rPr>
          <w:rFonts w:hint="eastAsia" w:ascii="方正小标宋简体" w:hAnsi="方正小标宋简体" w:eastAsia="方正小标宋简体" w:cs="方正小标宋简体"/>
          <w:b/>
          <w:sz w:val="52"/>
          <w:szCs w:val="52"/>
        </w:rPr>
        <w:t>报告</w:t>
      </w: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center"/>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单位名称：（盖章）</w:t>
      </w:r>
    </w:p>
    <w:p>
      <w:pPr>
        <w:jc w:val="center"/>
        <w:rPr>
          <w:rFonts w:ascii="方正黑体简体" w:hAnsi="方正黑体简体" w:eastAsia="方正黑体简体" w:cs="方正黑体简体"/>
          <w:sz w:val="32"/>
          <w:szCs w:val="32"/>
        </w:rPr>
      </w:pPr>
    </w:p>
    <w:p>
      <w:pPr>
        <w:jc w:val="center"/>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2022年6月18日</w:t>
      </w:r>
    </w:p>
    <w:p>
      <w:pPr>
        <w:jc w:val="cente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2021年度澧县供销合作社联合社整体支出</w:t>
      </w:r>
    </w:p>
    <w:p>
      <w:pPr>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绩效自评报告</w:t>
      </w:r>
    </w:p>
    <w:p>
      <w:pPr>
        <w:spacing w:line="580" w:lineRule="exact"/>
        <w:jc w:val="center"/>
        <w:rPr>
          <w:rFonts w:ascii="Times New Roman" w:cs="Times New Roman" w:hAnsiTheme="majorEastAsia" w:eastAsiaTheme="majorEastAsia"/>
          <w:b/>
          <w:sz w:val="44"/>
          <w:szCs w:val="44"/>
        </w:rPr>
      </w:pPr>
    </w:p>
    <w:p>
      <w:pPr>
        <w:spacing w:line="59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为加强财政支出绩效管理，提高财政资金使用效益，</w:t>
      </w:r>
      <w:r>
        <w:rPr>
          <w:rFonts w:hint="eastAsia" w:ascii="仿宋_GB2312" w:hAnsi="仿宋_GB2312" w:eastAsia="仿宋_GB2312" w:cs="仿宋_GB2312"/>
          <w:bCs/>
          <w:sz w:val="32"/>
          <w:szCs w:val="32"/>
        </w:rPr>
        <w:t>根据《湖南省财政厅关于印发&lt;湖南省预算支出绩效评价管理办法&gt;的通知》（湘财绩〔2020〕7号）、</w:t>
      </w:r>
      <w:r>
        <w:rPr>
          <w:rFonts w:hint="eastAsia" w:ascii="仿宋_GB2312" w:hAnsi="仿宋_GB2312" w:eastAsia="仿宋_GB2312" w:cs="仿宋_GB2312"/>
          <w:sz w:val="32"/>
          <w:szCs w:val="32"/>
        </w:rPr>
        <w:t>《澧县财政局关于开展2021年度预算支出绩效自评工作的通知》（澧财发</w:t>
      </w:r>
      <w:r>
        <w:rPr>
          <w:rFonts w:hint="eastAsia" w:ascii="仿宋_GB2312" w:hAnsi="仿宋_GB2312" w:eastAsia="仿宋_GB2312" w:cs="仿宋_GB2312"/>
          <w:bCs/>
          <w:sz w:val="32"/>
          <w:szCs w:val="32"/>
        </w:rPr>
        <w:t>〔2022〕</w:t>
      </w:r>
      <w:r>
        <w:rPr>
          <w:rFonts w:hint="eastAsia" w:ascii="仿宋_GB2312" w:hAnsi="仿宋_GB2312" w:eastAsia="仿宋_GB2312" w:cs="仿宋_GB2312"/>
          <w:sz w:val="32"/>
          <w:szCs w:val="32"/>
        </w:rPr>
        <w:t>11号）</w:t>
      </w:r>
      <w:r>
        <w:rPr>
          <w:rFonts w:hint="eastAsia" w:ascii="仿宋_GB2312" w:hAnsi="仿宋_GB2312" w:eastAsia="仿宋_GB2312" w:cs="仿宋_GB2312"/>
          <w:bCs/>
          <w:sz w:val="32"/>
          <w:szCs w:val="32"/>
        </w:rPr>
        <w:t>文件精神，对本单位</w:t>
      </w:r>
      <w:r>
        <w:rPr>
          <w:rFonts w:hint="eastAsia" w:ascii="仿宋_GB2312" w:hAnsi="仿宋_GB2312" w:eastAsia="仿宋_GB2312" w:cs="仿宋_GB2312"/>
          <w:sz w:val="32"/>
          <w:szCs w:val="32"/>
        </w:rPr>
        <w:t>2021年度部门整体支出</w:t>
      </w:r>
      <w:r>
        <w:rPr>
          <w:rFonts w:hint="eastAsia" w:ascii="仿宋_GB2312" w:hAnsi="仿宋_GB2312" w:eastAsia="仿宋_GB2312" w:cs="仿宋_GB2312"/>
          <w:bCs/>
          <w:sz w:val="32"/>
          <w:szCs w:val="32"/>
        </w:rPr>
        <w:t>进行了绩效自评，现将自评</w:t>
      </w:r>
      <w:r>
        <w:rPr>
          <w:rFonts w:hint="eastAsia" w:ascii="仿宋_GB2312" w:hAnsi="仿宋_GB2312" w:eastAsia="仿宋_GB2312" w:cs="仿宋_GB2312"/>
          <w:sz w:val="32"/>
          <w:szCs w:val="32"/>
        </w:rPr>
        <w:t>情况报告如下：</w:t>
      </w:r>
    </w:p>
    <w:p>
      <w:pPr>
        <w:spacing w:line="596"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一、部门基本情况</w:t>
      </w:r>
    </w:p>
    <w:p>
      <w:pPr>
        <w:widowControl/>
        <w:spacing w:line="596" w:lineRule="exact"/>
        <w:ind w:firstLine="643" w:firstLineChars="200"/>
        <w:rPr>
          <w:rFonts w:ascii="仿宋_GB2312" w:hAnsi="仿宋_GB2312" w:eastAsia="仿宋_GB2312" w:cs="仿宋_GB2312"/>
          <w:b/>
          <w:color w:val="222222"/>
          <w:sz w:val="32"/>
          <w:szCs w:val="32"/>
        </w:rPr>
      </w:pPr>
      <w:r>
        <w:rPr>
          <w:rFonts w:hint="eastAsia" w:ascii="仿宋_GB2312" w:hAnsi="仿宋_GB2312" w:eastAsia="仿宋_GB2312" w:cs="仿宋_GB2312"/>
          <w:b/>
          <w:color w:val="222222"/>
          <w:sz w:val="32"/>
          <w:szCs w:val="32"/>
        </w:rPr>
        <w:t>（一）机构、人员构成</w:t>
      </w:r>
    </w:p>
    <w:p>
      <w:pPr>
        <w:spacing w:line="596"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color w:val="222222"/>
          <w:sz w:val="32"/>
          <w:szCs w:val="32"/>
        </w:rPr>
        <w:t>澧县供销合作社联合社</w:t>
      </w:r>
      <w:r>
        <w:rPr>
          <w:rFonts w:hint="eastAsia" w:ascii="仿宋_GB2312" w:hAnsi="仿宋_GB2312" w:eastAsia="仿宋_GB2312" w:cs="仿宋_GB2312"/>
          <w:kern w:val="2"/>
          <w:sz w:val="32"/>
          <w:szCs w:val="32"/>
        </w:rPr>
        <w:t>为一级部门预算的财政全额保障参公事业</w:t>
      </w:r>
      <w:r>
        <w:rPr>
          <w:rFonts w:hint="eastAsia" w:ascii="仿宋_GB2312" w:hAnsi="仿宋_GB2312" w:eastAsia="仿宋_GB2312" w:cs="仿宋_GB2312"/>
          <w:color w:val="222222"/>
          <w:sz w:val="32"/>
          <w:szCs w:val="32"/>
        </w:rPr>
        <w:t>单位，</w:t>
      </w:r>
      <w:r>
        <w:rPr>
          <w:rFonts w:hint="eastAsia" w:ascii="仿宋_GB2312" w:hAnsi="仿宋_GB2312" w:eastAsia="仿宋_GB2312" w:cs="仿宋_GB2312"/>
          <w:kern w:val="2"/>
          <w:sz w:val="32"/>
          <w:szCs w:val="32"/>
        </w:rPr>
        <w:t>根据县编办核定，我社内设股室6个，全部纳入部门预算编制范围。</w:t>
      </w:r>
    </w:p>
    <w:p>
      <w:pPr>
        <w:spacing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内设股室分别是</w:t>
      </w:r>
      <w:r>
        <w:rPr>
          <w:rFonts w:hint="eastAsia" w:ascii="仿宋_GB2312" w:hAnsi="仿宋_GB2312" w:eastAsia="仿宋_GB2312" w:cs="仿宋_GB2312"/>
          <w:sz w:val="32"/>
          <w:szCs w:val="32"/>
        </w:rPr>
        <w:t>办公室、财务股、政工股、经贸股和合作指导股、平安办。</w:t>
      </w:r>
    </w:p>
    <w:p>
      <w:pPr>
        <w:spacing w:line="596" w:lineRule="exact"/>
        <w:ind w:firstLine="640" w:firstLineChars="200"/>
        <w:rPr>
          <w:rFonts w:ascii="仿宋_GB2312" w:hAnsi="仿宋_GB2312" w:eastAsia="仿宋_GB2312" w:cs="仿宋_GB2312"/>
          <w:color w:val="222222"/>
          <w:sz w:val="32"/>
          <w:szCs w:val="32"/>
        </w:rPr>
      </w:pPr>
      <w:r>
        <w:rPr>
          <w:rFonts w:hint="eastAsia" w:ascii="仿宋_GB2312" w:hAnsi="仿宋_GB2312" w:eastAsia="仿宋_GB2312" w:cs="仿宋_GB2312"/>
          <w:sz w:val="32"/>
          <w:szCs w:val="32"/>
        </w:rPr>
        <w:t>2021年定编合计22人</w:t>
      </w:r>
      <w:r>
        <w:rPr>
          <w:rFonts w:hint="eastAsia" w:ascii="仿宋_GB2312" w:hAnsi="仿宋_GB2312" w:eastAsia="仿宋_GB2312" w:cs="仿宋_GB2312"/>
          <w:sz w:val="28"/>
          <w:szCs w:val="28"/>
        </w:rPr>
        <w:t>（公务员编制20人，事业编制2人）</w:t>
      </w:r>
      <w:r>
        <w:rPr>
          <w:rFonts w:hint="eastAsia" w:ascii="仿宋_GB2312" w:hAnsi="仿宋_GB2312" w:eastAsia="仿宋_GB2312" w:cs="仿宋_GB2312"/>
          <w:sz w:val="32"/>
          <w:szCs w:val="32"/>
        </w:rPr>
        <w:t>，年末实有人数22人</w:t>
      </w:r>
      <w:r>
        <w:rPr>
          <w:rFonts w:hint="eastAsia" w:ascii="仿宋_GB2312" w:hAnsi="仿宋_GB2312" w:eastAsia="仿宋_GB2312" w:cs="仿宋_GB2312"/>
          <w:color w:val="222222"/>
          <w:sz w:val="32"/>
          <w:szCs w:val="32"/>
        </w:rPr>
        <w:t>。</w:t>
      </w:r>
    </w:p>
    <w:p>
      <w:pPr>
        <w:widowControl/>
        <w:spacing w:line="596" w:lineRule="exact"/>
        <w:ind w:firstLine="643" w:firstLineChars="200"/>
        <w:rPr>
          <w:rFonts w:ascii="仿宋_GB2312" w:hAnsi="仿宋_GB2312" w:eastAsia="仿宋_GB2312" w:cs="仿宋_GB2312"/>
          <w:b/>
          <w:color w:val="222222"/>
          <w:sz w:val="32"/>
          <w:szCs w:val="32"/>
        </w:rPr>
      </w:pPr>
      <w:r>
        <w:rPr>
          <w:rFonts w:hint="eastAsia" w:ascii="仿宋_GB2312" w:hAnsi="仿宋_GB2312" w:eastAsia="仿宋_GB2312" w:cs="仿宋_GB2312"/>
          <w:b/>
          <w:color w:val="222222"/>
          <w:sz w:val="32"/>
          <w:szCs w:val="32"/>
        </w:rPr>
        <w:t>（二）职能职责</w:t>
      </w:r>
    </w:p>
    <w:p>
      <w:pPr>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澧县供销合作社联合社的职责是为供销合作社健康发展提供管理保障，基层供销社改革和发展指导实施，农业生产资料、农产品经营组织协调和管理，供销社系统资产经营、管理指导和监督，为“三农”提供综合服务。</w:t>
      </w:r>
    </w:p>
    <w:p>
      <w:pPr>
        <w:widowControl/>
        <w:spacing w:line="596" w:lineRule="exact"/>
        <w:ind w:firstLine="643" w:firstLineChars="200"/>
        <w:rPr>
          <w:rFonts w:ascii="仿宋_GB2312" w:hAnsi="仿宋_GB2312" w:eastAsia="仿宋_GB2312" w:cs="仿宋_GB2312"/>
          <w:b/>
          <w:color w:val="222222"/>
          <w:sz w:val="32"/>
          <w:szCs w:val="32"/>
        </w:rPr>
      </w:pPr>
      <w:r>
        <w:rPr>
          <w:rFonts w:hint="eastAsia" w:ascii="仿宋_GB2312" w:hAnsi="仿宋_GB2312" w:eastAsia="仿宋_GB2312" w:cs="仿宋_GB2312"/>
          <w:b/>
          <w:color w:val="222222"/>
          <w:sz w:val="32"/>
          <w:szCs w:val="32"/>
        </w:rPr>
        <w:t>（三）部门整体支出情况</w:t>
      </w:r>
    </w:p>
    <w:p>
      <w:pPr>
        <w:widowControl/>
        <w:spacing w:line="59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2021年度部门预算收入594.82万元，年内预算调整484.86万元，决算收入484.86万元，其中：一般公共预算拨款收入484.86万元。</w:t>
      </w:r>
    </w:p>
    <w:p>
      <w:pPr>
        <w:widowControl/>
        <w:spacing w:line="59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2021年部门预算支出594.82万元，其中：基本支出299.8万元，项目支出295.02万元；部门</w:t>
      </w:r>
      <w:r>
        <w:rPr>
          <w:rFonts w:hint="eastAsia" w:ascii="仿宋_GB2312" w:hAnsi="仿宋_GB2312" w:eastAsia="仿宋_GB2312" w:cs="仿宋_GB2312"/>
          <w:color w:val="000000"/>
          <w:sz w:val="32"/>
          <w:szCs w:val="32"/>
        </w:rPr>
        <w:t>决算支出484.86万元，其中：基本支出291.83万元；项目支出193.03万元。基本支出中人员经费支出275.83万元；日常公用经费支出16万元。</w:t>
      </w:r>
    </w:p>
    <w:p>
      <w:pPr>
        <w:widowControl/>
        <w:spacing w:line="596" w:lineRule="exact"/>
        <w:ind w:firstLine="640" w:firstLineChars="200"/>
        <w:rPr>
          <w:rFonts w:ascii="仿宋_GB2312" w:hAnsi="仿宋_GB2312" w:eastAsia="仿宋_GB2312" w:cs="仿宋_GB2312"/>
          <w:color w:val="222222"/>
          <w:sz w:val="32"/>
          <w:szCs w:val="32"/>
        </w:rPr>
      </w:pPr>
      <w:r>
        <w:rPr>
          <w:rFonts w:hint="eastAsia" w:ascii="仿宋_GB2312" w:hAnsi="仿宋_GB2312" w:eastAsia="仿宋_GB2312" w:cs="仿宋_GB2312"/>
          <w:sz w:val="32"/>
          <w:szCs w:val="32"/>
        </w:rPr>
        <w:t>详见附件：部门整体支出明细表</w:t>
      </w:r>
    </w:p>
    <w:p>
      <w:pPr>
        <w:widowControl/>
        <w:tabs>
          <w:tab w:val="left" w:pos="3080"/>
        </w:tabs>
        <w:spacing w:line="640" w:lineRule="exact"/>
        <w:ind w:firstLine="640" w:firstLineChars="200"/>
        <w:jc w:val="center"/>
        <w:rPr>
          <w:rFonts w:ascii="仿宋_GB2312" w:hAnsi="仿宋_GB2312" w:eastAsia="仿宋_GB2312" w:cs="仿宋_GB2312"/>
          <w:color w:val="000000"/>
          <w:sz w:val="32"/>
          <w:szCs w:val="32"/>
        </w:rPr>
      </w:pPr>
    </w:p>
    <w:p>
      <w:pPr>
        <w:widowControl/>
        <w:tabs>
          <w:tab w:val="left" w:pos="3080"/>
        </w:tabs>
        <w:spacing w:line="640" w:lineRule="exact"/>
        <w:ind w:firstLine="640" w:firstLineChars="200"/>
        <w:jc w:val="center"/>
        <w:rPr>
          <w:rFonts w:ascii="仿宋_GB2312" w:hAnsi="仿宋_GB2312" w:eastAsia="仿宋_GB2312" w:cs="仿宋_GB2312"/>
          <w:color w:val="000000"/>
          <w:sz w:val="32"/>
          <w:szCs w:val="32"/>
        </w:rPr>
      </w:pPr>
    </w:p>
    <w:p>
      <w:pPr>
        <w:widowControl/>
        <w:tabs>
          <w:tab w:val="left" w:pos="3080"/>
        </w:tabs>
        <w:spacing w:line="640" w:lineRule="exact"/>
        <w:ind w:firstLine="640" w:firstLineChars="20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2021年度部门预、决算收支表</w:t>
      </w:r>
    </w:p>
    <w:p>
      <w:pPr>
        <w:widowControl/>
        <w:tabs>
          <w:tab w:val="left" w:pos="3080"/>
        </w:tabs>
        <w:spacing w:line="6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（万元）</w:t>
      </w:r>
    </w:p>
    <w:tbl>
      <w:tblPr>
        <w:tblStyle w:val="5"/>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2136"/>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545" w:type="dxa"/>
            <w:noWrap/>
          </w:tcPr>
          <w:p>
            <w:pPr>
              <w:snapToGrid w:val="0"/>
              <w:spacing w:line="52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功能科目</w:t>
            </w:r>
          </w:p>
        </w:tc>
        <w:tc>
          <w:tcPr>
            <w:tcW w:w="2136" w:type="dxa"/>
            <w:noWrap/>
          </w:tcPr>
          <w:p>
            <w:pPr>
              <w:snapToGrid w:val="0"/>
              <w:spacing w:line="52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预算金额</w:t>
            </w:r>
          </w:p>
        </w:tc>
        <w:tc>
          <w:tcPr>
            <w:tcW w:w="3132" w:type="dxa"/>
            <w:noWrap/>
          </w:tcPr>
          <w:p>
            <w:pPr>
              <w:snapToGrid w:val="0"/>
              <w:spacing w:line="52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决算金额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545" w:type="dxa"/>
            <w:noWrap/>
          </w:tcPr>
          <w:p>
            <w:pPr>
              <w:snapToGrid w:val="0"/>
              <w:spacing w:line="520" w:lineRule="exact"/>
              <w:rPr>
                <w:rFonts w:ascii="仿宋_GB2312" w:hAnsi="仿宋" w:eastAsia="仿宋_GB2312" w:cs="Times New Roman"/>
                <w:sz w:val="28"/>
                <w:szCs w:val="28"/>
              </w:rPr>
            </w:pPr>
            <w:r>
              <w:rPr>
                <w:rFonts w:hint="eastAsia" w:ascii="仿宋_GB2312" w:hAnsi="仿宋" w:eastAsia="仿宋_GB2312" w:cs="Times New Roman"/>
                <w:sz w:val="28"/>
                <w:szCs w:val="28"/>
              </w:rPr>
              <w:t>一般公共服务支出</w:t>
            </w:r>
          </w:p>
        </w:tc>
        <w:tc>
          <w:tcPr>
            <w:tcW w:w="2136" w:type="dxa"/>
            <w:noWrap/>
          </w:tcPr>
          <w:p>
            <w:pPr>
              <w:snapToGrid w:val="0"/>
              <w:spacing w:line="520" w:lineRule="exact"/>
              <w:jc w:val="center"/>
              <w:rPr>
                <w:rFonts w:ascii="仿宋_GB2312" w:hAnsi="仿宋" w:eastAsia="仿宋_GB2312" w:cs="Times New Roman"/>
                <w:sz w:val="28"/>
                <w:szCs w:val="28"/>
              </w:rPr>
            </w:pPr>
          </w:p>
        </w:tc>
        <w:tc>
          <w:tcPr>
            <w:tcW w:w="3132" w:type="dxa"/>
            <w:noWrap/>
          </w:tcPr>
          <w:p>
            <w:pPr>
              <w:snapToGrid w:val="0"/>
              <w:spacing w:line="520" w:lineRule="exact"/>
              <w:jc w:val="center"/>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545" w:type="dxa"/>
            <w:noWrap/>
          </w:tcPr>
          <w:p>
            <w:pPr>
              <w:snapToGrid w:val="0"/>
              <w:spacing w:line="520" w:lineRule="exact"/>
              <w:rPr>
                <w:rFonts w:ascii="仿宋_GB2312" w:hAnsi="仿宋" w:eastAsia="仿宋_GB2312" w:cs="Times New Roman"/>
                <w:sz w:val="28"/>
                <w:szCs w:val="28"/>
              </w:rPr>
            </w:pPr>
            <w:r>
              <w:rPr>
                <w:rFonts w:hint="eastAsia" w:ascii="仿宋_GB2312" w:hAnsi="仿宋" w:eastAsia="仿宋_GB2312" w:cs="Times New Roman"/>
                <w:sz w:val="28"/>
                <w:szCs w:val="28"/>
              </w:rPr>
              <w:t>社会保障和就业支出</w:t>
            </w:r>
          </w:p>
        </w:tc>
        <w:tc>
          <w:tcPr>
            <w:tcW w:w="2136" w:type="dxa"/>
            <w:noWrap/>
          </w:tcPr>
          <w:p>
            <w:pPr>
              <w:snapToGrid w:val="0"/>
              <w:spacing w:line="52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23.41</w:t>
            </w:r>
          </w:p>
        </w:tc>
        <w:tc>
          <w:tcPr>
            <w:tcW w:w="3132" w:type="dxa"/>
            <w:noWrap/>
          </w:tcPr>
          <w:p>
            <w:pPr>
              <w:snapToGrid w:val="0"/>
              <w:spacing w:line="52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23.41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545" w:type="dxa"/>
            <w:noWrap/>
          </w:tcPr>
          <w:p>
            <w:pPr>
              <w:snapToGrid w:val="0"/>
              <w:spacing w:line="520" w:lineRule="exact"/>
              <w:rPr>
                <w:rFonts w:ascii="仿宋_GB2312" w:hAnsi="仿宋" w:eastAsia="仿宋_GB2312" w:cs="Times New Roman"/>
                <w:sz w:val="28"/>
                <w:szCs w:val="28"/>
              </w:rPr>
            </w:pPr>
            <w:r>
              <w:rPr>
                <w:rFonts w:hint="eastAsia" w:ascii="仿宋_GB2312" w:hAnsi="仿宋" w:eastAsia="仿宋_GB2312" w:cs="Times New Roman"/>
                <w:sz w:val="28"/>
                <w:szCs w:val="28"/>
              </w:rPr>
              <w:t>文化旅游与传媒支出</w:t>
            </w:r>
          </w:p>
        </w:tc>
        <w:tc>
          <w:tcPr>
            <w:tcW w:w="2136" w:type="dxa"/>
            <w:noWrap/>
          </w:tcPr>
          <w:p>
            <w:pPr>
              <w:snapToGrid w:val="0"/>
              <w:spacing w:line="520" w:lineRule="exact"/>
              <w:jc w:val="center"/>
              <w:rPr>
                <w:rFonts w:ascii="仿宋_GB2312" w:hAnsi="仿宋" w:eastAsia="仿宋_GB2312" w:cs="Times New Roman"/>
                <w:sz w:val="28"/>
                <w:szCs w:val="28"/>
              </w:rPr>
            </w:pPr>
          </w:p>
        </w:tc>
        <w:tc>
          <w:tcPr>
            <w:tcW w:w="3132" w:type="dxa"/>
            <w:noWrap/>
          </w:tcPr>
          <w:p>
            <w:pPr>
              <w:snapToGrid w:val="0"/>
              <w:spacing w:line="52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545" w:type="dxa"/>
            <w:noWrap/>
          </w:tcPr>
          <w:p>
            <w:pPr>
              <w:snapToGrid w:val="0"/>
              <w:spacing w:line="520" w:lineRule="exact"/>
              <w:rPr>
                <w:rFonts w:ascii="仿宋_GB2312" w:hAnsi="仿宋" w:eastAsia="仿宋_GB2312" w:cs="Times New Roman"/>
                <w:sz w:val="28"/>
                <w:szCs w:val="28"/>
              </w:rPr>
            </w:pPr>
            <w:r>
              <w:rPr>
                <w:rFonts w:hint="eastAsia" w:ascii="仿宋_GB2312" w:hAnsi="仿宋" w:eastAsia="仿宋_GB2312" w:cs="Times New Roman"/>
                <w:sz w:val="28"/>
                <w:szCs w:val="28"/>
              </w:rPr>
              <w:t>卫生健康支出</w:t>
            </w:r>
          </w:p>
        </w:tc>
        <w:tc>
          <w:tcPr>
            <w:tcW w:w="2136" w:type="dxa"/>
            <w:noWrap/>
          </w:tcPr>
          <w:p>
            <w:pPr>
              <w:snapToGrid w:val="0"/>
              <w:spacing w:line="52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10.97</w:t>
            </w:r>
          </w:p>
        </w:tc>
        <w:tc>
          <w:tcPr>
            <w:tcW w:w="3132" w:type="dxa"/>
            <w:noWrap/>
          </w:tcPr>
          <w:p>
            <w:pPr>
              <w:snapToGrid w:val="0"/>
              <w:spacing w:line="52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10.97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545" w:type="dxa"/>
            <w:noWrap/>
          </w:tcPr>
          <w:p>
            <w:pPr>
              <w:snapToGrid w:val="0"/>
              <w:spacing w:line="520" w:lineRule="exact"/>
              <w:rPr>
                <w:rFonts w:ascii="仿宋_GB2312" w:hAnsi="仿宋" w:eastAsia="仿宋_GB2312" w:cs="Times New Roman"/>
                <w:sz w:val="28"/>
                <w:szCs w:val="28"/>
              </w:rPr>
            </w:pPr>
            <w:r>
              <w:rPr>
                <w:rFonts w:hint="eastAsia" w:ascii="仿宋_GB2312" w:hAnsi="仿宋" w:eastAsia="仿宋_GB2312" w:cs="Times New Roman"/>
                <w:sz w:val="28"/>
                <w:szCs w:val="28"/>
              </w:rPr>
              <w:t>住房保障支出</w:t>
            </w:r>
          </w:p>
        </w:tc>
        <w:tc>
          <w:tcPr>
            <w:tcW w:w="2136" w:type="dxa"/>
            <w:noWrap/>
          </w:tcPr>
          <w:p>
            <w:pPr>
              <w:snapToGrid w:val="0"/>
              <w:spacing w:line="52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17.55</w:t>
            </w:r>
          </w:p>
        </w:tc>
        <w:tc>
          <w:tcPr>
            <w:tcW w:w="3132" w:type="dxa"/>
            <w:noWrap/>
          </w:tcPr>
          <w:p>
            <w:pPr>
              <w:snapToGrid w:val="0"/>
              <w:spacing w:line="52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17.55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545" w:type="dxa"/>
            <w:noWrap/>
          </w:tcPr>
          <w:p>
            <w:pPr>
              <w:snapToGrid w:val="0"/>
              <w:spacing w:line="520" w:lineRule="exact"/>
              <w:rPr>
                <w:rFonts w:ascii="仿宋_GB2312" w:hAnsi="仿宋" w:eastAsia="仿宋_GB2312" w:cs="Times New Roman"/>
                <w:sz w:val="28"/>
                <w:szCs w:val="28"/>
              </w:rPr>
            </w:pPr>
            <w:r>
              <w:rPr>
                <w:rFonts w:hint="eastAsia" w:ascii="仿宋_GB2312" w:hAnsi="仿宋" w:eastAsia="仿宋_GB2312" w:cs="Times New Roman"/>
                <w:sz w:val="28"/>
                <w:szCs w:val="28"/>
              </w:rPr>
              <w:t>资源勘探工业信息等支出</w:t>
            </w:r>
          </w:p>
        </w:tc>
        <w:tc>
          <w:tcPr>
            <w:tcW w:w="2136" w:type="dxa"/>
            <w:noWrap/>
          </w:tcPr>
          <w:p>
            <w:pPr>
              <w:snapToGrid w:val="0"/>
              <w:spacing w:line="520" w:lineRule="exact"/>
              <w:jc w:val="center"/>
              <w:rPr>
                <w:rFonts w:ascii="仿宋_GB2312" w:hAnsi="仿宋" w:eastAsia="仿宋_GB2312" w:cs="Times New Roman"/>
                <w:sz w:val="28"/>
                <w:szCs w:val="28"/>
              </w:rPr>
            </w:pPr>
          </w:p>
        </w:tc>
        <w:tc>
          <w:tcPr>
            <w:tcW w:w="3132" w:type="dxa"/>
            <w:noWrap/>
          </w:tcPr>
          <w:p>
            <w:pPr>
              <w:snapToGrid w:val="0"/>
              <w:spacing w:line="520" w:lineRule="exact"/>
              <w:jc w:val="center"/>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noWrap/>
          </w:tcPr>
          <w:p>
            <w:pPr>
              <w:snapToGrid w:val="0"/>
              <w:spacing w:line="520" w:lineRule="exact"/>
              <w:rPr>
                <w:rFonts w:ascii="仿宋_GB2312" w:hAnsi="仿宋" w:eastAsia="仿宋_GB2312" w:cs="Times New Roman"/>
                <w:sz w:val="28"/>
                <w:szCs w:val="28"/>
              </w:rPr>
            </w:pPr>
            <w:r>
              <w:rPr>
                <w:rFonts w:hint="eastAsia" w:ascii="仿宋_GB2312" w:hAnsi="仿宋" w:eastAsia="仿宋_GB2312" w:cs="Times New Roman"/>
                <w:sz w:val="28"/>
                <w:szCs w:val="28"/>
              </w:rPr>
              <w:t>商业服务业等支出</w:t>
            </w:r>
          </w:p>
        </w:tc>
        <w:tc>
          <w:tcPr>
            <w:tcW w:w="2136" w:type="dxa"/>
            <w:noWrap/>
          </w:tcPr>
          <w:p>
            <w:pPr>
              <w:snapToGrid w:val="0"/>
              <w:spacing w:line="52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542.89</w:t>
            </w:r>
          </w:p>
        </w:tc>
        <w:tc>
          <w:tcPr>
            <w:tcW w:w="3132" w:type="dxa"/>
            <w:noWrap/>
          </w:tcPr>
          <w:p>
            <w:pPr>
              <w:snapToGrid w:val="0"/>
              <w:spacing w:line="52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noWrap/>
          </w:tcPr>
          <w:p>
            <w:pPr>
              <w:snapToGrid w:val="0"/>
              <w:spacing w:line="520" w:lineRule="exact"/>
              <w:rPr>
                <w:rFonts w:ascii="仿宋_GB2312" w:hAnsi="仿宋" w:eastAsia="仿宋_GB2312" w:cs="Times New Roman"/>
                <w:sz w:val="28"/>
                <w:szCs w:val="28"/>
              </w:rPr>
            </w:pPr>
            <w:r>
              <w:rPr>
                <w:rFonts w:hint="eastAsia" w:ascii="仿宋_GB2312" w:hAnsi="仿宋" w:eastAsia="仿宋_GB2312" w:cs="Times New Roman"/>
                <w:sz w:val="28"/>
                <w:szCs w:val="28"/>
              </w:rPr>
              <w:t>国有资本经营预算支出</w:t>
            </w:r>
          </w:p>
        </w:tc>
        <w:tc>
          <w:tcPr>
            <w:tcW w:w="2136" w:type="dxa"/>
            <w:noWrap/>
          </w:tcPr>
          <w:p>
            <w:pPr>
              <w:snapToGrid w:val="0"/>
              <w:spacing w:line="520" w:lineRule="exact"/>
              <w:jc w:val="center"/>
              <w:rPr>
                <w:rFonts w:ascii="仿宋_GB2312" w:hAnsi="仿宋" w:eastAsia="仿宋_GB2312" w:cs="Times New Roman"/>
                <w:sz w:val="28"/>
                <w:szCs w:val="28"/>
              </w:rPr>
            </w:pPr>
          </w:p>
        </w:tc>
        <w:tc>
          <w:tcPr>
            <w:tcW w:w="3132" w:type="dxa"/>
            <w:noWrap/>
          </w:tcPr>
          <w:p>
            <w:pPr>
              <w:snapToGrid w:val="0"/>
              <w:spacing w:line="520" w:lineRule="exact"/>
              <w:jc w:val="center"/>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noWrap/>
          </w:tcPr>
          <w:p>
            <w:pPr>
              <w:snapToGrid w:val="0"/>
              <w:spacing w:line="520" w:lineRule="exact"/>
              <w:rPr>
                <w:rFonts w:ascii="仿宋_GB2312" w:hAnsi="仿宋" w:eastAsia="仿宋_GB2312" w:cs="Times New Roman"/>
                <w:sz w:val="28"/>
                <w:szCs w:val="28"/>
              </w:rPr>
            </w:pPr>
            <w:r>
              <w:rPr>
                <w:rFonts w:hint="eastAsia" w:ascii="仿宋_GB2312" w:hAnsi="仿宋" w:eastAsia="仿宋_GB2312" w:cs="Times New Roman"/>
                <w:sz w:val="28"/>
                <w:szCs w:val="28"/>
              </w:rPr>
              <w:t>其他支出</w:t>
            </w:r>
          </w:p>
        </w:tc>
        <w:tc>
          <w:tcPr>
            <w:tcW w:w="2136" w:type="dxa"/>
            <w:noWrap/>
          </w:tcPr>
          <w:p>
            <w:pPr>
              <w:snapToGrid w:val="0"/>
              <w:spacing w:line="520" w:lineRule="exact"/>
              <w:jc w:val="center"/>
              <w:rPr>
                <w:rFonts w:ascii="仿宋_GB2312" w:hAnsi="仿宋" w:eastAsia="仿宋_GB2312" w:cs="Times New Roman"/>
                <w:sz w:val="28"/>
                <w:szCs w:val="28"/>
              </w:rPr>
            </w:pPr>
          </w:p>
        </w:tc>
        <w:tc>
          <w:tcPr>
            <w:tcW w:w="3132" w:type="dxa"/>
            <w:noWrap/>
          </w:tcPr>
          <w:p>
            <w:pPr>
              <w:snapToGrid w:val="0"/>
              <w:spacing w:line="52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44.23</w:t>
            </w:r>
          </w:p>
        </w:tc>
      </w:tr>
    </w:tbl>
    <w:p>
      <w:pPr>
        <w:widowControl/>
        <w:spacing w:line="560" w:lineRule="exact"/>
        <w:ind w:left="64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222222"/>
          <w:sz w:val="32"/>
          <w:szCs w:val="32"/>
        </w:rPr>
        <w:t>（四）“三公经费”支出使用和管理情况</w:t>
      </w:r>
    </w:p>
    <w:p>
      <w:pPr>
        <w:spacing w:line="640" w:lineRule="exact"/>
        <w:ind w:firstLine="640" w:firstLineChars="20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2021年度“三公”经费支出情况表</w:t>
      </w:r>
    </w:p>
    <w:p>
      <w:pPr>
        <w:spacing w:line="640" w:lineRule="exact"/>
        <w:ind w:firstLine="640" w:firstLineChars="200"/>
        <w:jc w:val="right"/>
        <w:rPr>
          <w:rFonts w:ascii="仿宋" w:hAnsi="仿宋" w:eastAsia="仿宋" w:cs="仿宋"/>
          <w:color w:val="000000"/>
          <w:sz w:val="32"/>
          <w:szCs w:val="32"/>
        </w:rPr>
      </w:pPr>
      <w:r>
        <w:rPr>
          <w:rFonts w:hint="eastAsia" w:ascii="仿宋" w:hAnsi="仿宋" w:eastAsia="仿宋" w:cs="仿宋"/>
          <w:color w:val="000000"/>
          <w:sz w:val="32"/>
          <w:szCs w:val="32"/>
        </w:rPr>
        <w:t xml:space="preserve">单位：万元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9"/>
        <w:gridCol w:w="1759"/>
        <w:gridCol w:w="1759"/>
        <w:gridCol w:w="176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759" w:type="dxa"/>
            <w:noWrap/>
            <w:vAlign w:val="center"/>
          </w:tcPr>
          <w:p>
            <w:pPr>
              <w:snapToGrid w:val="0"/>
              <w:spacing w:line="52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年度</w:t>
            </w:r>
          </w:p>
        </w:tc>
        <w:tc>
          <w:tcPr>
            <w:tcW w:w="1759" w:type="dxa"/>
            <w:noWrap/>
            <w:vAlign w:val="center"/>
          </w:tcPr>
          <w:p>
            <w:pPr>
              <w:snapToGrid w:val="0"/>
              <w:spacing w:line="52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“三公”经费合计</w:t>
            </w:r>
          </w:p>
        </w:tc>
        <w:tc>
          <w:tcPr>
            <w:tcW w:w="1759" w:type="dxa"/>
            <w:noWrap/>
            <w:vAlign w:val="center"/>
          </w:tcPr>
          <w:p>
            <w:pPr>
              <w:snapToGrid w:val="0"/>
              <w:spacing w:line="52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因公出国（境）费用</w:t>
            </w:r>
          </w:p>
        </w:tc>
        <w:tc>
          <w:tcPr>
            <w:tcW w:w="1760" w:type="dxa"/>
            <w:noWrap/>
            <w:vAlign w:val="center"/>
          </w:tcPr>
          <w:p>
            <w:pPr>
              <w:snapToGrid w:val="0"/>
              <w:spacing w:line="52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公务用车运行维护</w:t>
            </w:r>
          </w:p>
        </w:tc>
        <w:tc>
          <w:tcPr>
            <w:tcW w:w="1760" w:type="dxa"/>
            <w:noWrap/>
            <w:vAlign w:val="center"/>
          </w:tcPr>
          <w:p>
            <w:pPr>
              <w:snapToGrid w:val="0"/>
              <w:spacing w:line="52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759" w:type="dxa"/>
            <w:noWrap/>
            <w:vAlign w:val="center"/>
          </w:tcPr>
          <w:p>
            <w:pPr>
              <w:snapToGrid w:val="0"/>
              <w:spacing w:line="52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2020</w:t>
            </w:r>
          </w:p>
        </w:tc>
        <w:tc>
          <w:tcPr>
            <w:tcW w:w="1759" w:type="dxa"/>
            <w:noWrap/>
            <w:vAlign w:val="center"/>
          </w:tcPr>
          <w:p>
            <w:pPr>
              <w:snapToGrid w:val="0"/>
              <w:spacing w:line="52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1.3</w:t>
            </w:r>
          </w:p>
        </w:tc>
        <w:tc>
          <w:tcPr>
            <w:tcW w:w="1759" w:type="dxa"/>
            <w:noWrap/>
            <w:vAlign w:val="center"/>
          </w:tcPr>
          <w:p>
            <w:pPr>
              <w:snapToGrid w:val="0"/>
              <w:spacing w:line="52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0</w:t>
            </w:r>
          </w:p>
        </w:tc>
        <w:tc>
          <w:tcPr>
            <w:tcW w:w="1760" w:type="dxa"/>
            <w:noWrap/>
            <w:vAlign w:val="center"/>
          </w:tcPr>
          <w:p>
            <w:pPr>
              <w:snapToGrid w:val="0"/>
              <w:spacing w:line="52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0</w:t>
            </w:r>
          </w:p>
        </w:tc>
        <w:tc>
          <w:tcPr>
            <w:tcW w:w="1760" w:type="dxa"/>
            <w:noWrap/>
            <w:vAlign w:val="center"/>
          </w:tcPr>
          <w:p>
            <w:pPr>
              <w:snapToGrid w:val="0"/>
              <w:spacing w:line="52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759" w:type="dxa"/>
            <w:noWrap/>
            <w:vAlign w:val="center"/>
          </w:tcPr>
          <w:p>
            <w:pPr>
              <w:snapToGrid w:val="0"/>
              <w:spacing w:line="52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2021</w:t>
            </w:r>
          </w:p>
        </w:tc>
        <w:tc>
          <w:tcPr>
            <w:tcW w:w="1759" w:type="dxa"/>
            <w:noWrap/>
            <w:vAlign w:val="center"/>
          </w:tcPr>
          <w:p>
            <w:pPr>
              <w:snapToGrid w:val="0"/>
              <w:spacing w:line="52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1.2</w:t>
            </w:r>
          </w:p>
        </w:tc>
        <w:tc>
          <w:tcPr>
            <w:tcW w:w="1759" w:type="dxa"/>
            <w:noWrap/>
            <w:vAlign w:val="center"/>
          </w:tcPr>
          <w:p>
            <w:pPr>
              <w:snapToGrid w:val="0"/>
              <w:spacing w:line="52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0</w:t>
            </w:r>
          </w:p>
        </w:tc>
        <w:tc>
          <w:tcPr>
            <w:tcW w:w="1760" w:type="dxa"/>
            <w:noWrap/>
            <w:vAlign w:val="center"/>
          </w:tcPr>
          <w:p>
            <w:pPr>
              <w:snapToGrid w:val="0"/>
              <w:spacing w:line="52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0</w:t>
            </w:r>
          </w:p>
        </w:tc>
        <w:tc>
          <w:tcPr>
            <w:tcW w:w="1760" w:type="dxa"/>
            <w:noWrap/>
            <w:vAlign w:val="center"/>
          </w:tcPr>
          <w:p>
            <w:pPr>
              <w:snapToGrid w:val="0"/>
              <w:spacing w:line="52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759" w:type="dxa"/>
            <w:noWrap/>
            <w:vAlign w:val="center"/>
          </w:tcPr>
          <w:p>
            <w:pPr>
              <w:snapToGrid w:val="0"/>
              <w:spacing w:line="52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增减率</w:t>
            </w:r>
          </w:p>
        </w:tc>
        <w:tc>
          <w:tcPr>
            <w:tcW w:w="1759" w:type="dxa"/>
            <w:noWrap/>
            <w:vAlign w:val="center"/>
          </w:tcPr>
          <w:p>
            <w:pPr>
              <w:snapToGrid w:val="0"/>
              <w:spacing w:line="52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-7.69%</w:t>
            </w:r>
          </w:p>
        </w:tc>
        <w:tc>
          <w:tcPr>
            <w:tcW w:w="1759" w:type="dxa"/>
            <w:noWrap/>
            <w:vAlign w:val="center"/>
          </w:tcPr>
          <w:p>
            <w:pPr>
              <w:snapToGrid w:val="0"/>
              <w:spacing w:line="520" w:lineRule="exact"/>
              <w:jc w:val="center"/>
              <w:rPr>
                <w:rFonts w:ascii="仿宋_GB2312" w:hAnsi="仿宋" w:eastAsia="仿宋_GB2312" w:cs="Times New Roman"/>
                <w:sz w:val="28"/>
                <w:szCs w:val="28"/>
              </w:rPr>
            </w:pPr>
          </w:p>
        </w:tc>
        <w:tc>
          <w:tcPr>
            <w:tcW w:w="1760" w:type="dxa"/>
            <w:noWrap/>
            <w:vAlign w:val="center"/>
          </w:tcPr>
          <w:p>
            <w:pPr>
              <w:snapToGrid w:val="0"/>
              <w:spacing w:line="520" w:lineRule="exact"/>
              <w:jc w:val="center"/>
              <w:rPr>
                <w:rFonts w:ascii="仿宋_GB2312" w:hAnsi="仿宋" w:eastAsia="仿宋_GB2312" w:cs="Times New Roman"/>
                <w:sz w:val="28"/>
                <w:szCs w:val="28"/>
              </w:rPr>
            </w:pPr>
          </w:p>
        </w:tc>
        <w:tc>
          <w:tcPr>
            <w:tcW w:w="1760" w:type="dxa"/>
            <w:noWrap/>
            <w:vAlign w:val="center"/>
          </w:tcPr>
          <w:p>
            <w:pPr>
              <w:snapToGrid w:val="0"/>
              <w:spacing w:line="520" w:lineRule="exact"/>
              <w:jc w:val="center"/>
              <w:rPr>
                <w:rFonts w:ascii="仿宋_GB2312" w:hAnsi="仿宋" w:eastAsia="仿宋_GB2312" w:cs="Times New Roman"/>
                <w:sz w:val="28"/>
                <w:szCs w:val="28"/>
              </w:rPr>
            </w:pPr>
            <w:r>
              <w:rPr>
                <w:rFonts w:hint="eastAsia" w:ascii="仿宋_GB2312" w:hAnsi="仿宋" w:eastAsia="仿宋_GB2312" w:cs="Times New Roman"/>
                <w:sz w:val="28"/>
                <w:szCs w:val="28"/>
              </w:rPr>
              <w:t>-7.69%</w:t>
            </w:r>
          </w:p>
        </w:tc>
      </w:tr>
    </w:tbl>
    <w:p>
      <w:pPr>
        <w:spacing w:line="580" w:lineRule="exact"/>
        <w:ind w:firstLine="960" w:firstLineChars="300"/>
        <w:rPr>
          <w:rFonts w:ascii="仿宋" w:hAnsi="仿宋" w:eastAsia="仿宋" w:cs="黑体"/>
          <w:b/>
          <w:color w:val="222222"/>
          <w:sz w:val="32"/>
          <w:szCs w:val="32"/>
        </w:rPr>
      </w:pPr>
      <w:r>
        <w:rPr>
          <w:rFonts w:hint="eastAsia" w:ascii="仿宋" w:hAnsi="仿宋" w:eastAsia="仿宋" w:cs="仿宋"/>
          <w:sz w:val="32"/>
          <w:szCs w:val="32"/>
        </w:rPr>
        <w:t>从上表反映，我社2021年“三公”经费支出1.2万元，“三公”经费较上年下降7.69%，支出减少0.1万元。</w:t>
      </w:r>
    </w:p>
    <w:p>
      <w:pPr>
        <w:widowControl/>
        <w:spacing w:line="576" w:lineRule="exact"/>
        <w:ind w:firstLine="643" w:firstLineChars="200"/>
        <w:rPr>
          <w:rFonts w:ascii="仿宋_GB2312" w:hAnsi="仿宋_GB2312" w:eastAsia="仿宋_GB2312" w:cs="仿宋_GB2312"/>
          <w:b/>
          <w:color w:val="222222"/>
          <w:sz w:val="32"/>
          <w:szCs w:val="32"/>
        </w:rPr>
      </w:pPr>
    </w:p>
    <w:p>
      <w:pPr>
        <w:widowControl/>
        <w:spacing w:line="576" w:lineRule="exact"/>
        <w:ind w:firstLine="643" w:firstLineChars="200"/>
        <w:rPr>
          <w:rFonts w:ascii="仿宋_GB2312" w:hAnsi="仿宋_GB2312" w:eastAsia="仿宋_GB2312" w:cs="仿宋_GB2312"/>
          <w:b/>
          <w:color w:val="222222"/>
          <w:sz w:val="32"/>
          <w:szCs w:val="32"/>
        </w:rPr>
      </w:pPr>
    </w:p>
    <w:p>
      <w:pPr>
        <w:widowControl/>
        <w:spacing w:line="576" w:lineRule="exact"/>
        <w:ind w:firstLine="643" w:firstLineChars="200"/>
        <w:rPr>
          <w:rFonts w:ascii="仿宋_GB2312" w:hAnsi="仿宋_GB2312" w:eastAsia="仿宋_GB2312" w:cs="仿宋_GB2312"/>
          <w:b/>
          <w:color w:val="222222"/>
          <w:sz w:val="32"/>
          <w:szCs w:val="32"/>
        </w:rPr>
      </w:pPr>
      <w:r>
        <w:rPr>
          <w:rFonts w:hint="eastAsia" w:ascii="仿宋_GB2312" w:hAnsi="仿宋_GB2312" w:eastAsia="仿宋_GB2312" w:cs="仿宋_GB2312"/>
          <w:b/>
          <w:color w:val="222222"/>
          <w:sz w:val="32"/>
          <w:szCs w:val="32"/>
        </w:rPr>
        <w:t>（五）部门绩效目标</w:t>
      </w:r>
    </w:p>
    <w:p>
      <w:pPr>
        <w:widowControl/>
        <w:spacing w:line="576" w:lineRule="exact"/>
        <w:ind w:firstLine="640" w:firstLineChars="200"/>
        <w:rPr>
          <w:rFonts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1、部门绩效总目标</w:t>
      </w:r>
    </w:p>
    <w:p>
      <w:pPr>
        <w:widowControl/>
        <w:spacing w:line="576" w:lineRule="exact"/>
        <w:ind w:firstLine="640" w:firstLineChars="200"/>
        <w:rPr>
          <w:rFonts w:ascii="仿宋_GB2312" w:hAnsi="仿宋_GB2312" w:eastAsia="仿宋_GB2312" w:cs="仿宋_GB2312"/>
          <w:color w:val="222222"/>
          <w:sz w:val="32"/>
          <w:szCs w:val="32"/>
        </w:rPr>
      </w:pPr>
      <w:r>
        <w:rPr>
          <w:rFonts w:hint="eastAsia" w:ascii="仿宋_GB2312" w:hAnsi="仿宋_GB2312" w:eastAsia="仿宋_GB2312" w:cs="仿宋_GB2312"/>
          <w:sz w:val="32"/>
          <w:szCs w:val="32"/>
        </w:rPr>
        <w:t>大力发展供销基层组织，拓展服务领域。到2021年，建立一个县级供销信息服务中心网络服务平台，每个镇（街）建立一个惠农综合服务中心社，村级服务社，在村级（社区）中建立80%以上。处理好供销系统改制后各类遗留问题处理，处理好涉军群体、下岗特困群体等各类群体的安抚工作并落实相关政策，确保社会稳定。</w:t>
      </w:r>
    </w:p>
    <w:p>
      <w:pPr>
        <w:widowControl/>
        <w:spacing w:line="576" w:lineRule="exact"/>
        <w:ind w:firstLine="640" w:firstLineChars="200"/>
        <w:rPr>
          <w:rFonts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2、2021年度部门绩效目标</w:t>
      </w:r>
    </w:p>
    <w:p>
      <w:pPr>
        <w:widowControl/>
        <w:spacing w:line="576" w:lineRule="exact"/>
        <w:ind w:firstLine="640" w:firstLineChars="200"/>
        <w:rPr>
          <w:rFonts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搭建信息采集中心平台1个，扶持规模农产品基地建设4个，培育优质农产品经销商5个。全年实现销售1500万元、全年减少物流费用300万元。</w:t>
      </w:r>
    </w:p>
    <w:p>
      <w:pPr>
        <w:widowControl/>
        <w:spacing w:line="576" w:lineRule="exact"/>
        <w:ind w:firstLine="643" w:firstLineChars="200"/>
        <w:rPr>
          <w:rFonts w:ascii="仿宋_GB2312" w:hAnsi="仿宋_GB2312" w:eastAsia="仿宋_GB2312" w:cs="仿宋_GB2312"/>
          <w:b/>
          <w:color w:val="222222"/>
          <w:sz w:val="32"/>
          <w:szCs w:val="32"/>
        </w:rPr>
      </w:pPr>
      <w:r>
        <w:rPr>
          <w:rFonts w:hint="eastAsia" w:ascii="仿宋_GB2312" w:hAnsi="仿宋_GB2312" w:eastAsia="仿宋_GB2312" w:cs="仿宋_GB2312"/>
          <w:b/>
          <w:color w:val="222222"/>
          <w:sz w:val="32"/>
          <w:szCs w:val="32"/>
        </w:rPr>
        <w:t>（六）绩效自评工作情况</w:t>
      </w:r>
    </w:p>
    <w:p>
      <w:pPr>
        <w:widowControl/>
        <w:spacing w:line="576" w:lineRule="exact"/>
        <w:ind w:firstLine="640" w:firstLineChars="200"/>
        <w:rPr>
          <w:rFonts w:ascii="仿宋_GB2312" w:hAnsi="仿宋_GB2312" w:eastAsia="仿宋_GB2312" w:cs="仿宋_GB2312"/>
          <w:b/>
          <w:color w:val="222222"/>
          <w:sz w:val="32"/>
          <w:szCs w:val="32"/>
        </w:rPr>
      </w:pPr>
      <w:r>
        <w:rPr>
          <w:rFonts w:hint="eastAsia" w:ascii="仿宋_GB2312" w:hAnsi="仿宋_GB2312" w:eastAsia="仿宋_GB2312" w:cs="仿宋_GB2312"/>
          <w:sz w:val="32"/>
          <w:szCs w:val="32"/>
        </w:rPr>
        <w:t>我社成立了绩效自评工作领导小组，制定了绩效自评方案。对现代流通网络建设配套资金、供销综合改革、维稳资金使用范围及扶持对象进行跟踪调查。同时，还对扶持对象进行了抽样问卷调查。</w:t>
      </w:r>
    </w:p>
    <w:p>
      <w:pPr>
        <w:widowControl/>
        <w:spacing w:line="576"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（七）综合自评结果</w:t>
      </w:r>
    </w:p>
    <w:p>
      <w:pPr>
        <w:widowControl/>
        <w:spacing w:line="576"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sz w:val="32"/>
          <w:szCs w:val="32"/>
        </w:rPr>
        <w:t>现代流通网络建设配套资金、供销综合改革、维稳资金等专项资金在使用方面符合专项资金的支出范畴。</w:t>
      </w:r>
    </w:p>
    <w:p>
      <w:pPr>
        <w:spacing w:line="576" w:lineRule="exact"/>
        <w:ind w:firstLine="640" w:firstLineChars="200"/>
        <w:rPr>
          <w:rFonts w:ascii="黑体" w:hAnsi="黑体" w:eastAsia="黑体" w:cs="方正黑体简体"/>
          <w:sz w:val="32"/>
          <w:szCs w:val="32"/>
        </w:rPr>
      </w:pPr>
      <w:r>
        <w:rPr>
          <w:rFonts w:hint="eastAsia" w:ascii="黑体" w:hAnsi="黑体" w:eastAsia="黑体" w:cs="方正黑体简体"/>
          <w:sz w:val="32"/>
          <w:szCs w:val="32"/>
        </w:rPr>
        <w:t>二、一般公共预算支出情况</w:t>
      </w:r>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2021年度一般公共预算（经费拨款）收入484.86万元，其中基本支出291.83万元，项目支出193.03万元。</w:t>
      </w:r>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基本支出明细：工资福利支出275.83万元，一般商品服务支出16万元。</w:t>
      </w:r>
    </w:p>
    <w:p>
      <w:pPr>
        <w:spacing w:line="576" w:lineRule="exact"/>
        <w:ind w:firstLine="600"/>
        <w:rPr>
          <w:rFonts w:ascii="仿宋_GB2312" w:hAnsi="方正黑体简体" w:eastAsia="仿宋_GB2312" w:cs="方正黑体简体"/>
          <w:sz w:val="32"/>
          <w:szCs w:val="32"/>
        </w:rPr>
      </w:pPr>
      <w:r>
        <w:rPr>
          <w:rFonts w:hint="eastAsia" w:ascii="仿宋_GB2312" w:hAnsi="仿宋_GB2312" w:eastAsia="仿宋_GB2312" w:cs="仿宋_GB2312"/>
          <w:color w:val="000000"/>
          <w:sz w:val="32"/>
          <w:szCs w:val="32"/>
        </w:rPr>
        <w:t>项目支出明细：现代流通网络建设配套25万元；维稳经费25万元；供销综合改革106万元；</w:t>
      </w:r>
      <w:r>
        <w:rPr>
          <w:rFonts w:hint="eastAsia" w:ascii="仿宋_GB2312" w:hAnsi="仿宋" w:eastAsia="仿宋_GB2312" w:cs="Times New Roman"/>
          <w:sz w:val="32"/>
          <w:szCs w:val="32"/>
        </w:rPr>
        <w:t>茶叶专项23万元；点村扶贫5万元、美丽乡村5万元等。</w:t>
      </w:r>
    </w:p>
    <w:p>
      <w:pPr>
        <w:spacing w:line="576"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三、政府性基金预算支出情况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我单位无政府性基金预算支出的情况。</w:t>
      </w:r>
    </w:p>
    <w:p>
      <w:pPr>
        <w:spacing w:line="576"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四、国有资本经营预算支出情况</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我单位无国有资本经营预算支出情况。</w:t>
      </w:r>
    </w:p>
    <w:p>
      <w:pPr>
        <w:spacing w:line="576"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五、社会保险基金预算支出情况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我单位无社会保险基金预算支出的情况。</w:t>
      </w:r>
    </w:p>
    <w:p>
      <w:pPr>
        <w:spacing w:line="576"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六、单位整体支出绩效情况</w:t>
      </w:r>
    </w:p>
    <w:p>
      <w:pPr>
        <w:widowControl/>
        <w:spacing w:line="576" w:lineRule="exact"/>
        <w:ind w:firstLine="640" w:firstLineChars="200"/>
        <w:rPr>
          <w:rFonts w:hint="eastAsia" w:ascii="仿宋_GB2312" w:hAnsi="仿宋_GB2312" w:eastAsia="仿宋_GB2312" w:cs="仿宋_GB2312"/>
          <w:color w:val="222222"/>
          <w:sz w:val="32"/>
          <w:szCs w:val="32"/>
        </w:rPr>
      </w:pPr>
      <w:r>
        <w:rPr>
          <w:rFonts w:hint="eastAsia" w:ascii="仿宋_GB2312" w:hAnsi="仿宋_GB2312" w:eastAsia="仿宋_GB2312" w:cs="仿宋_GB2312"/>
          <w:sz w:val="32"/>
          <w:szCs w:val="32"/>
        </w:rPr>
        <w:t>2021年仍是新冠肺炎疫情持续下供销综合改革的推进之年，我社根据实际情况成立了绩效自评工作领导小组，细化任务，大力发展供销基层组织，拓展服务领域。到2021年底，初步建立一个县级供销信息服务中心网络服务平台，并进入试运营阶段，线下每个镇（街）建立一个惠农综合服务中心社，村级服务社，在村级（社区）中建立80%以上。一方面督促社办企业落实疫情防控措施，另一方面及时调度市场农资供应，确保不断档、不脱销。通过</w:t>
      </w:r>
      <w:r>
        <w:rPr>
          <w:rFonts w:hint="eastAsia" w:ascii="仿宋_GB2312" w:hAnsi="仿宋_GB2312" w:eastAsia="仿宋_GB2312" w:cs="仿宋_GB2312"/>
          <w:color w:val="222222"/>
          <w:sz w:val="32"/>
          <w:szCs w:val="32"/>
        </w:rPr>
        <w:t>搭建的信息采集中心平台，吸纳和扶持规模农产品基地建设4个，培育优质农产品经销商5个。并引导生产和流通环节科学规划，有效实行无缝对接，减少了农产品流通环节，降低了流通成本，帮助企业和合作社全年实现销售1500万元、减少物流费用约300万元。也确确实实让农户得到了实惠，取得了较好的社会效果。</w:t>
      </w:r>
    </w:p>
    <w:p>
      <w:pPr>
        <w:widowControl/>
        <w:spacing w:line="576" w:lineRule="exact"/>
        <w:ind w:firstLine="640" w:firstLineChars="200"/>
        <w:rPr>
          <w:rFonts w:ascii="仿宋_GB2312" w:hAnsi="仿宋_GB2312" w:eastAsia="仿宋_GB2312" w:cs="仿宋_GB2312"/>
          <w:color w:val="222222"/>
          <w:sz w:val="32"/>
          <w:szCs w:val="32"/>
        </w:rPr>
      </w:pPr>
      <w:r>
        <w:rPr>
          <w:rFonts w:hint="eastAsia" w:ascii="仿宋_GB2312" w:hAnsi="仿宋_GB2312" w:eastAsia="仿宋_GB2312" w:cs="仿宋_GB2312"/>
          <w:sz w:val="32"/>
          <w:szCs w:val="32"/>
        </w:rPr>
        <w:t>供销系统改制后产生了不少的遗留问题，我社根据历史原因合理区分，成立专门维稳班子，落实到人，合理处理好涉军群体、下岗特困群体等各类群体诉求并做好安抚工作，落实相关政策，确保社会稳定。</w:t>
      </w:r>
    </w:p>
    <w:p>
      <w:pPr>
        <w:spacing w:line="576"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七、存在的问题及原因分析</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1、部门整体绩效目标细化分解不具体，不够清晰。在绩效目标数量、质量、标准的要求上，有些环节不够明确。部分绩效目标没有具体分解到各股室。</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2、内部管理制度不全，有些制度未得到有效执行。</w:t>
      </w:r>
    </w:p>
    <w:p>
      <w:pPr>
        <w:spacing w:line="576"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八、下一步改进措施</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1、明确绩效目标数量、进一步细化分解绩效目标，将具体目标分解到岗到人。</w:t>
      </w:r>
    </w:p>
    <w:p>
      <w:pPr>
        <w:widowControl/>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sz w:val="32"/>
          <w:szCs w:val="32"/>
        </w:rPr>
        <w:t>进一步加强预算编制及管理，根据各股室的职能职责和工作实际，科学、完整地确定好支出的项目、范围、用途、资金来源，将所有收入、支出全部纳入预算管理，强化预算的执行。</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000000"/>
          <w:sz w:val="32"/>
          <w:szCs w:val="32"/>
        </w:rPr>
        <w:t>进一步建立健全内部管理制度，根据单位实际情况，制定规范可行的管理制度，使制度得到有效地执行</w:t>
      </w:r>
    </w:p>
    <w:p>
      <w:pPr>
        <w:spacing w:line="576"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九、单位整体支出绩效自评结果拟应用和公开情况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222222"/>
          <w:sz w:val="32"/>
          <w:szCs w:val="32"/>
        </w:rPr>
        <w:t>根据《澧县供销合作社联合社2021年整体支出绩效自评表》的评分结果，综合自评得分 97分，较好地完成了年度绩效考核目标和任务，并拟在本单位网站及政务公开栏中予以公开。</w:t>
      </w:r>
    </w:p>
    <w:p>
      <w:pPr>
        <w:spacing w:line="576"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十、其他需要说明的情况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576" w:lineRule="exact"/>
        <w:ind w:firstLine="640" w:firstLineChars="200"/>
        <w:rPr>
          <w:rFonts w:ascii="仿宋_GB2312" w:hAnsi="仿宋_GB2312" w:eastAsia="仿宋_GB2312" w:cs="仿宋_GB2312"/>
          <w:sz w:val="32"/>
          <w:szCs w:val="32"/>
        </w:rPr>
      </w:pPr>
      <w:bookmarkStart w:id="0" w:name="_GoBack"/>
      <w:bookmarkEnd w:id="0"/>
    </w:p>
    <w:p>
      <w:pPr>
        <w:spacing w:line="576" w:lineRule="exact"/>
        <w:ind w:firstLine="640" w:firstLineChars="200"/>
        <w:rPr>
          <w:rFonts w:ascii="仿宋_GB2312" w:hAnsi="仿宋_GB2312" w:eastAsia="仿宋_GB2312" w:cs="仿宋_GB2312"/>
          <w:sz w:val="32"/>
          <w:szCs w:val="32"/>
        </w:rPr>
      </w:pPr>
    </w:p>
    <w:sectPr>
      <w:pgSz w:w="11900" w:h="16840"/>
      <w:pgMar w:top="1814" w:right="1587" w:bottom="1417" w:left="1587" w:header="0" w:footer="600" w:gutter="0"/>
      <w:cols w:space="4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Arial Unicode MS"/>
    <w:panose1 w:val="00000000000000000000"/>
    <w:charset w:val="86"/>
    <w:family w:val="auto"/>
    <w:pitch w:val="default"/>
    <w:sig w:usb0="00000000" w:usb1="00000000" w:usb2="00000000" w:usb3="00000000" w:csb0="00040000" w:csb1="00000000"/>
  </w:font>
  <w:font w:name="仿宋">
    <w:altName w:val="Arial Unicode MS"/>
    <w:panose1 w:val="00000000000000000000"/>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7D94564"/>
    <w:rsid w:val="00015FA0"/>
    <w:rsid w:val="00043A4C"/>
    <w:rsid w:val="00067E21"/>
    <w:rsid w:val="000B0E8D"/>
    <w:rsid w:val="001D4E98"/>
    <w:rsid w:val="00226E16"/>
    <w:rsid w:val="00262C80"/>
    <w:rsid w:val="003B4DA9"/>
    <w:rsid w:val="004D5CF0"/>
    <w:rsid w:val="004E06A9"/>
    <w:rsid w:val="004E7DA8"/>
    <w:rsid w:val="005014F5"/>
    <w:rsid w:val="00561EB5"/>
    <w:rsid w:val="0056561D"/>
    <w:rsid w:val="0058550A"/>
    <w:rsid w:val="005A3C2A"/>
    <w:rsid w:val="005B25BF"/>
    <w:rsid w:val="005E6799"/>
    <w:rsid w:val="006170D0"/>
    <w:rsid w:val="00626EFA"/>
    <w:rsid w:val="006638A9"/>
    <w:rsid w:val="00694377"/>
    <w:rsid w:val="006B27F1"/>
    <w:rsid w:val="00765CE0"/>
    <w:rsid w:val="00785A5C"/>
    <w:rsid w:val="007A2B06"/>
    <w:rsid w:val="007E5414"/>
    <w:rsid w:val="00840EDD"/>
    <w:rsid w:val="00882A5E"/>
    <w:rsid w:val="008B0BFC"/>
    <w:rsid w:val="008E07B7"/>
    <w:rsid w:val="00903676"/>
    <w:rsid w:val="00910C31"/>
    <w:rsid w:val="009221E8"/>
    <w:rsid w:val="009560E3"/>
    <w:rsid w:val="00981C3B"/>
    <w:rsid w:val="00992FB2"/>
    <w:rsid w:val="009C6C0D"/>
    <w:rsid w:val="009F1956"/>
    <w:rsid w:val="009F7CC4"/>
    <w:rsid w:val="00A06CB2"/>
    <w:rsid w:val="00AD2765"/>
    <w:rsid w:val="00B75646"/>
    <w:rsid w:val="00B9329D"/>
    <w:rsid w:val="00BD2198"/>
    <w:rsid w:val="00C10F88"/>
    <w:rsid w:val="00C140B6"/>
    <w:rsid w:val="00C673B6"/>
    <w:rsid w:val="00C9308E"/>
    <w:rsid w:val="00D143C6"/>
    <w:rsid w:val="00D53327"/>
    <w:rsid w:val="00D827B2"/>
    <w:rsid w:val="00DA673C"/>
    <w:rsid w:val="00DC304E"/>
    <w:rsid w:val="00DC3D89"/>
    <w:rsid w:val="00DD0285"/>
    <w:rsid w:val="00E12A82"/>
    <w:rsid w:val="00E40EA6"/>
    <w:rsid w:val="00EC2421"/>
    <w:rsid w:val="00ED52CC"/>
    <w:rsid w:val="00F07D7E"/>
    <w:rsid w:val="00F7757C"/>
    <w:rsid w:val="00F92C09"/>
    <w:rsid w:val="02E602C3"/>
    <w:rsid w:val="0569626F"/>
    <w:rsid w:val="144E3700"/>
    <w:rsid w:val="1F5E5F75"/>
    <w:rsid w:val="225C4890"/>
    <w:rsid w:val="27D94564"/>
    <w:rsid w:val="287C746C"/>
    <w:rsid w:val="28A17117"/>
    <w:rsid w:val="2AF459E0"/>
    <w:rsid w:val="356E5F27"/>
    <w:rsid w:val="3AD76784"/>
    <w:rsid w:val="3E1A70B4"/>
    <w:rsid w:val="4AD44F71"/>
    <w:rsid w:val="4B2A2DEB"/>
    <w:rsid w:val="4B775B0D"/>
    <w:rsid w:val="4EC36628"/>
    <w:rsid w:val="505446A7"/>
    <w:rsid w:val="525C7843"/>
    <w:rsid w:val="5EA93E10"/>
    <w:rsid w:val="64BA24D5"/>
    <w:rsid w:val="65474C27"/>
    <w:rsid w:val="737C62D9"/>
    <w:rsid w:val="78D21D5D"/>
    <w:rsid w:val="7ADB139D"/>
    <w:rsid w:val="7EA45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8</Pages>
  <Words>413</Words>
  <Characters>2359</Characters>
  <Lines>19</Lines>
  <Paragraphs>5</Paragraphs>
  <TotalTime>1</TotalTime>
  <ScaleCrop>false</ScaleCrop>
  <LinksUpToDate>false</LinksUpToDate>
  <CharactersWithSpaces>2767</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2022-03-25T03:19:00Z</dcterms:created>
  <dc:creator>小明同学</dc:creator>
  <cp:lastModifiedBy>保温杯</cp:lastModifiedBy>
  <cp:lastPrinted>2022-03-28T07:16:00Z</cp:lastPrinted>
  <dcterms:modified xsi:type="dcterms:W3CDTF">2022-09-05T03:28:10Z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2C748869A0314D468FCA60B514AE4557</vt:lpwstr>
  </property>
</Properties>
</file>