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附件6</w:t>
      </w:r>
    </w:p>
    <w:p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>
      <w:pPr>
        <w:jc w:val="center"/>
        <w:rPr>
          <w:rFonts w:hint="eastAsia" w:ascii="Times New Roman" w:hAnsi="Times New Roman" w:cs="Times New Roman"/>
          <w:b/>
          <w:sz w:val="48"/>
          <w:szCs w:val="48"/>
          <w:lang w:eastAsia="zh-CN"/>
        </w:rPr>
      </w:pPr>
      <w:r>
        <w:rPr>
          <w:rFonts w:ascii="Times New Roman" w:hAnsi="Times New Roman" w:cs="Times New Roman"/>
          <w:b/>
          <w:sz w:val="48"/>
          <w:szCs w:val="48"/>
        </w:rPr>
        <w:t>2021年度</w:t>
      </w:r>
      <w:r>
        <w:rPr>
          <w:rFonts w:hint="eastAsia" w:ascii="Times New Roman" w:hAnsi="Times New Roman" w:cs="Times New Roman"/>
          <w:b/>
          <w:sz w:val="48"/>
          <w:szCs w:val="48"/>
          <w:lang w:eastAsia="zh-CN"/>
        </w:rPr>
        <w:t>澧县文化市场综合执法大队</w:t>
      </w:r>
    </w:p>
    <w:p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整体支出绩效自评报告</w:t>
      </w:r>
    </w:p>
    <w:p>
      <w:pPr>
        <w:jc w:val="center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单位名称：（盖章）</w:t>
      </w: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年   月   日</w:t>
      </w: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ascii="Times New Roman" w:hAnsi="Times New Roman" w:cs="Times New Roman" w:eastAsiaTheme="majorEastAsia"/>
          <w:b/>
          <w:sz w:val="44"/>
          <w:szCs w:val="44"/>
        </w:rPr>
      </w:pPr>
    </w:p>
    <w:p>
      <w:pPr>
        <w:spacing w:line="580" w:lineRule="exact"/>
        <w:jc w:val="center"/>
        <w:rPr>
          <w:rFonts w:ascii="Times New Roman" w:hAnsi="Times New Roman" w:cs="Times New Roman" w:eastAsiaTheme="majorEastAsia"/>
          <w:b/>
          <w:sz w:val="44"/>
          <w:szCs w:val="44"/>
        </w:rPr>
      </w:pPr>
      <w:r>
        <w:rPr>
          <w:rFonts w:ascii="Times New Roman" w:hAnsi="Times New Roman" w:cs="Times New Roman" w:eastAsiaTheme="majorEastAsia"/>
          <w:b/>
          <w:sz w:val="44"/>
          <w:szCs w:val="44"/>
        </w:rPr>
        <w:t>2021</w:t>
      </w:r>
      <w:r>
        <w:rPr>
          <w:rFonts w:ascii="Times New Roman" w:cs="Times New Roman" w:hAnsiTheme="majorEastAsia" w:eastAsiaTheme="majorEastAsia"/>
          <w:b/>
          <w:sz w:val="44"/>
          <w:szCs w:val="44"/>
        </w:rPr>
        <w:t>年度</w:t>
      </w:r>
      <w:r>
        <w:rPr>
          <w:rFonts w:hint="eastAsia" w:ascii="Times New Roman" w:hAnsi="Times New Roman" w:cs="Times New Roman" w:eastAsiaTheme="majorEastAsia"/>
          <w:b/>
          <w:sz w:val="44"/>
          <w:szCs w:val="44"/>
          <w:lang w:eastAsia="zh-CN"/>
        </w:rPr>
        <w:t>澧县</w:t>
      </w:r>
      <w:r>
        <w:rPr>
          <w:rFonts w:hint="eastAsia" w:ascii="Times New Roman" w:hAnsi="Times New Roman" w:cs="Times New Roman"/>
          <w:b/>
          <w:sz w:val="48"/>
          <w:szCs w:val="48"/>
          <w:lang w:eastAsia="zh-CN"/>
        </w:rPr>
        <w:t>澧县文化市场综合执法大队</w:t>
      </w:r>
      <w:r>
        <w:rPr>
          <w:rFonts w:ascii="Times New Roman" w:cs="Times New Roman" w:hAnsiTheme="majorEastAsia" w:eastAsiaTheme="majorEastAsia"/>
          <w:b/>
          <w:sz w:val="44"/>
          <w:szCs w:val="44"/>
        </w:rPr>
        <w:t>整体支出绩效自评报告</w:t>
      </w:r>
    </w:p>
    <w:p>
      <w:pPr>
        <w:spacing w:line="580" w:lineRule="exac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一、部门（单位）基本情况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机构及人员组成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澧县文化市场综合执法大队是澧县文旅广体局的二层单位，属全额拨款的事业单位，定编37人，实际在职27人，内设网吧执法队、娱乐演艺执法队、文物旅游体育执法队、新闻出版(版权)广电网络执法队4个正股级执法队。</w:t>
      </w:r>
    </w:p>
    <w:p>
      <w:pPr>
        <w:numPr>
          <w:ilvl w:val="0"/>
          <w:numId w:val="1"/>
        </w:numPr>
        <w:spacing w:line="58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主要职责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统一行使文化、文物、出版、广播电视、电影、体育、旅游市场等方面的行政执法职责。</w:t>
      </w:r>
    </w:p>
    <w:p>
      <w:pPr>
        <w:numPr>
          <w:ilvl w:val="0"/>
          <w:numId w:val="1"/>
        </w:numPr>
        <w:spacing w:line="58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财务情况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1、资产负债情况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2021年末单位资产总额131.59万元，其中：流动资产17.08万元，固定资产原值114.51万元，净值40.92万元；单位负债21.98万元。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2、财务收支情况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澧县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文化市场综合执法大队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2021年年初预算收入315.94万元，年终决算收入306.47万元。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3、部门绩效目标</w:t>
      </w:r>
    </w:p>
    <w:p>
      <w:pPr>
        <w:spacing w:line="580" w:lineRule="exact"/>
        <w:ind w:firstLine="640" w:firstLineChars="200"/>
        <w:rPr>
          <w:rFonts w:hint="default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2021年度绩效目标为：对经营业主进行法律法规培训、执法宣传；对网吧、娱乐演艺场所、文物保护旅游、新闻出版广电网络市场检查；完成非税罚没收入45万，监管全县所有文旅广体市场经营单位，规范文旅广体市场经营秩序，办理行政处罚案件30起以上。</w:t>
      </w: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二、一般公共预算支出情况</w:t>
      </w:r>
    </w:p>
    <w:p>
      <w:pPr>
        <w:spacing w:line="580" w:lineRule="exact"/>
        <w:ind w:firstLine="640" w:firstLineChars="200"/>
        <w:rPr>
          <w:rFonts w:ascii="Times New Roman" w:hAnsi="仿宋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（一）基本支出情况</w:t>
      </w:r>
    </w:p>
    <w:p>
      <w:pPr>
        <w:spacing w:line="580" w:lineRule="exact"/>
        <w:ind w:firstLine="640" w:firstLineChars="200"/>
        <w:rPr>
          <w:rFonts w:hint="default" w:ascii="Times New Roman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2021年年初一般公共预算基本支出270.16万元，其中工资福利支出222.36万元，一般商品和服务支出20.8万元。2021年决算基本支出306.47万元，其中工资福利支出285.02万元，一般商品和服务支出21.45万元。主要是工资调整及年终绩效发放使工资增长。一般公共预算支出有效控制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黑体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政府性基金预算支出情况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黑体" w:eastAsia="黑体" w:cs="Times New Roman"/>
          <w:sz w:val="32"/>
          <w:szCs w:val="32"/>
          <w:lang w:val="en-US" w:eastAsia="zh-CN"/>
        </w:rPr>
        <w:t xml:space="preserve">    无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黑体" w:eastAsia="黑体" w:cs="Times New Roman"/>
          <w:sz w:val="32"/>
          <w:szCs w:val="32"/>
          <w:lang w:val="en-US" w:eastAsia="zh-CN"/>
        </w:rPr>
      </w:pPr>
      <w:r>
        <w:rPr>
          <w:rFonts w:ascii="Times New Roman" w:hAnsi="黑体" w:eastAsia="黑体" w:cs="Times New Roman"/>
          <w:sz w:val="32"/>
          <w:szCs w:val="32"/>
        </w:rPr>
        <w:t>国有资本经营预算支出情况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textAlignment w:val="auto"/>
        <w:rPr>
          <w:rFonts w:hint="default" w:ascii="Times New Roman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黑体" w:eastAsia="黑体" w:cs="Times New Roman"/>
          <w:sz w:val="32"/>
          <w:szCs w:val="32"/>
          <w:lang w:val="en-US" w:eastAsia="zh-CN"/>
        </w:rPr>
        <w:t xml:space="preserve">    无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ascii="Times New Roman" w:hAnsi="黑体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社会保险基金预算支出情况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textAlignment w:val="auto"/>
        <w:rPr>
          <w:rFonts w:hint="default" w:ascii="Times New Roman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黑体" w:eastAsia="黑体" w:cs="Times New Roman"/>
          <w:sz w:val="32"/>
          <w:szCs w:val="32"/>
          <w:lang w:val="en-US" w:eastAsia="zh-CN"/>
        </w:rPr>
        <w:t xml:space="preserve">    无</w:t>
      </w: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六、单位整体支出绩效情况</w:t>
      </w:r>
    </w:p>
    <w:p>
      <w:pPr>
        <w:spacing w:line="580" w:lineRule="exact"/>
        <w:ind w:firstLine="640" w:firstLineChars="200"/>
        <w:rPr>
          <w:rFonts w:ascii="Times New Roman" w:hAnsi="仿宋" w:eastAsia="仿宋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  <w:lang w:eastAsia="zh-CN"/>
        </w:rPr>
        <w:t>（一）</w:t>
      </w:r>
      <w:r>
        <w:rPr>
          <w:rFonts w:ascii="Times New Roman" w:hAnsi="仿宋" w:eastAsia="仿宋" w:cs="Times New Roman"/>
          <w:sz w:val="32"/>
          <w:szCs w:val="32"/>
        </w:rPr>
        <w:t>绩效目标完成情况</w:t>
      </w:r>
    </w:p>
    <w:p>
      <w:pPr>
        <w:pStyle w:val="2"/>
        <w:rPr>
          <w:rFonts w:hint="default" w:eastAsia="仿宋"/>
          <w:lang w:val="en-US" w:eastAsia="zh-CN"/>
        </w:rPr>
      </w:pP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1、对经营业主法律法规宣传、培训次数</w:t>
      </w:r>
      <w:bookmarkStart w:id="0" w:name="_GoBack"/>
      <w:bookmarkEnd w:id="0"/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达8次以上，完成绩效目标。</w:t>
      </w:r>
    </w:p>
    <w:p>
      <w:pPr>
        <w:spacing w:line="580" w:lineRule="exact"/>
        <w:ind w:firstLine="640" w:firstLineChars="200"/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1、查处违规经营网吧6家、ktv2家、电竞酒店6家。完成非税罚没收入34.3万元，完成率76%。</w:t>
      </w:r>
    </w:p>
    <w:p>
      <w:pPr>
        <w:spacing w:line="580" w:lineRule="exact"/>
        <w:ind w:firstLine="640" w:firstLineChars="200"/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2、开展了澧县津市联合检查1次，省外交叉检查1次。</w:t>
      </w:r>
    </w:p>
    <w:p>
      <w:pPr>
        <w:spacing w:line="580" w:lineRule="exact"/>
        <w:ind w:firstLine="640" w:firstLineChars="200"/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3、</w:t>
      </w:r>
      <w:r>
        <w:rPr>
          <w:rFonts w:hint="default" w:ascii="Times New Roman" w:hAnsi="仿宋" w:eastAsia="仿宋" w:cs="Times New Roman"/>
          <w:sz w:val="32"/>
          <w:szCs w:val="32"/>
          <w:lang w:val="en-US" w:eastAsia="zh-CN"/>
        </w:rPr>
        <w:t>共出动执法人员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2110</w:t>
      </w:r>
      <w:r>
        <w:rPr>
          <w:rFonts w:hint="default" w:ascii="Times New Roman" w:hAnsi="仿宋" w:eastAsia="仿宋" w:cs="Times New Roman"/>
          <w:sz w:val="32"/>
          <w:szCs w:val="32"/>
          <w:lang w:val="en-US" w:eastAsia="zh-CN"/>
        </w:rPr>
        <w:t>人次，检查网吧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仿宋" w:eastAsia="仿宋" w:cs="Times New Roman"/>
          <w:sz w:val="32"/>
          <w:szCs w:val="32"/>
          <w:lang w:val="en-US" w:eastAsia="zh-CN"/>
        </w:rPr>
        <w:t>90架次左右、ktv2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仿宋" w:eastAsia="仿宋" w:cs="Times New Roman"/>
          <w:sz w:val="32"/>
          <w:szCs w:val="32"/>
          <w:lang w:val="en-US" w:eastAsia="zh-CN"/>
        </w:rPr>
        <w:t>0家次左右、书店印刷厂等出版物企业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仿宋" w:eastAsia="仿宋" w:cs="Times New Roman"/>
          <w:sz w:val="32"/>
          <w:szCs w:val="32"/>
          <w:lang w:val="en-US" w:eastAsia="zh-CN"/>
        </w:rPr>
        <w:t>0多家次、游泳馆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仿宋" w:eastAsia="仿宋" w:cs="Times New Roman"/>
          <w:sz w:val="32"/>
          <w:szCs w:val="32"/>
          <w:lang w:val="en-US" w:eastAsia="zh-CN"/>
        </w:rPr>
        <w:t>0多家次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，完成绩效目标。</w:t>
      </w:r>
    </w:p>
    <w:p>
      <w:pPr>
        <w:spacing w:line="580" w:lineRule="exact"/>
        <w:ind w:firstLine="640" w:firstLineChars="200"/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4、办理行政处罚案件33起，完成绩效目标。</w:t>
      </w:r>
    </w:p>
    <w:p>
      <w:pPr>
        <w:spacing w:line="580" w:lineRule="exact"/>
        <w:ind w:firstLine="640" w:firstLineChars="200"/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（二）取得的效益</w:t>
      </w:r>
    </w:p>
    <w:p>
      <w:pPr>
        <w:spacing w:line="580" w:lineRule="exact"/>
        <w:ind w:firstLine="640" w:firstLineChars="200"/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1、社会效益</w:t>
      </w:r>
    </w:p>
    <w:p>
      <w:pPr>
        <w:spacing w:line="580" w:lineRule="exact"/>
        <w:ind w:firstLine="640" w:firstLineChars="200"/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不定期组织经营业主进行法律法规培训，结合爱卫月、送法下乡、全民普法日等活动制作宣传展板，发放宣传单，向民众宣传法律法规知识，进一步提高了全县群众法律法规意识。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仿宋"/>
          <w:b w:val="0"/>
          <w:bCs w:val="0"/>
          <w:sz w:val="32"/>
          <w:lang w:val="en-US" w:eastAsia="zh-CN"/>
        </w:rPr>
      </w:pP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严格日常监管，深入开展执法工作，</w:t>
      </w:r>
      <w:r>
        <w:rPr>
          <w:rFonts w:hint="eastAsia" w:ascii="Times New Roman" w:hAnsi="Times New Roman" w:eastAsia="仿宋" w:cs="仿宋"/>
          <w:b w:val="0"/>
          <w:bCs w:val="0"/>
          <w:sz w:val="32"/>
          <w:lang w:val="en-US" w:eastAsia="zh-CN"/>
        </w:rPr>
        <w:t>每月至少组织一次文化市场安全生产专项检查，全面开展安全生产风险隐患排查整治。对20多家营业场所安全生产工作措施不到位，2家网吧存在消防安全隐患，执法人员均要求经营场所按要求进行了整改，并在整改后进行进一步核实核查，确保整改到位，为消费者提供安全和谐的文化市场环境。</w:t>
      </w:r>
    </w:p>
    <w:p>
      <w:pPr>
        <w:pStyle w:val="4"/>
        <w:keepNext w:val="0"/>
        <w:keepLines w:val="0"/>
        <w:pageBreakBefore w:val="0"/>
        <w:widowControl w:val="0"/>
        <w:numPr>
          <w:ilvl w:val="2"/>
          <w:numId w:val="0"/>
        </w:numPr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rPr>
          <w:rFonts w:hint="eastAsia" w:ascii="Times New Roman" w:hAnsi="仿宋" w:eastAsia="仿宋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仿宋"/>
          <w:b w:val="0"/>
          <w:bCs w:val="0"/>
          <w:sz w:val="32"/>
          <w:lang w:val="en-US" w:eastAsia="zh-CN"/>
        </w:rPr>
        <w:t>先后开展了澧县津市联合检查1次，省外交叉检查1次，多部门疫情防控联合检查多次以及春节、清明、五一等节日期间安全生产和疫情防控专项检查、创建卫生县城专项整治行动、消防安全生产工作专项检查、“扫黄打非”专项整治行动、境外电视传播秩序专项整治、新闻出版专项治理、校园周边专项治理行动、高考期间文化市场专项检查等多次专项集中整治行动。全年查处违规经营网吧6家、ktv2家、电竞酒店6家，</w:t>
      </w:r>
      <w:r>
        <w:rPr>
          <w:rFonts w:hint="eastAsia" w:ascii="Times New Roman" w:hAnsi="Times New Roman" w:eastAsia="仿宋" w:cs="仿宋"/>
          <w:b w:val="0"/>
          <w:bCs w:val="0"/>
          <w:sz w:val="32"/>
        </w:rPr>
        <w:t>有力的维护了市场的稳定有序。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580" w:lineRule="exact"/>
        <w:ind w:firstLine="640" w:firstLineChars="200"/>
        <w:textAlignment w:val="auto"/>
        <w:rPr>
          <w:rFonts w:hint="eastAsia" w:ascii="Times New Roman" w:hAnsi="仿宋" w:eastAsia="仿宋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仿宋" w:eastAsia="仿宋" w:cs="Times New Roman"/>
          <w:kern w:val="0"/>
          <w:sz w:val="32"/>
          <w:szCs w:val="32"/>
          <w:lang w:val="en-US" w:eastAsia="zh-CN" w:bidi="ar-SA"/>
        </w:rPr>
        <w:t>可持续影响</w:t>
      </w:r>
    </w:p>
    <w:p>
      <w:pPr>
        <w:pStyle w:val="4"/>
        <w:keepNext w:val="0"/>
        <w:keepLines w:val="0"/>
        <w:pageBreakBefore w:val="0"/>
        <w:widowControl w:val="0"/>
        <w:numPr>
          <w:ilvl w:val="2"/>
          <w:numId w:val="0"/>
        </w:numPr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rPr>
          <w:rFonts w:hint="eastAsia" w:ascii="Times New Roman" w:hAnsi="仿宋" w:eastAsia="仿宋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仿宋"/>
          <w:b w:val="0"/>
          <w:bCs w:val="0"/>
          <w:sz w:val="32"/>
        </w:rPr>
        <w:t>规范了文化市场经营秩序，有效净化了社会文化环境</w:t>
      </w:r>
      <w:r>
        <w:rPr>
          <w:rFonts w:hint="eastAsia" w:ascii="Times New Roman" w:hAnsi="Times New Roman" w:eastAsia="仿宋" w:cs="仿宋"/>
          <w:b w:val="0"/>
          <w:bCs w:val="0"/>
          <w:sz w:val="32"/>
          <w:lang w:eastAsia="zh-CN"/>
        </w:rPr>
        <w:t>，</w:t>
      </w:r>
      <w:r>
        <w:rPr>
          <w:rFonts w:hint="eastAsia" w:ascii="Times New Roman" w:hAnsi="Times New Roman" w:eastAsia="仿宋" w:cs="仿宋"/>
          <w:b w:val="0"/>
          <w:bCs w:val="0"/>
          <w:sz w:val="32"/>
          <w:lang w:val="en-US" w:eastAsia="zh-CN"/>
        </w:rPr>
        <w:t>为消费者提供安全和谐的文化市场环境。</w:t>
      </w: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七、存在的问题及原因分析</w:t>
      </w:r>
    </w:p>
    <w:p>
      <w:pPr>
        <w:spacing w:line="580" w:lineRule="exact"/>
        <w:ind w:firstLine="640" w:firstLineChars="200"/>
      </w:pP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预算绩效观念不深入，</w:t>
      </w:r>
      <w:r>
        <w:rPr>
          <w:rFonts w:hint="default" w:ascii="Times New Roman" w:hAnsi="仿宋" w:eastAsia="仿宋" w:cs="Times New Roman"/>
          <w:sz w:val="32"/>
          <w:szCs w:val="32"/>
          <w:lang w:val="en-US" w:eastAsia="zh-CN"/>
        </w:rPr>
        <w:t>我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单位</w:t>
      </w:r>
      <w:r>
        <w:rPr>
          <w:rFonts w:hint="default" w:ascii="Times New Roman" w:hAnsi="仿宋" w:eastAsia="仿宋" w:cs="Times New Roman"/>
          <w:sz w:val="32"/>
          <w:szCs w:val="32"/>
          <w:lang w:val="en-US" w:eastAsia="zh-CN"/>
        </w:rPr>
        <w:t>在日常财务工作中存在着一定程度的“重分配、轻管理、重支出、轻绩效”的情况，造成该问题的主要原因是自身绩效理念较薄弱，单位绩效目标编制仍有缺失，需要进一步加强对资金绩效管理的重视程度。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ascii="Times New Roman" w:hAnsi="黑体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下一步改进措施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after="0" w:line="580" w:lineRule="exact"/>
        <w:ind w:firstLine="64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default" w:ascii="Times New Roman" w:hAnsi="仿宋" w:eastAsia="仿宋" w:cs="Times New Roman"/>
          <w:kern w:val="0"/>
          <w:sz w:val="32"/>
          <w:szCs w:val="32"/>
          <w:lang w:val="en-US" w:eastAsia="zh-CN" w:bidi="ar-SA"/>
        </w:rPr>
        <w:t>进一步增强绩效管理理念。在管理和使用预算资金的过程中，</w:t>
      </w:r>
      <w:r>
        <w:rPr>
          <w:rFonts w:hint="eastAsia" w:ascii="Times New Roman" w:hAnsi="仿宋" w:eastAsia="仿宋" w:cs="Times New Roman"/>
          <w:kern w:val="0"/>
          <w:sz w:val="32"/>
          <w:szCs w:val="32"/>
          <w:lang w:val="en-US" w:eastAsia="zh-CN" w:bidi="ar-SA"/>
        </w:rPr>
        <w:t>我单位</w:t>
      </w:r>
      <w:r>
        <w:rPr>
          <w:rFonts w:hint="default" w:ascii="Times New Roman" w:hAnsi="仿宋" w:eastAsia="仿宋" w:cs="Times New Roman"/>
          <w:kern w:val="0"/>
          <w:sz w:val="32"/>
          <w:szCs w:val="32"/>
          <w:lang w:val="en-US" w:eastAsia="zh-CN" w:bidi="ar-SA"/>
        </w:rPr>
        <w:t>将更加突出资金使用绩效，做到“花钱必问效”。加强与财政绩效</w:t>
      </w:r>
      <w:r>
        <w:rPr>
          <w:rFonts w:hint="eastAsia" w:ascii="Times New Roman" w:hAnsi="仿宋" w:eastAsia="仿宋" w:cs="Times New Roman"/>
          <w:kern w:val="0"/>
          <w:sz w:val="32"/>
          <w:szCs w:val="32"/>
          <w:lang w:val="en-US" w:eastAsia="zh-CN" w:bidi="ar-SA"/>
        </w:rPr>
        <w:t>股</w:t>
      </w:r>
      <w:r>
        <w:rPr>
          <w:rFonts w:hint="default" w:ascii="Times New Roman" w:hAnsi="仿宋" w:eastAsia="仿宋" w:cs="Times New Roman"/>
          <w:kern w:val="0"/>
          <w:sz w:val="32"/>
          <w:szCs w:val="32"/>
          <w:lang w:val="en-US" w:eastAsia="zh-CN" w:bidi="ar-SA"/>
        </w:rPr>
        <w:t>的沟通协调，按照绩效评价原则，开展资金安全性、规范性的监督，确保专项资金的使用符合绩效管理要求。</w:t>
      </w:r>
    </w:p>
    <w:p>
      <w:pPr>
        <w:numPr>
          <w:ilvl w:val="0"/>
          <w:numId w:val="4"/>
        </w:numPr>
        <w:spacing w:line="580" w:lineRule="exact"/>
        <w:ind w:left="0" w:leftChars="0" w:firstLine="640" w:firstLineChars="200"/>
        <w:rPr>
          <w:rFonts w:ascii="Times New Roman" w:hAnsi="黑体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单位整体支出绩效自评结果拟应用和公开情况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after="0" w:line="580" w:lineRule="exact"/>
        <w:ind w:firstLine="640" w:firstLineChars="200"/>
        <w:textAlignment w:val="auto"/>
        <w:rPr>
          <w:rFonts w:hint="eastAsia" w:ascii="Times New Roman" w:hAnsi="仿宋" w:eastAsia="仿宋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仿宋" w:eastAsia="仿宋" w:cs="Times New Roman"/>
          <w:kern w:val="0"/>
          <w:sz w:val="32"/>
          <w:szCs w:val="32"/>
          <w:lang w:val="en-US" w:eastAsia="zh-CN" w:bidi="ar-SA"/>
        </w:rPr>
        <w:t>1、</w:t>
      </w:r>
      <w:r>
        <w:rPr>
          <w:rFonts w:hint="default" w:ascii="Times New Roman" w:hAnsi="仿宋" w:eastAsia="仿宋" w:cs="Times New Roman"/>
          <w:kern w:val="0"/>
          <w:sz w:val="32"/>
          <w:szCs w:val="32"/>
          <w:lang w:val="en-US" w:eastAsia="zh-CN" w:bidi="ar-SA"/>
        </w:rPr>
        <w:t>科学应用财政支出绩效评价结果，提升精细化管理水平</w:t>
      </w:r>
      <w:r>
        <w:rPr>
          <w:rFonts w:hint="eastAsia" w:ascii="Times New Roman" w:hAnsi="仿宋" w:eastAsia="仿宋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仿宋" w:eastAsia="仿宋" w:cs="Times New Roman"/>
          <w:kern w:val="0"/>
          <w:sz w:val="32"/>
          <w:szCs w:val="32"/>
          <w:lang w:val="en-US" w:eastAsia="zh-CN" w:bidi="ar-SA"/>
        </w:rPr>
        <w:t>强化评价结果在部门预算编制和执行中的应用，实现绩效评价结果在部门预算编制和执行中的应用，实现绩效评价与部门预算的有机结合，促进财政资金的合理分配与有效使用</w:t>
      </w:r>
      <w:r>
        <w:rPr>
          <w:rFonts w:hint="eastAsia" w:ascii="Times New Roman" w:hAnsi="仿宋" w:eastAsia="仿宋" w:cs="Times New Roman"/>
          <w:kern w:val="0"/>
          <w:sz w:val="32"/>
          <w:szCs w:val="32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after="0" w:line="580" w:lineRule="exact"/>
        <w:ind w:firstLine="640" w:firstLineChars="200"/>
        <w:textAlignment w:val="auto"/>
        <w:rPr>
          <w:rFonts w:hint="eastAsia" w:ascii="Times New Roman" w:hAnsi="仿宋" w:eastAsia="仿宋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仿宋" w:eastAsia="仿宋" w:cs="Times New Roman"/>
          <w:kern w:val="0"/>
          <w:sz w:val="32"/>
          <w:szCs w:val="32"/>
          <w:lang w:val="en-US" w:eastAsia="zh-CN" w:bidi="ar-SA"/>
        </w:rPr>
        <w:t>2、根据相关公开要求，依照规定依法公开。</w:t>
      </w: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十、其他需要说明的情况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无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报告需要以下附件：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</w:t>
      </w:r>
      <w:r>
        <w:rPr>
          <w:rFonts w:ascii="Times New Roman" w:hAnsi="仿宋" w:eastAsia="仿宋" w:cs="Times New Roman"/>
          <w:sz w:val="32"/>
          <w:szCs w:val="32"/>
        </w:rPr>
        <w:t>．部门整体支出绩效评价基础数据表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</w:t>
      </w:r>
      <w:r>
        <w:rPr>
          <w:rFonts w:ascii="Times New Roman" w:hAnsi="仿宋" w:eastAsia="仿宋" w:cs="Times New Roman"/>
          <w:sz w:val="32"/>
          <w:szCs w:val="32"/>
        </w:rPr>
        <w:t>．部门整体支出绩效自评表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3</w:t>
      </w:r>
      <w:r>
        <w:rPr>
          <w:rFonts w:ascii="Times New Roman" w:hAnsi="仿宋" w:eastAsia="仿宋" w:cs="Times New Roman"/>
          <w:sz w:val="32"/>
          <w:szCs w:val="32"/>
        </w:rPr>
        <w:t>．项目支出绩效自评表（一个项目支出一张表）</w:t>
      </w:r>
    </w:p>
    <w:p>
      <w:pPr>
        <w:rPr>
          <w:rFonts w:ascii="Times New Roman" w:hAnsi="Times New Roman" w:eastAsia="仿宋" w:cs="Times New Roman"/>
        </w:rPr>
      </w:pPr>
    </w:p>
    <w:p>
      <w:pPr>
        <w:rPr>
          <w:rFonts w:ascii="Times New Roman" w:hAnsi="Times New Roman" w:eastAsia="仿宋" w:cs="Times New Roman"/>
        </w:rPr>
      </w:pPr>
    </w:p>
    <w:p>
      <w:pPr>
        <w:rPr>
          <w:rFonts w:ascii="Times New Roman" w:hAnsi="Times New Roman" w:eastAsia="仿宋" w:cs="Times New Roman"/>
        </w:rPr>
      </w:pPr>
    </w:p>
    <w:sectPr>
      <w:pgSz w:w="11900" w:h="16840"/>
      <w:pgMar w:top="1440" w:right="1800" w:bottom="1440" w:left="1800" w:header="0" w:footer="600" w:gutter="0"/>
      <w:cols w:space="420" w:num="1"/>
      <w:titlePg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4C48FF"/>
    <w:multiLevelType w:val="singleLevel"/>
    <w:tmpl w:val="BB4C48FF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0407EA94"/>
    <w:multiLevelType w:val="singleLevel"/>
    <w:tmpl w:val="0407EA94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AF2DB95"/>
    <w:multiLevelType w:val="singleLevel"/>
    <w:tmpl w:val="1AF2DB9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6F58122A"/>
    <w:multiLevelType w:val="singleLevel"/>
    <w:tmpl w:val="6F58122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mMDczZTkwODViNGI1ZTE0ZDEyMTE4ZGI2NWVmZDAifQ=="/>
  </w:docVars>
  <w:rsids>
    <w:rsidRoot w:val="27D94564"/>
    <w:rsid w:val="00226E16"/>
    <w:rsid w:val="005A3C2A"/>
    <w:rsid w:val="00626EFA"/>
    <w:rsid w:val="006638A9"/>
    <w:rsid w:val="00981C3B"/>
    <w:rsid w:val="00B9329D"/>
    <w:rsid w:val="00BB62CD"/>
    <w:rsid w:val="00C140B6"/>
    <w:rsid w:val="00E40EA6"/>
    <w:rsid w:val="00F07D7E"/>
    <w:rsid w:val="00F92C09"/>
    <w:rsid w:val="02E602C3"/>
    <w:rsid w:val="0569626F"/>
    <w:rsid w:val="0A315689"/>
    <w:rsid w:val="11872970"/>
    <w:rsid w:val="1A4650F2"/>
    <w:rsid w:val="1AD52AE7"/>
    <w:rsid w:val="1F5E5F75"/>
    <w:rsid w:val="225C4890"/>
    <w:rsid w:val="24EE7B33"/>
    <w:rsid w:val="278377D7"/>
    <w:rsid w:val="27D94564"/>
    <w:rsid w:val="287C746C"/>
    <w:rsid w:val="292953A2"/>
    <w:rsid w:val="2AF459E0"/>
    <w:rsid w:val="2B7B1C5D"/>
    <w:rsid w:val="356E5F27"/>
    <w:rsid w:val="37465815"/>
    <w:rsid w:val="39A95B89"/>
    <w:rsid w:val="39FE55A1"/>
    <w:rsid w:val="3AD76784"/>
    <w:rsid w:val="3E1A70B4"/>
    <w:rsid w:val="4AD44F71"/>
    <w:rsid w:val="4B2A2DEB"/>
    <w:rsid w:val="4B775B0D"/>
    <w:rsid w:val="505446A7"/>
    <w:rsid w:val="51CB0DA3"/>
    <w:rsid w:val="52441043"/>
    <w:rsid w:val="525C7843"/>
    <w:rsid w:val="55316B0E"/>
    <w:rsid w:val="592E2ACE"/>
    <w:rsid w:val="5EA93E10"/>
    <w:rsid w:val="64BA24D5"/>
    <w:rsid w:val="65474C27"/>
    <w:rsid w:val="672267CC"/>
    <w:rsid w:val="689B57EB"/>
    <w:rsid w:val="6D8A7B32"/>
    <w:rsid w:val="6E1D0376"/>
    <w:rsid w:val="737C62D9"/>
    <w:rsid w:val="78D21D5D"/>
    <w:rsid w:val="7ADB139D"/>
    <w:rsid w:val="7EA45F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Lines="70" w:afterLines="50"/>
      <w:outlineLvl w:val="2"/>
    </w:pPr>
    <w:rPr>
      <w:rFonts w:ascii="Calibri" w:hAnsi="Calibri"/>
      <w:b/>
      <w:bCs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basedOn w:val="3"/>
    <w:qFormat/>
    <w:uiPriority w:val="0"/>
    <w:pPr>
      <w:autoSpaceDE w:val="0"/>
      <w:autoSpaceDN w:val="0"/>
      <w:adjustRightInd w:val="0"/>
      <w:jc w:val="left"/>
    </w:pPr>
    <w:rPr>
      <w:kern w:val="0"/>
    </w:rPr>
  </w:style>
  <w:style w:type="paragraph" w:customStyle="1" w:styleId="3">
    <w:name w:val="Body Text Indent"/>
    <w:basedOn w:val="1"/>
    <w:qFormat/>
    <w:uiPriority w:val="0"/>
    <w:pPr>
      <w:spacing w:after="120" w:afterLines="0"/>
      <w:ind w:left="20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0">
    <w:name w:val="页眉 Char"/>
    <w:basedOn w:val="9"/>
    <w:link w:val="6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6</Pages>
  <Words>1806</Words>
  <Characters>1923</Characters>
  <Lines>4</Lines>
  <Paragraphs>1</Paragraphs>
  <TotalTime>95</TotalTime>
  <ScaleCrop>false</ScaleCrop>
  <LinksUpToDate>false</LinksUpToDate>
  <CharactersWithSpaces>1941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2022-03-25T03:19:00Z</dcterms:created>
  <dc:creator>小明同学</dc:creator>
  <cp:lastModifiedBy>爱的号码牌之常思回报</cp:lastModifiedBy>
  <cp:lastPrinted>2022-06-29T02:20:00Z</cp:lastPrinted>
  <dcterms:modified xsi:type="dcterms:W3CDTF">2022-11-21T00:46:14Z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4EE9A893C2984D4D9D873EBAA2CA8C25</vt:lpwstr>
  </property>
</Properties>
</file>