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Times New Roman" w:hAnsi="Times New Roman" w:cs="Times New Roman" w:eastAsiaTheme="majorEastAsia"/>
          <w:b/>
          <w:sz w:val="44"/>
          <w:szCs w:val="44"/>
        </w:rPr>
      </w:pPr>
      <w:r>
        <w:rPr>
          <w:rFonts w:ascii="Times New Roman" w:hAnsi="Times New Roman" w:cs="Times New Roman" w:eastAsiaTheme="majorEastAsia"/>
          <w:b/>
          <w:sz w:val="44"/>
          <w:szCs w:val="44"/>
        </w:rPr>
        <w:t>2021</w:t>
      </w:r>
      <w:r>
        <w:rPr>
          <w:rFonts w:ascii="Times New Roman" w:cs="Times New Roman" w:hAnsiTheme="majorEastAsia" w:eastAsiaTheme="majorEastAsia"/>
          <w:b/>
          <w:sz w:val="44"/>
          <w:szCs w:val="44"/>
        </w:rPr>
        <w:t>年度</w:t>
      </w:r>
      <w:r>
        <w:rPr>
          <w:rFonts w:hint="eastAsia" w:ascii="Times New Roman" w:hAnsi="Times New Roman" w:cs="Times New Roman" w:eastAsiaTheme="majorEastAsia"/>
          <w:b/>
          <w:sz w:val="44"/>
          <w:szCs w:val="44"/>
        </w:rPr>
        <w:t>澧县</w:t>
      </w:r>
      <w:r>
        <w:rPr>
          <w:rFonts w:hint="eastAsia" w:ascii="Times New Roman" w:hAnsi="Times New Roman" w:cs="Times New Roman" w:eastAsiaTheme="majorEastAsia"/>
          <w:b/>
          <w:sz w:val="44"/>
          <w:szCs w:val="44"/>
          <w:lang w:eastAsia="zh-CN"/>
        </w:rPr>
        <w:t>甘溪滩</w:t>
      </w:r>
      <w:r>
        <w:rPr>
          <w:rFonts w:hint="eastAsia" w:ascii="Times New Roman" w:hAnsi="Times New Roman" w:cs="Times New Roman" w:eastAsiaTheme="majorEastAsia"/>
          <w:b/>
          <w:sz w:val="44"/>
          <w:szCs w:val="44"/>
        </w:rPr>
        <w:t>镇中学</w:t>
      </w:r>
      <w:r>
        <w:rPr>
          <w:rFonts w:ascii="Times New Roman" w:cs="Times New Roman" w:hAnsiTheme="majorEastAsia" w:eastAsiaTheme="majorEastAsia"/>
          <w:b/>
          <w:sz w:val="44"/>
          <w:szCs w:val="44"/>
        </w:rPr>
        <w:t>单位整体支出</w:t>
      </w:r>
    </w:p>
    <w:p>
      <w:pPr>
        <w:spacing w:line="580" w:lineRule="exact"/>
        <w:jc w:val="center"/>
        <w:rPr>
          <w:rFonts w:ascii="Times New Roman" w:cs="Times New Roman" w:hAnsiTheme="majorEastAsia" w:eastAsiaTheme="majorEastAsia"/>
          <w:b/>
          <w:sz w:val="44"/>
          <w:szCs w:val="44"/>
        </w:rPr>
      </w:pPr>
      <w:r>
        <w:rPr>
          <w:rFonts w:ascii="Times New Roman" w:cs="Times New Roman" w:hAnsiTheme="majorEastAsia" w:eastAsiaTheme="majorEastAsia"/>
          <w:b/>
          <w:sz w:val="44"/>
          <w:szCs w:val="44"/>
        </w:rPr>
        <w:t>绩效自评报告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一、部门（单位）基本情况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介绍本部门（单位）主要职责及机构人员构成，财务情况以及绩效目标等。</w:t>
      </w:r>
    </w:p>
    <w:p>
      <w:pPr>
        <w:pStyle w:val="2"/>
        <w:widowControl/>
        <w:spacing w:beforeAutospacing="0" w:afterAutospacing="0"/>
        <w:ind w:firstLine="641"/>
        <w:rPr>
          <w:rFonts w:ascii="Helvetica" w:hAnsi="Helvetica" w:eastAsia="Helvetica" w:cs="Helvetica"/>
          <w:szCs w:val="24"/>
        </w:rPr>
      </w:pPr>
      <w:r>
        <w:rPr>
          <w:rFonts w:hint="eastAsia" w:ascii="宋体" w:hAnsi="宋体" w:eastAsia="宋体" w:cs="宋体"/>
          <w:szCs w:val="24"/>
        </w:rPr>
        <w:t>1.部门职责</w:t>
      </w:r>
    </w:p>
    <w:p>
      <w:pPr>
        <w:widowControl/>
        <w:ind w:firstLine="641"/>
        <w:jc w:val="left"/>
        <w:rPr>
          <w:rFonts w:ascii="Helvetica" w:hAnsi="Helvetica" w:eastAsia="宋体" w:cs="宋体"/>
          <w:sz w:val="27"/>
          <w:szCs w:val="27"/>
        </w:rPr>
      </w:pPr>
      <w:r>
        <w:rPr>
          <w:rFonts w:hint="eastAsia" w:ascii="宋体" w:hAnsi="宋体" w:eastAsia="宋体" w:cs="宋体"/>
          <w:sz w:val="32"/>
          <w:szCs w:val="32"/>
        </w:rPr>
        <w:t>（一）综合管理全镇基础教育（含学前教育）、成人教育以及特殊教育、社会力量办学、社区教育等工作；负责全镇教育督导评估工作。</w:t>
      </w:r>
    </w:p>
    <w:p>
      <w:pPr>
        <w:widowControl/>
        <w:ind w:firstLine="641"/>
        <w:jc w:val="left"/>
        <w:rPr>
          <w:rFonts w:ascii="Helvetica" w:hAnsi="Helvetica" w:eastAsia="宋体" w:cs="宋体"/>
          <w:sz w:val="27"/>
          <w:szCs w:val="27"/>
        </w:rPr>
      </w:pPr>
      <w:r>
        <w:rPr>
          <w:rFonts w:hint="eastAsia" w:ascii="宋体" w:hAnsi="宋体" w:eastAsia="宋体" w:cs="宋体"/>
          <w:sz w:val="32"/>
          <w:szCs w:val="32"/>
        </w:rPr>
        <w:t>（二）主管全镇各类学校的教师队伍建设工作；负责全镇教育系统的人事工作，指导教育人事制度改革；负责全镇教育系统教职工的调配和毕业生的就业指导工作；组织实施教师和教学管理人员继续教育。</w:t>
      </w:r>
    </w:p>
    <w:p>
      <w:pPr>
        <w:widowControl/>
        <w:ind w:firstLine="641"/>
        <w:jc w:val="left"/>
        <w:rPr>
          <w:rFonts w:ascii="Helvetica" w:hAnsi="Helvetica" w:eastAsia="宋体" w:cs="宋体"/>
          <w:sz w:val="27"/>
          <w:szCs w:val="27"/>
        </w:rPr>
      </w:pPr>
      <w:r>
        <w:rPr>
          <w:rFonts w:hint="eastAsia" w:ascii="宋体" w:hAnsi="宋体" w:eastAsia="宋体" w:cs="宋体"/>
          <w:sz w:val="32"/>
          <w:szCs w:val="32"/>
        </w:rPr>
        <w:t>（三）综合管理全镇各类学校的教育教学工作；规划、指导各类学校教育、教学改革和教育科学研究；规划并组织实施教育信息化工作。负责管理全镇教育系统对外交流工作。</w:t>
      </w:r>
    </w:p>
    <w:p>
      <w:pPr>
        <w:widowControl/>
        <w:ind w:firstLine="641"/>
        <w:jc w:val="left"/>
        <w:rPr>
          <w:rFonts w:ascii="Helvetica" w:hAnsi="Helvetica" w:eastAsia="宋体" w:cs="宋体"/>
          <w:sz w:val="27"/>
          <w:szCs w:val="27"/>
        </w:rPr>
      </w:pPr>
      <w:r>
        <w:rPr>
          <w:rFonts w:hint="eastAsia" w:ascii="宋体" w:hAnsi="宋体" w:eastAsia="宋体" w:cs="宋体"/>
          <w:sz w:val="32"/>
          <w:szCs w:val="32"/>
        </w:rPr>
        <w:t>（四）负责全镇中小学（园）及周边环境安全管理工作；会同有关部门加强师生社会治安综合治理和安全稳定宣传教育；建立完善有关校园综合治理和安全稳定规章制度；负责中小学（园）安全保卫干部配备、教育、培训和管理工作；负责中小学校车驾驶人员、食堂工作人员的教育、培训、管理工作。</w:t>
      </w:r>
    </w:p>
    <w:p>
      <w:pPr>
        <w:pStyle w:val="2"/>
        <w:widowControl/>
        <w:spacing w:beforeAutospacing="0" w:afterAutospacing="0"/>
        <w:ind w:firstLine="641"/>
        <w:rPr>
          <w:rFonts w:ascii="Helvetica" w:hAnsi="Helvetica" w:eastAsia="宋体" w:cs="Helvetica"/>
          <w:szCs w:val="24"/>
        </w:rPr>
      </w:pPr>
      <w:r>
        <w:rPr>
          <w:rFonts w:hint="eastAsia" w:ascii="宋体" w:hAnsi="宋体" w:eastAsia="宋体" w:cs="宋体"/>
          <w:szCs w:val="24"/>
        </w:rPr>
        <w:t>2.机构，人员构成</w:t>
      </w:r>
    </w:p>
    <w:p>
      <w:pPr>
        <w:widowControl/>
        <w:ind w:firstLine="641"/>
        <w:jc w:val="left"/>
        <w:rPr>
          <w:rFonts w:ascii="Helvetica" w:hAnsi="Helvetica" w:eastAsia="宋体" w:cs="宋体"/>
          <w:sz w:val="27"/>
          <w:szCs w:val="27"/>
        </w:rPr>
      </w:pPr>
      <w:r>
        <w:rPr>
          <w:rFonts w:ascii="Helvetica" w:hAnsi="Helvetica" w:eastAsia="宋体" w:cs="宋体"/>
          <w:sz w:val="32"/>
          <w:szCs w:val="32"/>
        </w:rPr>
        <w:t>澧县</w:t>
      </w:r>
      <w:r>
        <w:rPr>
          <w:rFonts w:hint="eastAsia" w:ascii="Helvetica" w:hAnsi="Helvetica" w:eastAsia="宋体" w:cs="宋体"/>
          <w:sz w:val="32"/>
          <w:szCs w:val="32"/>
          <w:lang w:eastAsia="zh-CN"/>
        </w:rPr>
        <w:t>甘溪滩</w:t>
      </w:r>
      <w:r>
        <w:rPr>
          <w:rFonts w:ascii="Helvetica" w:hAnsi="Helvetica" w:eastAsia="宋体" w:cs="宋体"/>
          <w:sz w:val="32"/>
          <w:szCs w:val="32"/>
        </w:rPr>
        <w:t>镇中学内设科室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21</w:t>
      </w:r>
      <w:r>
        <w:rPr>
          <w:rFonts w:hint="eastAsia" w:ascii="宋体" w:hAnsi="宋体" w:eastAsia="宋体" w:cs="宋体"/>
          <w:sz w:val="32"/>
          <w:szCs w:val="32"/>
        </w:rPr>
        <w:t>个，分别为：校长室1个，工会室1个，财务室1个，教务处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sz w:val="32"/>
          <w:szCs w:val="32"/>
        </w:rPr>
        <w:t>个、政教处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sz w:val="32"/>
          <w:szCs w:val="32"/>
        </w:rPr>
        <w:t>个、总务处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sz w:val="32"/>
          <w:szCs w:val="32"/>
        </w:rPr>
        <w:t>个。2021年我单位共有编制人数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118</w:t>
      </w:r>
      <w:r>
        <w:rPr>
          <w:rFonts w:hint="eastAsia" w:ascii="宋体" w:hAnsi="宋体" w:eastAsia="宋体" w:cs="宋体"/>
          <w:sz w:val="32"/>
          <w:szCs w:val="32"/>
        </w:rPr>
        <w:t>人，年末实有在职人数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225</w:t>
      </w:r>
      <w:r>
        <w:rPr>
          <w:rFonts w:hint="eastAsia" w:ascii="宋体" w:hAnsi="宋体" w:eastAsia="宋体" w:cs="宋体"/>
          <w:sz w:val="32"/>
          <w:szCs w:val="32"/>
        </w:rPr>
        <w:t>人，退休人员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137</w:t>
      </w:r>
      <w:r>
        <w:rPr>
          <w:rFonts w:hint="eastAsia" w:ascii="宋体" w:hAnsi="宋体" w:eastAsia="宋体" w:cs="宋体"/>
          <w:sz w:val="32"/>
          <w:szCs w:val="32"/>
        </w:rPr>
        <w:t>人。在校学生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2158</w:t>
      </w:r>
      <w:r>
        <w:rPr>
          <w:rFonts w:hint="eastAsia" w:ascii="宋体" w:hAnsi="宋体" w:eastAsia="宋体" w:cs="宋体"/>
          <w:sz w:val="32"/>
          <w:szCs w:val="32"/>
        </w:rPr>
        <w:t>人。</w:t>
      </w:r>
    </w:p>
    <w:p>
      <w:pPr>
        <w:spacing w:line="580" w:lineRule="exact"/>
        <w:ind w:firstLine="560" w:firstLineChars="200"/>
        <w:rPr>
          <w:rFonts w:ascii="Times New Roman" w:cs="Times New Roman" w:hAnsiTheme="majorEastAsia" w:eastAsiaTheme="majorEastAsia"/>
          <w:b/>
          <w:sz w:val="44"/>
          <w:szCs w:val="44"/>
        </w:rPr>
      </w:pPr>
      <w:r>
        <w:rPr>
          <w:rFonts w:hint="eastAsia" w:ascii="Times New Roman" w:cs="Times New Roman" w:hAnsiTheme="majorEastAsia" w:eastAsiaTheme="majorEastAsia"/>
          <w:bCs/>
          <w:sz w:val="28"/>
          <w:szCs w:val="28"/>
        </w:rPr>
        <w:t>3.部门财务支出情况</w:t>
      </w:r>
    </w:p>
    <w:p>
      <w:pPr>
        <w:ind w:firstLine="800" w:firstLineChars="250"/>
        <w:rPr>
          <w:rFonts w:hint="eastAsia" w:ascii="Helvetica" w:hAnsi="Helvetica" w:eastAsia="宋体" w:cs="宋体"/>
          <w:color w:val="212529"/>
          <w:sz w:val="32"/>
          <w:szCs w:val="32"/>
        </w:rPr>
      </w:pPr>
      <w:r>
        <w:rPr>
          <w:rFonts w:hint="eastAsia" w:ascii="宋体" w:hAnsi="宋体" w:eastAsia="宋体" w:cs="宋体"/>
          <w:color w:val="212529"/>
          <w:sz w:val="32"/>
          <w:szCs w:val="32"/>
        </w:rPr>
        <w:t>本年度收入合计</w:t>
      </w:r>
      <w:r>
        <w:rPr>
          <w:rFonts w:hint="eastAsia" w:ascii="Helvetica" w:hAnsi="Helvetica" w:eastAsia="宋体" w:cs="宋体"/>
          <w:color w:val="212529"/>
          <w:sz w:val="32"/>
          <w:szCs w:val="32"/>
          <w:lang w:val="en-US" w:eastAsia="zh-CN"/>
        </w:rPr>
        <w:t>1589.29</w:t>
      </w:r>
      <w:r>
        <w:rPr>
          <w:rFonts w:ascii="Helvetica" w:hAnsi="Helvetica" w:eastAsia="宋体" w:cs="宋体"/>
          <w:color w:val="212529"/>
          <w:sz w:val="32"/>
          <w:szCs w:val="32"/>
        </w:rPr>
        <w:t>万元</w:t>
      </w:r>
      <w:r>
        <w:rPr>
          <w:rFonts w:hint="eastAsia" w:ascii="Helvetica" w:hAnsi="Helvetica" w:eastAsia="宋体" w:cs="宋体"/>
          <w:color w:val="212529"/>
          <w:sz w:val="32"/>
          <w:szCs w:val="32"/>
        </w:rPr>
        <w:t>，本</w:t>
      </w:r>
      <w:r>
        <w:rPr>
          <w:rFonts w:ascii="Helvetica" w:hAnsi="Helvetica" w:eastAsia="宋体" w:cs="宋体"/>
          <w:color w:val="212529"/>
          <w:sz w:val="32"/>
          <w:szCs w:val="32"/>
        </w:rPr>
        <w:t>年度支出合计</w:t>
      </w:r>
      <w:r>
        <w:rPr>
          <w:rFonts w:hint="eastAsia" w:ascii="Helvetica" w:hAnsi="Helvetica" w:eastAsia="宋体" w:cs="宋体"/>
          <w:color w:val="212529"/>
          <w:sz w:val="32"/>
          <w:szCs w:val="32"/>
          <w:lang w:val="en-US" w:eastAsia="zh-CN"/>
        </w:rPr>
        <w:t>1589.29</w:t>
      </w:r>
      <w:r>
        <w:rPr>
          <w:rFonts w:ascii="Helvetica" w:hAnsi="Helvetica" w:eastAsia="宋体" w:cs="宋体"/>
          <w:color w:val="212529"/>
          <w:sz w:val="32"/>
          <w:szCs w:val="32"/>
        </w:rPr>
        <w:t>万元，其中：基本支出</w:t>
      </w:r>
      <w:r>
        <w:rPr>
          <w:rFonts w:hint="eastAsia" w:ascii="Helvetica" w:hAnsi="Helvetica" w:eastAsia="宋体" w:cs="宋体"/>
          <w:color w:val="212529"/>
          <w:sz w:val="32"/>
          <w:szCs w:val="32"/>
          <w:lang w:val="en-US" w:eastAsia="zh-CN"/>
        </w:rPr>
        <w:t>1420.02</w:t>
      </w:r>
      <w:r>
        <w:rPr>
          <w:rFonts w:ascii="Helvetica" w:hAnsi="Helvetica" w:eastAsia="宋体" w:cs="宋体"/>
          <w:color w:val="212529"/>
          <w:sz w:val="32"/>
          <w:szCs w:val="32"/>
        </w:rPr>
        <w:t>万元，项目支出</w:t>
      </w:r>
      <w:r>
        <w:rPr>
          <w:rFonts w:hint="eastAsia" w:ascii="Helvetica" w:hAnsi="Helvetica" w:eastAsia="宋体" w:cs="宋体"/>
          <w:color w:val="212529"/>
          <w:sz w:val="32"/>
          <w:szCs w:val="32"/>
          <w:lang w:val="en-US" w:eastAsia="zh-CN"/>
        </w:rPr>
        <w:t>169.27</w:t>
      </w:r>
      <w:r>
        <w:rPr>
          <w:rFonts w:ascii="Helvetica" w:hAnsi="Helvetica" w:eastAsia="宋体" w:cs="宋体"/>
          <w:color w:val="212529"/>
          <w:sz w:val="32"/>
          <w:szCs w:val="32"/>
        </w:rPr>
        <w:t>万元</w:t>
      </w:r>
      <w:r>
        <w:rPr>
          <w:rFonts w:hint="eastAsia" w:ascii="Helvetica" w:hAnsi="Helvetica" w:eastAsia="宋体" w:cs="宋体"/>
          <w:color w:val="212529"/>
          <w:sz w:val="32"/>
          <w:szCs w:val="32"/>
        </w:rPr>
        <w:t>。</w:t>
      </w:r>
      <w:bookmarkStart w:id="0" w:name="_GoBack"/>
      <w:bookmarkEnd w:id="0"/>
    </w:p>
    <w:p>
      <w:pPr>
        <w:ind w:firstLine="630" w:firstLineChars="300"/>
        <w:rPr>
          <w:rFonts w:ascii="Helvetica" w:hAnsi="Helvetica" w:eastAsia="宋体" w:cs="Helvetica"/>
          <w:color w:val="212529"/>
          <w:sz w:val="32"/>
          <w:szCs w:val="32"/>
          <w:shd w:val="clear" w:color="auto" w:fill="FFFFFF"/>
        </w:rPr>
      </w:pPr>
      <w:r>
        <w:rPr>
          <w:rFonts w:hint="eastAsia" w:ascii="Helvetica" w:hAnsi="Helvetica" w:eastAsia="宋体" w:cs="Helvetica"/>
          <w:color w:val="212529"/>
          <w:szCs w:val="21"/>
          <w:shd w:val="clear" w:color="auto" w:fill="FFFFFF"/>
        </w:rPr>
        <w:t>4</w:t>
      </w:r>
      <w:r>
        <w:rPr>
          <w:rFonts w:hint="eastAsia" w:ascii="Helvetica" w:hAnsi="Helvetica" w:eastAsia="宋体" w:cs="Helvetica"/>
          <w:color w:val="212529"/>
          <w:sz w:val="32"/>
          <w:szCs w:val="32"/>
          <w:shd w:val="clear" w:color="auto" w:fill="FFFFFF"/>
        </w:rPr>
        <w:t>.绩效目标</w:t>
      </w:r>
    </w:p>
    <w:p>
      <w:pPr>
        <w:pStyle w:val="2"/>
        <w:widowControl/>
        <w:shd w:val="clear" w:color="auto" w:fill="FFFFFF"/>
        <w:spacing w:beforeAutospacing="0" w:afterAutospacing="0"/>
        <w:ind w:firstLine="320" w:firstLineChars="100"/>
        <w:rPr>
          <w:rFonts w:ascii="宋体" w:hAnsi="宋体" w:eastAsia="宋体" w:cs="宋体"/>
          <w:color w:val="212529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"/>
          <w:sz w:val="32"/>
          <w:szCs w:val="32"/>
        </w:rPr>
        <w:t>（一）部门绩效总目标</w:t>
      </w:r>
    </w:p>
    <w:p>
      <w:pPr>
        <w:pStyle w:val="2"/>
        <w:widowControl/>
        <w:shd w:val="clear" w:color="auto" w:fill="FFFFFF"/>
        <w:spacing w:beforeAutospacing="0" w:afterAutospacing="0"/>
        <w:ind w:firstLine="641"/>
        <w:rPr>
          <w:rFonts w:ascii="Helvetica" w:hAnsi="Helvetica" w:eastAsia="Helvetica" w:cs="Helvetica"/>
          <w:color w:val="212529"/>
          <w:sz w:val="27"/>
          <w:szCs w:val="27"/>
        </w:rPr>
      </w:pPr>
      <w:r>
        <w:rPr>
          <w:rFonts w:ascii="宋体" w:hAnsi="宋体" w:eastAsia="宋体" w:cs="宋体"/>
          <w:color w:val="212529"/>
          <w:sz w:val="32"/>
          <w:szCs w:val="32"/>
          <w:shd w:val="clear" w:color="auto" w:fill="FFFFFF"/>
        </w:rPr>
        <w:t>1、进一步促进义务教育均衡发展，确保教育公平。</w:t>
      </w:r>
    </w:p>
    <w:p>
      <w:pPr>
        <w:pStyle w:val="2"/>
        <w:widowControl/>
        <w:shd w:val="clear" w:color="auto" w:fill="FFFFFF"/>
        <w:spacing w:beforeAutospacing="0" w:afterAutospacing="0"/>
        <w:ind w:firstLine="641"/>
        <w:rPr>
          <w:rFonts w:ascii="Helvetica" w:hAnsi="Helvetica" w:eastAsia="Helvetica" w:cs="Helvetica"/>
          <w:color w:val="212529"/>
          <w:sz w:val="27"/>
          <w:szCs w:val="27"/>
        </w:rPr>
      </w:pPr>
      <w:r>
        <w:rPr>
          <w:rFonts w:ascii="宋体" w:hAnsi="宋体" w:eastAsia="宋体" w:cs="宋体"/>
          <w:color w:val="212529"/>
          <w:sz w:val="32"/>
          <w:szCs w:val="32"/>
          <w:shd w:val="clear" w:color="auto" w:fill="FFFFFF"/>
        </w:rPr>
        <w:t>2、学前教育三年毛入园率达到95%，义务教育阶段入学率达到100%。</w:t>
      </w:r>
    </w:p>
    <w:p>
      <w:pPr>
        <w:pStyle w:val="2"/>
        <w:widowControl/>
        <w:shd w:val="clear" w:color="auto" w:fill="FFFFFF"/>
        <w:spacing w:beforeAutospacing="0" w:afterAutospacing="0"/>
        <w:ind w:firstLine="641"/>
        <w:rPr>
          <w:rFonts w:ascii="Helvetica" w:hAnsi="Helvetica" w:eastAsia="Helvetica" w:cs="Helvetica"/>
          <w:color w:val="212529"/>
          <w:sz w:val="27"/>
          <w:szCs w:val="27"/>
        </w:rPr>
      </w:pPr>
      <w:r>
        <w:rPr>
          <w:rFonts w:ascii="宋体" w:hAnsi="宋体" w:eastAsia="宋体" w:cs="宋体"/>
          <w:color w:val="212529"/>
          <w:sz w:val="32"/>
          <w:szCs w:val="32"/>
          <w:shd w:val="clear" w:color="auto" w:fill="FFFFFF"/>
        </w:rPr>
        <w:t>3、促进教育协调发展，落实教育改革。</w:t>
      </w:r>
    </w:p>
    <w:p>
      <w:pPr>
        <w:pStyle w:val="2"/>
        <w:widowControl/>
        <w:shd w:val="clear" w:color="auto" w:fill="FFFFFF"/>
        <w:spacing w:beforeAutospacing="0" w:afterAutospacing="0"/>
        <w:ind w:firstLine="641"/>
        <w:rPr>
          <w:rFonts w:ascii="Helvetica" w:hAnsi="Helvetica" w:eastAsia="Helvetica" w:cs="Helvetica"/>
          <w:color w:val="212529"/>
          <w:sz w:val="27"/>
          <w:szCs w:val="27"/>
        </w:rPr>
      </w:pPr>
      <w:r>
        <w:rPr>
          <w:rFonts w:ascii="宋体" w:hAnsi="宋体" w:eastAsia="宋体" w:cs="宋体"/>
          <w:color w:val="212529"/>
          <w:sz w:val="32"/>
          <w:szCs w:val="32"/>
          <w:shd w:val="clear" w:color="auto" w:fill="FFFFFF"/>
        </w:rPr>
        <w:t>4、不断提高教学质量。</w:t>
      </w:r>
    </w:p>
    <w:p>
      <w:pPr>
        <w:spacing w:line="580" w:lineRule="exact"/>
        <w:ind w:firstLine="640" w:firstLineChars="200"/>
        <w:rPr>
          <w:rFonts w:ascii="宋体" w:hAnsi="宋体" w:eastAsia="宋体" w:cs="宋体"/>
          <w:color w:val="212529"/>
          <w:sz w:val="32"/>
          <w:szCs w:val="32"/>
          <w:shd w:val="clear" w:color="auto" w:fill="FFFFFF"/>
        </w:rPr>
      </w:pPr>
      <w:r>
        <w:rPr>
          <w:rFonts w:ascii="宋体" w:hAnsi="宋体" w:eastAsia="宋体" w:cs="宋体"/>
          <w:color w:val="212529"/>
          <w:sz w:val="32"/>
          <w:szCs w:val="32"/>
          <w:shd w:val="clear" w:color="auto" w:fill="FFFFFF"/>
        </w:rPr>
        <w:t>5、举办中考及小学学业水平测试等各类考试。</w:t>
      </w:r>
    </w:p>
    <w:p>
      <w:pPr>
        <w:spacing w:line="580" w:lineRule="exact"/>
        <w:ind w:firstLine="320" w:firstLineChars="1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（二）2021年度部门绩效目标</w:t>
      </w:r>
    </w:p>
    <w:p>
      <w:pPr>
        <w:numPr>
          <w:ilvl w:val="0"/>
          <w:numId w:val="1"/>
        </w:numPr>
        <w:spacing w:line="580" w:lineRule="exact"/>
        <w:rPr>
          <w:rFonts w:ascii="宋体" w:hAnsi="宋体" w:eastAsia="宋体" w:cs="宋体"/>
          <w:color w:val="212529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212529"/>
          <w:sz w:val="32"/>
          <w:szCs w:val="32"/>
          <w:shd w:val="clear" w:color="auto" w:fill="FFFFFF"/>
        </w:rPr>
        <w:t>数量指标：</w:t>
      </w:r>
    </w:p>
    <w:p>
      <w:pPr>
        <w:spacing w:line="580" w:lineRule="exact"/>
        <w:ind w:left="640"/>
        <w:rPr>
          <w:rFonts w:ascii="宋体" w:hAnsi="宋体" w:eastAsia="宋体" w:cs="宋体"/>
          <w:color w:val="212529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212529"/>
          <w:sz w:val="32"/>
          <w:szCs w:val="32"/>
          <w:shd w:val="clear" w:color="auto" w:fill="FFFFFF"/>
        </w:rPr>
        <w:t>义务教育入学率达100%，</w:t>
      </w:r>
      <w:r>
        <w:rPr>
          <w:rFonts w:ascii="宋体" w:hAnsi="宋体" w:eastAsia="宋体" w:cs="宋体"/>
          <w:color w:val="212529"/>
          <w:sz w:val="32"/>
          <w:szCs w:val="32"/>
          <w:shd w:val="clear" w:color="auto" w:fill="FFFFFF"/>
        </w:rPr>
        <w:t>学前教育三年毛入园率达到95%，</w:t>
      </w:r>
      <w:r>
        <w:rPr>
          <w:rFonts w:hint="eastAsia" w:ascii="宋体" w:hAnsi="宋体" w:eastAsia="宋体" w:cs="宋体"/>
          <w:color w:val="212529"/>
          <w:sz w:val="32"/>
          <w:szCs w:val="32"/>
          <w:shd w:val="clear" w:color="auto" w:fill="FFFFFF"/>
        </w:rPr>
        <w:t>全年举办中小学学业水平测试等考试，举办率达100%。</w:t>
      </w:r>
    </w:p>
    <w:p>
      <w:pPr>
        <w:numPr>
          <w:ilvl w:val="0"/>
          <w:numId w:val="1"/>
        </w:numPr>
        <w:spacing w:line="580" w:lineRule="exact"/>
        <w:rPr>
          <w:rFonts w:ascii="宋体" w:hAnsi="宋体" w:eastAsia="宋体" w:cs="宋体"/>
          <w:color w:val="212529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212529"/>
          <w:sz w:val="32"/>
          <w:szCs w:val="32"/>
          <w:shd w:val="clear" w:color="auto" w:fill="FFFFFF"/>
        </w:rPr>
        <w:t>质量指标：</w:t>
      </w:r>
    </w:p>
    <w:p>
      <w:pPr>
        <w:spacing w:line="580" w:lineRule="exact"/>
        <w:ind w:left="640"/>
        <w:rPr>
          <w:rFonts w:ascii="宋体" w:hAnsi="宋体" w:eastAsia="宋体" w:cs="宋体"/>
          <w:color w:val="212529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212529"/>
          <w:sz w:val="32"/>
          <w:szCs w:val="32"/>
          <w:shd w:val="clear" w:color="auto" w:fill="FFFFFF"/>
        </w:rPr>
        <w:t>年底绩效考核中保持先进。</w:t>
      </w:r>
    </w:p>
    <w:p>
      <w:pPr>
        <w:numPr>
          <w:ilvl w:val="0"/>
          <w:numId w:val="1"/>
        </w:numPr>
        <w:spacing w:line="580" w:lineRule="exact"/>
        <w:rPr>
          <w:rFonts w:ascii="宋体" w:hAnsi="宋体" w:eastAsia="宋体" w:cs="宋体"/>
          <w:color w:val="212529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212529"/>
          <w:sz w:val="32"/>
          <w:szCs w:val="32"/>
          <w:shd w:val="clear" w:color="auto" w:fill="FFFFFF"/>
        </w:rPr>
        <w:t>时效指标：</w:t>
      </w:r>
    </w:p>
    <w:p>
      <w:pPr>
        <w:spacing w:line="580" w:lineRule="exact"/>
        <w:ind w:left="640"/>
        <w:rPr>
          <w:rFonts w:ascii="宋体" w:hAnsi="宋体" w:eastAsia="宋体" w:cs="宋体"/>
          <w:color w:val="212529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212529"/>
          <w:sz w:val="32"/>
          <w:szCs w:val="32"/>
          <w:shd w:val="clear" w:color="auto" w:fill="FFFFFF"/>
        </w:rPr>
        <w:t>完成2021年全部项目预算。</w:t>
      </w:r>
    </w:p>
    <w:p>
      <w:pPr>
        <w:numPr>
          <w:ilvl w:val="0"/>
          <w:numId w:val="1"/>
        </w:numPr>
        <w:spacing w:line="580" w:lineRule="exact"/>
        <w:rPr>
          <w:rFonts w:ascii="宋体" w:hAnsi="宋体" w:eastAsia="宋体" w:cs="宋体"/>
          <w:color w:val="212529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212529"/>
          <w:sz w:val="32"/>
          <w:szCs w:val="32"/>
          <w:shd w:val="clear" w:color="auto" w:fill="FFFFFF"/>
        </w:rPr>
        <w:t>成本指标：</w:t>
      </w:r>
    </w:p>
    <w:p>
      <w:pPr>
        <w:spacing w:line="580" w:lineRule="exact"/>
        <w:ind w:left="640"/>
        <w:rPr>
          <w:rFonts w:ascii="宋体" w:hAnsi="宋体" w:eastAsia="宋体" w:cs="宋体"/>
          <w:color w:val="212529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212529"/>
          <w:sz w:val="32"/>
          <w:szCs w:val="32"/>
          <w:shd w:val="clear" w:color="auto" w:fill="FFFFFF"/>
        </w:rPr>
        <w:t>在预算范围内，严格执行年初预算，政府采购等制度，控制各类支出。</w:t>
      </w:r>
    </w:p>
    <w:p>
      <w:pPr>
        <w:numPr>
          <w:ilvl w:val="0"/>
          <w:numId w:val="1"/>
        </w:numPr>
        <w:spacing w:line="580" w:lineRule="exact"/>
        <w:rPr>
          <w:rFonts w:ascii="宋体" w:hAnsi="宋体" w:eastAsia="宋体" w:cs="宋体"/>
          <w:color w:val="212529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212529"/>
          <w:sz w:val="32"/>
          <w:szCs w:val="32"/>
          <w:shd w:val="clear" w:color="auto" w:fill="FFFFFF"/>
        </w:rPr>
        <w:t>社会效益指标：</w:t>
      </w:r>
    </w:p>
    <w:p>
      <w:pPr>
        <w:spacing w:line="580" w:lineRule="exact"/>
        <w:ind w:left="638" w:leftChars="304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学校安全、稳定、文明、和谐，教学效率高、质量好，社会公众满意率达到95%以上。</w:t>
      </w:r>
    </w:p>
    <w:p>
      <w:pPr>
        <w:spacing w:line="580" w:lineRule="exact"/>
        <w:ind w:firstLine="640" w:firstLineChars="200"/>
        <w:rPr>
          <w:rFonts w:ascii="Times New Roman" w:hAnsi="黑体" w:eastAsia="黑体" w:cs="Times New Roman"/>
          <w:sz w:val="32"/>
          <w:szCs w:val="32"/>
        </w:rPr>
      </w:pPr>
      <w:r>
        <w:rPr>
          <w:rFonts w:hint="eastAsia" w:ascii="Times New Roman" w:hAnsi="黑体" w:eastAsia="黑体" w:cs="Times New Roman"/>
          <w:sz w:val="32"/>
          <w:szCs w:val="32"/>
        </w:rPr>
        <w:t>二</w:t>
      </w:r>
      <w:r>
        <w:rPr>
          <w:rFonts w:ascii="Times New Roman" w:hAnsi="黑体" w:eastAsia="黑体" w:cs="Times New Roman"/>
          <w:sz w:val="32"/>
          <w:szCs w:val="32"/>
        </w:rPr>
        <w:t>、政府性基金预算支出情况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本年没有政府性基金预算支出。</w:t>
      </w:r>
    </w:p>
    <w:p>
      <w:pPr>
        <w:spacing w:line="580" w:lineRule="exact"/>
        <w:ind w:firstLine="640" w:firstLineChars="200"/>
        <w:rPr>
          <w:rFonts w:ascii="Times New Roman" w:hAnsi="黑体" w:eastAsia="黑体" w:cs="Times New Roman"/>
          <w:sz w:val="32"/>
          <w:szCs w:val="32"/>
        </w:rPr>
      </w:pPr>
      <w:r>
        <w:rPr>
          <w:rFonts w:hint="eastAsia" w:ascii="Times New Roman" w:hAnsi="黑体" w:eastAsia="黑体" w:cs="Times New Roman"/>
          <w:sz w:val="32"/>
          <w:szCs w:val="32"/>
        </w:rPr>
        <w:t>三</w:t>
      </w:r>
      <w:r>
        <w:rPr>
          <w:rFonts w:ascii="Times New Roman" w:hAnsi="黑体" w:eastAsia="黑体" w:cs="Times New Roman"/>
          <w:sz w:val="32"/>
          <w:szCs w:val="32"/>
        </w:rPr>
        <w:t>、国有资本经营预算支出情况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本年没有</w:t>
      </w:r>
      <w:r>
        <w:rPr>
          <w:rFonts w:ascii="Times New Roman" w:hAnsi="Times New Roman" w:eastAsia="仿宋" w:cs="Times New Roman"/>
          <w:sz w:val="32"/>
          <w:szCs w:val="32"/>
        </w:rPr>
        <w:t>国有资本经营预算支出</w:t>
      </w:r>
      <w:r>
        <w:rPr>
          <w:rFonts w:hint="eastAsia" w:ascii="Times New Roman" w:hAnsi="Times New Roman" w:eastAsia="仿宋" w:cs="Times New Roman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黑体" w:eastAsia="黑体" w:cs="Times New Roman"/>
          <w:sz w:val="32"/>
          <w:szCs w:val="32"/>
        </w:rPr>
        <w:t>四</w:t>
      </w:r>
      <w:r>
        <w:rPr>
          <w:rFonts w:ascii="Times New Roman" w:hAnsi="黑体" w:eastAsia="黑体" w:cs="Times New Roman"/>
          <w:sz w:val="32"/>
          <w:szCs w:val="32"/>
        </w:rPr>
        <w:t>、单位整体支出绩效情况</w:t>
      </w:r>
    </w:p>
    <w:p>
      <w:pPr>
        <w:snapToGrid w:val="0"/>
        <w:spacing w:line="520" w:lineRule="exact"/>
        <w:ind w:firstLine="640" w:firstLineChars="200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学校整体工作思路是：深化改革、特色发展、勠力同心、再续辉煌。一年来，学校紧紧围绕这一工作思路，始终坚持“文化立校，德行立人”的办学追求不动摇，以实施“深度学习课堂”为突破口，全面推进“双减工作”，坚持在主动上下功夫，在落实上做文章，着力推动学校特色发展，至臻立德树人，砥砺传承致远，学校各项工作取得了显著成效。</w:t>
      </w:r>
    </w:p>
    <w:p>
      <w:pPr>
        <w:spacing w:line="580" w:lineRule="exact"/>
        <w:ind w:firstLine="640" w:firstLineChars="200"/>
        <w:rPr>
          <w:rFonts w:ascii="Times New Roman" w:hAnsi="黑体" w:eastAsia="黑体" w:cs="Times New Roman"/>
          <w:sz w:val="32"/>
          <w:szCs w:val="32"/>
        </w:rPr>
      </w:pPr>
      <w:r>
        <w:rPr>
          <w:rFonts w:hint="eastAsia" w:ascii="Times New Roman" w:hAnsi="黑体" w:eastAsia="黑体" w:cs="Times New Roman"/>
          <w:sz w:val="32"/>
          <w:szCs w:val="32"/>
        </w:rPr>
        <w:t>五</w:t>
      </w:r>
      <w:r>
        <w:rPr>
          <w:rFonts w:ascii="Times New Roman" w:hAnsi="黑体" w:eastAsia="黑体" w:cs="Times New Roman"/>
          <w:sz w:val="32"/>
          <w:szCs w:val="32"/>
        </w:rPr>
        <w:t>、单位整体支出绩效自评结果拟应用和公开情况</w:t>
      </w:r>
    </w:p>
    <w:p>
      <w:pPr>
        <w:spacing w:line="600" w:lineRule="exact"/>
        <w:ind w:right="-512" w:rightChars="-244"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校根据年度工作任务编制年度财务收支计划，通过全面推进单位内部控制建设，强化各科室的责任主体意识，细致梳理各类经济活动的规章制度及其业务流程，实现各类经济活动决策、执行、监督的有效分离。在此基础上，学校各科室组织了年度考核和相关检查，对学校整体情况进行自评，自评分为95分。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黑体" w:eastAsia="黑体" w:cs="Times New Roman"/>
          <w:sz w:val="32"/>
          <w:szCs w:val="32"/>
        </w:rPr>
        <w:t>六</w:t>
      </w:r>
      <w:r>
        <w:rPr>
          <w:rFonts w:ascii="Times New Roman" w:hAnsi="黑体" w:eastAsia="黑体" w:cs="Times New Roman"/>
          <w:sz w:val="32"/>
          <w:szCs w:val="32"/>
        </w:rPr>
        <w:t>、其他需要说明的情况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无</w:t>
      </w:r>
    </w:p>
    <w:p>
      <w:pPr>
        <w:snapToGrid w:val="0"/>
        <w:spacing w:line="520" w:lineRule="exact"/>
        <w:ind w:firstLine="640" w:firstLineChars="200"/>
        <w:rPr>
          <w:rFonts w:ascii="仿宋" w:eastAsia="仿宋" w:cs="仿宋"/>
          <w:sz w:val="32"/>
          <w:szCs w:val="32"/>
        </w:rPr>
      </w:pPr>
    </w:p>
    <w:p>
      <w:pPr>
        <w:spacing w:line="580" w:lineRule="exact"/>
        <w:ind w:left="638" w:leftChars="304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640" w:firstLineChars="200"/>
        <w:rPr>
          <w:rFonts w:ascii="宋体" w:hAnsi="宋体" w:eastAsia="宋体" w:cs="宋体"/>
          <w:color w:val="212529"/>
          <w:sz w:val="32"/>
          <w:szCs w:val="32"/>
          <w:shd w:val="clear" w:color="auto" w:fill="FFFFFF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1196CF"/>
    <w:multiLevelType w:val="singleLevel"/>
    <w:tmpl w:val="AD1196CF"/>
    <w:lvl w:ilvl="0" w:tentative="0">
      <w:start w:val="1"/>
      <w:numFmt w:val="decimal"/>
      <w:suff w:val="nothing"/>
      <w:lvlText w:val="%1、"/>
      <w:lvlJc w:val="left"/>
      <w:pPr>
        <w:ind w:left="64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ZmEzYmEzMjkwZDNmOTdlMjQwZjFkMDVmNDEyODYifQ=="/>
  </w:docVars>
  <w:rsids>
    <w:rsidRoot w:val="0061681B"/>
    <w:rsid w:val="00542A2E"/>
    <w:rsid w:val="0061681B"/>
    <w:rsid w:val="0096527E"/>
    <w:rsid w:val="119A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0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1272</Words>
  <Characters>1337</Characters>
  <Lines>9</Lines>
  <Paragraphs>2</Paragraphs>
  <TotalTime>24</TotalTime>
  <ScaleCrop>false</ScaleCrop>
  <LinksUpToDate>false</LinksUpToDate>
  <CharactersWithSpaces>1337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2022-11-21T01:07:00Z</dcterms:created>
  <dc:creator>dreamsummit</dc:creator>
  <cp:lastModifiedBy>沙漠里的大白兔</cp:lastModifiedBy>
  <dcterms:modified xsi:type="dcterms:W3CDTF">2022-11-21T02:13:30Z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C91A7F8BE5134D50B70C37EE8DAB11E1</vt:lpwstr>
  </property>
</Properties>
</file>