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lang w:val="en-US" w:eastAsia="zh-CN"/>
        </w:rPr>
        <w:t>澧县</w:t>
      </w:r>
      <w:r>
        <w:rPr>
          <w:rFonts w:hint="eastAsia"/>
          <w:sz w:val="44"/>
          <w:szCs w:val="44"/>
        </w:rPr>
        <w:t>水利局关于2025年度涉企行政检查计划公示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917"/>
        <w:gridCol w:w="5324"/>
        <w:gridCol w:w="1200"/>
        <w:gridCol w:w="949"/>
        <w:gridCol w:w="796"/>
        <w:gridCol w:w="688"/>
        <w:gridCol w:w="774"/>
        <w:gridCol w:w="775"/>
        <w:gridCol w:w="1407"/>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序号</w:t>
            </w:r>
          </w:p>
        </w:tc>
        <w:tc>
          <w:tcPr>
            <w:tcW w:w="917" w:type="dxa"/>
            <w:vAlign w:val="center"/>
          </w:tcPr>
          <w:p>
            <w:pPr>
              <w:jc w:val="center"/>
              <w:rPr>
                <w:rFonts w:hint="default"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检查事项</w:t>
            </w:r>
          </w:p>
        </w:tc>
        <w:tc>
          <w:tcPr>
            <w:tcW w:w="5324" w:type="dxa"/>
            <w:vAlign w:val="center"/>
          </w:tcPr>
          <w:p>
            <w:pPr>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事实依据</w:t>
            </w:r>
          </w:p>
        </w:tc>
        <w:tc>
          <w:tcPr>
            <w:tcW w:w="1200" w:type="dxa"/>
            <w:vAlign w:val="center"/>
          </w:tcPr>
          <w:p>
            <w:pPr>
              <w:jc w:val="center"/>
              <w:rPr>
                <w:rFonts w:hint="eastAsia" w:ascii="楷体" w:hAnsi="楷体" w:eastAsia="楷体" w:cs="楷体"/>
                <w:b/>
                <w:bCs/>
                <w:sz w:val="24"/>
                <w:szCs w:val="24"/>
                <w:vertAlign w:val="baseline"/>
              </w:rPr>
            </w:pPr>
            <w:r>
              <w:rPr>
                <w:rFonts w:hint="eastAsia" w:ascii="楷体" w:hAnsi="楷体" w:eastAsia="楷体" w:cs="楷体"/>
                <w:b/>
                <w:bCs/>
                <w:sz w:val="24"/>
                <w:szCs w:val="24"/>
                <w:vertAlign w:val="baseline"/>
              </w:rPr>
              <w:t>具体检查对象(含数量)或</w:t>
            </w:r>
          </w:p>
          <w:p>
            <w:pPr>
              <w:jc w:val="center"/>
              <w:rPr>
                <w:rFonts w:hint="eastAsia" w:ascii="楷体" w:hAnsi="楷体" w:eastAsia="楷体" w:cs="楷体"/>
                <w:b/>
                <w:bCs/>
                <w:sz w:val="24"/>
                <w:szCs w:val="24"/>
                <w:vertAlign w:val="baseline"/>
              </w:rPr>
            </w:pPr>
            <w:r>
              <w:rPr>
                <w:rFonts w:hint="eastAsia" w:ascii="楷体" w:hAnsi="楷体" w:eastAsia="楷体" w:cs="楷体"/>
                <w:b/>
                <w:bCs/>
                <w:sz w:val="24"/>
                <w:szCs w:val="24"/>
                <w:vertAlign w:val="baseline"/>
              </w:rPr>
              <w:t>“双随机”抽查对象（含总数及比例）</w:t>
            </w:r>
          </w:p>
        </w:tc>
        <w:tc>
          <w:tcPr>
            <w:tcW w:w="949" w:type="dxa"/>
            <w:vAlign w:val="center"/>
          </w:tcPr>
          <w:p>
            <w:pPr>
              <w:jc w:val="center"/>
              <w:rPr>
                <w:rFonts w:hint="eastAsia" w:ascii="楷体" w:hAnsi="楷体" w:eastAsia="楷体" w:cs="楷体"/>
                <w:b/>
                <w:bCs/>
                <w:sz w:val="24"/>
                <w:szCs w:val="24"/>
                <w:vertAlign w:val="baseline"/>
              </w:rPr>
            </w:pPr>
            <w:r>
              <w:rPr>
                <w:rFonts w:hint="eastAsia" w:ascii="楷体" w:hAnsi="楷体" w:eastAsia="楷体" w:cs="楷体"/>
                <w:b/>
                <w:bCs/>
                <w:sz w:val="24"/>
                <w:szCs w:val="24"/>
                <w:vertAlign w:val="baseline"/>
              </w:rPr>
              <w:t>检查内容（项目）</w:t>
            </w:r>
          </w:p>
        </w:tc>
        <w:tc>
          <w:tcPr>
            <w:tcW w:w="796" w:type="dxa"/>
            <w:vAlign w:val="center"/>
          </w:tcPr>
          <w:p>
            <w:pPr>
              <w:jc w:val="center"/>
              <w:rPr>
                <w:rFonts w:hint="eastAsia" w:ascii="楷体" w:hAnsi="楷体" w:eastAsia="楷体" w:cs="楷体"/>
                <w:b/>
                <w:bCs/>
                <w:sz w:val="24"/>
                <w:szCs w:val="24"/>
                <w:vertAlign w:val="baseline"/>
              </w:rPr>
            </w:pPr>
            <w:r>
              <w:rPr>
                <w:rFonts w:hint="eastAsia" w:ascii="楷体" w:hAnsi="楷体" w:eastAsia="楷体" w:cs="楷体"/>
                <w:b/>
                <w:bCs/>
                <w:sz w:val="24"/>
                <w:szCs w:val="24"/>
                <w:vertAlign w:val="baseline"/>
              </w:rPr>
              <w:t>拟实施检查时间</w:t>
            </w:r>
          </w:p>
        </w:tc>
        <w:tc>
          <w:tcPr>
            <w:tcW w:w="688" w:type="dxa"/>
            <w:vAlign w:val="center"/>
          </w:tcPr>
          <w:p>
            <w:pPr>
              <w:jc w:val="center"/>
              <w:rPr>
                <w:rFonts w:hint="eastAsia" w:ascii="楷体" w:hAnsi="楷体" w:eastAsia="楷体" w:cs="楷体"/>
                <w:b/>
                <w:bCs/>
                <w:sz w:val="24"/>
                <w:szCs w:val="24"/>
                <w:vertAlign w:val="baseline"/>
              </w:rPr>
            </w:pPr>
            <w:r>
              <w:rPr>
                <w:rFonts w:hint="eastAsia" w:ascii="楷体" w:hAnsi="楷体" w:eastAsia="楷体" w:cs="楷体"/>
                <w:b/>
                <w:bCs/>
                <w:sz w:val="24"/>
                <w:szCs w:val="24"/>
                <w:vertAlign w:val="baseline"/>
              </w:rPr>
              <w:t>检查方式</w:t>
            </w:r>
          </w:p>
        </w:tc>
        <w:tc>
          <w:tcPr>
            <w:tcW w:w="774" w:type="dxa"/>
            <w:vAlign w:val="center"/>
          </w:tcPr>
          <w:p>
            <w:pPr>
              <w:jc w:val="center"/>
              <w:rPr>
                <w:rFonts w:hint="eastAsia" w:ascii="楷体" w:hAnsi="楷体" w:eastAsia="楷体" w:cs="楷体"/>
                <w:b/>
                <w:bCs/>
                <w:sz w:val="24"/>
                <w:szCs w:val="24"/>
                <w:vertAlign w:val="baseline"/>
              </w:rPr>
            </w:pPr>
            <w:r>
              <w:rPr>
                <w:rFonts w:hint="eastAsia" w:ascii="楷体" w:hAnsi="楷体" w:eastAsia="楷体" w:cs="楷体"/>
                <w:b/>
                <w:bCs/>
                <w:sz w:val="24"/>
                <w:szCs w:val="24"/>
                <w:vertAlign w:val="baseline"/>
              </w:rPr>
              <w:t>年度检查频次</w:t>
            </w:r>
          </w:p>
        </w:tc>
        <w:tc>
          <w:tcPr>
            <w:tcW w:w="775" w:type="dxa"/>
            <w:vAlign w:val="center"/>
          </w:tcPr>
          <w:p>
            <w:pPr>
              <w:jc w:val="center"/>
              <w:rPr>
                <w:rFonts w:hint="eastAsia" w:ascii="楷体" w:hAnsi="楷体" w:eastAsia="楷体" w:cs="楷体"/>
                <w:b/>
                <w:bCs/>
                <w:sz w:val="24"/>
                <w:szCs w:val="24"/>
                <w:vertAlign w:val="baseline"/>
              </w:rPr>
            </w:pPr>
            <w:r>
              <w:rPr>
                <w:rFonts w:hint="eastAsia" w:ascii="楷体" w:hAnsi="楷体" w:eastAsia="楷体" w:cs="楷体"/>
                <w:b/>
                <w:bCs/>
                <w:sz w:val="24"/>
                <w:szCs w:val="24"/>
                <w:vertAlign w:val="baseline"/>
              </w:rPr>
              <w:t>承办机构</w:t>
            </w:r>
          </w:p>
        </w:tc>
        <w:tc>
          <w:tcPr>
            <w:tcW w:w="1407" w:type="dxa"/>
            <w:vAlign w:val="center"/>
          </w:tcPr>
          <w:p>
            <w:pPr>
              <w:jc w:val="center"/>
              <w:rPr>
                <w:rFonts w:hint="eastAsia" w:ascii="楷体" w:hAnsi="楷体" w:eastAsia="楷体" w:cs="楷体"/>
                <w:b/>
                <w:bCs/>
                <w:sz w:val="24"/>
                <w:szCs w:val="24"/>
                <w:vertAlign w:val="baseline"/>
              </w:rPr>
            </w:pPr>
            <w:r>
              <w:rPr>
                <w:rFonts w:hint="eastAsia" w:ascii="楷体" w:hAnsi="楷体" w:eastAsia="楷体" w:cs="楷体"/>
                <w:b/>
                <w:bCs/>
                <w:sz w:val="24"/>
                <w:szCs w:val="24"/>
                <w:vertAlign w:val="baseline"/>
              </w:rPr>
              <w:t>是否属跨部门联合检查（如是，需写明牵头部门和配合部门）</w:t>
            </w:r>
          </w:p>
        </w:tc>
        <w:tc>
          <w:tcPr>
            <w:tcW w:w="847" w:type="dxa"/>
            <w:vAlign w:val="center"/>
          </w:tcPr>
          <w:p>
            <w:pPr>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pPr>
              <w:jc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1</w:t>
            </w:r>
          </w:p>
        </w:tc>
        <w:tc>
          <w:tcPr>
            <w:tcW w:w="917" w:type="dxa"/>
          </w:tcPr>
          <w:p>
            <w:pPr>
              <w:jc w:val="center"/>
              <w:rPr>
                <w:rFonts w:hint="eastAsia" w:ascii="仿宋" w:hAnsi="仿宋" w:eastAsia="仿宋" w:cs="仿宋"/>
                <w:b/>
                <w:bCs/>
                <w:sz w:val="21"/>
                <w:szCs w:val="21"/>
                <w:vertAlign w:val="baseline"/>
              </w:rPr>
            </w:pPr>
            <w:r>
              <w:rPr>
                <w:rFonts w:ascii="Arial" w:hAnsi="Arial" w:eastAsia="宋体" w:cs="Arial"/>
                <w:b/>
                <w:bCs/>
                <w:i w:val="0"/>
                <w:iCs w:val="0"/>
                <w:caps w:val="0"/>
                <w:color w:val="333333"/>
                <w:spacing w:val="0"/>
                <w:sz w:val="16"/>
                <w:szCs w:val="16"/>
                <w:shd w:val="clear" w:fill="FFFFFF"/>
              </w:rPr>
              <w:t>对生产建设项目水土保持</w:t>
            </w:r>
            <w:r>
              <w:rPr>
                <w:rFonts w:hint="eastAsia" w:ascii="Arial" w:hAnsi="Arial" w:eastAsia="宋体" w:cs="Arial"/>
                <w:b/>
                <w:bCs/>
                <w:i w:val="0"/>
                <w:iCs w:val="0"/>
                <w:caps w:val="0"/>
                <w:color w:val="333333"/>
                <w:spacing w:val="0"/>
                <w:sz w:val="16"/>
                <w:szCs w:val="16"/>
                <w:shd w:val="clear" w:fill="FFFFFF"/>
                <w:lang w:eastAsia="zh-CN"/>
              </w:rPr>
              <w:t>监督</w:t>
            </w:r>
            <w:r>
              <w:rPr>
                <w:rFonts w:ascii="Arial" w:hAnsi="Arial" w:eastAsia="宋体" w:cs="Arial"/>
                <w:b/>
                <w:bCs/>
                <w:i w:val="0"/>
                <w:iCs w:val="0"/>
                <w:caps w:val="0"/>
                <w:color w:val="333333"/>
                <w:spacing w:val="0"/>
                <w:sz w:val="16"/>
                <w:szCs w:val="16"/>
                <w:shd w:val="clear" w:fill="FFFFFF"/>
              </w:rPr>
              <w:t>检查</w:t>
            </w:r>
          </w:p>
        </w:tc>
        <w:tc>
          <w:tcPr>
            <w:tcW w:w="5324" w:type="dxa"/>
          </w:tcPr>
          <w:p>
            <w:pPr>
              <w:jc w:val="center"/>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rPr>
              <w:t>法律】《中华人民共和国水土保持法》第二十九条：县级以上人民政府水行政主管部门、流域管理机构，应当对生产建设项目水土保持方案的实施情况进行跟踪检查，发现问题及时处理。</w:t>
            </w:r>
          </w:p>
          <w:p>
            <w:pPr>
              <w:jc w:val="center"/>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rPr>
              <w:t>    第四十三条：县级以上人民政府水行政主管部门负责对水土保持情况进行监督检查。流域管理机构在其管辖范围内可以行使国务院水行政主管部门的监督检查职权。</w:t>
            </w:r>
          </w:p>
          <w:p>
            <w:pPr>
              <w:jc w:val="center"/>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rPr>
              <w:t>【地方性法规】《湖南省实施&lt;中华人民共和国水土保持法&gt;办法》第二十五条：县级人民政府水行政主管部门应当对本行政区域内的生产建设项目水土保持情况实施全程跟踪检查。在检查中发现水土保持措施不落实，水土保持设施设计、施工质量不符合规定，以及存在水土流失隐患的，应当及时处理。</w:t>
            </w:r>
          </w:p>
          <w:p>
            <w:pPr>
              <w:jc w:val="center"/>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rPr>
              <w:t>【部门规章】《生产建设项目水土保持方案管理办法》（水利部令第53号）第三条第三款：县级以上地方人民政府水行政主管部门负责本行政区域内生产建设项目水土保持方案监督管理工作。</w:t>
            </w:r>
          </w:p>
          <w:p>
            <w:pPr>
              <w:jc w:val="center"/>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rPr>
              <w:t>    第二十六条：县级以上人民政府水行政主管部门、流域管理机构应当按照职责加强水土保持方案全链条全过程监管，充分运用卫星遥感、无人机、大数据、“互联网+监管”等手段，对生产建设项目水土保持方案实施、水土保持监测、水土保持监理、水土保持设施验收等情况进行监督检查，对发现的问题依法</w:t>
            </w:r>
            <w:r>
              <w:rPr>
                <w:rFonts w:hint="eastAsia" w:ascii="仿宋" w:hAnsi="仿宋" w:eastAsia="仿宋" w:cs="仿宋"/>
                <w:b/>
                <w:bCs/>
                <w:sz w:val="21"/>
                <w:szCs w:val="21"/>
                <w:vertAlign w:val="baseline"/>
                <w:lang w:eastAsia="zh-CN"/>
              </w:rPr>
              <w:t>依</w:t>
            </w:r>
            <w:r>
              <w:rPr>
                <w:rFonts w:hint="eastAsia" w:ascii="仿宋" w:hAnsi="仿宋" w:eastAsia="仿宋" w:cs="仿宋"/>
                <w:b/>
                <w:bCs/>
                <w:sz w:val="21"/>
                <w:szCs w:val="21"/>
                <w:vertAlign w:val="baseline"/>
              </w:rPr>
              <w:t>规处理。</w:t>
            </w:r>
          </w:p>
          <w:p>
            <w:pPr>
              <w:jc w:val="center"/>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rPr>
              <w:t>    县级以上人民政府水行政主管部门、流域管理机构在监督检查中发现生产建设项目水土保持设施自主验收存在弄虚作假或者不满足验收标准和条件而通过验收的，视同为水土保持设施验收不合格。</w:t>
            </w:r>
          </w:p>
          <w:p>
            <w:pPr>
              <w:jc w:val="center"/>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rPr>
              <w:t>    县级以上人民政府水行政主管部门、流域管理机构应当建立监管信息共享、违法线索互联、案件通报移送等协同监管和联动执法制度，健全行政执法与刑事司法衔接、与检察公益诉讼协作机制，做好水土保持方案监管和监督检查工作。</w:t>
            </w:r>
          </w:p>
        </w:tc>
        <w:tc>
          <w:tcPr>
            <w:tcW w:w="1200" w:type="dxa"/>
          </w:tcPr>
          <w:p>
            <w:pPr>
              <w:jc w:val="center"/>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rPr>
              <w:t>检查对象：生产建设项目业主单位及其他参建单位（水土保持方案编制、设计、施工、监测、监理、验收报告编制等单位）。</w:t>
            </w:r>
          </w:p>
          <w:p>
            <w:pPr>
              <w:jc w:val="center"/>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rPr>
              <w:t>检查数量：根据</w:t>
            </w:r>
            <w:r>
              <w:rPr>
                <w:rFonts w:hint="eastAsia" w:ascii="仿宋" w:hAnsi="仿宋" w:eastAsia="仿宋" w:cs="仿宋"/>
                <w:b/>
                <w:bCs/>
                <w:color w:val="auto"/>
                <w:sz w:val="21"/>
                <w:szCs w:val="21"/>
                <w:vertAlign w:val="baseline"/>
                <w:lang w:eastAsia="zh-CN"/>
              </w:rPr>
              <w:t>在建（加新建）</w:t>
            </w:r>
            <w:r>
              <w:rPr>
                <w:rFonts w:hint="eastAsia" w:ascii="仿宋" w:hAnsi="仿宋" w:eastAsia="仿宋" w:cs="仿宋"/>
                <w:b/>
                <w:bCs/>
                <w:color w:val="auto"/>
                <w:sz w:val="21"/>
                <w:szCs w:val="21"/>
                <w:vertAlign w:val="baseline"/>
              </w:rPr>
              <w:t>项目个数决定；</w:t>
            </w:r>
            <w:r>
              <w:rPr>
                <w:rFonts w:hint="eastAsia" w:ascii="仿宋" w:hAnsi="仿宋" w:eastAsia="仿宋" w:cs="仿宋"/>
                <w:b/>
                <w:bCs/>
                <w:sz w:val="21"/>
                <w:szCs w:val="21"/>
                <w:vertAlign w:val="baseline"/>
              </w:rPr>
              <w:t>现场检查项目数量不低于本级水行政主管部门批复方案生产建设项目数量的10%。</w:t>
            </w:r>
          </w:p>
        </w:tc>
        <w:tc>
          <w:tcPr>
            <w:tcW w:w="949" w:type="dxa"/>
          </w:tcPr>
          <w:p>
            <w:pPr>
              <w:jc w:val="center"/>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rPr>
              <w:t>1.水土保持方案的实施情况监督检查。</w:t>
            </w:r>
          </w:p>
          <w:p>
            <w:pPr>
              <w:jc w:val="center"/>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rPr>
              <w:t>2.生产建设项目业主单位及其他参建单位（水土保持方案编制、设计、施工、监测、监理、验收报告编制等单位）水土保持责任落实情况监督检查。</w:t>
            </w:r>
          </w:p>
        </w:tc>
        <w:tc>
          <w:tcPr>
            <w:tcW w:w="796" w:type="dxa"/>
          </w:tcPr>
          <w:p>
            <w:pPr>
              <w:jc w:val="center"/>
              <w:rPr>
                <w:rFonts w:hint="eastAsia" w:ascii="仿宋" w:hAnsi="仿宋" w:eastAsia="仿宋" w:cs="仿宋"/>
                <w:b/>
                <w:bCs/>
                <w:sz w:val="21"/>
                <w:szCs w:val="21"/>
                <w:vertAlign w:val="baseline"/>
              </w:rPr>
            </w:pPr>
            <w:r>
              <w:rPr>
                <w:rFonts w:ascii="Arial" w:hAnsi="Arial" w:eastAsia="宋体" w:cs="Arial"/>
                <w:b/>
                <w:bCs/>
                <w:i w:val="0"/>
                <w:iCs w:val="0"/>
                <w:caps w:val="0"/>
                <w:color w:val="333333"/>
                <w:spacing w:val="0"/>
                <w:sz w:val="16"/>
                <w:szCs w:val="16"/>
                <w:shd w:val="clear" w:fill="FFFFFF"/>
              </w:rPr>
              <w:t>2025</w:t>
            </w:r>
            <w:r>
              <w:rPr>
                <w:rFonts w:ascii="Arial" w:hAnsi="Arial" w:eastAsia="宋体" w:cs="Arial"/>
                <w:b/>
                <w:bCs/>
                <w:i w:val="0"/>
                <w:iCs w:val="0"/>
                <w:caps w:val="0"/>
                <w:color w:val="auto"/>
                <w:spacing w:val="0"/>
                <w:sz w:val="16"/>
                <w:szCs w:val="16"/>
                <w:shd w:val="clear" w:fill="FFFFFF"/>
              </w:rPr>
              <w:t>年</w:t>
            </w:r>
            <w:r>
              <w:rPr>
                <w:rFonts w:hint="eastAsia" w:ascii="Arial" w:hAnsi="Arial" w:eastAsia="宋体" w:cs="Arial"/>
                <w:b/>
                <w:bCs/>
                <w:i w:val="0"/>
                <w:iCs w:val="0"/>
                <w:caps w:val="0"/>
                <w:color w:val="auto"/>
                <w:spacing w:val="0"/>
                <w:sz w:val="16"/>
                <w:szCs w:val="16"/>
                <w:shd w:val="clear" w:fill="FFFFFF"/>
                <w:lang w:val="en-US" w:eastAsia="zh-CN"/>
              </w:rPr>
              <w:t>5</w:t>
            </w:r>
            <w:r>
              <w:rPr>
                <w:rFonts w:ascii="Arial" w:hAnsi="Arial" w:eastAsia="宋体" w:cs="Arial"/>
                <w:b/>
                <w:bCs/>
                <w:i w:val="0"/>
                <w:iCs w:val="0"/>
                <w:caps w:val="0"/>
                <w:color w:val="auto"/>
                <w:spacing w:val="0"/>
                <w:sz w:val="16"/>
                <w:szCs w:val="16"/>
                <w:shd w:val="clear" w:fill="FFFFFF"/>
              </w:rPr>
              <w:t>月</w:t>
            </w:r>
            <w:r>
              <w:rPr>
                <w:rFonts w:ascii="Arial" w:hAnsi="Arial" w:eastAsia="宋体" w:cs="Arial"/>
                <w:b/>
                <w:bCs/>
                <w:i w:val="0"/>
                <w:iCs w:val="0"/>
                <w:caps w:val="0"/>
                <w:color w:val="333333"/>
                <w:spacing w:val="0"/>
                <w:sz w:val="16"/>
                <w:szCs w:val="16"/>
                <w:shd w:val="clear" w:fill="FFFFFF"/>
              </w:rPr>
              <w:t>至12月</w:t>
            </w:r>
          </w:p>
        </w:tc>
        <w:tc>
          <w:tcPr>
            <w:tcW w:w="688" w:type="dxa"/>
          </w:tcPr>
          <w:p>
            <w:pPr>
              <w:jc w:val="center"/>
              <w:rPr>
                <w:rFonts w:hint="eastAsia" w:ascii="仿宋" w:hAnsi="仿宋" w:eastAsia="仿宋" w:cs="仿宋"/>
                <w:b/>
                <w:bCs/>
                <w:sz w:val="21"/>
                <w:szCs w:val="21"/>
                <w:vertAlign w:val="baseline"/>
              </w:rPr>
            </w:pPr>
            <w:r>
              <w:rPr>
                <w:rFonts w:ascii="Arial" w:hAnsi="Arial" w:eastAsia="宋体" w:cs="Arial"/>
                <w:b/>
                <w:bCs/>
                <w:i w:val="0"/>
                <w:iCs w:val="0"/>
                <w:caps w:val="0"/>
                <w:color w:val="333333"/>
                <w:spacing w:val="0"/>
                <w:sz w:val="16"/>
                <w:szCs w:val="16"/>
                <w:shd w:val="clear" w:fill="FFFFFF"/>
              </w:rPr>
              <w:t>现场检查、非现场检查相结合</w:t>
            </w:r>
          </w:p>
        </w:tc>
        <w:tc>
          <w:tcPr>
            <w:tcW w:w="774" w:type="dxa"/>
          </w:tcPr>
          <w:p>
            <w:pPr>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rPr>
              <w:t>1次</w:t>
            </w:r>
            <w:r>
              <w:rPr>
                <w:rFonts w:hint="eastAsia" w:ascii="仿宋" w:hAnsi="仿宋" w:eastAsia="仿宋" w:cs="仿宋"/>
                <w:b/>
                <w:bCs/>
                <w:sz w:val="21"/>
                <w:szCs w:val="21"/>
                <w:vertAlign w:val="baseline"/>
                <w:lang w:eastAsia="zh-CN"/>
              </w:rPr>
              <w:t>（特殊情况除外）</w:t>
            </w:r>
          </w:p>
        </w:tc>
        <w:tc>
          <w:tcPr>
            <w:tcW w:w="775" w:type="dxa"/>
          </w:tcPr>
          <w:p>
            <w:pPr>
              <w:jc w:val="center"/>
              <w:rPr>
                <w:rFonts w:hint="default" w:ascii="Arial" w:hAnsi="Arial" w:eastAsia="宋体" w:cs="Arial"/>
                <w:b/>
                <w:bCs/>
                <w:i w:val="0"/>
                <w:iCs w:val="0"/>
                <w:caps w:val="0"/>
                <w:color w:val="333333"/>
                <w:spacing w:val="0"/>
                <w:sz w:val="16"/>
                <w:szCs w:val="16"/>
                <w:shd w:val="clear" w:fill="FFFFFF"/>
                <w:lang w:val="en-US" w:eastAsia="zh-CN"/>
              </w:rPr>
            </w:pPr>
            <w:r>
              <w:rPr>
                <w:rFonts w:ascii="Arial" w:hAnsi="Arial" w:eastAsia="宋体" w:cs="Arial"/>
                <w:b/>
                <w:bCs/>
                <w:i w:val="0"/>
                <w:iCs w:val="0"/>
                <w:caps w:val="0"/>
                <w:color w:val="333333"/>
                <w:spacing w:val="0"/>
                <w:sz w:val="16"/>
                <w:szCs w:val="16"/>
                <w:shd w:val="clear" w:fill="FFFFFF"/>
              </w:rPr>
              <w:t>河长</w:t>
            </w:r>
            <w:r>
              <w:rPr>
                <w:rFonts w:hint="eastAsia" w:ascii="Arial" w:hAnsi="Arial" w:eastAsia="宋体" w:cs="Arial"/>
                <w:b/>
                <w:bCs/>
                <w:i w:val="0"/>
                <w:iCs w:val="0"/>
                <w:caps w:val="0"/>
                <w:color w:val="333333"/>
                <w:spacing w:val="0"/>
                <w:sz w:val="16"/>
                <w:szCs w:val="16"/>
                <w:shd w:val="clear" w:fill="FFFFFF"/>
                <w:lang w:val="en-US" w:eastAsia="zh-CN"/>
              </w:rPr>
              <w:t>办、河区站、水</w:t>
            </w:r>
            <w:r>
              <w:rPr>
                <w:rFonts w:hint="eastAsia" w:ascii="Arial" w:hAnsi="Arial" w:eastAsia="宋体" w:cs="Arial"/>
                <w:b/>
                <w:bCs/>
                <w:i w:val="0"/>
                <w:iCs w:val="0"/>
                <w:caps w:val="0"/>
                <w:color w:val="auto"/>
                <w:spacing w:val="0"/>
                <w:sz w:val="16"/>
                <w:szCs w:val="16"/>
                <w:shd w:val="clear" w:fill="FFFFFF"/>
                <w:lang w:val="en-US" w:eastAsia="zh-CN"/>
              </w:rPr>
              <w:t>政</w:t>
            </w:r>
            <w:r>
              <w:rPr>
                <w:rFonts w:hint="eastAsia" w:ascii="Arial" w:hAnsi="Arial" w:eastAsia="宋体" w:cs="Arial"/>
                <w:b/>
                <w:bCs/>
                <w:i w:val="0"/>
                <w:iCs w:val="0"/>
                <w:caps w:val="0"/>
                <w:color w:val="333333"/>
                <w:spacing w:val="0"/>
                <w:sz w:val="16"/>
                <w:szCs w:val="16"/>
                <w:shd w:val="clear" w:fill="FFFFFF"/>
                <w:lang w:val="en-US" w:eastAsia="zh-CN"/>
              </w:rPr>
              <w:t xml:space="preserve">水资源股 </w:t>
            </w:r>
          </w:p>
          <w:p>
            <w:pPr>
              <w:jc w:val="center"/>
              <w:rPr>
                <w:rFonts w:ascii="Arial" w:hAnsi="Arial" w:eastAsia="宋体" w:cs="Arial"/>
                <w:b/>
                <w:bCs/>
                <w:i w:val="0"/>
                <w:iCs w:val="0"/>
                <w:caps w:val="0"/>
                <w:color w:val="333333"/>
                <w:spacing w:val="0"/>
                <w:sz w:val="16"/>
                <w:szCs w:val="16"/>
                <w:shd w:val="clear" w:fill="FFFFFF"/>
              </w:rPr>
            </w:pPr>
          </w:p>
          <w:p>
            <w:pPr>
              <w:jc w:val="center"/>
              <w:rPr>
                <w:rFonts w:hint="eastAsia" w:ascii="仿宋" w:hAnsi="仿宋" w:eastAsia="仿宋" w:cs="仿宋"/>
                <w:b/>
                <w:bCs/>
                <w:sz w:val="21"/>
                <w:szCs w:val="21"/>
                <w:vertAlign w:val="baseline"/>
              </w:rPr>
            </w:pPr>
          </w:p>
        </w:tc>
        <w:tc>
          <w:tcPr>
            <w:tcW w:w="1407" w:type="dxa"/>
          </w:tcPr>
          <w:p>
            <w:pPr>
              <w:jc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否</w:t>
            </w:r>
          </w:p>
        </w:tc>
        <w:tc>
          <w:tcPr>
            <w:tcW w:w="847" w:type="dxa"/>
          </w:tcPr>
          <w:p>
            <w:pPr>
              <w:jc w:val="center"/>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一般检查</w:t>
            </w:r>
            <w:r>
              <w:rPr>
                <w:rFonts w:hint="eastAsia" w:ascii="仿宋" w:hAnsi="仿宋" w:eastAsia="仿宋" w:cs="仿宋"/>
                <w:b/>
                <w:bCs/>
                <w:color w:val="auto"/>
                <w:sz w:val="21"/>
                <w:szCs w:val="21"/>
                <w:vertAlign w:val="baseline"/>
                <w:lang w:val="en-US" w:eastAsia="zh-CN"/>
              </w:rPr>
              <w:t>（不含部省级水土保持遥感图斑核查）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pPr>
              <w:jc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2</w:t>
            </w:r>
          </w:p>
        </w:tc>
        <w:tc>
          <w:tcPr>
            <w:tcW w:w="917" w:type="dxa"/>
          </w:tcPr>
          <w:p>
            <w:pPr>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取用水监督检查</w:t>
            </w:r>
          </w:p>
        </w:tc>
        <w:tc>
          <w:tcPr>
            <w:tcW w:w="5324" w:type="dxa"/>
          </w:tcPr>
          <w:p>
            <w:pPr>
              <w:jc w:val="center"/>
              <w:rPr>
                <w:rFonts w:hint="eastAsia" w:ascii="仿宋" w:hAnsi="仿宋" w:eastAsia="仿宋" w:cs="仿宋"/>
                <w:b/>
                <w:bCs/>
                <w:sz w:val="21"/>
                <w:szCs w:val="21"/>
                <w:vertAlign w:val="baseline"/>
              </w:rPr>
            </w:pPr>
            <w:r>
              <w:rPr>
                <w:rFonts w:hint="eastAsia" w:ascii="仿宋" w:hAnsi="仿宋" w:eastAsia="仿宋" w:cs="仿宋"/>
                <w:b/>
                <w:bCs/>
                <w:color w:val="000000"/>
                <w:kern w:val="0"/>
                <w:sz w:val="21"/>
                <w:szCs w:val="21"/>
              </w:rPr>
              <w:t>《中华人民共和国水法》第六十条，《取水许可和水资源费征收管理条例》第五十二条</w:t>
            </w:r>
          </w:p>
        </w:tc>
        <w:tc>
          <w:tcPr>
            <w:tcW w:w="1200" w:type="dxa"/>
          </w:tcPr>
          <w:p>
            <w:pPr>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全县取用水单位</w:t>
            </w:r>
          </w:p>
        </w:tc>
        <w:tc>
          <w:tcPr>
            <w:tcW w:w="949" w:type="dxa"/>
          </w:tcPr>
          <w:p>
            <w:pPr>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取水监督及节约用水</w:t>
            </w:r>
          </w:p>
        </w:tc>
        <w:tc>
          <w:tcPr>
            <w:tcW w:w="796" w:type="dxa"/>
          </w:tcPr>
          <w:p>
            <w:pPr>
              <w:jc w:val="center"/>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2025年5月-12月</w:t>
            </w:r>
          </w:p>
        </w:tc>
        <w:tc>
          <w:tcPr>
            <w:tcW w:w="688" w:type="dxa"/>
          </w:tcPr>
          <w:p>
            <w:pPr>
              <w:jc w:val="center"/>
              <w:rPr>
                <w:rFonts w:hint="eastAsia" w:ascii="仿宋" w:hAnsi="仿宋" w:eastAsia="仿宋" w:cs="仿宋"/>
                <w:b/>
                <w:bCs/>
                <w:sz w:val="21"/>
                <w:szCs w:val="21"/>
                <w:vertAlign w:val="baseline"/>
                <w:lang w:eastAsia="zh-CN"/>
              </w:rPr>
            </w:pPr>
            <w:r>
              <w:rPr>
                <w:rFonts w:hint="eastAsia" w:ascii="仿宋" w:hAnsi="仿宋" w:eastAsia="仿宋" w:cs="仿宋"/>
                <w:b/>
                <w:bCs/>
                <w:sz w:val="18"/>
                <w:szCs w:val="18"/>
                <w:vertAlign w:val="baseline"/>
                <w:lang w:eastAsia="zh-CN"/>
              </w:rPr>
              <w:t>现场检查</w:t>
            </w:r>
            <w:r>
              <w:rPr>
                <w:rFonts w:hint="eastAsia" w:ascii="仿宋" w:hAnsi="仿宋" w:eastAsia="仿宋" w:cs="仿宋"/>
                <w:b/>
                <w:bCs/>
                <w:i w:val="0"/>
                <w:iCs w:val="0"/>
                <w:caps w:val="0"/>
                <w:color w:val="333333"/>
                <w:spacing w:val="0"/>
                <w:sz w:val="18"/>
                <w:szCs w:val="18"/>
                <w:shd w:val="clear" w:fill="FFFFFF"/>
              </w:rPr>
              <w:t>、非现场检查相结合</w:t>
            </w:r>
          </w:p>
        </w:tc>
        <w:tc>
          <w:tcPr>
            <w:tcW w:w="774" w:type="dxa"/>
          </w:tcPr>
          <w:p>
            <w:pPr>
              <w:jc w:val="center"/>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rPr>
              <w:t>1次</w:t>
            </w:r>
            <w:r>
              <w:rPr>
                <w:rFonts w:hint="eastAsia" w:ascii="仿宋" w:hAnsi="仿宋" w:eastAsia="仿宋" w:cs="仿宋"/>
                <w:b/>
                <w:bCs/>
                <w:sz w:val="21"/>
                <w:szCs w:val="21"/>
                <w:vertAlign w:val="baseline"/>
                <w:lang w:eastAsia="zh-CN"/>
              </w:rPr>
              <w:t>（特殊情况除外）</w:t>
            </w:r>
          </w:p>
        </w:tc>
        <w:tc>
          <w:tcPr>
            <w:tcW w:w="775" w:type="dxa"/>
          </w:tcPr>
          <w:p>
            <w:pPr>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水政水资源股</w:t>
            </w:r>
          </w:p>
        </w:tc>
        <w:tc>
          <w:tcPr>
            <w:tcW w:w="1407" w:type="dxa"/>
          </w:tcPr>
          <w:p>
            <w:pPr>
              <w:jc w:val="center"/>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eastAsia="zh-CN"/>
              </w:rPr>
              <w:t>有可能涉及住建部门（城区取用地下水）</w:t>
            </w:r>
          </w:p>
        </w:tc>
        <w:tc>
          <w:tcPr>
            <w:tcW w:w="847" w:type="dxa"/>
          </w:tcPr>
          <w:p>
            <w:pPr>
              <w:jc w:val="center"/>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lang w:val="en-US" w:eastAsia="zh-CN"/>
              </w:rPr>
              <w:t>一般检查</w:t>
            </w:r>
            <w:r>
              <w:rPr>
                <w:rFonts w:hint="eastAsia" w:ascii="仿宋" w:hAnsi="仿宋" w:eastAsia="仿宋" w:cs="仿宋"/>
                <w:b/>
                <w:bCs/>
                <w:color w:val="auto"/>
                <w:sz w:val="21"/>
                <w:szCs w:val="21"/>
                <w:vertAlign w:val="baseline"/>
                <w:lang w:val="en-US" w:eastAsia="zh-CN"/>
              </w:rPr>
              <w:t>（不含部省级水土保持遥感图斑核查）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pPr>
              <w:jc w:val="center"/>
              <w:rPr>
                <w:rFonts w:hint="eastAsia" w:ascii="仿宋" w:hAnsi="仿宋" w:eastAsia="仿宋" w:cs="仿宋"/>
                <w:b/>
                <w:bCs/>
                <w:sz w:val="21"/>
                <w:szCs w:val="21"/>
                <w:vertAlign w:val="baseline"/>
              </w:rPr>
            </w:pPr>
          </w:p>
        </w:tc>
        <w:tc>
          <w:tcPr>
            <w:tcW w:w="917" w:type="dxa"/>
          </w:tcPr>
          <w:p>
            <w:pPr>
              <w:jc w:val="center"/>
              <w:rPr>
                <w:rFonts w:hint="eastAsia" w:ascii="仿宋" w:hAnsi="仿宋" w:eastAsia="仿宋" w:cs="仿宋"/>
                <w:b/>
                <w:bCs/>
                <w:sz w:val="21"/>
                <w:szCs w:val="21"/>
                <w:vertAlign w:val="baseline"/>
              </w:rPr>
            </w:pPr>
          </w:p>
        </w:tc>
        <w:tc>
          <w:tcPr>
            <w:tcW w:w="5324" w:type="dxa"/>
          </w:tcPr>
          <w:p>
            <w:pPr>
              <w:jc w:val="center"/>
              <w:rPr>
                <w:rFonts w:hint="eastAsia" w:ascii="仿宋" w:hAnsi="仿宋" w:eastAsia="仿宋" w:cs="仿宋"/>
                <w:b/>
                <w:bCs/>
                <w:sz w:val="21"/>
                <w:szCs w:val="21"/>
                <w:vertAlign w:val="baseline"/>
              </w:rPr>
            </w:pPr>
          </w:p>
        </w:tc>
        <w:tc>
          <w:tcPr>
            <w:tcW w:w="1200" w:type="dxa"/>
          </w:tcPr>
          <w:p>
            <w:pPr>
              <w:jc w:val="center"/>
              <w:rPr>
                <w:rFonts w:hint="eastAsia" w:ascii="仿宋" w:hAnsi="仿宋" w:eastAsia="仿宋" w:cs="仿宋"/>
                <w:b/>
                <w:bCs/>
                <w:sz w:val="21"/>
                <w:szCs w:val="21"/>
                <w:vertAlign w:val="baseline"/>
              </w:rPr>
            </w:pPr>
          </w:p>
        </w:tc>
        <w:tc>
          <w:tcPr>
            <w:tcW w:w="949" w:type="dxa"/>
          </w:tcPr>
          <w:p>
            <w:pPr>
              <w:jc w:val="center"/>
              <w:rPr>
                <w:rFonts w:hint="eastAsia" w:ascii="仿宋" w:hAnsi="仿宋" w:eastAsia="仿宋" w:cs="仿宋"/>
                <w:b/>
                <w:bCs/>
                <w:sz w:val="21"/>
                <w:szCs w:val="21"/>
                <w:vertAlign w:val="baseline"/>
              </w:rPr>
            </w:pPr>
          </w:p>
        </w:tc>
        <w:tc>
          <w:tcPr>
            <w:tcW w:w="796" w:type="dxa"/>
          </w:tcPr>
          <w:p>
            <w:pPr>
              <w:jc w:val="center"/>
              <w:rPr>
                <w:rFonts w:hint="eastAsia" w:ascii="仿宋" w:hAnsi="仿宋" w:eastAsia="仿宋" w:cs="仿宋"/>
                <w:b/>
                <w:bCs/>
                <w:sz w:val="21"/>
                <w:szCs w:val="21"/>
                <w:vertAlign w:val="baseline"/>
              </w:rPr>
            </w:pPr>
          </w:p>
        </w:tc>
        <w:tc>
          <w:tcPr>
            <w:tcW w:w="688" w:type="dxa"/>
          </w:tcPr>
          <w:p>
            <w:pPr>
              <w:jc w:val="center"/>
              <w:rPr>
                <w:rFonts w:hint="eastAsia" w:ascii="仿宋" w:hAnsi="仿宋" w:eastAsia="仿宋" w:cs="仿宋"/>
                <w:b/>
                <w:bCs/>
                <w:sz w:val="21"/>
                <w:szCs w:val="21"/>
                <w:vertAlign w:val="baseline"/>
              </w:rPr>
            </w:pPr>
          </w:p>
        </w:tc>
        <w:tc>
          <w:tcPr>
            <w:tcW w:w="774" w:type="dxa"/>
          </w:tcPr>
          <w:p>
            <w:pPr>
              <w:jc w:val="center"/>
              <w:rPr>
                <w:rFonts w:hint="eastAsia" w:ascii="仿宋" w:hAnsi="仿宋" w:eastAsia="仿宋" w:cs="仿宋"/>
                <w:b/>
                <w:bCs/>
                <w:sz w:val="21"/>
                <w:szCs w:val="21"/>
                <w:vertAlign w:val="baseline"/>
              </w:rPr>
            </w:pPr>
          </w:p>
        </w:tc>
        <w:tc>
          <w:tcPr>
            <w:tcW w:w="775" w:type="dxa"/>
          </w:tcPr>
          <w:p>
            <w:pPr>
              <w:jc w:val="center"/>
              <w:rPr>
                <w:rFonts w:hint="eastAsia" w:ascii="仿宋" w:hAnsi="仿宋" w:eastAsia="仿宋" w:cs="仿宋"/>
                <w:b/>
                <w:bCs/>
                <w:sz w:val="21"/>
                <w:szCs w:val="21"/>
                <w:vertAlign w:val="baseline"/>
              </w:rPr>
            </w:pPr>
          </w:p>
        </w:tc>
        <w:tc>
          <w:tcPr>
            <w:tcW w:w="1407" w:type="dxa"/>
          </w:tcPr>
          <w:p>
            <w:pPr>
              <w:jc w:val="center"/>
              <w:rPr>
                <w:rFonts w:hint="eastAsia" w:ascii="仿宋" w:hAnsi="仿宋" w:eastAsia="仿宋" w:cs="仿宋"/>
                <w:b/>
                <w:bCs/>
                <w:sz w:val="21"/>
                <w:szCs w:val="21"/>
                <w:vertAlign w:val="baseline"/>
              </w:rPr>
            </w:pPr>
          </w:p>
        </w:tc>
        <w:tc>
          <w:tcPr>
            <w:tcW w:w="847" w:type="dxa"/>
          </w:tcPr>
          <w:p>
            <w:pPr>
              <w:jc w:val="center"/>
              <w:rPr>
                <w:rFonts w:hint="eastAsia" w:ascii="仿宋" w:hAnsi="仿宋" w:eastAsia="仿宋" w:cs="仿宋"/>
                <w:b/>
                <w:bCs/>
                <w:sz w:val="21"/>
                <w:szCs w:val="21"/>
                <w:vertAlign w:val="baseline"/>
              </w:rPr>
            </w:pPr>
          </w:p>
        </w:tc>
      </w:tr>
    </w:tbl>
    <w:p>
      <w:pPr>
        <w:jc w:val="left"/>
        <w:rPr>
          <w:rFonts w:hint="eastAsia" w:ascii="仿宋" w:hAnsi="仿宋" w:eastAsia="仿宋" w:cs="仿宋"/>
          <w:b/>
          <w:bCs/>
          <w:sz w:val="21"/>
          <w:szCs w:val="21"/>
        </w:rPr>
      </w:pPr>
      <w:r>
        <w:rPr>
          <w:rFonts w:hint="eastAsia" w:ascii="仿宋" w:hAnsi="仿宋" w:eastAsia="仿宋" w:cs="仿宋"/>
          <w:b/>
          <w:bCs/>
          <w:sz w:val="21"/>
          <w:szCs w:val="21"/>
        </w:rPr>
        <w:t>填写说明：</w:t>
      </w:r>
    </w:p>
    <w:p>
      <w:pPr>
        <w:jc w:val="left"/>
        <w:rPr>
          <w:rFonts w:hint="eastAsia" w:ascii="仿宋" w:hAnsi="仿宋" w:eastAsia="仿宋" w:cs="仿宋"/>
          <w:b/>
          <w:bCs/>
          <w:sz w:val="21"/>
          <w:szCs w:val="21"/>
        </w:rPr>
      </w:pPr>
      <w:r>
        <w:rPr>
          <w:rFonts w:hint="eastAsia" w:ascii="仿宋" w:hAnsi="仿宋" w:eastAsia="仿宋" w:cs="仿宋"/>
          <w:b/>
          <w:bCs/>
          <w:sz w:val="21"/>
          <w:szCs w:val="21"/>
        </w:rPr>
        <w:t>1.检查事项、实施依据、承办机构栏原则上应与本单位涉企行政检查事项清单保持一致。其中，“实施依据”栏需列明以下内容：①法律法规规章名称（含规章令号）；②具体条、款、项、目；③引用相关条文原文。</w:t>
      </w:r>
    </w:p>
    <w:p>
      <w:pPr>
        <w:jc w:val="left"/>
        <w:rPr>
          <w:rFonts w:hint="eastAsia" w:ascii="仿宋" w:hAnsi="仿宋" w:eastAsia="仿宋" w:cs="仿宋"/>
          <w:b/>
          <w:bCs/>
          <w:sz w:val="21"/>
          <w:szCs w:val="21"/>
        </w:rPr>
      </w:pPr>
      <w:r>
        <w:rPr>
          <w:rFonts w:hint="eastAsia" w:ascii="仿宋" w:hAnsi="仿宋" w:eastAsia="仿宋" w:cs="仿宋"/>
          <w:b/>
          <w:bCs/>
          <w:sz w:val="21"/>
          <w:szCs w:val="21"/>
        </w:rPr>
        <w:t>2.根据投诉举报、转（交）办、数据监控等实施的触发式行政检查，按照省政府办公厅《关于严格规范涉企行政检查的实施方案》相关规定执行，不列入本计划。</w:t>
      </w:r>
    </w:p>
    <w:p>
      <w:pPr>
        <w:jc w:val="left"/>
        <w:rPr>
          <w:rFonts w:hint="eastAsia" w:ascii="仿宋" w:hAnsi="仿宋" w:eastAsia="仿宋" w:cs="仿宋"/>
          <w:b/>
          <w:bCs/>
          <w:sz w:val="21"/>
          <w:szCs w:val="21"/>
        </w:rPr>
      </w:pPr>
      <w:r>
        <w:rPr>
          <w:rFonts w:hint="eastAsia" w:ascii="仿宋" w:hAnsi="仿宋" w:eastAsia="仿宋" w:cs="仿宋"/>
          <w:b/>
          <w:bCs/>
          <w:sz w:val="21"/>
          <w:szCs w:val="21"/>
        </w:rPr>
        <w:t>3.“检查方式”栏主要包括现场检查/非现场检查/现场检查和非现场检查相结合三种，各单位在该栏目中可结合本单位实际细化具体检查手段等表述。</w:t>
      </w:r>
    </w:p>
    <w:p>
      <w:pPr>
        <w:jc w:val="left"/>
        <w:rPr>
          <w:rFonts w:hint="eastAsia" w:ascii="仿宋" w:hAnsi="仿宋" w:eastAsia="仿宋" w:cs="仿宋"/>
          <w:b/>
          <w:bCs/>
          <w:sz w:val="21"/>
          <w:szCs w:val="21"/>
        </w:rPr>
      </w:pPr>
      <w:r>
        <w:rPr>
          <w:rFonts w:hint="eastAsia" w:ascii="仿宋" w:hAnsi="仿宋" w:eastAsia="仿宋" w:cs="仿宋"/>
          <w:b/>
          <w:bCs/>
          <w:sz w:val="21"/>
          <w:szCs w:val="21"/>
        </w:rPr>
        <w:t>4.第四栏中“具体检查对象”应列明具体检查对象名单，或者精准描述检查对象具体范围；“备注”栏，需明确本项检查是否属“双随机</w:t>
      </w:r>
      <w:r>
        <w:rPr>
          <w:rFonts w:hint="eastAsia" w:ascii="仿宋" w:hAnsi="仿宋" w:eastAsia="仿宋" w:cs="仿宋"/>
          <w:b/>
          <w:bCs/>
          <w:sz w:val="21"/>
          <w:szCs w:val="21"/>
          <w:lang w:eastAsia="zh-CN"/>
        </w:rPr>
        <w:t>、</w:t>
      </w:r>
      <w:bookmarkStart w:id="0" w:name="_GoBack"/>
      <w:bookmarkEnd w:id="0"/>
      <w:r>
        <w:rPr>
          <w:rFonts w:hint="eastAsia" w:ascii="仿宋" w:hAnsi="仿宋" w:eastAsia="仿宋" w:cs="仿宋"/>
          <w:b/>
          <w:bCs/>
          <w:sz w:val="21"/>
          <w:szCs w:val="21"/>
        </w:rPr>
        <w:t>一公开”抽查、专项检查、重点检查或一般检查等情形。</w:t>
      </w:r>
    </w:p>
    <w:p>
      <w:pPr>
        <w:jc w:val="left"/>
        <w:rPr>
          <w:rFonts w:hint="eastAsia" w:ascii="仿宋" w:hAnsi="仿宋" w:eastAsia="仿宋" w:cs="仿宋"/>
          <w:b/>
          <w:bCs/>
          <w:sz w:val="21"/>
          <w:szCs w:val="21"/>
        </w:rPr>
      </w:pPr>
      <w:r>
        <w:rPr>
          <w:rFonts w:hint="eastAsia" w:ascii="仿宋" w:hAnsi="仿宋" w:eastAsia="仿宋" w:cs="仿宋"/>
          <w:b/>
          <w:bCs/>
          <w:sz w:val="21"/>
          <w:szCs w:val="21"/>
        </w:rPr>
        <w:t>5.根据省政府办公厅《关于严格规范涉企行政检查的实施方案》相关规定，本表应在同级司法行政部门同意备案后，由制定机关15日内协调本级政府网站向社会公布。</w:t>
      </w:r>
    </w:p>
    <w:p>
      <w:pPr>
        <w:jc w:val="left"/>
        <w:rPr>
          <w:rFonts w:hint="eastAsia" w:ascii="仿宋" w:hAnsi="仿宋" w:eastAsia="仿宋" w:cs="仿宋"/>
          <w:sz w:val="21"/>
          <w:szCs w:val="21"/>
        </w:rPr>
      </w:pPr>
      <w:r>
        <w:rPr>
          <w:rFonts w:hint="eastAsia" w:ascii="仿宋" w:hAnsi="仿宋" w:eastAsia="仿宋" w:cs="仿宋"/>
          <w:b/>
          <w:bCs/>
          <w:sz w:val="21"/>
          <w:szCs w:val="21"/>
        </w:rPr>
        <w:t>6.各单位与同级司法行政部门沟通一致后，可结合本单位实际在表格栏目外适当增加栏目。</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kY2IxY2U3NzVjM2I5YTZkNWI5MmM0OGU0MjY1YmIifQ=="/>
    <w:docVar w:name="KSO_WPS_MARK_KEY" w:val="3b49ba5f-2c93-4b22-86ab-e4f2186ab40c"/>
  </w:docVars>
  <w:rsids>
    <w:rsidRoot w:val="07592EAA"/>
    <w:rsid w:val="066B5890"/>
    <w:rsid w:val="07592EAA"/>
    <w:rsid w:val="0DF71696"/>
    <w:rsid w:val="12762388"/>
    <w:rsid w:val="12FC56ED"/>
    <w:rsid w:val="1A024208"/>
    <w:rsid w:val="2E3D03E2"/>
    <w:rsid w:val="6474066D"/>
    <w:rsid w:val="6521116B"/>
    <w:rsid w:val="75CD1703"/>
    <w:rsid w:val="791A3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1666</Words>
  <Characters>1690</Characters>
  <Lines>0</Lines>
  <Paragraphs>0</Paragraphs>
  <TotalTime>12</TotalTime>
  <ScaleCrop>false</ScaleCrop>
  <LinksUpToDate>false</LinksUpToDate>
  <CharactersWithSpaces>1707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2025-04-22T06:36:00Z</dcterms:created>
  <dc:creator>五月天</dc:creator>
  <cp:lastModifiedBy>陈木沐</cp:lastModifiedBy>
  <cp:lastPrinted>2025-04-22T08:02:00Z</cp:lastPrinted>
  <dcterms:modified xsi:type="dcterms:W3CDTF">2025-04-24T08:15:35Z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447DBA67AC744785BCB83163671D5960_13</vt:lpwstr>
  </property>
  <property fmtid="{D5CDD505-2E9C-101B-9397-08002B2CF9AE}" pid="4" name="KSOTemplateDocerSaveRecord">
    <vt:lpwstr>eyJoZGlkIjoiYTk0NWY5YTY2ZDFkMTMwOWFjN2MzNWVhZDAyNjgzYWUifQ==</vt:lpwstr>
  </property>
</Properties>
</file>