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457C">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color w:val="auto"/>
          <w:sz w:val="44"/>
          <w:szCs w:val="44"/>
        </w:rPr>
      </w:pPr>
    </w:p>
    <w:p w14:paraId="547D2E8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澧县人民政府</w:t>
      </w:r>
    </w:p>
    <w:p w14:paraId="78299AA2">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val="en-US" w:eastAsia="zh-CN"/>
        </w:rPr>
        <w:t>划定秸秆禁烧区</w:t>
      </w:r>
      <w:r>
        <w:rPr>
          <w:rFonts w:hint="eastAsia" w:eastAsia="方正小标宋简体" w:cs="Times New Roman"/>
          <w:color w:val="auto"/>
          <w:sz w:val="44"/>
          <w:szCs w:val="44"/>
          <w:lang w:val="en-US" w:eastAsia="zh-CN"/>
        </w:rPr>
        <w:t>、</w:t>
      </w:r>
      <w:r>
        <w:rPr>
          <w:rFonts w:hint="eastAsia" w:ascii="Times New Roman" w:hAnsi="Times New Roman" w:eastAsia="方正小标宋简体" w:cs="Times New Roman"/>
          <w:color w:val="auto"/>
          <w:sz w:val="44"/>
          <w:szCs w:val="44"/>
          <w:lang w:val="en-US" w:eastAsia="zh-CN"/>
        </w:rPr>
        <w:t>限烧区</w:t>
      </w:r>
      <w:r>
        <w:rPr>
          <w:rFonts w:hint="default" w:ascii="Times New Roman" w:hAnsi="Times New Roman" w:eastAsia="方正小标宋简体" w:cs="Times New Roman"/>
          <w:color w:val="auto"/>
          <w:sz w:val="44"/>
          <w:szCs w:val="44"/>
        </w:rPr>
        <w:t>的通告</w:t>
      </w:r>
    </w:p>
    <w:p w14:paraId="058BBEFB">
      <w:pPr>
        <w:pStyle w:val="2"/>
        <w:keepNext w:val="0"/>
        <w:keepLines w:val="0"/>
        <w:pageBreakBefore w:val="0"/>
        <w:widowControl w:val="0"/>
        <w:kinsoku/>
        <w:wordWrap/>
        <w:overflowPunct/>
        <w:topLinePunct w:val="0"/>
        <w:bidi w:val="0"/>
        <w:spacing w:line="576" w:lineRule="exact"/>
        <w:jc w:val="center"/>
        <w:rPr>
          <w:rFonts w:hint="eastAsia" w:eastAsia="方正小标宋简体"/>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征求意见稿</w:t>
      </w:r>
      <w:r>
        <w:rPr>
          <w:rFonts w:hint="eastAsia" w:ascii="楷体" w:hAnsi="楷体" w:eastAsia="楷体" w:cs="楷体"/>
          <w:color w:val="auto"/>
          <w:sz w:val="28"/>
          <w:szCs w:val="28"/>
          <w:lang w:eastAsia="zh-CN"/>
        </w:rPr>
        <w:t>）</w:t>
      </w:r>
    </w:p>
    <w:p w14:paraId="28D98EF7">
      <w:pPr>
        <w:keepNext w:val="0"/>
        <w:keepLines w:val="0"/>
        <w:pageBreakBefore w:val="0"/>
        <w:widowControl w:val="0"/>
        <w:kinsoku/>
        <w:wordWrap/>
        <w:overflowPunct/>
        <w:topLinePunct w:val="0"/>
        <w:bidi w:val="0"/>
        <w:adjustRightInd w:val="0"/>
        <w:snapToGrid w:val="0"/>
        <w:spacing w:line="576" w:lineRule="exact"/>
        <w:jc w:val="center"/>
        <w:rPr>
          <w:rFonts w:hint="default" w:ascii="Times New Roman" w:hAnsi="Times New Roman" w:eastAsia="仿宋_GB2312" w:cs="Times New Roman"/>
          <w:color w:val="auto"/>
          <w:sz w:val="32"/>
          <w:szCs w:val="32"/>
        </w:rPr>
      </w:pPr>
    </w:p>
    <w:p w14:paraId="7B8830AB">
      <w:pPr>
        <w:keepNext w:val="0"/>
        <w:keepLines w:val="0"/>
        <w:pageBreakBefore w:val="0"/>
        <w:widowControl w:val="0"/>
        <w:kinsoku/>
        <w:wordWrap/>
        <w:overflowPunct/>
        <w:topLinePunct w:val="0"/>
        <w:bidi w:val="0"/>
        <w:adjustRightInd w:val="0"/>
        <w:snapToGrid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为大力推进秸秆综合利用，切实改善环境空气质量，保障人民群众身体健康，根据《中华人民共和国大气污染防治法》《湖南省大气污染防治条例》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湖南省重污染天气防治若干规定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《湖南省重污染天气应急预案》</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湖南省生态环境厅关于常德市秸秆禁烧区和限烧区划定方案有关事项的函</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湘环函</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29号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等规定，</w:t>
      </w:r>
      <w:r>
        <w:rPr>
          <w:rFonts w:hint="eastAsia" w:ascii="仿宋" w:hAnsi="仿宋" w:eastAsia="仿宋" w:cs="仿宋"/>
          <w:color w:val="auto"/>
          <w:sz w:val="32"/>
          <w:szCs w:val="32"/>
          <w:lang w:eastAsia="zh-CN"/>
        </w:rPr>
        <w:t>结合我县实际，</w:t>
      </w:r>
      <w:r>
        <w:rPr>
          <w:rFonts w:hint="eastAsia" w:ascii="仿宋" w:hAnsi="仿宋" w:eastAsia="仿宋" w:cs="仿宋"/>
          <w:color w:val="auto"/>
          <w:sz w:val="32"/>
          <w:szCs w:val="32"/>
        </w:rPr>
        <w:t>现就划定秸秆禁烧区、限烧区有关事项通告如下:</w:t>
      </w:r>
    </w:p>
    <w:p w14:paraId="6EA5F4AA">
      <w:pPr>
        <w:keepNext w:val="0"/>
        <w:keepLines w:val="0"/>
        <w:pageBreakBefore w:val="0"/>
        <w:widowControl w:val="0"/>
        <w:kinsoku/>
        <w:wordWrap/>
        <w:overflowPunct/>
        <w:topLinePunct w:val="0"/>
        <w:bidi w:val="0"/>
        <w:spacing w:line="576" w:lineRule="exact"/>
        <w:ind w:firstLine="643" w:firstLineChars="200"/>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一、划定区域范围</w:t>
      </w:r>
    </w:p>
    <w:p w14:paraId="4AA30A9F">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（一）禁烧区范围。</w:t>
      </w:r>
    </w:p>
    <w:p w14:paraId="1E8E8C61">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1.</w:t>
      </w:r>
      <w:r>
        <w:rPr>
          <w:rFonts w:hint="eastAsia" w:ascii="仿宋" w:hAnsi="仿宋" w:eastAsia="仿宋" w:cs="仿宋"/>
          <w:bCs/>
          <w:color w:val="auto"/>
          <w:sz w:val="32"/>
          <w:szCs w:val="32"/>
          <w:lang w:val="en-US" w:eastAsia="zh-CN"/>
        </w:rPr>
        <w:t>澧阳街道、澧浦街道、澧西街道、澧澹街道、涔南镇、梦溪镇、城头山镇、大堰垱镇、小渡口镇、澧南镇、官垸镇、如东镇、复兴镇、盐井镇、金罗镇、王家厂镇全域</w:t>
      </w:r>
      <w:r>
        <w:rPr>
          <w:rFonts w:hint="eastAsia" w:ascii="仿宋" w:hAnsi="仿宋" w:eastAsia="仿宋" w:cs="仿宋"/>
          <w:color w:val="auto"/>
          <w:sz w:val="32"/>
          <w:szCs w:val="32"/>
        </w:rPr>
        <w:t>；</w:t>
      </w:r>
    </w:p>
    <w:p w14:paraId="6595E13F">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甘溪滩镇：精华寺社区全域；甘溪村、丰年村、古北村、芦茅村部分区域；</w:t>
      </w:r>
    </w:p>
    <w:p w14:paraId="02B29378">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3.火连坡镇：观音阁社区、新桥村、天供山林场全域；花园湾社区、山门水库、石庄村、水氽洞村、芦桥村、古台村、金山村、澧淞村、双溪村、楠木村、羊耳山村、三元村、古城岗村部分区域；</w:t>
      </w:r>
    </w:p>
    <w:p w14:paraId="610E0324">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4.码头铺镇：码头社区、方石坪社区、杉木村全域；莲花村、刻木山村、杨家湾村、球山村、万家岗村、红岩村、龙洞峪村、回龙峪村、三观寺村、罗坪村、云台村、陆家桥村、洞市村、昌家村、桐子岗村部分区域。</w:t>
      </w:r>
    </w:p>
    <w:p w14:paraId="0B606906">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（二）限烧区范围。</w:t>
      </w:r>
      <w:r>
        <w:rPr>
          <w:rFonts w:hint="eastAsia" w:ascii="仿宋" w:hAnsi="仿宋" w:eastAsia="仿宋" w:cs="仿宋"/>
          <w:color w:val="auto"/>
          <w:sz w:val="32"/>
          <w:szCs w:val="32"/>
        </w:rPr>
        <w:t>全县未列入禁烧区</w:t>
      </w:r>
      <w:r>
        <w:rPr>
          <w:rFonts w:hint="eastAsia" w:ascii="仿宋" w:hAnsi="仿宋" w:eastAsia="仿宋" w:cs="仿宋"/>
          <w:color w:val="auto"/>
          <w:sz w:val="32"/>
          <w:szCs w:val="32"/>
          <w:lang w:eastAsia="zh-CN"/>
        </w:rPr>
        <w:t>的其他区域</w:t>
      </w:r>
      <w:r>
        <w:rPr>
          <w:rFonts w:hint="eastAsia" w:ascii="仿宋" w:hAnsi="仿宋" w:eastAsia="仿宋" w:cs="仿宋"/>
          <w:color w:val="auto"/>
          <w:sz w:val="32"/>
          <w:szCs w:val="32"/>
        </w:rPr>
        <w:t>。</w:t>
      </w:r>
    </w:p>
    <w:p w14:paraId="5CE91246">
      <w:pPr>
        <w:keepNext w:val="0"/>
        <w:keepLines w:val="0"/>
        <w:pageBreakBefore w:val="0"/>
        <w:widowControl w:val="0"/>
        <w:kinsoku/>
        <w:wordWrap/>
        <w:overflowPunct/>
        <w:topLinePunct w:val="0"/>
        <w:bidi w:val="0"/>
        <w:spacing w:line="576" w:lineRule="exact"/>
        <w:ind w:firstLine="643" w:firstLineChars="200"/>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二、明确管控要求</w:t>
      </w:r>
    </w:p>
    <w:p w14:paraId="036F3C1C">
      <w:pPr>
        <w:keepNext w:val="0"/>
        <w:keepLines w:val="0"/>
        <w:pageBreakBefore w:val="0"/>
        <w:widowControl w:val="0"/>
        <w:kinsoku/>
        <w:wordWrap/>
        <w:overflowPunct/>
        <w:topLinePunct w:val="0"/>
        <w:bidi w:val="0"/>
        <w:spacing w:line="576"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（一）禁烧区</w:t>
      </w:r>
    </w:p>
    <w:p w14:paraId="1BD1F3B8">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秸秆禁烧区内实行强制性、常态化禁烧管理政策，任何时间、任何气象条件及空气质量状况下，均不允许露天焚烧秸秆。对经检疫确需通过焚烧处理病虫害的秸秆，在县级人民政府农业农村、生态环境主管部门采取安全可控措施后，可以有序焚烧。</w:t>
      </w:r>
    </w:p>
    <w:p w14:paraId="0289E4DD">
      <w:pPr>
        <w:keepNext w:val="0"/>
        <w:keepLines w:val="0"/>
        <w:pageBreakBefore w:val="0"/>
        <w:widowControl w:val="0"/>
        <w:kinsoku/>
        <w:wordWrap/>
        <w:overflowPunct/>
        <w:topLinePunct w:val="0"/>
        <w:bidi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2.秸秆禁烧区要设立明显警示标志，标明“秸秆禁烧区”字样。</w:t>
      </w:r>
    </w:p>
    <w:p w14:paraId="00D59BB6">
      <w:pPr>
        <w:keepNext w:val="0"/>
        <w:keepLines w:val="0"/>
        <w:pageBreakBefore w:val="0"/>
        <w:widowControl w:val="0"/>
        <w:kinsoku/>
        <w:wordWrap/>
        <w:overflowPunct/>
        <w:topLinePunct w:val="0"/>
        <w:bidi w:val="0"/>
        <w:spacing w:line="576"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二</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限烧</w:t>
      </w:r>
      <w:r>
        <w:rPr>
          <w:rFonts w:hint="eastAsia" w:ascii="仿宋" w:hAnsi="仿宋" w:eastAsia="仿宋" w:cs="仿宋"/>
          <w:b/>
          <w:bCs w:val="0"/>
          <w:color w:val="auto"/>
          <w:sz w:val="32"/>
          <w:szCs w:val="32"/>
        </w:rPr>
        <w:t>区</w:t>
      </w:r>
    </w:p>
    <w:p w14:paraId="0FE74F0F">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限烧区内，县人民政府应当组织乡镇(街道)以村为单位开展分区域、分时段有序错峰焚烧，并加强指导、巡查和管控，防止发生大气污染事故和火灾。出现下列情形之一的，应当禁止秸秆露天焚烧。</w:t>
      </w:r>
    </w:p>
    <w:p w14:paraId="4E41D4E7">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1.限烧区及下风向区域相关城市实测已达轻度及以上污染天气；</w:t>
      </w:r>
    </w:p>
    <w:p w14:paraId="2FA9158F">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2.预测限烧区内相关城市未来48小时将出现中度及以上污染天气或发布重污染天气预警；</w:t>
      </w:r>
    </w:p>
    <w:p w14:paraId="7D9F3E31">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3.限烧区内18:00至次日9:00的夜间时段；</w:t>
      </w:r>
    </w:p>
    <w:p w14:paraId="5C1825E6">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4.限烧区内出现小风(小于2级)、静稳等不利于大气扩散的天气；</w:t>
      </w:r>
    </w:p>
    <w:p w14:paraId="75506B6B">
      <w:pPr>
        <w:pStyle w:val="2"/>
        <w:keepNext w:val="0"/>
        <w:keepLines w:val="0"/>
        <w:pageBreakBefore w:val="0"/>
        <w:widowControl w:val="0"/>
        <w:kinsoku/>
        <w:wordWrap/>
        <w:overflowPunct/>
        <w:topLinePunct w:val="0"/>
        <w:bidi w:val="0"/>
        <w:spacing w:line="576" w:lineRule="exact"/>
        <w:rPr>
          <w:rFonts w:hint="eastAsia" w:ascii="仿宋" w:hAnsi="仿宋" w:eastAsia="仿宋" w:cs="仿宋"/>
          <w:color w:val="auto"/>
          <w:sz w:val="32"/>
          <w:szCs w:val="32"/>
          <w:lang w:val="en-US" w:eastAsia="zh-CN"/>
        </w:rPr>
      </w:pPr>
      <w:r>
        <w:rPr>
          <w:rFonts w:hint="eastAsia" w:ascii="仿宋" w:hAnsi="仿宋" w:eastAsia="仿宋" w:cs="仿宋"/>
          <w:b w:val="0"/>
          <w:color w:val="auto"/>
          <w:kern w:val="2"/>
          <w:sz w:val="32"/>
          <w:szCs w:val="32"/>
          <w:lang w:val="en-US" w:eastAsia="zh-CN" w:bidi="ar-SA"/>
        </w:rPr>
        <w:t>5.法律法规以及规范性文件规定的其他禁止露天焚烧秸秆的情形。</w:t>
      </w:r>
    </w:p>
    <w:p w14:paraId="549D7A48">
      <w:pPr>
        <w:keepNext w:val="0"/>
        <w:keepLines w:val="0"/>
        <w:pageBreakBefore w:val="0"/>
        <w:widowControl w:val="0"/>
        <w:kinsoku/>
        <w:wordWrap/>
        <w:overflowPunct/>
        <w:topLinePunct w:val="0"/>
        <w:bidi w:val="0"/>
        <w:adjustRightInd w:val="0"/>
        <w:snapToGrid w:val="0"/>
        <w:spacing w:line="576" w:lineRule="exact"/>
        <w:ind w:firstLine="643" w:firstLineChars="200"/>
        <w:rPr>
          <w:rFonts w:hint="eastAsia" w:ascii="仿宋" w:hAnsi="仿宋" w:eastAsia="仿宋" w:cs="仿宋"/>
          <w:color w:val="auto"/>
          <w:sz w:val="32"/>
          <w:szCs w:val="32"/>
        </w:rPr>
      </w:pPr>
      <w:r>
        <w:rPr>
          <w:rFonts w:hint="eastAsia" w:ascii="黑体" w:hAnsi="黑体" w:eastAsia="黑体" w:cs="黑体"/>
          <w:b/>
          <w:bCs w:val="0"/>
          <w:color w:val="auto"/>
          <w:sz w:val="32"/>
          <w:szCs w:val="32"/>
        </w:rPr>
        <w:t>三、强化监管执法。</w:t>
      </w:r>
      <w:r>
        <w:rPr>
          <w:rFonts w:hint="eastAsia" w:ascii="仿宋" w:hAnsi="仿宋" w:eastAsia="仿宋" w:cs="仿宋"/>
          <w:color w:val="auto"/>
          <w:spacing w:val="6"/>
          <w:sz w:val="32"/>
          <w:szCs w:val="32"/>
        </w:rPr>
        <w:t>违反本通告规定，在禁烧区域以及限烧区域的禁烧时段内，进行露天焚烧秸秆产生烟尘污染物质的，由</w:t>
      </w:r>
      <w:r>
        <w:rPr>
          <w:rFonts w:hint="eastAsia" w:ascii="仿宋" w:hAnsi="仿宋" w:eastAsia="仿宋" w:cs="仿宋"/>
          <w:color w:val="auto"/>
          <w:spacing w:val="6"/>
          <w:sz w:val="32"/>
          <w:szCs w:val="32"/>
          <w:lang w:eastAsia="zh-CN"/>
        </w:rPr>
        <w:t>县</w:t>
      </w:r>
      <w:r>
        <w:rPr>
          <w:rFonts w:hint="eastAsia" w:ascii="仿宋" w:hAnsi="仿宋" w:eastAsia="仿宋" w:cs="仿宋"/>
          <w:color w:val="auto"/>
          <w:sz w:val="32"/>
          <w:szCs w:val="32"/>
        </w:rPr>
        <w:t>生态环境</w:t>
      </w:r>
      <w:r>
        <w:rPr>
          <w:rFonts w:hint="eastAsia" w:ascii="仿宋" w:hAnsi="仿宋" w:eastAsia="仿宋" w:cs="仿宋"/>
          <w:color w:val="auto"/>
          <w:spacing w:val="6"/>
          <w:sz w:val="32"/>
          <w:szCs w:val="32"/>
          <w:lang w:eastAsia="zh-CN"/>
        </w:rPr>
        <w:t>部门</w:t>
      </w:r>
      <w:r>
        <w:rPr>
          <w:rFonts w:hint="eastAsia" w:ascii="仿宋" w:hAnsi="仿宋" w:eastAsia="仿宋" w:cs="仿宋"/>
          <w:color w:val="auto"/>
          <w:spacing w:val="6"/>
          <w:sz w:val="32"/>
          <w:szCs w:val="32"/>
        </w:rPr>
        <w:t>责令改正，依法给予行政处罚；露天焚烧秸秆且不听劝阻，阻碍国家机关工作人员依法执行职务的，由公安机关依法给予行政处罚；构成犯罪的，依法追究刑事责</w:t>
      </w:r>
      <w:r>
        <w:rPr>
          <w:rFonts w:hint="eastAsia" w:ascii="仿宋" w:hAnsi="仿宋" w:eastAsia="仿宋" w:cs="仿宋"/>
          <w:color w:val="auto"/>
          <w:sz w:val="32"/>
          <w:szCs w:val="32"/>
        </w:rPr>
        <w:t>任。</w:t>
      </w:r>
    </w:p>
    <w:p w14:paraId="1AE1A8D1">
      <w:pPr>
        <w:keepNext w:val="0"/>
        <w:keepLines w:val="0"/>
        <w:pageBreakBefore w:val="0"/>
        <w:widowControl w:val="0"/>
        <w:kinsoku/>
        <w:wordWrap/>
        <w:overflowPunct/>
        <w:topLinePunct w:val="0"/>
        <w:bidi w:val="0"/>
        <w:adjustRightInd w:val="0"/>
        <w:snapToGrid w:val="0"/>
        <w:spacing w:line="576" w:lineRule="exact"/>
        <w:ind w:firstLine="643" w:firstLineChars="200"/>
        <w:rPr>
          <w:rFonts w:hint="eastAsia" w:ascii="仿宋" w:hAnsi="仿宋" w:eastAsia="仿宋" w:cs="仿宋"/>
          <w:color w:val="auto"/>
          <w:sz w:val="32"/>
          <w:szCs w:val="32"/>
        </w:rPr>
      </w:pPr>
      <w:r>
        <w:rPr>
          <w:rFonts w:hint="eastAsia" w:ascii="黑体" w:hAnsi="黑体" w:eastAsia="黑体" w:cs="黑体"/>
          <w:b/>
          <w:bCs w:val="0"/>
          <w:color w:val="auto"/>
          <w:sz w:val="32"/>
          <w:szCs w:val="32"/>
        </w:rPr>
        <w:t>四、压实工作责任。</w:t>
      </w:r>
      <w:r>
        <w:rPr>
          <w:rFonts w:hint="eastAsia" w:ascii="仿宋" w:hAnsi="仿宋" w:eastAsia="仿宋" w:cs="仿宋"/>
          <w:color w:val="auto"/>
          <w:sz w:val="32"/>
          <w:szCs w:val="32"/>
        </w:rPr>
        <w:t>各镇街负责本区域内禁止露天焚烧秸秆工作，采取疏堵结合的方式，层层落实秸秆禁烧责任，推进秸秆综合利用。各农业专业合作社、种田大户等新型经</w:t>
      </w:r>
      <w:bookmarkStart w:id="0" w:name="_GoBack"/>
      <w:bookmarkEnd w:id="0"/>
      <w:r>
        <w:rPr>
          <w:rFonts w:hint="eastAsia" w:ascii="仿宋" w:hAnsi="仿宋" w:eastAsia="仿宋" w:cs="仿宋"/>
          <w:color w:val="auto"/>
          <w:sz w:val="32"/>
          <w:szCs w:val="32"/>
        </w:rPr>
        <w:t>营主体要带头做好秸秆禁烧和综合利用工作。</w:t>
      </w:r>
    </w:p>
    <w:p w14:paraId="23E845D3">
      <w:pPr>
        <w:pStyle w:val="2"/>
        <w:keepNext w:val="0"/>
        <w:keepLines w:val="0"/>
        <w:pageBreakBefore w:val="0"/>
        <w:widowControl w:val="0"/>
        <w:kinsoku/>
        <w:wordWrap/>
        <w:overflowPunct/>
        <w:topLinePunct w:val="0"/>
        <w:bidi w:val="0"/>
        <w:spacing w:line="576" w:lineRule="exact"/>
        <w:rPr>
          <w:rFonts w:hint="eastAsia" w:ascii="黑体" w:hAnsi="黑体" w:eastAsia="黑体" w:cs="黑体"/>
          <w:b/>
          <w:bCs w:val="0"/>
          <w:color w:val="auto"/>
          <w:kern w:val="2"/>
          <w:sz w:val="32"/>
          <w:szCs w:val="32"/>
          <w:lang w:val="en-US" w:eastAsia="zh-CN" w:bidi="ar-SA"/>
        </w:rPr>
      </w:pPr>
      <w:r>
        <w:rPr>
          <w:rFonts w:hint="eastAsia" w:ascii="黑体" w:hAnsi="黑体" w:eastAsia="黑体" w:cs="黑体"/>
          <w:b/>
          <w:bCs w:val="0"/>
          <w:color w:val="auto"/>
          <w:kern w:val="2"/>
          <w:sz w:val="32"/>
          <w:szCs w:val="32"/>
          <w:lang w:val="en-US" w:eastAsia="zh-CN" w:bidi="ar-SA"/>
        </w:rPr>
        <w:t>五、本通告自公布之日起施行，《澧县人民政府关于划定秸秆禁烧区、限烧区的通告》（澧政通告〔2024〕6号）同时废止。执行中如遇国家、省、市相关政策调整，从其规定。</w:t>
      </w:r>
    </w:p>
    <w:p w14:paraId="7AD0337D">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sz w:val="32"/>
          <w:szCs w:val="32"/>
        </w:rPr>
      </w:pPr>
    </w:p>
    <w:p w14:paraId="095EBEB1">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sz w:val="32"/>
          <w:szCs w:val="32"/>
        </w:rPr>
      </w:pPr>
    </w:p>
    <w:p w14:paraId="329587A5">
      <w:pPr>
        <w:pStyle w:val="2"/>
        <w:keepNext w:val="0"/>
        <w:keepLines w:val="0"/>
        <w:pageBreakBefore w:val="0"/>
        <w:widowControl w:val="0"/>
        <w:kinsoku/>
        <w:wordWrap/>
        <w:overflowPunct/>
        <w:topLinePunct w:val="0"/>
        <w:bidi w:val="0"/>
        <w:spacing w:line="576" w:lineRule="exact"/>
        <w:rPr>
          <w:rFonts w:hint="eastAsia" w:ascii="仿宋" w:hAnsi="仿宋" w:eastAsia="仿宋" w:cs="仿宋"/>
          <w:b w:val="0"/>
          <w:color w:val="auto"/>
          <w:sz w:val="32"/>
          <w:szCs w:val="32"/>
        </w:rPr>
      </w:pPr>
    </w:p>
    <w:p w14:paraId="61BC7F14">
      <w:pPr>
        <w:pStyle w:val="2"/>
        <w:keepNext w:val="0"/>
        <w:keepLines w:val="0"/>
        <w:pageBreakBefore w:val="0"/>
        <w:widowControl w:val="0"/>
        <w:kinsoku/>
        <w:wordWrap/>
        <w:overflowPunct/>
        <w:topLinePunct w:val="0"/>
        <w:bidi w:val="0"/>
        <w:spacing w:line="576" w:lineRule="exact"/>
        <w:ind w:left="0" w:leftChars="0" w:right="1348" w:rightChars="642" w:firstLine="0" w:firstLineChars="0"/>
        <w:jc w:val="right"/>
        <w:rPr>
          <w:rFonts w:hint="eastAsia" w:ascii="仿宋" w:hAnsi="仿宋" w:eastAsia="仿宋" w:cs="仿宋"/>
          <w:b w:val="0"/>
          <w:color w:val="auto"/>
          <w:kern w:val="0"/>
          <w:sz w:val="32"/>
          <w:szCs w:val="32"/>
        </w:rPr>
      </w:pPr>
      <w:r>
        <w:rPr>
          <w:rFonts w:hint="eastAsia" w:ascii="仿宋" w:hAnsi="仿宋" w:eastAsia="仿宋" w:cs="仿宋"/>
          <w:b w:val="0"/>
          <w:color w:val="auto"/>
          <w:sz w:val="32"/>
          <w:szCs w:val="32"/>
        </w:rPr>
        <w:t>澧</w:t>
      </w:r>
      <w:r>
        <w:rPr>
          <w:rFonts w:hint="eastAsia" w:ascii="仿宋" w:hAnsi="仿宋" w:eastAsia="仿宋" w:cs="仿宋"/>
          <w:b w:val="0"/>
          <w:color w:val="auto"/>
          <w:kern w:val="0"/>
          <w:sz w:val="32"/>
          <w:szCs w:val="32"/>
        </w:rPr>
        <w:t>县人民政府</w:t>
      </w:r>
    </w:p>
    <w:p w14:paraId="499582CE">
      <w:pPr>
        <w:pStyle w:val="2"/>
        <w:keepNext w:val="0"/>
        <w:keepLines w:val="0"/>
        <w:pageBreakBefore w:val="0"/>
        <w:widowControl w:val="0"/>
        <w:kinsoku/>
        <w:wordWrap/>
        <w:overflowPunct/>
        <w:topLinePunct w:val="0"/>
        <w:bidi w:val="0"/>
        <w:spacing w:line="576" w:lineRule="exact"/>
        <w:ind w:left="0" w:leftChars="0" w:right="1268" w:rightChars="604" w:firstLine="0" w:firstLineChars="0"/>
        <w:jc w:val="right"/>
        <w:rPr>
          <w:rFonts w:hint="eastAsia" w:ascii="仿宋" w:hAnsi="仿宋" w:eastAsia="仿宋" w:cs="仿宋"/>
          <w:b w:val="0"/>
          <w:color w:val="auto"/>
          <w:kern w:val="0"/>
          <w:sz w:val="32"/>
          <w:szCs w:val="32"/>
        </w:rPr>
      </w:pPr>
      <w:r>
        <w:rPr>
          <w:rFonts w:hint="eastAsia" w:ascii="仿宋" w:hAnsi="仿宋" w:eastAsia="仿宋" w:cs="仿宋"/>
          <w:b w:val="0"/>
          <w:color w:val="auto"/>
          <w:kern w:val="0"/>
          <w:sz w:val="32"/>
          <w:szCs w:val="32"/>
          <w:lang w:val="en-US" w:eastAsia="zh-CN"/>
        </w:rPr>
        <w:t>2025</w:t>
      </w:r>
      <w:r>
        <w:rPr>
          <w:rFonts w:hint="eastAsia" w:ascii="仿宋" w:hAnsi="仿宋" w:eastAsia="仿宋" w:cs="仿宋"/>
          <w:b w:val="0"/>
          <w:color w:val="auto"/>
          <w:kern w:val="0"/>
          <w:sz w:val="32"/>
          <w:szCs w:val="32"/>
        </w:rPr>
        <w:t>年</w:t>
      </w:r>
      <w:r>
        <w:rPr>
          <w:rFonts w:hint="eastAsia" w:ascii="仿宋" w:hAnsi="仿宋" w:eastAsia="仿宋" w:cs="仿宋"/>
          <w:b w:val="0"/>
          <w:color w:val="auto"/>
          <w:kern w:val="0"/>
          <w:sz w:val="32"/>
          <w:szCs w:val="32"/>
          <w:lang w:val="en-US" w:eastAsia="zh-CN"/>
        </w:rPr>
        <w:t>6</w:t>
      </w:r>
      <w:r>
        <w:rPr>
          <w:rFonts w:hint="eastAsia" w:ascii="仿宋" w:hAnsi="仿宋" w:eastAsia="仿宋" w:cs="仿宋"/>
          <w:b w:val="0"/>
          <w:color w:val="auto"/>
          <w:kern w:val="0"/>
          <w:sz w:val="32"/>
          <w:szCs w:val="32"/>
        </w:rPr>
        <w:t>月</w:t>
      </w:r>
      <w:r>
        <w:rPr>
          <w:rFonts w:hint="eastAsia" w:ascii="仿宋" w:hAnsi="仿宋" w:eastAsia="仿宋" w:cs="仿宋"/>
          <w:b w:val="0"/>
          <w:color w:val="auto"/>
          <w:kern w:val="0"/>
          <w:sz w:val="32"/>
          <w:szCs w:val="32"/>
          <w:lang w:val="en-US" w:eastAsia="zh-CN"/>
        </w:rPr>
        <w:t xml:space="preserve"> </w:t>
      </w:r>
      <w:r>
        <w:rPr>
          <w:rFonts w:hint="eastAsia" w:ascii="仿宋" w:hAnsi="仿宋" w:eastAsia="仿宋" w:cs="仿宋"/>
          <w:b w:val="0"/>
          <w:color w:val="auto"/>
          <w:kern w:val="0"/>
          <w:sz w:val="32"/>
          <w:szCs w:val="32"/>
        </w:rPr>
        <w:t>日</w:t>
      </w:r>
    </w:p>
    <w:p w14:paraId="717F05FF">
      <w:pPr>
        <w:keepNext w:val="0"/>
        <w:keepLines w:val="0"/>
        <w:pageBreakBefore w:val="0"/>
        <w:widowControl w:val="0"/>
        <w:kinsoku/>
        <w:wordWrap/>
        <w:overflowPunct/>
        <w:topLinePunct w:val="0"/>
        <w:bidi w:val="0"/>
        <w:spacing w:line="576"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C63AE"/>
    <w:rsid w:val="619E03D3"/>
    <w:rsid w:val="713C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ind w:firstLine="643" w:firstLineChars="200"/>
      <w:textAlignment w:val="baseline"/>
    </w:pPr>
    <w:rPr>
      <w:rFonts w:ascii="仿宋_GB2312" w:hAnsi="仿宋_GB2312" w:eastAsia="仿宋_GB2312" w:cs="仿宋_GB2312"/>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2025-06-11T08:11:00Z</dcterms:created>
  <dc:creator>lenovo</dc:creator>
  <cp:lastModifiedBy>lenovo</cp:lastModifiedBy>
  <cp:lastPrinted>2025-06-11T08:18:10Z</cp:lastPrinted>
  <dcterms:modified xsi:type="dcterms:W3CDTF">2025-06-11T08:22:11Z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92377C86958947288CF496FDAAEC3C6E_11</vt:lpwstr>
  </property>
  <property fmtid="{D5CDD505-2E9C-101B-9397-08002B2CF9AE}" pid="4" name="KSOTemplateDocerSaveRecord">
    <vt:lpwstr>eyJoZGlkIjoiYzI0NTY1NzgwOWUyZDk1NTlhNjJhMWJlMmY3ZmU1OWUifQ==</vt:lpwstr>
  </property>
</Properties>
</file>