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湖南省常德市澧县澧澹街道办事</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创建基层党建特色品牌，强化“党建引领网格化”服务模式，将党支部建在网格上。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推广发展稻药产业和林下经济。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推进重点项目建设，补齐基础设施短板，全面开展基础设施补短板摸底活动。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负责背街小巷环卫保洁工作。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建立健全行政村和船主的船舶安全责任制，落实渡口船舶、船员及旅客定额的安全管理责任制，落实船舶水上交通安全管理的专门人员，督促船舶所有人、经营人和船员遵守有关内河交通安全的法律法规。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挖掘本土红色资源，保护澹津突围战蔡口滩渡口战场旧址，加强文物保护政策宣传，弘扬革命精神。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落实安全生产党政同责、一岗双责，把安全生产纳入党工委议事日程，定期分析安全生产形势。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开展国防教育工作，负责基层人民武装组织规范化阵地建设，落实“一部一站”阵地融合建设。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街道事业站所工作人员定向招录公务员报考工作，开展街道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1.摸排村（社区）、街道事业站所符合报考公务员条件的人员。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县财政局
县司法局
县自然资源局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县财政局：负责被征地农民保障资金监管。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负责公共和租赁住房建设与运营工作。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协助镇（街道）依法履行环境保护监督管理职责。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开展澧水、澹水流域生态治理与污染防治工作。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3.负责做好征迁补偿、安置补偿等各类资金的管理、发放及监督工作。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2.配合做好入户走访摸底调查，了解家庭成员信息，开展土地及地上附属物丈量。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完成街道建设统计（村庄统计）基础信息的采集、录入、上报工作。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1.做好“六类”对象住房安全动态监测，建立住房安全台账，对实施危改对象完成村级申报、街道审核等住房保障相关工作。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3.配合处理好房屋征收补偿纠纷所涉及的行政复议、行政诉讼、司法执行等工作。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县商务局：负责对农贸市场规划建设和安全生产、环境保护情况进行监督检查。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开展街道交通安全管理站、农村交通安全劝导站以及配备的街道交通安全管理员、农村交通安全劝导员“两站两员”工作。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2.开展居民自建房领域授权委托事项依法对相关消防安全违法行为查处。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1.上报安全生产隐患，做好前期处置，配合事后调查。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1.推进街道、村（社区）便民服务阵地建设。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4.办理下沉街道（村）政务服务事项。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工作方式：对水利工程建设项目进行安全监管。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ECDED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2025-07-12T11:01:44Z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BDAEF109496C5CE418D07168D22CFCA3</vt:lpwstr>
  </property>
</Properties>
</file>