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湖南省常德市澧县澧南镇人民政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48</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澧南油茶、道河豆制品、特色农产品种植产业，整合双荷万亩油菜花海等资源，创新发展“稻虾连作”（水稻种植与小龙虾养殖有机结合）、“容器果树”（将果树种植在各种容器中，如花盆、木箱、塑料桶等，进行栽培和管理）产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开展林耕置换工作。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开展墓区值守工作，严禁墓地私买私卖，开展殡葬改革宣传工作。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负责安慈高速连接线（澧南范围内）的环境卫生及安全宣传工作。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建立健全行政村和船主的船舶安全责任制，落实渡口船舶、船员及旅客定额的安全管理责任制，落实船舶水上交通安全管理的专门人员，督促船舶所有人、经营人和船员遵守有关内河交通安全的法律法规。</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支持和发展乡村旅游，开展彭山景区、道河豆腐街等旅游扶持项目的申报工作。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负责澧县轻武器射击场的环境卫生及设施维护工作。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开展澧水、道水流域生态治理与污染防治工作。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协助镇（街道）部门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依法组织、指导、监督全县集体土地上的房屋征收与补偿。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2.负责全县保障性住房资金归集、使用和监督工作。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1.负责租赁补贴系统维护。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2.负责租赁补贴的申报、自查自纠。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县市场监管局：监督管理农贸市场的市场经营行为，在职责范围内负责集贸市场的农产品质量安全监督管理。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1.上报安全生产隐患，做好前期处置，配合事后调查。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FFFD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2025-07-12T11:03:02Z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186F721654A527ED66D07168D6887B23</vt:lpwstr>
  </property>
</Properties>
</file>