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湖南省常德市澧县官垸镇人民政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44</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开展汛旱并防与林耕置换工作。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开展蓄滞洪区农村集体“三资”管理工作。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全力推动阳光玫瑰葡萄、黄桃、羊肚菌等特色种植业的发展。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全力推动罗氏沼虾、小龙虾等特色养殖业发展。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建立健全行政村和船主的船舶安全责任制，落实渡口船舶、船员及旅客定额安全管理责任制，配备专职人员并督促船舶所有人、经营人和船员遵守有关交通安全的法律法规。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负责项目林地审批与林木林地权属及承包经营管理。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1.审核并上报省、市龙头企业申报材料。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2.拟定本县乡镇林业工作相关制度并督促乡镇实施。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3.拟定林业产业（林下经济）、碳汇碳票发展方案。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4.拟定义务植树方案。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5.审核上报的林业资源数据。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6.审核并上报林业项目。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1.配合摸排上报辖区内符合省、市林业产业龙头企业标准的企业、合作社。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2.因地制宜开展林业产业（林下经济）工作。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3.摸排上报县级义务植树点，开展义务植树活动。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4.配合摸排上报辖区内林业资源数据。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开展松滋河、澧水流域生态治理与污染防治工作。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开展养殖尾水治理等水污染防治工作。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县生态环境分局（牵头）
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1.制定技术规范与方案，提供专业技术支持。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2.组织监测与抽检。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1.落实技术推广、日常巡查与指导。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2.督促养殖户自检，协助开展监测工作。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bookmarkStart w:id="12" w:name="_GoBack"/>
            <w:bookmarkEnd w:id="12"/>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0FF3E0B"/>
    <w:rsid w:val="FCFA8FA4"/>
    <w:rsid w:val="FFF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2025-07-15T09:12:53Z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6D386C6B316723538AD37168F258E8B0</vt:lpwstr>
  </property>
</Properties>
</file>