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B360C">
      <w:pPr>
        <w:pStyle w:val="2"/>
        <w:jc w:val="left"/>
        <w:rPr>
          <w:rFonts w:ascii="方正公文小标宋" w:eastAsia="方正公文小标宋"/>
          <w:b w:val="0"/>
          <w:sz w:val="84"/>
          <w:szCs w:val="84"/>
          <w:lang w:eastAsia="zh-CN"/>
        </w:rPr>
      </w:pPr>
    </w:p>
    <w:p w14:paraId="3171D6CB">
      <w:pPr>
        <w:pStyle w:val="2"/>
        <w:jc w:val="left"/>
        <w:rPr>
          <w:rFonts w:ascii="方正公文小标宋" w:eastAsia="方正公文小标宋"/>
          <w:b w:val="0"/>
          <w:sz w:val="84"/>
          <w:szCs w:val="84"/>
          <w:lang w:eastAsia="zh-CN"/>
        </w:rPr>
      </w:pPr>
    </w:p>
    <w:p w14:paraId="70B3175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湖南省常德市澧县澧阳街道办事</w:t>
      </w:r>
    </w:p>
    <w:p w14:paraId="6B7BBEA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处履行职责事项清单</w:t>
      </w:r>
    </w:p>
    <w:p w14:paraId="2574A587">
      <w:pPr>
        <w:rPr>
          <w:rFonts w:ascii="方正公文小标宋" w:eastAsia="方正公文小标宋"/>
          <w:sz w:val="84"/>
          <w:szCs w:val="84"/>
          <w:lang w:eastAsia="zh-CN"/>
        </w:rPr>
      </w:pPr>
    </w:p>
    <w:p w14:paraId="707990DC">
      <w:pPr>
        <w:rPr>
          <w:rFonts w:ascii="方正公文小标宋" w:eastAsia="方正公文小标宋"/>
          <w:sz w:val="84"/>
          <w:szCs w:val="84"/>
          <w:lang w:eastAsia="zh-CN"/>
        </w:rPr>
      </w:pPr>
    </w:p>
    <w:p w14:paraId="201D355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014E5802">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850C022">
          <w:pPr>
            <w:rPr>
              <w:rFonts w:hint="eastAsia" w:eastAsiaTheme="minorEastAsia"/>
              <w:lang w:val="zh-CN" w:eastAsia="zh-CN"/>
            </w:rPr>
          </w:pPr>
        </w:p>
        <w:p w14:paraId="0E1E4204">
          <w:pPr>
            <w:pStyle w:val="7"/>
            <w:rPr>
              <w:rFonts w:cs="Times New Roman" w:eastAsiaTheme="minorEastAsia"/>
              <w:snapToGrid/>
              <w:color w:val="auto"/>
              <w:kern w:val="2"/>
              <w:sz w:val="21"/>
              <w:szCs w:val="22"/>
              <w:u w:val="none"/>
              <w:lang w:eastAsia="zh-CN"/>
            </w:rPr>
          </w:pPr>
          <w:r>
            <w:rPr>
              <w:rFonts w:cs="Times New Roman"/>
              <w:color w:val="auto"/>
              <w:szCs w:val="32"/>
              <w:u w:val="none"/>
            </w:rPr>
            <w:fldChar w:fldCharType="begin"/>
          </w:r>
          <w:r>
            <w:rPr>
              <w:rFonts w:cs="Times New Roman"/>
              <w:color w:val="auto"/>
              <w:szCs w:val="32"/>
              <w:u w:val="none"/>
            </w:rPr>
            <w:instrText xml:space="preserve"> TOC \o "1-3" \n \h \z \u </w:instrText>
          </w:r>
          <w:r>
            <w:rPr>
              <w:rFonts w:cs="Times New Roman"/>
              <w:color w:val="auto"/>
              <w:szCs w:val="32"/>
              <w:u w:val="none"/>
            </w:rPr>
            <w:fldChar w:fldCharType="separate"/>
          </w:r>
          <w:r>
            <w:rPr>
              <w:color w:val="auto"/>
              <w:u w:val="none"/>
            </w:rPr>
            <w:fldChar w:fldCharType="begin"/>
          </w:r>
          <w:r>
            <w:rPr>
              <w:color w:val="auto"/>
              <w:u w:val="none"/>
            </w:rPr>
            <w:instrText xml:space="preserve"> HYPERLINK \l "_Toc172533652" </w:instrText>
          </w:r>
          <w:r>
            <w:rPr>
              <w:color w:val="auto"/>
              <w:u w:val="none"/>
            </w:rPr>
            <w:fldChar w:fldCharType="separate"/>
          </w:r>
          <w:r>
            <w:rPr>
              <w:rStyle w:val="11"/>
              <w:rFonts w:eastAsia="方正公文小标宋" w:cs="Times New Roman"/>
              <w:color w:val="auto"/>
              <w:u w:val="none"/>
              <w:lang w:eastAsia="zh-CN"/>
            </w:rPr>
            <w:t>基本</w:t>
          </w:r>
          <w:r>
            <w:rPr>
              <w:rStyle w:val="11"/>
              <w:rFonts w:hint="eastAsia" w:eastAsia="方正公文小标宋" w:cs="Times New Roman"/>
              <w:color w:val="auto"/>
              <w:u w:val="none"/>
              <w:lang w:eastAsia="zh-CN"/>
            </w:rPr>
            <w:t>履职事项</w:t>
          </w:r>
          <w:r>
            <w:rPr>
              <w:rStyle w:val="11"/>
              <w:rFonts w:eastAsia="方正公文小标宋" w:cs="Times New Roman"/>
              <w:color w:val="auto"/>
              <w:u w:val="none"/>
              <w:lang w:eastAsia="zh-CN"/>
            </w:rPr>
            <w:t>清单</w:t>
          </w:r>
          <w:r>
            <w:rPr>
              <w:rStyle w:val="11"/>
              <w:rFonts w:eastAsia="方正公文小标宋" w:cs="Times New Roman"/>
              <w:color w:val="auto"/>
              <w:u w:val="none"/>
              <w:lang w:eastAsia="zh-CN"/>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1</w:t>
          </w:r>
        </w:p>
        <w:p w14:paraId="1A9FB1D0">
          <w:pPr>
            <w:pStyle w:val="7"/>
            <w:rPr>
              <w:rFonts w:cs="Times New Roman" w:eastAsiaTheme="minorEastAsia"/>
              <w:snapToGrid/>
              <w:color w:val="auto"/>
              <w:kern w:val="2"/>
              <w:sz w:val="21"/>
              <w:szCs w:val="22"/>
              <w:u w:val="none"/>
              <w:lang w:eastAsia="zh-CN"/>
            </w:rPr>
          </w:pPr>
          <w:r>
            <w:rPr>
              <w:color w:val="auto"/>
              <w:u w:val="none"/>
            </w:rPr>
            <w:fldChar w:fldCharType="begin"/>
          </w:r>
          <w:r>
            <w:rPr>
              <w:color w:val="auto"/>
              <w:u w:val="none"/>
            </w:rPr>
            <w:instrText xml:space="preserve"> HYPERLINK \l "_Toc172533653" </w:instrText>
          </w:r>
          <w:r>
            <w:rPr>
              <w:color w:val="auto"/>
              <w:u w:val="none"/>
            </w:rPr>
            <w:fldChar w:fldCharType="separate"/>
          </w:r>
          <w:r>
            <w:rPr>
              <w:rStyle w:val="11"/>
              <w:rFonts w:eastAsia="方正公文小标宋" w:cs="Times New Roman"/>
              <w:color w:val="auto"/>
              <w:u w:val="none"/>
              <w:lang w:eastAsia="zh-CN"/>
            </w:rPr>
            <w:t>配合</w:t>
          </w:r>
          <w:r>
            <w:rPr>
              <w:rStyle w:val="11"/>
              <w:rFonts w:hint="eastAsia" w:eastAsia="方正公文小标宋" w:cs="Times New Roman"/>
              <w:color w:val="auto"/>
              <w:u w:val="none"/>
              <w:lang w:eastAsia="zh-CN"/>
            </w:rPr>
            <w:t>履职事项</w:t>
          </w:r>
          <w:r>
            <w:rPr>
              <w:rStyle w:val="11"/>
              <w:rFonts w:eastAsia="方正公文小标宋" w:cs="Times New Roman"/>
              <w:color w:val="auto"/>
              <w:u w:val="none"/>
              <w:lang w:eastAsia="zh-CN"/>
            </w:rPr>
            <w:t>清单</w:t>
          </w:r>
          <w:r>
            <w:rPr>
              <w:rStyle w:val="11"/>
              <w:rFonts w:eastAsia="方正公文小标宋" w:cs="Times New Roman"/>
              <w:color w:val="auto"/>
              <w:u w:val="none"/>
              <w:lang w:eastAsia="zh-CN"/>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13</w:t>
          </w:r>
        </w:p>
        <w:p w14:paraId="17A3937D">
          <w:pPr>
            <w:pStyle w:val="7"/>
            <w:rPr>
              <w:rFonts w:cs="Times New Roman"/>
              <w:b/>
              <w:bCs/>
              <w:color w:val="auto"/>
              <w:u w:val="none"/>
              <w:lang w:val="zh-CN"/>
            </w:rPr>
          </w:pPr>
          <w:r>
            <w:rPr>
              <w:color w:val="auto"/>
              <w:u w:val="none"/>
            </w:rPr>
            <w:fldChar w:fldCharType="begin"/>
          </w:r>
          <w:r>
            <w:rPr>
              <w:color w:val="auto"/>
              <w:u w:val="none"/>
            </w:rPr>
            <w:instrText xml:space="preserve"> HYPERLINK \l "_Toc172533654" </w:instrText>
          </w:r>
          <w:r>
            <w:rPr>
              <w:color w:val="auto"/>
              <w:u w:val="none"/>
            </w:rPr>
            <w:fldChar w:fldCharType="separate"/>
          </w:r>
          <w:r>
            <w:rPr>
              <w:rStyle w:val="11"/>
              <w:rFonts w:hint="eastAsia" w:eastAsia="方正公文小标宋" w:cs="Times New Roman"/>
              <w:color w:val="auto"/>
              <w:u w:val="none"/>
              <w:lang w:eastAsia="zh-CN"/>
            </w:rPr>
            <w:t>上级部门收回事项清单</w:t>
          </w:r>
          <w:r>
            <w:rPr>
              <w:rStyle w:val="11"/>
              <w:rFonts w:hint="eastAsia" w:eastAsia="方正公文小标宋" w:cs="Times New Roman"/>
              <w:color w:val="auto"/>
              <w:u w:val="none"/>
              <w:lang w:eastAsia="zh-CN"/>
            </w:rPr>
            <w:fldChar w:fldCharType="end"/>
          </w:r>
          <w:r>
            <w:rPr>
              <w:rFonts w:cs="Times New Roman"/>
              <w:color w:val="auto"/>
              <w:szCs w:val="32"/>
              <w:u w:val="none"/>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47</w:t>
          </w:r>
        </w:p>
      </w:sdtContent>
    </w:sdt>
    <w:p w14:paraId="596D9203">
      <w:pPr>
        <w:pStyle w:val="2"/>
        <w:jc w:val="both"/>
        <w:rPr>
          <w:rFonts w:ascii="Times New Roman" w:hAnsi="Times New Roman" w:eastAsia="方正小标宋_GBK" w:cs="Times New Roman"/>
          <w:color w:val="auto"/>
          <w:spacing w:val="7"/>
          <w:sz w:val="44"/>
          <w:szCs w:val="44"/>
          <w:lang w:eastAsia="zh-CN"/>
        </w:rPr>
      </w:pPr>
    </w:p>
    <w:p w14:paraId="431A57EA">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64A56E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1534A6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70D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80B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AAF8A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B13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14:paraId="3F5F0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169DE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4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76CA1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2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8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14:paraId="6D6D8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8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F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负责街道党工委管理的党组织和党员以及监察对象的信访举报、问题线索和申诉受理，审查调查涉嫌违纪问题，依法进行问责和提出责任追究建议等工作。</w:t>
            </w:r>
          </w:p>
        </w:tc>
      </w:tr>
      <w:tr w14:paraId="303157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A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14:paraId="5A5E6C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0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2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14:paraId="291B6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6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0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14:paraId="6E2B7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D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3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14:paraId="3FB2E1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3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D999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D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14:paraId="576530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4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B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14:paraId="3FFE73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A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F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14:paraId="481D6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3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14:paraId="20A08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7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4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指导各社区落实“四议两公开”制度。</w:t>
            </w:r>
          </w:p>
        </w:tc>
      </w:tr>
      <w:tr w14:paraId="04E98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3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D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14:paraId="713230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8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14:paraId="57026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5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A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负责社区“两委”班子考察工作及社区干部和后备人才教育、管理、选拔等工作。</w:t>
            </w:r>
          </w:p>
        </w:tc>
      </w:tr>
      <w:tr w14:paraId="4DB0B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B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A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14:paraId="4298D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9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14:paraId="4C25B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A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指导社区基层政权建设和群众自治等工作，指导居民委员会、居务监督委员会规范化建设。</w:t>
            </w:r>
          </w:p>
        </w:tc>
      </w:tr>
      <w:tr w14:paraId="24F24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8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14:paraId="30E7D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A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6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14:paraId="0CCC1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8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14:paraId="7B8FF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5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0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推行红色楼栋长联户工作机制，指导开展小区党建示范建设工作。</w:t>
            </w:r>
          </w:p>
        </w:tc>
      </w:tr>
      <w:tr w14:paraId="61259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5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C6AE2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5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B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14:paraId="6A91A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0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3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14:paraId="3F96C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9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1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14:paraId="11489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E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推动基层社会治理智能化，创新开展智慧社区建设。</w:t>
            </w:r>
          </w:p>
        </w:tc>
      </w:tr>
      <w:tr w14:paraId="1CC55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3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4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14:paraId="36726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8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14:paraId="76452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6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负责共青团组织规范化建设，指导社区团组织教育管理工作，维护青少年权益，做好教育、引导、服务青少年等工作。</w:t>
            </w:r>
          </w:p>
        </w:tc>
      </w:tr>
      <w:tr w14:paraId="21D5F1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F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14:paraId="77BFB5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6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0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14:paraId="7519EA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1B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237D3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9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14:paraId="795456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D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4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14:paraId="08807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C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E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B9D1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5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8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14:paraId="19423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2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8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14:paraId="1D463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5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E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14:paraId="7215F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B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E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开展社区财务审计和“两委”班子成员任期经济责任审计。</w:t>
            </w:r>
          </w:p>
        </w:tc>
      </w:tr>
      <w:tr w14:paraId="38664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E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8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14:paraId="165BB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4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14:paraId="25110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6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B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14:paraId="5ED9FE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C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5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14:paraId="689C4E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7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8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14:paraId="583FF5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3B5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39E4B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6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8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0AD83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5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D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14:paraId="3A098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8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0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14:paraId="2584C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2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6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7FEC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4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14:paraId="2A307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1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3A311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3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14:paraId="51A9F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6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3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14:paraId="569F2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4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1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14:paraId="53716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7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8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14:paraId="0F9FAC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3BB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ABBA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0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A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14:paraId="0BF866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4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D9FF3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A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A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14:paraId="708CE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C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B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14:paraId="1401B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14:paraId="1B8331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4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14:paraId="56F46F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0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F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做好流浪犬控制和处置、犬只尸体收集和处理工作；组织指导社区做好养犬基础数据统计、养犬纠纷调解等工作。</w:t>
            </w:r>
          </w:p>
        </w:tc>
      </w:tr>
      <w:tr w14:paraId="64776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7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14:paraId="1EE244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277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01194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2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B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开展社区集体经济组织资产、资源、资金“三资”管理工作，发展壮大村级集体经济。</w:t>
            </w:r>
          </w:p>
        </w:tc>
      </w:tr>
      <w:tr w14:paraId="2ED5F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E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2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14:paraId="04FF5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A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14:paraId="0FF29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E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9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14:paraId="4B54A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3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645C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F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0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14:paraId="4F6830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F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14:paraId="3F0C5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1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3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14:paraId="0C71B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D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2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14:paraId="6499FF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09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BF6F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A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14:paraId="53E1D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8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A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推进乡风文明建设，制定村规民约（居民公约），指导社区组建红白理事会等工作，推进移风易俗；选树“身边好人”等先进典型，开展“我们的节日”等传统文化活动。</w:t>
            </w:r>
          </w:p>
        </w:tc>
      </w:tr>
      <w:tr w14:paraId="689062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D92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2B376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落实养老服务保障，日间照料中心的监管。</w:t>
            </w:r>
          </w:p>
        </w:tc>
      </w:tr>
      <w:tr w14:paraId="2D69B8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06C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A084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F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2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14:paraId="56FDD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6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C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3C7C6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9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B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14:paraId="5BAAF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14:paraId="00A9CC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511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九、城乡建设（7项）</w:t>
            </w:r>
          </w:p>
        </w:tc>
      </w:tr>
      <w:tr w14:paraId="0BE1A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2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F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负责由街道、社区作为实施主体的工程类项目和工程相关服务类项目的建设管理工作。</w:t>
            </w:r>
          </w:p>
        </w:tc>
      </w:tr>
      <w:tr w14:paraId="74250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9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5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14:paraId="503E6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14:paraId="4950B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4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7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负责小区管理工作。</w:t>
            </w:r>
          </w:p>
        </w:tc>
      </w:tr>
      <w:tr w14:paraId="22ED47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B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F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14:paraId="56488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C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C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负责自有农贸市场的综合整治与提质改造工作。</w:t>
            </w:r>
          </w:p>
        </w:tc>
      </w:tr>
      <w:tr w14:paraId="09A03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C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0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负责背街小巷日常环卫保洁工作。</w:t>
            </w:r>
          </w:p>
        </w:tc>
      </w:tr>
      <w:tr w14:paraId="1CDE8A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0C4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14:paraId="083DD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4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1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加强文物保护政策宣传，日常巡查及问题上报，重点开展古城墙文化遗产保护与传承工作。</w:t>
            </w:r>
          </w:p>
        </w:tc>
      </w:tr>
      <w:tr w14:paraId="1B4DFA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7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9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14:paraId="3B5A9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3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14:paraId="222FC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F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B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支持保障全民健身工作，组织社区开展各类文体活动。</w:t>
            </w:r>
          </w:p>
        </w:tc>
      </w:tr>
      <w:tr w14:paraId="101BF5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A50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14:paraId="78AAD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7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1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14:paraId="14B38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E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14:paraId="3AE69E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188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14:paraId="7C086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1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D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街道抢险救援力量，组织开展日常演练，做好人防、物防、技防等准备工作。</w:t>
            </w:r>
          </w:p>
        </w:tc>
      </w:tr>
      <w:tr w14:paraId="0C572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2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C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14:paraId="5A698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C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1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14:paraId="61E1E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F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0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规范社区安全生产和消防工作三本台账（会议记录、宣传教育、巡查及整改情况）。</w:t>
            </w:r>
          </w:p>
        </w:tc>
      </w:tr>
      <w:tr w14:paraId="27CBD8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1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14:paraId="04666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E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14:paraId="37592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9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4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按照街道综合应急预案，开展消防演练；对易发现、易处置的公共场所消防安全隐患开展日常排查，发现问题及时制止，并上报消防救援部门；发生火情及时组织群众疏散。</w:t>
            </w:r>
          </w:p>
        </w:tc>
      </w:tr>
      <w:tr w14:paraId="3BC75B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179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十三、人民武装（2项）</w:t>
            </w:r>
          </w:p>
        </w:tc>
      </w:tr>
      <w:tr w14:paraId="49D75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3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开展国防教育工作，强化基层人民武装组织规范化阵地建设，落实“一部一站”阵地融合建设。</w:t>
            </w:r>
          </w:p>
        </w:tc>
      </w:tr>
      <w:tr w14:paraId="09C82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8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3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14:paraId="6189B0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798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十四、综合政务（8项）</w:t>
            </w:r>
          </w:p>
        </w:tc>
      </w:tr>
      <w:tr w14:paraId="7875B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E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14:paraId="67264E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D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D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14:paraId="35F5F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1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D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14:paraId="29E50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2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0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14:paraId="0345FF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9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14:paraId="7AC281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4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4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3AA83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8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0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承办12345热线等政务平台转办的诉求事项，负责涉及本街道诉求事项的分发、督促办理和反馈。</w:t>
            </w:r>
          </w:p>
        </w:tc>
      </w:tr>
      <w:tr w14:paraId="1DB9E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A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14:paraId="3B55AD6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254C58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339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B76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6E1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A21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070F">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27704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2E8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43C630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2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4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14:paraId="0AEB7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2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4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2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5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3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14:paraId="44D92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2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9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8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4.负责下发新任社区党组织书记任免文件，形成备案登记表等资料报县委组织部备案。</w:t>
            </w:r>
          </w:p>
        </w:tc>
      </w:tr>
      <w:tr w14:paraId="6D63B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1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6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1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14:paraId="6631D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3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5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A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E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14:paraId="4C417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F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6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E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9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14:paraId="55FD8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3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B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干部、街道事业站所工作人员定向招录公务员报考工作，开展街道事业编制人员、优秀社区党组织书记、到村任职过的选调生、第一书记、驻村工作队员“五方面人员”比选，从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D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F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1.摸排社区、街道事业站所符合报考公务员条件的人员。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14:paraId="2B2BF3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E1A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76658F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3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F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D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8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14:paraId="0BDE7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E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0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开展县域商业建设行动。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C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4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负责湖南省一刻钟便民生活圈项目申报资料的指导、审核。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5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配合收集、整理湖南省一刻钟便民生活圈项目资料。</w:t>
            </w:r>
          </w:p>
        </w:tc>
      </w:tr>
      <w:tr w14:paraId="343397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A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C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B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14:paraId="74BCD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3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推进街道、社区供销社管理体系建设。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0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1.负责街道供销信息平台运行和指导，监督惠农综合服务中心社的为农服务工作。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14:paraId="4A040D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9409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F0FC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1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1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6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4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14:paraId="59D94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3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C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5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B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2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14:paraId="07707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7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0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E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14:paraId="43C27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0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D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2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14:paraId="32CFE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6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F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2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9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14:paraId="6FED3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4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3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E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C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14:paraId="00D59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3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6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14:paraId="35A8E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E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2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4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F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252DA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3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2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5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14:paraId="64C863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460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D1E5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9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3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1.推进县镇综治中心规范化建设，履行属地矛盾纠纷化解及社会治安风险防控两大职能任务。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2.建立健全调度研判和指数分析机制。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3.深化网格化服务管理，规范专职网格员队伍管理，落实网格员教育培训、末位淘汰机制。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4.推进雪亮工程建设，强化运维管理。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5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1.落实街道综治中心规范化建设及实体运行。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2.落实矛盾纠纷排查化解、特殊人群服务管理、社会治安防控重点工作。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3.完善网格组织领导，网格员配备和明确网格化工作事项等。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4.加强网格员日常管理，督促网格员履职尽责。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5.开展视频巡查，发现设备故障并及时上报。</w:t>
            </w:r>
          </w:p>
        </w:tc>
      </w:tr>
      <w:tr w14:paraId="49E8B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6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2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D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3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2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14:paraId="2BC2A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6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0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6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6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F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14:paraId="1C58E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F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5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A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8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14:paraId="38250E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5B30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27CAD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8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2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5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1D78E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C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6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8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5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2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14:paraId="3FA5E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3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3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B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5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A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14:paraId="27C41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7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9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C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7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14:paraId="235385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C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14:paraId="389EB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4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4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A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14:paraId="60E33D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0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B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1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14:paraId="67217A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4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3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E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0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14:paraId="15DE1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5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1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0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1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14:paraId="6D84E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0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0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0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6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A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14:paraId="3C44B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F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1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4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E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14:paraId="3CFDF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F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8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B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C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14:paraId="54B417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860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5BB6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3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8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5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7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14:paraId="6F69C4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D08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7CB06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9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7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出租房屋和流动人口管理。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5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E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县委政法委：负责指导街道开展流动人口协管员招聘招录及分配工作；负责人员资金保障。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县公安局：负责对租赁房屋实行治安管理，建立登记、安全检查等管理制度；负责流动人口的居住登记和居住证办理工作。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1.协助做好租赁房屋的安全防范、法治宣传教育和治安管理工作。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2.协助做好流动人口居住登记的服务工作。</w:t>
            </w:r>
          </w:p>
        </w:tc>
      </w:tr>
      <w:tr w14:paraId="21C63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F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9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3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14:paraId="0CAA50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148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19850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5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B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14:paraId="2A53FA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474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九、社会保障（12项）</w:t>
            </w:r>
          </w:p>
        </w:tc>
      </w:tr>
      <w:tr w14:paraId="30A85B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4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C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14:paraId="25F517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D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0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5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A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14:paraId="4E37D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E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1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14:paraId="2A0B76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7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D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A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14:paraId="7F48E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0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B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9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A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14:paraId="22D93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6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C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14:paraId="52DA6B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1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3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4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8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14:paraId="7F2A2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6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0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（牵头）
县公安局
县财政局
县司法局
县自然资源局
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B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县公安局：提供无犯罪记录证明。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县司法局：提供服刑人员刑期证明。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县财政局：负责被征地农民保障资金监管。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县农业农村局（县农村经营服务站）：负责被征地农民承包土地人均面积核定和集体经济组织成员身份确认工作。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0C6E6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8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E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负责公共租赁住房建设与运营工作。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9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县住建局（县住保中心）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A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A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2.核实符合条件的人员资格，逐级上报。</w:t>
            </w:r>
          </w:p>
        </w:tc>
      </w:tr>
      <w:tr w14:paraId="62BC2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3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9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7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2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14:paraId="69905D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C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A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14:paraId="09FA9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7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5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5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9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14:paraId="711F41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B47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十、自然资源（5项）</w:t>
            </w:r>
          </w:p>
        </w:tc>
      </w:tr>
      <w:tr w14:paraId="22421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3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3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0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14:paraId="2BC0D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6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6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B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4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14:paraId="10477D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0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4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14:paraId="413B7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C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6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县林业局：加强古树名木保护管理工作。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县城管执法局：城市规划区内和风景名胜区的古树名木保护管理。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7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14:paraId="14F95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0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E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B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E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F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14:paraId="230165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2328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14:paraId="4BB45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E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9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4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D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5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14:paraId="6529D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E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8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6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6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3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14:paraId="26845D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8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6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3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14:paraId="5EC932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2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4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4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F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14:paraId="745B9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4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3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14:paraId="2E71A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2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B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C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5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14:paraId="7ED0B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7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4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6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7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14:paraId="714841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9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A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5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3C727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B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B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9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29912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6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1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14:paraId="4C489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7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9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9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27427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B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F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4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0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D42A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7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负责园区范围内环境保护管理工作。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5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县生态环境分局：1.全面负责园区范围内环境保护监督管理职责；引导和规范危险废物综合利用和安全处置。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依法规划和建设园区污水处理设施及其配套管网、固体废物收集处置设施以及其他环境基础设施，建立环境基础设施运行、维护制度，保障设施正常运行；协助镇（街道）依法履行环境保护监督管理职责；聘请“环保管家”提供第三方治理服务，主要服务包括：业务培训、政策咨询、技术指导、信用评价、自身“体检”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C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2.开展农村和城市社区的环境综合整治。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3.进行环境保护日常巡查。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4.协助有关部门做好环境污染防治工作。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5.协助有关部门开展环境执法、处置本辖区突发环境事件。</w:t>
            </w:r>
          </w:p>
        </w:tc>
      </w:tr>
      <w:tr w14:paraId="75DC58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59D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十二、城乡建设（13项）</w:t>
            </w:r>
          </w:p>
        </w:tc>
      </w:tr>
      <w:tr w14:paraId="156B9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C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F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开展“两违”办证工作。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2.执法监督与协调联动。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3.审批与资源调配。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4.争议化解与风险防控。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2.材料审核与流程对接。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3.执法协助与矛盾调解。</w:t>
            </w:r>
          </w:p>
        </w:tc>
      </w:tr>
      <w:tr w14:paraId="7F330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4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1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1.街道办事处作为集体土地征收房屋拆迁补偿安置工作的工作主体、工作经费的拨付单位。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2.做好房屋拆迁安置资格认定工作，社区为房屋拆迁安置资格认定第一责任人，街道为第二责任人。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3.配合做好征地拆迁及安置政策宣传工作。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4.征地补偿费拨付给被征地所在农村集体经济组织，由被征地所在农村集体经济组织按相关规定管理、使用和分配，并向全体成员公布收支状况，接受监督。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5.做好征地拆迁过程中的腾房、腾地等其他具体事务工作。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6.配合做好征地拆迁补偿安置纠纷调处工作。</w:t>
            </w:r>
          </w:p>
        </w:tc>
      </w:tr>
      <w:tr w14:paraId="5939E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E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C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A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3.配合处理好房屋征收补偿纠纷所涉及行政复议、行政诉讼、司法执行等工作。</w:t>
            </w:r>
          </w:p>
        </w:tc>
      </w:tr>
      <w:tr w14:paraId="2D4DC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9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2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14:paraId="1A701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4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E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2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14:paraId="64999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4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3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B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7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完成街道建设统计（村庄统计）基础信息的采集、录入、上报工作。</w:t>
            </w:r>
          </w:p>
        </w:tc>
      </w:tr>
      <w:tr w14:paraId="6D7C5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7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7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5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4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14:paraId="405762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C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E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开展对新建农房的质量安全监管。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2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1.负责农村住房建设施工的监督管理服务工作，开展新建农村住房质量安全实地抽查工作，指导镇（街道）加强质量安全监管。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2.每年对辖区限额以下新建农村住房随机抽查不得少于当年新建农村住房总量的20%，集中抽查不少于两次。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1.配合住建部门落实农村住房建设施工的监督管理服务工作。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2.配合住建部门入户开展质量安全抽查，并落实问题隐患整改。</w:t>
            </w:r>
          </w:p>
        </w:tc>
      </w:tr>
      <w:tr w14:paraId="6A8982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C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5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城镇老旧小区及配套设施改造、加装电梯及棚户区改造工作。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7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（县住保中心）
（牵头）
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6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县住建局：负责项目申报、资金申报管理；负责组织推进、统筹协调老旧小区改造和老旧小区功能项目提升工作；协调项目业主开展老旧小区改造项目建设，指导街道开展老旧小区改造相关工作。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1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1.开展城市老旧小区改造宣传工作。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2.组织社区配合开展老旧小区摸底调查工作。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3.协调解决项目施工中出现的问题。</w:t>
            </w:r>
          </w:p>
        </w:tc>
      </w:tr>
      <w:tr w14:paraId="5C82A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3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E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C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9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2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14:paraId="59140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7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4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开展维修加固及附属房屋审批工作。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明确农房安全管理长效机制，将用地、规划、建设、使用纳入全流程管理。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F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1.统筹土地、规划、建设审批。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2.对施工过程进行监督，防止擅自变更设计或超面积建设。</w:t>
            </w:r>
          </w:p>
        </w:tc>
      </w:tr>
      <w:tr w14:paraId="475008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0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A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1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5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14:paraId="63055A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C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5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D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8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E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14:paraId="0871C0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6E3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12215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D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F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开展街道交通安全管理站、街道交通安全劝导站以及配备的街道交通安全管理员、街道交通安全劝导员“两站两员”工作。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6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14:paraId="7C841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5B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3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14:paraId="152CC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D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9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A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B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14:paraId="636D23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FBE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02166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0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6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5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14:paraId="5DA1C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A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5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B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14:paraId="098C3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1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3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14:paraId="31EB02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DEE0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5DB68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4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1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C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6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9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14:paraId="5C2411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8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1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1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9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D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14:paraId="428CF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B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2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F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B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14:paraId="6767F0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BE3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十六、应急管理及消防（6项）</w:t>
            </w:r>
          </w:p>
        </w:tc>
      </w:tr>
      <w:tr w14:paraId="3F172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1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开展消防“生命通道”整治工作。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D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1、牵头负责督促重点单位落实“生命通道”整治要求。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6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1.负责组织非消防安全重点单位场所落实整治要求。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2.按照居民自建房安全管理有关行政处罚要求进行查处。</w:t>
            </w:r>
          </w:p>
        </w:tc>
      </w:tr>
      <w:tr w14:paraId="3AE1D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A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9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9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C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14:paraId="7CB028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3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D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E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F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D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14:paraId="1CF58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1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0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8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4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0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14:paraId="7F2241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2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4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3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D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县应急局：全面负责园区范围内安全生产监督管理职责；开展园区企业风险隐患排查工作及负责应急事件处置。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县高新区：开展辖区范围内企业安全生产的咨询、指导、协调、服务工作。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8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2.上报安全生产隐患，做好前期处置，配合事后调查。</w:t>
            </w:r>
          </w:p>
        </w:tc>
      </w:tr>
      <w:tr w14:paraId="3F0BB9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C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9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开展住宅小区电动自行车违规充电、停放监督执法和行政处罚。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3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负责实施住宅小区电动车充电的日常监督检查，查处不当充电行为。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8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负责督促辖区单位落实住宅小区电动车充电安全管理责任，组织开展消防安全巡查。</w:t>
            </w:r>
          </w:p>
        </w:tc>
      </w:tr>
      <w:tr w14:paraId="15446E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010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77639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F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2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F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2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14:paraId="34DAEA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1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1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4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3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14:paraId="43C5C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A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8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B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C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14:paraId="4B07AE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6D5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288FE1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3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C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14:paraId="69835E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880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092BE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0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0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14:paraId="2D7D0F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958C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14:paraId="3E016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E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7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C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7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14:paraId="22F41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5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E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A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9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14:paraId="015F4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C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7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2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0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1.清理下沉街道（社区）政务事项，逐年与市级目录进行核对、核准。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D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1.推进街道、社区便民服务阵地建设。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4.办理下沉街道（社区）政务服务事项。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14:paraId="376533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3B75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3D8622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2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4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F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9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14:paraId="7116A3C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BF4C27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C4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51D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AE4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1489B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A6F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C4C0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9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D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B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65CB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D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4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5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C1DC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0BF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3F36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8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7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14:paraId="74F94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F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F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DC68B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E95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14:paraId="61AE9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C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0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9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14:paraId="5AF0B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6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1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3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57486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B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E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7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02FC3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140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0B22F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6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C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2A533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E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1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981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E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F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7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14:paraId="786DE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7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D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14:paraId="1A9FB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B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8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0C57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D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4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3F7A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4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7CD3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A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B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1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8B6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6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0938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C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3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1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8741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7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C08D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F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3766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2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5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5A5B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A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考评创建市级禁毒街道。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5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B2BA5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B4E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14:paraId="7E760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5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5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14:paraId="6E831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5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6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14:paraId="66C05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4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D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14:paraId="15AE9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A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14:paraId="605A7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9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7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3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14:paraId="69768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4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2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BCE7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4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5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8CE3D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B43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09B1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E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24725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B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B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8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14:paraId="07A823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677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15F33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9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724C4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E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14:paraId="239B35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324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14:paraId="4E8A3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3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E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14:paraId="6F869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D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F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14:paraId="62238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3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D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1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14:paraId="626BA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E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5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F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14:paraId="11702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3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2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14:paraId="57AC9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0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2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14:paraId="5E010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4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48B3C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0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8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14:paraId="4F2C6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5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B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FCFE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7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9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D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C78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6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E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CE3A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D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7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9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4000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7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B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3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A11B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1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F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D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C22A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1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F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ECC25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0D4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九、生态环保（12项）</w:t>
            </w:r>
          </w:p>
        </w:tc>
      </w:tr>
      <w:tr w14:paraId="760B1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9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A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14:paraId="206B7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C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E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14:paraId="746B5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C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C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14:paraId="7F4F2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3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9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B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14:paraId="10754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F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8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7DE43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F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14:paraId="1A600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7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6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9765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4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A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A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538E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6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4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C731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4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C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5FCF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2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8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F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4C99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0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BF46F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889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14:paraId="2E29D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0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14:paraId="1A1AB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3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B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14:paraId="17E01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B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A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14:paraId="0266C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2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5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B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14:paraId="765C9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C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14:paraId="3CF30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C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1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C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14:paraId="1C1C1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5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4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14:paraId="22105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D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开展问题楼盘办证工作。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0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工作方式：由自然资源局牵头开展办证流程。</w:t>
            </w:r>
          </w:p>
        </w:tc>
      </w:tr>
      <w:tr w14:paraId="42FD1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0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0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1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14:paraId="0B9CF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C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E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C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14:paraId="19456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F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A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14:paraId="457C9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9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A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9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14:paraId="6A6C5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C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E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14:paraId="0B3E25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7DC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14:paraId="4DFB8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9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14:paraId="18409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8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F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2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14:paraId="13559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B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7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14:paraId="197F9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1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9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1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14:paraId="7856B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9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14:paraId="22BEE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E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8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14:paraId="400F2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147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A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F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E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5295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1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0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7FC8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3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2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B521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1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A0439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560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348A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8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D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F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14:paraId="5F25F6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A16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14:paraId="4DFEA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C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0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3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14:paraId="39832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8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9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14:paraId="213C7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C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0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3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14:paraId="5D904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1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14:paraId="7D6C1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D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17F3A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4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B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D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14:paraId="2CBC5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0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A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C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4422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F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2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3FB355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E4F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十四、应急管理及消防（20项）</w:t>
            </w:r>
          </w:p>
        </w:tc>
      </w:tr>
      <w:tr w14:paraId="64EFF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E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5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4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14:paraId="5A79D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C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D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B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14:paraId="0819B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B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7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9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14:paraId="63BAB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4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6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14:paraId="5DDA8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D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D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14:paraId="73E2D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C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4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14:paraId="3D420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4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5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14:paraId="2337A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F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D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14:paraId="3CE2D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0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D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F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14:paraId="7BF18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E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14:paraId="0484C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7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A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14:paraId="36BB1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14:paraId="461F6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C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5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14:paraId="0ABAC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9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2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2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14:paraId="78B99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B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C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14:paraId="792FC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3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8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14:paraId="5D2D5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4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6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承接部门：县住建局、县城管执法局、县应急局、县市场监管局、县消防救援大队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工作方式：负责燃气设备排查，以及燃气使用环境、使用场所（废品站、油站）执法工作。</w:t>
            </w:r>
          </w:p>
        </w:tc>
      </w:tr>
      <w:tr w14:paraId="330F4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7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B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F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14:paraId="72332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F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C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DEDE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E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4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F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28F836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A51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3B9BA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4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D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开展成品油非法经营监管工作。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4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工作方式:负责成品油流通综合治理工作方案制定、依法处置打击成品油非法经营。</w:t>
            </w:r>
          </w:p>
        </w:tc>
      </w:tr>
      <w:tr w14:paraId="045E5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4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6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8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745C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9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13A5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CB5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500B3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5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5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0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4443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A05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67AF4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B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C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C459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6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4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B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14:paraId="6DECE40E">
      <w:pPr>
        <w:pStyle w:val="3"/>
        <w:spacing w:before="0" w:after="0" w:line="240" w:lineRule="auto"/>
        <w:jc w:val="center"/>
        <w:rPr>
          <w:rFonts w:ascii="Times New Roman" w:hAnsi="Times New Roman" w:eastAsia="方正小标宋_GBK" w:cs="Times New Roman"/>
          <w:color w:val="auto"/>
          <w:spacing w:val="7"/>
          <w:lang w:eastAsia="zh-CN"/>
        </w:rPr>
      </w:pPr>
    </w:p>
    <w:p w14:paraId="017253F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DF30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CACEC1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CACEC1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8F7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A242493"/>
    <w:rsid w:val="7D58C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31771</Words>
  <Characters>32708</Characters>
  <Lines>1</Lines>
  <Paragraphs>1</Paragraphs>
  <TotalTime>10</TotalTime>
  <ScaleCrop>false</ScaleCrop>
  <LinksUpToDate>false</LinksUpToDate>
  <CharactersWithSpaces>32710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2025-07-15T01:17:05Z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755FD5CD56FF13ABEBCE7168C34DDA27</vt:lpwstr>
  </property>
  <property fmtid="{D5CDD505-2E9C-101B-9397-08002B2CF9AE}" pid="4" name="KSOTemplateDocerSaveRecord">
    <vt:lpwstr>eyJoZGlkIjoiZGUyZTRiMGM1Mzc5NmMyOWM4MDk5ODE4ZmU5OGM1YmUifQ==</vt:lpwstr>
  </property>
</Properties>
</file>