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4B1DF">
      <w:pPr>
        <w:pStyle w:val="2"/>
        <w:jc w:val="left"/>
        <w:rPr>
          <w:rFonts w:ascii="方正公文小标宋" w:eastAsia="方正公文小标宋"/>
          <w:b w:val="0"/>
          <w:sz w:val="84"/>
          <w:szCs w:val="84"/>
          <w:lang w:eastAsia="zh-CN"/>
        </w:rPr>
      </w:pPr>
    </w:p>
    <w:p w14:paraId="44E9BD3C">
      <w:pPr>
        <w:pStyle w:val="2"/>
        <w:jc w:val="left"/>
        <w:rPr>
          <w:rFonts w:ascii="方正公文小标宋" w:eastAsia="方正公文小标宋"/>
          <w:b w:val="0"/>
          <w:sz w:val="84"/>
          <w:szCs w:val="84"/>
          <w:lang w:eastAsia="zh-CN"/>
        </w:rPr>
      </w:pPr>
    </w:p>
    <w:p w14:paraId="2ECAB50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湖南省常德市澧县复兴镇人民政</w:t>
      </w:r>
    </w:p>
    <w:p w14:paraId="03BC2F8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14:paraId="3B2C3A46">
      <w:pPr>
        <w:rPr>
          <w:rFonts w:ascii="方正公文小标宋" w:eastAsia="方正公文小标宋"/>
          <w:sz w:val="84"/>
          <w:szCs w:val="84"/>
          <w:lang w:eastAsia="zh-CN"/>
        </w:rPr>
      </w:pPr>
    </w:p>
    <w:p w14:paraId="08FB7C1C">
      <w:pPr>
        <w:rPr>
          <w:rFonts w:ascii="方正公文小标宋" w:eastAsia="方正公文小标宋"/>
          <w:sz w:val="84"/>
          <w:szCs w:val="84"/>
          <w:lang w:eastAsia="zh-CN"/>
        </w:rPr>
      </w:pPr>
    </w:p>
    <w:p w14:paraId="0672634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7CF6009B">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AA43CB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5826CEFC">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038B5819">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44</w:t>
          </w:r>
        </w:p>
      </w:sdtContent>
    </w:sdt>
    <w:p w14:paraId="2C6B736F">
      <w:pPr>
        <w:pStyle w:val="2"/>
        <w:jc w:val="both"/>
        <w:rPr>
          <w:rFonts w:ascii="Times New Roman" w:hAnsi="Times New Roman" w:eastAsia="方正小标宋_GBK" w:cs="Times New Roman"/>
          <w:color w:val="auto"/>
          <w:spacing w:val="7"/>
          <w:sz w:val="44"/>
          <w:szCs w:val="44"/>
          <w:lang w:eastAsia="zh-CN"/>
        </w:rPr>
      </w:pPr>
    </w:p>
    <w:p w14:paraId="4BA6E8F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AEC12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29D144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C93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D58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81B50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89A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14:paraId="1B199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9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6D10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B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4D0D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A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028E0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14:paraId="16424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B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5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291D1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C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70BA9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2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436758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28A5C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4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01BA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0C98C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C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7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77738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F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18EA7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192B9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C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14:paraId="416122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5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50B62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6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9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7E9FC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9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9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14:paraId="09177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4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78B0E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A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14:paraId="6938D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14:paraId="7358B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C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A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5E2F3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2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653CC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5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C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4C497A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7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04E0B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1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5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1CDFE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1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0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42AAF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5FAD7D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6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1B665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E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07728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1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14:paraId="66C1C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6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09BBC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B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011A08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C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FDE7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D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39DC0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0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5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2FE28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E80D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F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1CCB2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B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3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14:paraId="716E8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出台专业规划，积极推进橘柚交易大市场建设，打造湘鄂边境橘柚集散地。</w:t>
            </w:r>
          </w:p>
        </w:tc>
      </w:tr>
      <w:tr w14:paraId="3F6D8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8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举办柑橘产销会，汇聚果农、采购商及专家，展示优质柑橘，开展产销对接、技术交流，搭建合作桥梁，拓宽销售渠道。</w:t>
            </w:r>
          </w:p>
        </w:tc>
      </w:tr>
      <w:tr w14:paraId="289D8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46435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9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14:paraId="357E5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F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9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0F011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3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5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52205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5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7B251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6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3B4A5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E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6B9ED1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C85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AB9D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8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D437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B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45C82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3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38D4D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B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7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ECBF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E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410F7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2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33769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7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0B8EC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C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10435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4628EA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7D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AD7B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F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4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744AF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5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0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37B2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4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76BF29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F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5400B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E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4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06251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5D009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D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14:paraId="30E8A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2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7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0FFE72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57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E5DD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E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14:paraId="1670A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0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2998D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B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6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落实巩固脱贫攻坚成果同乡村振兴有效衔接工作，加强衔接资金、资产、项目管理。</w:t>
            </w:r>
          </w:p>
        </w:tc>
      </w:tr>
      <w:tr w14:paraId="1AB3D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4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0166F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E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8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146BB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C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630C5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A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1BCD5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8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7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15C14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7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C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发展橘柚产业,从抓改良、强栽培、提品质、重示范、畅销售、育人才、树品牌、兴旅游等方面着力，打响柑橘品牌，促进村集体和橘农增收，打造产业兴旺的橘柚大镇。</w:t>
            </w:r>
          </w:p>
        </w:tc>
      </w:tr>
      <w:tr w14:paraId="3A140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5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B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4F342E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C8E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C574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E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8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6E48E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D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4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14:paraId="5B58F7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7B7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6F3A4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5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14:paraId="763870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3C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14:paraId="635ED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E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14:paraId="62DD7E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F1E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96E0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5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2E58C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006AE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F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A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70E90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9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763391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0E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4ED49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14:paraId="6C894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C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C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0D72F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6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7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404A9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4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000AF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D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14:paraId="39EE7A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043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3A54A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2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5E3AD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1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建设文化阵地，负责公共文化资源、体育设施的管理维护、开放利用、调查统计等工作。</w:t>
            </w:r>
          </w:p>
        </w:tc>
      </w:tr>
      <w:tr w14:paraId="053A2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4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14:paraId="1A241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7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8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14:paraId="38C96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8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开展皮影戏非遗保护和传承工作，推动传统文化进校园活动，开设传统文化兴趣班，多措并举助力非遗文化传承。</w:t>
            </w:r>
          </w:p>
        </w:tc>
      </w:tr>
      <w:tr w14:paraId="45AE1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F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完善乡镇生活基础设施，打造特色主题农庄，通过特色节庆引流聚势，提供沉浸式农旅体验，构建农文旅融合的活力小镇。</w:t>
            </w:r>
          </w:p>
        </w:tc>
      </w:tr>
      <w:tr w14:paraId="17B83B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C55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7E973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F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51F52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4A12A7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223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55DE0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14:paraId="19AF8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1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6B4F1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1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7BB9A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8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A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6ED46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2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9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14:paraId="00114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2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14:paraId="342EE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5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06699B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22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14:paraId="60E73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14:paraId="44733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9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12A7DD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D6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十五、综合政务（7项）</w:t>
            </w:r>
          </w:p>
        </w:tc>
      </w:tr>
      <w:tr w14:paraId="25A80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48575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4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66124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F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11F09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D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6C4B0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F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58C7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0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2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14:paraId="513AA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1FEA94A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B4E5D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349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99C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B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444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563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095E8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7EF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74B68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D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0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4D471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6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4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5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46702E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8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2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E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14:paraId="1DF0E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E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6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0AEDC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E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9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7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09E99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7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5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45F73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C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9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6BD63A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AD2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3FF33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6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9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14:paraId="62EA5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A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C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66205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4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2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69480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F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D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7B4467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763D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452A4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0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9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09C5D8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1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E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E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9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114A1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5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C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0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0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3E05D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C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3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6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1164C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4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5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9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4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2B42C0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9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D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A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5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4265B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1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5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3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4CB23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6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1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0C7C4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F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F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7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51B39F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FD9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四、平安法治（1项）</w:t>
            </w:r>
          </w:p>
        </w:tc>
      </w:tr>
      <w:tr w14:paraId="7EF6E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6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5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1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0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0B4DA3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F24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BBE4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C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14:paraId="4EA2F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A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5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386BE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2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8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B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590F0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C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1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09DFC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6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E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44768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2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0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3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7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581B4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D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D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B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14:paraId="554A9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5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3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负责食用菌、葡萄、中药材等农业特色产业发展工作。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5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1.制定年度食用菌、中药材产业发展计划。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2.开展食用菌、葡萄、中药材技术培训与指导。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3.开展食用菌新品种、中药材新技术、新模式推广。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5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4.统计上报食用菌、葡萄、中药材产业基础数据。</w:t>
            </w:r>
          </w:p>
        </w:tc>
      </w:tr>
      <w:tr w14:paraId="21F7D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2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A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2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0C7DEF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B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3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0E3D0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2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F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A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7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6A5028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A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77B1C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C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7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5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5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18C62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E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D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D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2711C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8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683D3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7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4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4BDBF5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450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303E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3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8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9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9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2499D9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6AB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1282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5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0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712D7F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F7B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15A06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8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3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1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14:paraId="75268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D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5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8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3963C8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E43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14:paraId="087E3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A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9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14:paraId="0BC7C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A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8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9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3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53FDB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B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7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113CD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0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F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30962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7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A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F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0D53E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1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7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4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479D8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1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6F0FB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B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7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4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3C1BF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D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2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352DAD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D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9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5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0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07BCF8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99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14:paraId="641BA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8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9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7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24D56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8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3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3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653A6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4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5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4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F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6DFE2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D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790AE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0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9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5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F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w:t>
            </w:r>
            <w:r>
              <w:rPr>
                <w:rFonts w:hint="eastAsia" w:ascii="Times New Roman" w:hAnsi="方正公文仿宋" w:eastAsia="方正公文仿宋"/>
                <w:kern w:val="0"/>
                <w:szCs w:val="21"/>
                <w:lang w:eastAsia="zh-CN" w:bidi="ar"/>
              </w:rPr>
              <w:t>协助做好</w:t>
            </w:r>
            <w:r>
              <w:rPr>
                <w:rFonts w:hint="eastAsia" w:ascii="Times New Roman" w:hAnsi="方正公文仿宋" w:eastAsia="方正公文仿宋"/>
                <w:kern w:val="0"/>
                <w:szCs w:val="21"/>
                <w:lang w:bidi="ar"/>
              </w:rPr>
              <w:t>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36ECE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14:paraId="6395B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8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9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B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14:paraId="1CD14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7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9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8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14:paraId="18F4C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E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负责森林乱砍乱伐的宣传教育和监督管理，配合上级部门处理违法案件。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9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1.制定下达林木采伐年度限额计划。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2.指导镇（街道）监督检查采伐活动是否合规的方案实施。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3.指导镇（街道）组织林业法律法规宣传。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3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2.收集林权所有者意见。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3.现场监督采伐活动。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4.指导林农提供林木权属证明。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5.发现违法违规行为及时报告。</w:t>
            </w:r>
          </w:p>
        </w:tc>
      </w:tr>
      <w:tr w14:paraId="0AC9DB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23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24659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8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5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8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4CDFF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8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E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F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0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199CE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E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66941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6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4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4054D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F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0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C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2E1B3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6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E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1324C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A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B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7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66836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E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1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6CDF3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F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0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E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18B0C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5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负责牛浪湖及周边水域生态环境治理工作，开展生态环境巡查，发现问题及时上报监管部门。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县农业农村局（县畜牧水厂事务中心）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县生态环境分局：负责对水生态环境污染防治实施统一监督管理，对排污口建设单位进行审查。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县农业农村局（县畜牧水厂事务中心）：负责水产养殖许可的审批发放，对过量投饵、超量使用药物等违法违规行为进行查处。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县水利局：负责湖泊排污口设置的审核监管，对妨碍河道行洪的设施进行拆除执法。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11280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8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FFB1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C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6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6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553F8E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FD0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EA9C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C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9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7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1C985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D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1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2.指导居民自建房建设，牵头组织居民自建设房安全隐患排查整治。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69FF6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3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A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14:paraId="5580A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6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1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0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14:paraId="7DCE4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5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E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3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567F4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1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8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0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6CFB0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A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6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7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54D60C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C6E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50C65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2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5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3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179B5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F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D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2684E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C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5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E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24E76C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22D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0420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F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B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255BE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7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F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124E7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8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A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114F99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10B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45080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6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开展入湘动物检查站工作，参与检查站值班值守和现场检查处置。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0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1.建立健全动物防疫信息管理系统和溯源体系。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2.负责动物检疫申报点的运行与管理，向社会公布动物检疫申报点、检疫范围、检疫对象、检疫申报程序、申报途径和联系方式。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3.根据动物检疫工作需要，可以向乡镇或者特定区域的动物检疫点派驻专业人员。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4.安排执法人员在所在地指定通道检查站执行动物防疫监督检查任务。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6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协助监管部门对入湘的运输动物车辆开展检查。</w:t>
            </w:r>
          </w:p>
        </w:tc>
      </w:tr>
      <w:tr w14:paraId="76E89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0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6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3848F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E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4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D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2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190D90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0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79587F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44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77B5D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E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9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3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169EF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9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8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0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F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14:paraId="046C7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2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C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0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14:paraId="332B9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0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3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14:paraId="5D59B7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D1B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12E801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5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7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63530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4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C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3607B1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F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5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08D0C5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84B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17EFD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C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A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5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E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07809D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45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十九、综合政务（3项）</w:t>
            </w:r>
          </w:p>
        </w:tc>
      </w:tr>
      <w:tr w14:paraId="29BD0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3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4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37B96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3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7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E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10C94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6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C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D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0AF75D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69F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53AA3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6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4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1FF22A6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F52EAA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CCA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65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E3A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32A0A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92B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8E1B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C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2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46C7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F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E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7582F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FE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2852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7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C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D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93A4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0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9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0A7949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30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0A1F4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F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0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5938A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4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3ECA1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C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8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4640D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58A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2F948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4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4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0FCC4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A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1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30B2D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2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3621D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B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14:paraId="507AB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A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4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A96A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E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40FB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2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6BE9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0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8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6850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E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6D8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C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0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6B07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A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B12C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A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C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1DCA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F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92959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3D2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44079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B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6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1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14:paraId="082F8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C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14:paraId="578B7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2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4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C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4E028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5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14:paraId="42DC5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D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A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146E4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6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0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05BC1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2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4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79EC4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E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B70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2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B189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128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05AD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5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E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14:paraId="6A3F3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6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14:paraId="44D22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65B8C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692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07FC9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D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1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41D3C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0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7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265280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C0E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14:paraId="22660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2CB3D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5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14:paraId="40EFA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0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204DA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E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2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6CD54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8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4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03278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2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C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0F89D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7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5A3A2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6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C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6B451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E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0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4750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4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0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D0E8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5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8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5EB4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7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4B2A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D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4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4643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4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B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D85A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E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8C54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7DD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16B4A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A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3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14:paraId="43901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7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工作方式：开展林木采伐许可证核发工作。</w:t>
            </w:r>
          </w:p>
        </w:tc>
      </w:tr>
      <w:tr w14:paraId="0BEE2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开展建设项目、居民建房等永久或临时使用林地、草地使用审批工作。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0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工作方式：开展建设项目、居民建房等永久或临时使用林地、草地使用审批工作。</w:t>
            </w:r>
          </w:p>
        </w:tc>
      </w:tr>
      <w:tr w14:paraId="67B77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7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工作方式：开展公益林管护。</w:t>
            </w:r>
          </w:p>
        </w:tc>
      </w:tr>
      <w:tr w14:paraId="4DFBE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4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工作方式：开展对森林资源的保护、修复、利用、更新等监督检查。</w:t>
            </w:r>
          </w:p>
        </w:tc>
      </w:tr>
      <w:tr w14:paraId="64174B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9BD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十、生态环保（14项）</w:t>
            </w:r>
          </w:p>
        </w:tc>
      </w:tr>
      <w:tr w14:paraId="35654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2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2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12FBB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C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5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14:paraId="27B10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0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14:paraId="07313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4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51BB9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8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w:t>
            </w:r>
            <w:bookmarkStart w:id="12" w:name="_GoBack"/>
            <w:bookmarkEnd w:id="12"/>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5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w:t>
            </w:r>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r>
      <w:tr w14:paraId="7AE0B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0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25E65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6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19D61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A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14:paraId="64566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2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2D52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0B2C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1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3A22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A798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A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3F21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E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AEF6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A6E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十一、城乡建设（14项）</w:t>
            </w:r>
          </w:p>
        </w:tc>
      </w:tr>
      <w:tr w14:paraId="294F9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2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7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62C22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2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D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14:paraId="42B6E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F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184AC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4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37AA0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0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E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6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3C19F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5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3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4BE77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3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E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14:paraId="2BBCF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A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3A3E7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B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41338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7FA7B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7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B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1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7FBBE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14:paraId="4C333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B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4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D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596B2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C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5E2E87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4D6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14:paraId="5828B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578AA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D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A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54569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B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D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0C88B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9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041FB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4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1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7C6C3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5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9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0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737A8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8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E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D550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7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A1C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A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E46F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4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0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61FE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3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4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D89A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5A7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404DB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8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8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0B3852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D34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十四、卫生健康（12项）</w:t>
            </w:r>
          </w:p>
        </w:tc>
      </w:tr>
      <w:tr w14:paraId="35E05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E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40E1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9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2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0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6B030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E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40AB0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E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E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072A1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9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68364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C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607BF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8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14:paraId="607A9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14:paraId="21D87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4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1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7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612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F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E81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2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9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8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4DE9B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0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AA87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C66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14:paraId="684F8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D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01CE3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2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9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承接部门：县住建局、县应急局、县市监局、县城管执法局、县消防救援大队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14:paraId="5DB49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3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C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14:paraId="4885D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4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5BCE9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B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54AA3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A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6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34E3B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5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F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14:paraId="72327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2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0B014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A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6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4D904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116D4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2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D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7552C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D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7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14:paraId="6ED4D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2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1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14:paraId="670A1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A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3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8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08116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0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3E01F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460ED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4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35477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32F21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C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工作方式：负责森林防火期内森林防火区野外用火审批。</w:t>
            </w:r>
          </w:p>
        </w:tc>
      </w:tr>
      <w:tr w14:paraId="7752B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1643B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287AD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9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C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66B88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243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58700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A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90D5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B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6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8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CAF8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ED4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0EEB8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8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E5FAB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E20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4942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1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5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3B1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E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2B0A5C85">
      <w:pPr>
        <w:pStyle w:val="3"/>
        <w:spacing w:before="0" w:after="0" w:line="240" w:lineRule="auto"/>
        <w:jc w:val="center"/>
        <w:rPr>
          <w:rFonts w:ascii="Times New Roman" w:hAnsi="Times New Roman" w:eastAsia="方正小标宋_GBK" w:cs="Times New Roman"/>
          <w:color w:val="auto"/>
          <w:spacing w:val="7"/>
          <w:lang w:eastAsia="zh-CN"/>
        </w:rPr>
      </w:pPr>
    </w:p>
    <w:p w14:paraId="123C18A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B85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8ED837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8ED837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036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84168F5"/>
    <w:rsid w:val="83D1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172</Words>
  <Characters>175</Characters>
  <Lines>1</Lines>
  <Paragraphs>1</Paragraphs>
  <TotalTime>0</TotalTime>
  <ScaleCrop>false</ScaleCrop>
  <LinksUpToDate>false</LinksUpToDate>
  <CharactersWithSpaces>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2025-07-15T01:16:44Z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D426AD39C30BD5096CD171689FCDAA2A</vt:lpwstr>
  </property>
  <property fmtid="{D5CDD505-2E9C-101B-9397-08002B2CF9AE}" pid="4" name="KSOTemplateDocerSaveRecord">
    <vt:lpwstr>eyJoZGlkIjoiZGUyZTRiMGM1Mzc5NmMyOWM4MDk5ODE4ZmU5OGM1YmUifQ==</vt:lpwstr>
  </property>
</Properties>
</file>