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ind w:firstLine="0" w:firstLineChars="0"/>
        <w:jc w:val="center"/>
        <w:rPr>
          <w:b/>
          <w:bCs/>
          <w:sz w:val="48"/>
          <w:szCs w:val="48"/>
        </w:rPr>
      </w:pPr>
    </w:p>
    <w:p>
      <w:pPr>
        <w:spacing w:line="720" w:lineRule="auto"/>
        <w:ind w:firstLine="0" w:firstLineChars="0"/>
        <w:jc w:val="center"/>
        <w:rPr>
          <w:b/>
          <w:bCs/>
          <w:sz w:val="48"/>
          <w:szCs w:val="48"/>
        </w:rPr>
      </w:pPr>
    </w:p>
    <w:p>
      <w:pPr>
        <w:spacing w:line="720" w:lineRule="auto"/>
        <w:ind w:firstLine="0" w:firstLineChars="0"/>
        <w:jc w:val="center"/>
        <w:rPr>
          <w:b/>
          <w:bCs/>
          <w:sz w:val="44"/>
          <w:szCs w:val="48"/>
        </w:rPr>
      </w:pPr>
      <w:r>
        <w:rPr>
          <w:rFonts w:hint="eastAsia"/>
          <w:b/>
          <w:bCs/>
          <w:sz w:val="44"/>
          <w:szCs w:val="48"/>
        </w:rPr>
        <w:t>澧县东部新区污水处理厂入澹水河排污口</w:t>
      </w:r>
    </w:p>
    <w:p>
      <w:pPr>
        <w:spacing w:line="720" w:lineRule="auto"/>
        <w:ind w:firstLine="0" w:firstLineChars="0"/>
        <w:jc w:val="center"/>
        <w:rPr>
          <w:b/>
          <w:bCs/>
          <w:sz w:val="44"/>
          <w:szCs w:val="48"/>
        </w:rPr>
      </w:pPr>
      <w:r>
        <w:rPr>
          <w:rFonts w:hint="eastAsia"/>
          <w:b/>
          <w:bCs/>
          <w:sz w:val="44"/>
          <w:szCs w:val="48"/>
        </w:rPr>
        <w:t>设置论证报告</w:t>
      </w: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643"/>
        <w:rPr>
          <w:b/>
          <w:bCs/>
          <w:sz w:val="32"/>
          <w:szCs w:val="32"/>
        </w:rPr>
      </w:pPr>
      <w:r>
        <w:rPr>
          <w:rFonts w:hint="eastAsia"/>
          <w:b/>
          <w:bCs/>
          <w:sz w:val="32"/>
          <w:szCs w:val="32"/>
        </w:rPr>
        <w:t>委托单位：澧县</w:t>
      </w:r>
      <w:r>
        <w:rPr>
          <w:b/>
          <w:bCs/>
          <w:sz w:val="32"/>
          <w:szCs w:val="32"/>
        </w:rPr>
        <w:t>澧</w:t>
      </w:r>
      <w:r>
        <w:rPr>
          <w:rFonts w:hint="eastAsia"/>
          <w:b/>
          <w:bCs/>
          <w:sz w:val="32"/>
          <w:szCs w:val="32"/>
        </w:rPr>
        <w:t>州</w:t>
      </w:r>
      <w:r>
        <w:rPr>
          <w:b/>
          <w:bCs/>
          <w:sz w:val="32"/>
          <w:szCs w:val="32"/>
        </w:rPr>
        <w:t>新城投资开发有限</w:t>
      </w:r>
      <w:r>
        <w:rPr>
          <w:rFonts w:hint="eastAsia"/>
          <w:b/>
          <w:bCs/>
          <w:sz w:val="32"/>
          <w:szCs w:val="32"/>
        </w:rPr>
        <w:t>公司</w:t>
      </w:r>
    </w:p>
    <w:p>
      <w:pPr>
        <w:ind w:firstLine="643"/>
        <w:rPr>
          <w:b/>
          <w:bCs/>
          <w:sz w:val="32"/>
          <w:szCs w:val="32"/>
        </w:rPr>
      </w:pPr>
      <w:r>
        <w:rPr>
          <w:rFonts w:hint="eastAsia"/>
          <w:b/>
          <w:bCs/>
          <w:sz w:val="32"/>
          <w:szCs w:val="32"/>
        </w:rPr>
        <w:t>编制单位：</w:t>
      </w:r>
      <w:r>
        <w:rPr>
          <w:b/>
          <w:bCs/>
          <w:sz w:val="32"/>
          <w:szCs w:val="32"/>
        </w:rPr>
        <w:t>湖南志远环境咨询服务有限</w:t>
      </w:r>
      <w:r>
        <w:rPr>
          <w:rFonts w:hint="eastAsia"/>
          <w:b/>
          <w:bCs/>
          <w:sz w:val="32"/>
          <w:szCs w:val="32"/>
        </w:rPr>
        <w:t>公司</w:t>
      </w:r>
    </w:p>
    <w:p>
      <w:pPr>
        <w:ind w:firstLine="643"/>
        <w:rPr>
          <w:b/>
          <w:bCs/>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18" w:right="1588" w:bottom="1418" w:left="1588" w:header="851" w:footer="992" w:gutter="0"/>
          <w:pgNumType w:fmt="upperRoman" w:start="1"/>
          <w:cols w:space="425" w:num="1"/>
          <w:docGrid w:type="lines" w:linePitch="326" w:charSpace="0"/>
        </w:sectPr>
      </w:pPr>
      <w:r>
        <w:rPr>
          <w:rFonts w:hint="eastAsia"/>
          <w:b/>
          <w:bCs/>
          <w:sz w:val="32"/>
          <w:szCs w:val="32"/>
        </w:rPr>
        <w:t>编制日期：二〇二四年五月</w:t>
      </w:r>
    </w:p>
    <w:p>
      <w:pPr>
        <w:ind w:firstLine="0" w:firstLineChars="0"/>
        <w:jc w:val="center"/>
        <w:rPr>
          <w:b/>
          <w:bCs/>
          <w:sz w:val="32"/>
          <w:szCs w:val="32"/>
        </w:rPr>
        <w:sectPr>
          <w:pgSz w:w="11906" w:h="16838"/>
          <w:pgMar w:top="1418" w:right="1588" w:bottom="1418" w:left="1588" w:header="851" w:footer="992" w:gutter="0"/>
          <w:pgNumType w:fmt="upperRoman" w:start="1"/>
          <w:cols w:space="425" w:num="1"/>
          <w:docGrid w:type="lines" w:linePitch="326" w:charSpace="0"/>
        </w:sectPr>
      </w:pPr>
    </w:p>
    <w:p>
      <w:pPr>
        <w:widowControl/>
        <w:ind w:firstLine="560"/>
        <w:rPr>
          <w:sz w:val="28"/>
          <w:szCs w:val="28"/>
        </w:rPr>
      </w:pPr>
      <w:r>
        <w:rPr>
          <w:sz w:val="28"/>
          <w:szCs w:val="28"/>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7524750" cy="10641965"/>
            <wp:effectExtent l="19050" t="0" r="0" b="0"/>
            <wp:wrapNone/>
            <wp:docPr id="1" name="图片 0" descr="修改清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修改清单.jpg"/>
                    <pic:cNvPicPr>
                      <a:picLocks noChangeAspect="1"/>
                    </pic:cNvPicPr>
                  </pic:nvPicPr>
                  <pic:blipFill>
                    <a:blip r:embed="rId15" cstate="print"/>
                    <a:stretch>
                      <a:fillRect/>
                    </a:stretch>
                  </pic:blipFill>
                  <pic:spPr>
                    <a:xfrm>
                      <a:off x="0" y="0"/>
                      <a:ext cx="7533645" cy="10654282"/>
                    </a:xfrm>
                    <a:prstGeom prst="rect">
                      <a:avLst/>
                    </a:prstGeom>
                  </pic:spPr>
                </pic:pic>
              </a:graphicData>
            </a:graphic>
          </wp:anchor>
        </w:drawing>
      </w:r>
    </w:p>
    <w:p>
      <w:pPr>
        <w:ind w:firstLine="0" w:firstLineChars="0"/>
        <w:rPr>
          <w:rFonts w:hAnsiTheme="minorEastAsia" w:eastAsiaTheme="minorEastAsia"/>
          <w:sz w:val="28"/>
          <w:szCs w:val="28"/>
        </w:rPr>
        <w:sectPr>
          <w:pgSz w:w="11906" w:h="16838"/>
          <w:pgMar w:top="1418" w:right="1588" w:bottom="1418" w:left="1588" w:header="851" w:footer="992" w:gutter="0"/>
          <w:pgNumType w:fmt="upperRoman" w:start="1"/>
          <w:cols w:space="425" w:num="1"/>
          <w:docGrid w:type="lines" w:linePitch="326" w:charSpace="0"/>
        </w:sectPr>
      </w:pPr>
    </w:p>
    <w:p>
      <w:pPr>
        <w:ind w:firstLine="0" w:firstLineChars="0"/>
        <w:rPr>
          <w:rFonts w:hAnsiTheme="minorEastAsia" w:eastAsiaTheme="minorEastAsia"/>
          <w:sz w:val="28"/>
          <w:szCs w:val="28"/>
        </w:rPr>
        <w:sectPr>
          <w:pgSz w:w="11906" w:h="16838"/>
          <w:pgMar w:top="1418" w:right="1588" w:bottom="1418" w:left="1588" w:header="851" w:footer="992" w:gutter="0"/>
          <w:pgNumType w:fmt="upperRoman" w:start="1"/>
          <w:cols w:space="425" w:num="1"/>
          <w:docGrid w:type="lines" w:linePitch="326" w:charSpace="0"/>
        </w:sectPr>
      </w:pPr>
    </w:p>
    <w:p>
      <w:pPr>
        <w:ind w:firstLine="0" w:firstLineChars="0"/>
        <w:rPr>
          <w:rFonts w:hAnsiTheme="minorEastAsia" w:eastAsiaTheme="minorEastAsia"/>
          <w:sz w:val="28"/>
          <w:szCs w:val="28"/>
        </w:rPr>
      </w:pPr>
      <w:r>
        <w:rPr>
          <w:rFonts w:hint="eastAsia" w:hAnsiTheme="minorEastAsia" w:eastAsiaTheme="minorEastAsia"/>
          <w:sz w:val="28"/>
          <w:szCs w:val="28"/>
        </w:rPr>
        <w:t>项目名称：澧县东部新区污水处理厂入澹水河排污口设置论证报告</w:t>
      </w:r>
    </w:p>
    <w:p>
      <w:pPr>
        <w:ind w:firstLine="0" w:firstLineChars="0"/>
        <w:rPr>
          <w:sz w:val="28"/>
          <w:szCs w:val="28"/>
        </w:rPr>
      </w:pPr>
      <w:r>
        <w:rPr>
          <w:rFonts w:hint="eastAsia"/>
          <w:sz w:val="28"/>
          <w:szCs w:val="28"/>
        </w:rPr>
        <w:t>建设单位：</w:t>
      </w:r>
      <w:r>
        <w:rPr>
          <w:rFonts w:hint="eastAsia" w:hAnsiTheme="minorEastAsia" w:eastAsiaTheme="minorEastAsia"/>
          <w:sz w:val="28"/>
          <w:szCs w:val="28"/>
        </w:rPr>
        <w:t>澧县</w:t>
      </w:r>
      <w:r>
        <w:rPr>
          <w:rFonts w:hAnsiTheme="minorEastAsia" w:eastAsiaTheme="minorEastAsia"/>
          <w:sz w:val="28"/>
          <w:szCs w:val="28"/>
        </w:rPr>
        <w:t>澧</w:t>
      </w:r>
      <w:r>
        <w:rPr>
          <w:rFonts w:hint="eastAsia" w:hAnsiTheme="minorEastAsia" w:eastAsiaTheme="minorEastAsia"/>
          <w:sz w:val="28"/>
          <w:szCs w:val="28"/>
        </w:rPr>
        <w:t>州</w:t>
      </w:r>
      <w:r>
        <w:rPr>
          <w:rFonts w:hAnsiTheme="minorEastAsia" w:eastAsiaTheme="minorEastAsia"/>
          <w:sz w:val="28"/>
          <w:szCs w:val="28"/>
        </w:rPr>
        <w:t>新城投资开发有限公司</w:t>
      </w:r>
    </w:p>
    <w:p>
      <w:pPr>
        <w:ind w:firstLine="0" w:firstLineChars="0"/>
        <w:rPr>
          <w:rFonts w:hAnsiTheme="minorEastAsia" w:eastAsiaTheme="minorEastAsia"/>
          <w:sz w:val="28"/>
          <w:szCs w:val="28"/>
        </w:rPr>
      </w:pPr>
      <w:r>
        <w:rPr>
          <w:rFonts w:hint="eastAsia"/>
          <w:sz w:val="28"/>
          <w:szCs w:val="28"/>
        </w:rPr>
        <w:t>法人</w:t>
      </w:r>
      <w:r>
        <w:rPr>
          <w:rFonts w:hint="eastAsia" w:hAnsiTheme="minorEastAsia" w:eastAsiaTheme="minorEastAsia"/>
          <w:sz w:val="28"/>
          <w:szCs w:val="28"/>
        </w:rPr>
        <w:t>代表：</w:t>
      </w:r>
      <w:r>
        <w:fldChar w:fldCharType="begin"/>
      </w:r>
      <w:r>
        <w:instrText xml:space="preserve"> HYPERLINK "https://shuidi.cn/owner_resume?base=bmFtZT3lhq%2FplK4mZGlnZXN0PTU3MWFlMjVhOWJjY2M3ODI4OTc5Mzk5YmFjYTJlMDZkJnBvc2l0aW9uPeazleS6ug%3D%3D&amp;clickLogParamsPosition=%E6%80%BB%E8%A7%88%E5%8C%BA-%E4%B8%8B%E8%BD%BD%E7%AE%80%E5%8E%86" \o "冯键" </w:instrText>
      </w:r>
      <w:r>
        <w:fldChar w:fldCharType="separate"/>
      </w:r>
      <w:r>
        <w:rPr>
          <w:rFonts w:hAnsiTheme="minorEastAsia" w:eastAsiaTheme="minorEastAsia"/>
          <w:sz w:val="28"/>
          <w:szCs w:val="28"/>
        </w:rPr>
        <w:t>冯</w:t>
      </w:r>
      <w:r>
        <w:rPr>
          <w:rFonts w:hint="eastAsia" w:hAnsiTheme="minorEastAsia" w:eastAsiaTheme="minorEastAsia"/>
          <w:sz w:val="28"/>
          <w:szCs w:val="28"/>
        </w:rPr>
        <w:t xml:space="preserve">  </w:t>
      </w:r>
      <w:r>
        <w:rPr>
          <w:rFonts w:hAnsiTheme="minorEastAsia" w:eastAsiaTheme="minorEastAsia"/>
          <w:sz w:val="28"/>
          <w:szCs w:val="28"/>
        </w:rPr>
        <w:t>键</w:t>
      </w:r>
      <w:r>
        <w:rPr>
          <w:rFonts w:hAnsiTheme="minorEastAsia" w:eastAsiaTheme="minorEastAsia"/>
          <w:sz w:val="28"/>
          <w:szCs w:val="28"/>
        </w:rPr>
        <w:fldChar w:fldCharType="end"/>
      </w:r>
    </w:p>
    <w:p>
      <w:pPr>
        <w:ind w:firstLine="0" w:firstLineChars="0"/>
        <w:rPr>
          <w:rFonts w:hAnsiTheme="minorEastAsia" w:eastAsiaTheme="minorEastAsia"/>
          <w:sz w:val="28"/>
          <w:szCs w:val="28"/>
        </w:rPr>
      </w:pPr>
      <w:r>
        <w:rPr>
          <w:rFonts w:hint="eastAsia" w:hAnsiTheme="minorEastAsia" w:eastAsiaTheme="minorEastAsia"/>
          <w:sz w:val="28"/>
          <w:szCs w:val="28"/>
        </w:rPr>
        <w:t>联 系 人：杨星星</w:t>
      </w:r>
    </w:p>
    <w:p>
      <w:pPr>
        <w:ind w:firstLine="0" w:firstLineChars="0"/>
        <w:rPr>
          <w:rFonts w:hAnsiTheme="minorEastAsia" w:eastAsiaTheme="minorEastAsia"/>
          <w:sz w:val="28"/>
          <w:szCs w:val="28"/>
        </w:rPr>
      </w:pPr>
      <w:r>
        <w:rPr>
          <w:rFonts w:hint="eastAsia" w:hAnsiTheme="minorEastAsia" w:eastAsiaTheme="minorEastAsia"/>
          <w:sz w:val="28"/>
          <w:szCs w:val="28"/>
        </w:rPr>
        <w:t>联系电话：</w:t>
      </w:r>
      <w:r>
        <w:rPr>
          <w:rFonts w:hAnsiTheme="minorEastAsia" w:eastAsiaTheme="minorEastAsia"/>
          <w:sz w:val="28"/>
          <w:szCs w:val="28"/>
        </w:rPr>
        <w:t>18908413662</w:t>
      </w:r>
    </w:p>
    <w:p>
      <w:pPr>
        <w:ind w:firstLine="0" w:firstLineChars="0"/>
        <w:rPr>
          <w:sz w:val="28"/>
          <w:szCs w:val="28"/>
        </w:rPr>
      </w:pPr>
    </w:p>
    <w:p>
      <w:pPr>
        <w:ind w:firstLine="0" w:firstLineChars="0"/>
        <w:rPr>
          <w:sz w:val="28"/>
          <w:szCs w:val="28"/>
        </w:rPr>
      </w:pPr>
    </w:p>
    <w:p>
      <w:pPr>
        <w:ind w:firstLine="0" w:firstLineChars="0"/>
        <w:rPr>
          <w:sz w:val="28"/>
          <w:szCs w:val="28"/>
        </w:rPr>
      </w:pPr>
    </w:p>
    <w:p>
      <w:pPr>
        <w:ind w:firstLine="0" w:firstLineChars="0"/>
        <w:rPr>
          <w:sz w:val="28"/>
          <w:szCs w:val="28"/>
        </w:rPr>
      </w:pPr>
    </w:p>
    <w:p>
      <w:pPr>
        <w:ind w:firstLine="0" w:firstLineChars="0"/>
        <w:rPr>
          <w:sz w:val="28"/>
          <w:szCs w:val="28"/>
        </w:rPr>
      </w:pPr>
    </w:p>
    <w:p>
      <w:pPr>
        <w:ind w:firstLine="0" w:firstLineChars="0"/>
        <w:rPr>
          <w:sz w:val="28"/>
          <w:szCs w:val="28"/>
        </w:rPr>
      </w:pPr>
      <w:r>
        <w:rPr>
          <w:rFonts w:hint="eastAsia"/>
          <w:sz w:val="28"/>
          <w:szCs w:val="28"/>
        </w:rPr>
        <w:t>技术单位：湖南志远环境咨询服务有限公司</w:t>
      </w:r>
    </w:p>
    <w:p>
      <w:pPr>
        <w:ind w:firstLine="0" w:firstLineChars="0"/>
        <w:rPr>
          <w:sz w:val="28"/>
          <w:szCs w:val="28"/>
        </w:rPr>
      </w:pPr>
      <w:r>
        <w:rPr>
          <w:rFonts w:hint="eastAsia"/>
          <w:sz w:val="28"/>
          <w:szCs w:val="28"/>
        </w:rPr>
        <w:t>法人代表：范玲玲</w:t>
      </w:r>
    </w:p>
    <w:p>
      <w:pPr>
        <w:ind w:firstLine="0" w:firstLineChars="0"/>
        <w:rPr>
          <w:sz w:val="28"/>
          <w:szCs w:val="28"/>
        </w:rPr>
      </w:pPr>
      <w:r>
        <w:rPr>
          <w:rFonts w:hint="eastAsia"/>
          <w:sz w:val="28"/>
          <w:szCs w:val="28"/>
        </w:rPr>
        <w:t>联 系 人：沈小翔</w:t>
      </w:r>
    </w:p>
    <w:p>
      <w:pPr>
        <w:ind w:firstLine="0" w:firstLineChars="0"/>
        <w:rPr>
          <w:sz w:val="28"/>
          <w:szCs w:val="28"/>
        </w:rPr>
      </w:pPr>
      <w:r>
        <w:rPr>
          <w:rFonts w:hint="eastAsia"/>
          <w:sz w:val="28"/>
          <w:szCs w:val="28"/>
        </w:rPr>
        <w:t>联系电话：13467368242</w:t>
      </w:r>
    </w:p>
    <w:p>
      <w:pPr>
        <w:ind w:firstLine="0" w:firstLineChars="0"/>
        <w:rPr>
          <w:b/>
          <w:bCs/>
          <w:sz w:val="32"/>
          <w:szCs w:val="32"/>
        </w:rPr>
        <w:sectPr>
          <w:pgSz w:w="11906" w:h="16838"/>
          <w:pgMar w:top="1418" w:right="1588" w:bottom="1418" w:left="1588" w:header="851" w:footer="992" w:gutter="0"/>
          <w:pgNumType w:fmt="upperRoman" w:start="1"/>
          <w:cols w:space="425" w:num="1"/>
          <w:docGrid w:type="lines" w:linePitch="326" w:charSpace="0"/>
        </w:sectPr>
      </w:pPr>
    </w:p>
    <w:p>
      <w:pPr>
        <w:ind w:firstLine="0" w:firstLineChars="0"/>
        <w:jc w:val="center"/>
        <w:rPr>
          <w:b/>
          <w:bCs/>
          <w:sz w:val="32"/>
          <w:szCs w:val="32"/>
        </w:rPr>
        <w:sectPr>
          <w:pgSz w:w="11906" w:h="16838"/>
          <w:pgMar w:top="1418" w:right="1588" w:bottom="1418" w:left="1588" w:header="851" w:footer="992" w:gutter="0"/>
          <w:pgNumType w:fmt="upperRoman" w:start="1"/>
          <w:cols w:space="425" w:num="1"/>
          <w:docGrid w:type="lines" w:linePitch="326" w:charSpace="0"/>
        </w:sectPr>
      </w:pPr>
    </w:p>
    <w:p>
      <w:pPr>
        <w:ind w:firstLine="0" w:firstLineChars="0"/>
        <w:jc w:val="center"/>
        <w:rPr>
          <w:b/>
          <w:bCs/>
          <w:sz w:val="32"/>
          <w:szCs w:val="32"/>
        </w:rPr>
      </w:pPr>
      <w:r>
        <w:rPr>
          <w:rFonts w:hint="eastAsia"/>
          <w:b/>
          <w:bCs/>
          <w:sz w:val="32"/>
          <w:szCs w:val="32"/>
        </w:rPr>
        <w:t>目录</w:t>
      </w:r>
    </w:p>
    <w:p>
      <w:pPr>
        <w:pStyle w:val="28"/>
        <w:tabs>
          <w:tab w:val="right" w:leader="dot" w:pos="8720"/>
        </w:tabs>
        <w:ind w:firstLine="480"/>
        <w:rPr>
          <w:rFonts w:asciiTheme="minorHAnsi" w:hAnsiTheme="minorHAnsi" w:eastAsiaTheme="minorEastAsia" w:cstheme="minorBidi"/>
          <w:sz w:val="21"/>
        </w:rPr>
      </w:pPr>
      <w:r>
        <w:fldChar w:fldCharType="begin"/>
      </w:r>
      <w:r>
        <w:rPr>
          <w:rFonts w:hint="eastAsia"/>
        </w:rPr>
        <w:instrText xml:space="preserve">TOC \o "1-2" \h \z \u</w:instrText>
      </w:r>
      <w:r>
        <w:fldChar w:fldCharType="separate"/>
      </w:r>
      <w:r>
        <w:fldChar w:fldCharType="begin"/>
      </w:r>
      <w:r>
        <w:instrText xml:space="preserve"> HYPERLINK \l "_Toc166145920" </w:instrText>
      </w:r>
      <w:r>
        <w:fldChar w:fldCharType="separate"/>
      </w:r>
      <w:r>
        <w:rPr>
          <w:rStyle w:val="49"/>
        </w:rPr>
        <w:t xml:space="preserve">1. </w:t>
      </w:r>
      <w:r>
        <w:rPr>
          <w:rStyle w:val="49"/>
          <w:rFonts w:hint="eastAsia"/>
        </w:rPr>
        <w:t>总则</w:t>
      </w:r>
      <w:r>
        <w:tab/>
      </w:r>
      <w:r>
        <w:fldChar w:fldCharType="begin"/>
      </w:r>
      <w:r>
        <w:instrText xml:space="preserve"> PAGEREF _Toc166145920 \h </w:instrText>
      </w:r>
      <w:r>
        <w:fldChar w:fldCharType="separate"/>
      </w:r>
      <w:r>
        <w:t>- 1 -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"_Toc166145921" </w:instrText>
      </w:r>
      <w:r>
        <w:fldChar w:fldCharType="separate"/>
      </w:r>
      <w:r>
        <w:rPr>
          <w:rStyle w:val="49"/>
        </w:rPr>
        <w:t>1.1</w:t>
      </w:r>
      <w:r>
        <w:rPr>
          <w:rStyle w:val="49"/>
          <w:rFonts w:hint="eastAsia"/>
        </w:rPr>
        <w:t>项目由来</w:t>
      </w:r>
      <w:r>
        <w:tab/>
      </w:r>
      <w:r>
        <w:fldChar w:fldCharType="begin"/>
      </w:r>
      <w:r>
        <w:instrText xml:space="preserve"> PAGEREF _Toc166145921 \h </w:instrText>
      </w:r>
      <w:r>
        <w:fldChar w:fldCharType="separate"/>
      </w:r>
      <w:r>
        <w:t>- 1 -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"_Toc166145922" </w:instrText>
      </w:r>
      <w:r>
        <w:fldChar w:fldCharType="separate"/>
      </w:r>
      <w:r>
        <w:rPr>
          <w:rStyle w:val="49"/>
        </w:rPr>
        <w:t xml:space="preserve">1.2 </w:t>
      </w:r>
      <w:r>
        <w:rPr>
          <w:rStyle w:val="49"/>
          <w:rFonts w:hint="eastAsia"/>
        </w:rPr>
        <w:t>论证目的</w:t>
      </w:r>
      <w:r>
        <w:tab/>
      </w:r>
      <w:r>
        <w:fldChar w:fldCharType="begin"/>
      </w:r>
      <w:r>
        <w:instrText xml:space="preserve"> PAGEREF _Toc166145922 \h </w:instrText>
      </w:r>
      <w:r>
        <w:fldChar w:fldCharType="separate"/>
      </w:r>
      <w:r>
        <w:t>- 2 -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"_Toc166145923" </w:instrText>
      </w:r>
      <w:r>
        <w:fldChar w:fldCharType="separate"/>
      </w:r>
      <w:r>
        <w:rPr>
          <w:rStyle w:val="49"/>
        </w:rPr>
        <w:t xml:space="preserve">1.3 </w:t>
      </w:r>
      <w:r>
        <w:rPr>
          <w:rStyle w:val="49"/>
          <w:rFonts w:hint="eastAsia"/>
        </w:rPr>
        <w:t>论证原则及依据</w:t>
      </w:r>
      <w:r>
        <w:tab/>
      </w:r>
      <w:r>
        <w:fldChar w:fldCharType="begin"/>
      </w:r>
      <w:r>
        <w:instrText xml:space="preserve"> PAGEREF _Toc166145923 \h </w:instrText>
      </w:r>
      <w:r>
        <w:fldChar w:fldCharType="separate"/>
      </w:r>
      <w:r>
        <w:t>- 2 -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"_Toc166145924" </w:instrText>
      </w:r>
      <w:r>
        <w:fldChar w:fldCharType="separate"/>
      </w:r>
      <w:r>
        <w:rPr>
          <w:rStyle w:val="49"/>
        </w:rPr>
        <w:t xml:space="preserve">1.4 </w:t>
      </w:r>
      <w:r>
        <w:rPr>
          <w:rStyle w:val="49"/>
          <w:rFonts w:hint="eastAsia"/>
        </w:rPr>
        <w:t>论证依据</w:t>
      </w:r>
      <w:r>
        <w:tab/>
      </w:r>
      <w:r>
        <w:fldChar w:fldCharType="begin"/>
      </w:r>
      <w:r>
        <w:instrText xml:space="preserve"> PAGEREF _Toc166145924 \h </w:instrText>
      </w:r>
      <w:r>
        <w:fldChar w:fldCharType="separate"/>
      </w:r>
      <w:r>
        <w:t>- 3 -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"_Toc166145925" </w:instrText>
      </w:r>
      <w:r>
        <w:fldChar w:fldCharType="separate"/>
      </w:r>
      <w:r>
        <w:rPr>
          <w:rStyle w:val="49"/>
        </w:rPr>
        <w:t xml:space="preserve">1.5 </w:t>
      </w:r>
      <w:r>
        <w:rPr>
          <w:rStyle w:val="49"/>
          <w:rFonts w:hint="eastAsia"/>
        </w:rPr>
        <w:t>论证范围</w:t>
      </w:r>
      <w:r>
        <w:tab/>
      </w:r>
      <w:r>
        <w:fldChar w:fldCharType="begin"/>
      </w:r>
      <w:r>
        <w:instrText xml:space="preserve"> PAGEREF _Toc166145925 \h </w:instrText>
      </w:r>
      <w:r>
        <w:fldChar w:fldCharType="separate"/>
      </w:r>
      <w:r>
        <w:t>- 5 -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"_Toc166145926" </w:instrText>
      </w:r>
      <w:r>
        <w:fldChar w:fldCharType="separate"/>
      </w:r>
      <w:r>
        <w:rPr>
          <w:rStyle w:val="49"/>
        </w:rPr>
        <w:t xml:space="preserve">1.6 </w:t>
      </w:r>
      <w:r>
        <w:rPr>
          <w:rStyle w:val="49"/>
          <w:rFonts w:hint="eastAsia"/>
        </w:rPr>
        <w:t>论证工作程序</w:t>
      </w:r>
      <w:r>
        <w:tab/>
      </w:r>
      <w:r>
        <w:fldChar w:fldCharType="begin"/>
      </w:r>
      <w:r>
        <w:instrText xml:space="preserve"> PAGEREF _Toc166145926 \h </w:instrText>
      </w:r>
      <w:r>
        <w:fldChar w:fldCharType="separate"/>
      </w:r>
      <w:r>
        <w:t>- 6 -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"_Toc166145927" </w:instrText>
      </w:r>
      <w:r>
        <w:fldChar w:fldCharType="separate"/>
      </w:r>
      <w:r>
        <w:rPr>
          <w:rStyle w:val="49"/>
        </w:rPr>
        <w:t xml:space="preserve">1.7 </w:t>
      </w:r>
      <w:r>
        <w:rPr>
          <w:rStyle w:val="49"/>
          <w:rFonts w:hint="eastAsia"/>
        </w:rPr>
        <w:t>论证的主要内容</w:t>
      </w:r>
      <w:r>
        <w:tab/>
      </w:r>
      <w:r>
        <w:fldChar w:fldCharType="begin"/>
      </w:r>
      <w:r>
        <w:instrText xml:space="preserve"> PAGEREF _Toc166145927 \h </w:instrText>
      </w:r>
      <w:r>
        <w:fldChar w:fldCharType="separate"/>
      </w:r>
      <w:r>
        <w:t>- 7 -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"_Toc166145928" </w:instrText>
      </w:r>
      <w:r>
        <w:fldChar w:fldCharType="separate"/>
      </w:r>
      <w:r>
        <w:rPr>
          <w:rStyle w:val="49"/>
        </w:rPr>
        <w:t xml:space="preserve">1.8 </w:t>
      </w:r>
      <w:r>
        <w:rPr>
          <w:rStyle w:val="49"/>
          <w:rFonts w:hint="eastAsia"/>
        </w:rPr>
        <w:t>论证水平年的确定</w:t>
      </w:r>
      <w:r>
        <w:tab/>
      </w:r>
      <w:r>
        <w:fldChar w:fldCharType="begin"/>
      </w:r>
      <w:r>
        <w:instrText xml:space="preserve"> PAGEREF _Toc166145928 \h </w:instrText>
      </w:r>
      <w:r>
        <w:fldChar w:fldCharType="separate"/>
      </w:r>
      <w:r>
        <w:t>- 8 -</w:t>
      </w:r>
      <w:r>
        <w:fldChar w:fldCharType="end"/>
      </w:r>
      <w:r>
        <w:fldChar w:fldCharType="end"/>
      </w:r>
    </w:p>
    <w:p>
      <w:pPr>
        <w:pStyle w:val="28"/>
        <w:tabs>
          <w:tab w:val="right" w:leader="dot" w:pos="8720"/>
        </w:tabs>
        <w:ind w:firstLine="480"/>
        <w:rPr>
          <w:rFonts w:asciiTheme="minorHAnsi" w:hAnsiTheme="minorHAnsi" w:eastAsiaTheme="minorEastAsia" w:cstheme="minorBidi"/>
          <w:sz w:val="21"/>
        </w:rPr>
      </w:pPr>
      <w:r>
        <w:fldChar w:fldCharType="begin"/>
      </w:r>
      <w:r>
        <w:instrText xml:space="preserve"> HYPERLINK \l "_Toc166145929" </w:instrText>
      </w:r>
      <w:r>
        <w:fldChar w:fldCharType="separate"/>
      </w:r>
      <w:r>
        <w:rPr>
          <w:rStyle w:val="49"/>
        </w:rPr>
        <w:t xml:space="preserve">2. </w:t>
      </w:r>
      <w:r>
        <w:rPr>
          <w:rStyle w:val="49"/>
          <w:rFonts w:hint="eastAsia"/>
        </w:rPr>
        <w:t>建设项目基本情况</w:t>
      </w:r>
      <w:r>
        <w:tab/>
      </w:r>
      <w:r>
        <w:fldChar w:fldCharType="begin"/>
      </w:r>
      <w:r>
        <w:instrText xml:space="preserve"> PAGEREF _Toc166145929 \h </w:instrText>
      </w:r>
      <w:r>
        <w:fldChar w:fldCharType="separate"/>
      </w:r>
      <w:r>
        <w:t>- 9 -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"_Toc166145930" </w:instrText>
      </w:r>
      <w:r>
        <w:fldChar w:fldCharType="separate"/>
      </w:r>
      <w:r>
        <w:rPr>
          <w:rStyle w:val="49"/>
        </w:rPr>
        <w:t xml:space="preserve">2.1 </w:t>
      </w:r>
      <w:r>
        <w:rPr>
          <w:rStyle w:val="49"/>
          <w:rFonts w:hint="eastAsia"/>
        </w:rPr>
        <w:t>项目概况</w:t>
      </w:r>
      <w:r>
        <w:tab/>
      </w:r>
      <w:r>
        <w:fldChar w:fldCharType="begin"/>
      </w:r>
      <w:r>
        <w:instrText xml:space="preserve"> PAGEREF _Toc166145930 \h </w:instrText>
      </w:r>
      <w:r>
        <w:fldChar w:fldCharType="separate"/>
      </w:r>
      <w:r>
        <w:t>- 9 -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"_Toc166145931" </w:instrText>
      </w:r>
      <w:r>
        <w:fldChar w:fldCharType="separate"/>
      </w:r>
      <w:r>
        <w:rPr>
          <w:rStyle w:val="49"/>
        </w:rPr>
        <w:t xml:space="preserve">2.2 </w:t>
      </w:r>
      <w:r>
        <w:rPr>
          <w:rStyle w:val="49"/>
          <w:rFonts w:hint="eastAsia"/>
        </w:rPr>
        <w:t>工艺方案</w:t>
      </w:r>
      <w:r>
        <w:tab/>
      </w:r>
      <w:r>
        <w:fldChar w:fldCharType="begin"/>
      </w:r>
      <w:r>
        <w:instrText xml:space="preserve"> PAGEREF _Toc166145931 \h </w:instrText>
      </w:r>
      <w:r>
        <w:fldChar w:fldCharType="separate"/>
      </w:r>
      <w:r>
        <w:t>- 10 -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"_Toc166145932" </w:instrText>
      </w:r>
      <w:r>
        <w:fldChar w:fldCharType="separate"/>
      </w:r>
      <w:r>
        <w:rPr>
          <w:rStyle w:val="49"/>
        </w:rPr>
        <w:t xml:space="preserve">2.3 </w:t>
      </w:r>
      <w:r>
        <w:rPr>
          <w:rStyle w:val="49"/>
          <w:rFonts w:hint="eastAsia"/>
        </w:rPr>
        <w:t>项目所在区域概况</w:t>
      </w:r>
      <w:r>
        <w:tab/>
      </w:r>
      <w:r>
        <w:fldChar w:fldCharType="begin"/>
      </w:r>
      <w:r>
        <w:instrText xml:space="preserve"> PAGEREF _Toc166145932 \h </w:instrText>
      </w:r>
      <w:r>
        <w:fldChar w:fldCharType="separate"/>
      </w:r>
      <w:r>
        <w:t>- 17 -</w:t>
      </w:r>
      <w:r>
        <w:fldChar w:fldCharType="end"/>
      </w:r>
      <w:r>
        <w:fldChar w:fldCharType="end"/>
      </w:r>
    </w:p>
    <w:p>
      <w:pPr>
        <w:pStyle w:val="28"/>
        <w:tabs>
          <w:tab w:val="right" w:leader="dot" w:pos="8720"/>
        </w:tabs>
        <w:ind w:firstLine="480"/>
        <w:rPr>
          <w:rFonts w:asciiTheme="minorHAnsi" w:hAnsiTheme="minorHAnsi" w:eastAsiaTheme="minorEastAsia" w:cstheme="minorBidi"/>
          <w:sz w:val="21"/>
        </w:rPr>
      </w:pPr>
      <w:r>
        <w:fldChar w:fldCharType="begin"/>
      </w:r>
      <w:r>
        <w:instrText xml:space="preserve"> HYPERLINK \l "_Toc166145933" </w:instrText>
      </w:r>
      <w:r>
        <w:fldChar w:fldCharType="separate"/>
      </w:r>
      <w:r>
        <w:rPr>
          <w:rStyle w:val="49"/>
        </w:rPr>
        <w:t xml:space="preserve">3. </w:t>
      </w:r>
      <w:r>
        <w:rPr>
          <w:rStyle w:val="49"/>
          <w:rFonts w:hint="eastAsia"/>
        </w:rPr>
        <w:t>水功能区管理要求和现有取排水情况</w:t>
      </w:r>
      <w:r>
        <w:tab/>
      </w:r>
      <w:r>
        <w:fldChar w:fldCharType="begin"/>
      </w:r>
      <w:r>
        <w:instrText xml:space="preserve"> PAGEREF _Toc166145933 \h </w:instrText>
      </w:r>
      <w:r>
        <w:fldChar w:fldCharType="separate"/>
      </w:r>
      <w:r>
        <w:t>- 25 -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"_Toc166145934" </w:instrText>
      </w:r>
      <w:r>
        <w:fldChar w:fldCharType="separate"/>
      </w:r>
      <w:r>
        <w:rPr>
          <w:rStyle w:val="49"/>
        </w:rPr>
        <w:t xml:space="preserve">3.1 </w:t>
      </w:r>
      <w:r>
        <w:rPr>
          <w:rStyle w:val="49"/>
          <w:rFonts w:hint="eastAsia"/>
        </w:rPr>
        <w:t>澧县水功能区划</w:t>
      </w:r>
      <w:r>
        <w:tab/>
      </w:r>
      <w:r>
        <w:fldChar w:fldCharType="begin"/>
      </w:r>
      <w:r>
        <w:instrText xml:space="preserve"> PAGEREF _Toc166145934 \h </w:instrText>
      </w:r>
      <w:r>
        <w:fldChar w:fldCharType="separate"/>
      </w:r>
      <w:r>
        <w:t>- 25 -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"_Toc166145935" </w:instrText>
      </w:r>
      <w:r>
        <w:fldChar w:fldCharType="separate"/>
      </w:r>
      <w:r>
        <w:rPr>
          <w:rStyle w:val="49"/>
        </w:rPr>
        <w:t xml:space="preserve">3.2 </w:t>
      </w:r>
      <w:r>
        <w:rPr>
          <w:rStyle w:val="49"/>
          <w:rFonts w:hint="eastAsia"/>
        </w:rPr>
        <w:t>水功能区保护水质管理目标与要求</w:t>
      </w:r>
      <w:r>
        <w:tab/>
      </w:r>
      <w:r>
        <w:fldChar w:fldCharType="begin"/>
      </w:r>
      <w:r>
        <w:instrText xml:space="preserve"> PAGEREF _Toc166145935 \h </w:instrText>
      </w:r>
      <w:r>
        <w:fldChar w:fldCharType="separate"/>
      </w:r>
      <w:r>
        <w:t>- 26 -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"_Toc166145936" </w:instrText>
      </w:r>
      <w:r>
        <w:fldChar w:fldCharType="separate"/>
      </w:r>
      <w:r>
        <w:rPr>
          <w:rStyle w:val="49"/>
        </w:rPr>
        <w:t xml:space="preserve">3.3 </w:t>
      </w:r>
      <w:r>
        <w:rPr>
          <w:rStyle w:val="49"/>
          <w:rFonts w:hint="eastAsia"/>
        </w:rPr>
        <w:t>水功能区纳污能力及限制排放总量</w:t>
      </w:r>
      <w:r>
        <w:tab/>
      </w:r>
      <w:r>
        <w:fldChar w:fldCharType="begin"/>
      </w:r>
      <w:r>
        <w:instrText xml:space="preserve"> PAGEREF _Toc166145936 \h </w:instrText>
      </w:r>
      <w:r>
        <w:fldChar w:fldCharType="separate"/>
      </w:r>
      <w:r>
        <w:t>- 27 -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"_Toc166145937" </w:instrText>
      </w:r>
      <w:r>
        <w:fldChar w:fldCharType="separate"/>
      </w:r>
      <w:r>
        <w:rPr>
          <w:rStyle w:val="49"/>
        </w:rPr>
        <w:t xml:space="preserve">3.4 </w:t>
      </w:r>
      <w:r>
        <w:rPr>
          <w:rStyle w:val="49"/>
          <w:rFonts w:hint="eastAsia"/>
        </w:rPr>
        <w:t>论证水功能区现有取排水状况</w:t>
      </w:r>
      <w:r>
        <w:tab/>
      </w:r>
      <w:r>
        <w:fldChar w:fldCharType="begin"/>
      </w:r>
      <w:r>
        <w:instrText xml:space="preserve"> PAGEREF _Toc166145937 \h </w:instrText>
      </w:r>
      <w:r>
        <w:fldChar w:fldCharType="separate"/>
      </w:r>
      <w:r>
        <w:t>- 28 -</w:t>
      </w:r>
      <w:r>
        <w:fldChar w:fldCharType="end"/>
      </w:r>
      <w:r>
        <w:fldChar w:fldCharType="end"/>
      </w:r>
    </w:p>
    <w:p>
      <w:pPr>
        <w:pStyle w:val="28"/>
        <w:tabs>
          <w:tab w:val="right" w:leader="dot" w:pos="8720"/>
        </w:tabs>
        <w:ind w:firstLine="480"/>
        <w:rPr>
          <w:rFonts w:asciiTheme="minorHAnsi" w:hAnsiTheme="minorHAnsi" w:eastAsiaTheme="minorEastAsia" w:cstheme="minorBidi"/>
          <w:sz w:val="21"/>
        </w:rPr>
      </w:pPr>
      <w:r>
        <w:fldChar w:fldCharType="begin"/>
      </w:r>
      <w:r>
        <w:instrText xml:space="preserve"> HYPERLINK \l "_Toc166145938" </w:instrText>
      </w:r>
      <w:r>
        <w:fldChar w:fldCharType="separate"/>
      </w:r>
      <w:r>
        <w:rPr>
          <w:rStyle w:val="49"/>
        </w:rPr>
        <w:t>4</w:t>
      </w:r>
      <w:r>
        <w:rPr>
          <w:rStyle w:val="49"/>
          <w:rFonts w:hint="eastAsia"/>
        </w:rPr>
        <w:t>、入河排污口设置可行性分析论证及入河排污口设置方案</w:t>
      </w:r>
      <w:r>
        <w:tab/>
      </w:r>
      <w:r>
        <w:fldChar w:fldCharType="begin"/>
      </w:r>
      <w:r>
        <w:instrText xml:space="preserve"> PAGEREF _Toc166145938 \h </w:instrText>
      </w:r>
      <w:r>
        <w:fldChar w:fldCharType="separate"/>
      </w:r>
      <w:r>
        <w:t>- 29 -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"_Toc166145939" </w:instrText>
      </w:r>
      <w:r>
        <w:fldChar w:fldCharType="separate"/>
      </w:r>
      <w:r>
        <w:rPr>
          <w:rStyle w:val="49"/>
        </w:rPr>
        <w:t xml:space="preserve">4.1 </w:t>
      </w:r>
      <w:r>
        <w:rPr>
          <w:rStyle w:val="49"/>
          <w:rFonts w:hint="eastAsia"/>
        </w:rPr>
        <w:t>入河排污口设置方案</w:t>
      </w:r>
      <w:r>
        <w:tab/>
      </w:r>
      <w:r>
        <w:fldChar w:fldCharType="begin"/>
      </w:r>
      <w:r>
        <w:instrText xml:space="preserve"> PAGEREF _Toc166145939 \h </w:instrText>
      </w:r>
      <w:r>
        <w:fldChar w:fldCharType="separate"/>
      </w:r>
      <w:r>
        <w:t>- 29 -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"_Toc166145940" </w:instrText>
      </w:r>
      <w:r>
        <w:fldChar w:fldCharType="separate"/>
      </w:r>
      <w:r>
        <w:rPr>
          <w:rStyle w:val="49"/>
        </w:rPr>
        <w:t xml:space="preserve">4.2 </w:t>
      </w:r>
      <w:r>
        <w:rPr>
          <w:rStyle w:val="49"/>
          <w:rFonts w:hint="eastAsia"/>
        </w:rPr>
        <w:t>入河排污口设置可行性分析论证</w:t>
      </w:r>
      <w:r>
        <w:tab/>
      </w:r>
      <w:r>
        <w:fldChar w:fldCharType="begin"/>
      </w:r>
      <w:r>
        <w:instrText xml:space="preserve"> PAGEREF _Toc166145940 \h </w:instrText>
      </w:r>
      <w:r>
        <w:fldChar w:fldCharType="separate"/>
      </w:r>
      <w:r>
        <w:t>- 32 -</w:t>
      </w:r>
      <w:r>
        <w:fldChar w:fldCharType="end"/>
      </w:r>
      <w:r>
        <w:fldChar w:fldCharType="end"/>
      </w:r>
    </w:p>
    <w:p>
      <w:pPr>
        <w:pStyle w:val="28"/>
        <w:tabs>
          <w:tab w:val="right" w:leader="dot" w:pos="8720"/>
        </w:tabs>
        <w:ind w:firstLine="480"/>
        <w:rPr>
          <w:rFonts w:asciiTheme="minorHAnsi" w:hAnsiTheme="minorHAnsi" w:eastAsiaTheme="minorEastAsia" w:cstheme="minorBidi"/>
          <w:sz w:val="21"/>
        </w:rPr>
      </w:pPr>
      <w:r>
        <w:fldChar w:fldCharType="begin"/>
      </w:r>
      <w:r>
        <w:instrText xml:space="preserve"> HYPERLINK \l "_Toc166145941" </w:instrText>
      </w:r>
      <w:r>
        <w:fldChar w:fldCharType="separate"/>
      </w:r>
      <w:r>
        <w:rPr>
          <w:rStyle w:val="49"/>
        </w:rPr>
        <w:t>5.</w:t>
      </w:r>
      <w:r>
        <w:rPr>
          <w:rStyle w:val="49"/>
          <w:rFonts w:hint="eastAsia"/>
        </w:rPr>
        <w:t>入河排污口所在水功能区水质现状及纳污状况</w:t>
      </w:r>
      <w:r>
        <w:tab/>
      </w:r>
      <w:r>
        <w:fldChar w:fldCharType="begin"/>
      </w:r>
      <w:r>
        <w:instrText xml:space="preserve"> PAGEREF _Toc166145941 \h </w:instrText>
      </w:r>
      <w:r>
        <w:fldChar w:fldCharType="separate"/>
      </w:r>
      <w:r>
        <w:t>- 34 -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"_Toc166145942" </w:instrText>
      </w:r>
      <w:r>
        <w:fldChar w:fldCharType="separate"/>
      </w:r>
      <w:r>
        <w:rPr>
          <w:rStyle w:val="49"/>
        </w:rPr>
        <w:t xml:space="preserve">5.1 </w:t>
      </w:r>
      <w:r>
        <w:rPr>
          <w:rStyle w:val="49"/>
          <w:rFonts w:hint="eastAsia"/>
        </w:rPr>
        <w:t>水功能区水质现状</w:t>
      </w:r>
      <w:r>
        <w:tab/>
      </w:r>
      <w:r>
        <w:fldChar w:fldCharType="begin"/>
      </w:r>
      <w:r>
        <w:instrText xml:space="preserve"> PAGEREF _Toc166145942 \h </w:instrText>
      </w:r>
      <w:r>
        <w:fldChar w:fldCharType="separate"/>
      </w:r>
      <w:r>
        <w:t>- 34 -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"_Toc166145943" </w:instrText>
      </w:r>
      <w:r>
        <w:fldChar w:fldCharType="separate"/>
      </w:r>
      <w:r>
        <w:rPr>
          <w:rStyle w:val="49"/>
        </w:rPr>
        <w:t xml:space="preserve">5.2 </w:t>
      </w:r>
      <w:r>
        <w:rPr>
          <w:rStyle w:val="49"/>
          <w:rFonts w:hint="eastAsia"/>
        </w:rPr>
        <w:t>所在水功能区纳污状况</w:t>
      </w:r>
      <w:r>
        <w:tab/>
      </w:r>
      <w:r>
        <w:fldChar w:fldCharType="begin"/>
      </w:r>
      <w:r>
        <w:instrText xml:space="preserve"> PAGEREF _Toc166145943 \h </w:instrText>
      </w:r>
      <w:r>
        <w:fldChar w:fldCharType="separate"/>
      </w:r>
      <w:r>
        <w:t>- 35 -</w:t>
      </w:r>
      <w:r>
        <w:fldChar w:fldCharType="end"/>
      </w:r>
      <w:r>
        <w:fldChar w:fldCharType="end"/>
      </w:r>
    </w:p>
    <w:p>
      <w:pPr>
        <w:pStyle w:val="28"/>
        <w:tabs>
          <w:tab w:val="right" w:leader="dot" w:pos="8720"/>
        </w:tabs>
        <w:ind w:firstLine="480"/>
        <w:rPr>
          <w:rFonts w:asciiTheme="minorHAnsi" w:hAnsiTheme="minorHAnsi" w:eastAsiaTheme="minorEastAsia" w:cstheme="minorBidi"/>
          <w:sz w:val="21"/>
        </w:rPr>
      </w:pPr>
      <w:r>
        <w:fldChar w:fldCharType="begin"/>
      </w:r>
      <w:r>
        <w:instrText xml:space="preserve"> HYPERLINK \l "_Toc166145944" </w:instrText>
      </w:r>
      <w:r>
        <w:fldChar w:fldCharType="separate"/>
      </w:r>
      <w:r>
        <w:rPr>
          <w:rStyle w:val="49"/>
        </w:rPr>
        <w:t xml:space="preserve">6. </w:t>
      </w:r>
      <w:r>
        <w:rPr>
          <w:rStyle w:val="49"/>
          <w:rFonts w:hint="eastAsia"/>
        </w:rPr>
        <w:t>入河排污口设置对水功能区水质和水生态影响分析</w:t>
      </w:r>
      <w:r>
        <w:tab/>
      </w:r>
      <w:r>
        <w:fldChar w:fldCharType="begin"/>
      </w:r>
      <w:r>
        <w:instrText xml:space="preserve"> PAGEREF _Toc166145944 \h </w:instrText>
      </w:r>
      <w:r>
        <w:fldChar w:fldCharType="separate"/>
      </w:r>
      <w:r>
        <w:t>- 36 -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"_Toc166145945" </w:instrText>
      </w:r>
      <w:r>
        <w:fldChar w:fldCharType="separate"/>
      </w:r>
      <w:r>
        <w:rPr>
          <w:rStyle w:val="49"/>
        </w:rPr>
        <w:t xml:space="preserve">6.1 </w:t>
      </w:r>
      <w:r>
        <w:rPr>
          <w:rStyle w:val="49"/>
          <w:rFonts w:hint="eastAsia"/>
        </w:rPr>
        <w:t>影响范围</w:t>
      </w:r>
      <w:r>
        <w:tab/>
      </w:r>
      <w:r>
        <w:fldChar w:fldCharType="begin"/>
      </w:r>
      <w:r>
        <w:instrText xml:space="preserve"> PAGEREF _Toc166145945 \h </w:instrText>
      </w:r>
      <w:r>
        <w:fldChar w:fldCharType="separate"/>
      </w:r>
      <w:r>
        <w:t>- 36 -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"_Toc166145946" </w:instrText>
      </w:r>
      <w:r>
        <w:fldChar w:fldCharType="separate"/>
      </w:r>
      <w:r>
        <w:rPr>
          <w:rStyle w:val="49"/>
        </w:rPr>
        <w:t xml:space="preserve">6.2 </w:t>
      </w:r>
      <w:r>
        <w:rPr>
          <w:rStyle w:val="49"/>
          <w:rFonts w:hint="eastAsia"/>
        </w:rPr>
        <w:t>对水功能区水质影响分析</w:t>
      </w:r>
      <w:r>
        <w:tab/>
      </w:r>
      <w:r>
        <w:fldChar w:fldCharType="begin"/>
      </w:r>
      <w:r>
        <w:instrText xml:space="preserve"> PAGEREF _Toc166145946 \h </w:instrText>
      </w:r>
      <w:r>
        <w:fldChar w:fldCharType="separate"/>
      </w:r>
      <w:r>
        <w:t>- 40 -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"_Toc166145947" </w:instrText>
      </w:r>
      <w:r>
        <w:fldChar w:fldCharType="separate"/>
      </w:r>
      <w:r>
        <w:rPr>
          <w:rStyle w:val="49"/>
        </w:rPr>
        <w:t xml:space="preserve">6.3 </w:t>
      </w:r>
      <w:r>
        <w:rPr>
          <w:rStyle w:val="49"/>
          <w:rFonts w:hint="eastAsia"/>
        </w:rPr>
        <w:t>对水域纳污能力影响分析</w:t>
      </w:r>
      <w:r>
        <w:tab/>
      </w:r>
      <w:r>
        <w:fldChar w:fldCharType="begin"/>
      </w:r>
      <w:r>
        <w:instrText xml:space="preserve"> PAGEREF _Toc166145947 \h </w:instrText>
      </w:r>
      <w:r>
        <w:fldChar w:fldCharType="separate"/>
      </w:r>
      <w:r>
        <w:t>- 41 -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"_Toc166145948" </w:instrText>
      </w:r>
      <w:r>
        <w:fldChar w:fldCharType="separate"/>
      </w:r>
      <w:r>
        <w:rPr>
          <w:rStyle w:val="49"/>
        </w:rPr>
        <w:t xml:space="preserve">6.4 </w:t>
      </w:r>
      <w:r>
        <w:rPr>
          <w:rStyle w:val="49"/>
          <w:rFonts w:hint="eastAsia"/>
        </w:rPr>
        <w:t>对生态的影响分析</w:t>
      </w:r>
      <w:r>
        <w:tab/>
      </w:r>
      <w:r>
        <w:fldChar w:fldCharType="begin"/>
      </w:r>
      <w:r>
        <w:instrText xml:space="preserve"> PAGEREF _Toc166145948 \h </w:instrText>
      </w:r>
      <w:r>
        <w:fldChar w:fldCharType="separate"/>
      </w:r>
      <w:r>
        <w:t>- 42 -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"_Toc166145949" </w:instrText>
      </w:r>
      <w:r>
        <w:fldChar w:fldCharType="separate"/>
      </w:r>
      <w:r>
        <w:rPr>
          <w:rStyle w:val="49"/>
        </w:rPr>
        <w:t xml:space="preserve">6.5 </w:t>
      </w:r>
      <w:r>
        <w:rPr>
          <w:rStyle w:val="49"/>
          <w:rFonts w:hint="eastAsia"/>
        </w:rPr>
        <w:t>对河流水温的影响分析</w:t>
      </w:r>
      <w:r>
        <w:tab/>
      </w:r>
      <w:r>
        <w:fldChar w:fldCharType="begin"/>
      </w:r>
      <w:r>
        <w:instrText xml:space="preserve"> PAGEREF _Toc166145949 \h </w:instrText>
      </w:r>
      <w:r>
        <w:fldChar w:fldCharType="separate"/>
      </w:r>
      <w:r>
        <w:t>- 43 -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"_Toc166145950" </w:instrText>
      </w:r>
      <w:r>
        <w:fldChar w:fldCharType="separate"/>
      </w:r>
      <w:r>
        <w:rPr>
          <w:rStyle w:val="49"/>
        </w:rPr>
        <w:t xml:space="preserve">6.6 </w:t>
      </w:r>
      <w:r>
        <w:rPr>
          <w:rStyle w:val="49"/>
          <w:rFonts w:hint="eastAsia"/>
        </w:rPr>
        <w:t>对地下水影响的分析</w:t>
      </w:r>
      <w:r>
        <w:tab/>
      </w:r>
      <w:r>
        <w:fldChar w:fldCharType="begin"/>
      </w:r>
      <w:r>
        <w:instrText xml:space="preserve"> PAGEREF _Toc166145950 \h </w:instrText>
      </w:r>
      <w:r>
        <w:fldChar w:fldCharType="separate"/>
      </w:r>
      <w:r>
        <w:t>- 43 -</w:t>
      </w:r>
      <w:r>
        <w:fldChar w:fldCharType="end"/>
      </w:r>
      <w:r>
        <w:fldChar w:fldCharType="end"/>
      </w:r>
    </w:p>
    <w:p>
      <w:pPr>
        <w:pStyle w:val="28"/>
        <w:tabs>
          <w:tab w:val="right" w:leader="dot" w:pos="8720"/>
        </w:tabs>
        <w:ind w:firstLine="480"/>
        <w:rPr>
          <w:rFonts w:asciiTheme="minorHAnsi" w:hAnsiTheme="minorHAnsi" w:eastAsiaTheme="minorEastAsia" w:cstheme="minorBidi"/>
          <w:sz w:val="21"/>
        </w:rPr>
      </w:pPr>
      <w:r>
        <w:fldChar w:fldCharType="begin"/>
      </w:r>
      <w:r>
        <w:instrText xml:space="preserve"> HYPERLINK \l "_Toc166145951" </w:instrText>
      </w:r>
      <w:r>
        <w:fldChar w:fldCharType="separate"/>
      </w:r>
      <w:r>
        <w:rPr>
          <w:rStyle w:val="49"/>
        </w:rPr>
        <w:t xml:space="preserve">7. </w:t>
      </w:r>
      <w:r>
        <w:rPr>
          <w:rStyle w:val="49"/>
          <w:rFonts w:hint="eastAsia"/>
        </w:rPr>
        <w:t>对有利害关系的第三者权益的影响分析</w:t>
      </w:r>
      <w:r>
        <w:tab/>
      </w:r>
      <w:r>
        <w:fldChar w:fldCharType="begin"/>
      </w:r>
      <w:r>
        <w:instrText xml:space="preserve"> PAGEREF _Toc166145951 \h </w:instrText>
      </w:r>
      <w:r>
        <w:fldChar w:fldCharType="separate"/>
      </w:r>
      <w:r>
        <w:t>- 44 -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"_Toc166145952" </w:instrText>
      </w:r>
      <w:r>
        <w:fldChar w:fldCharType="separate"/>
      </w:r>
      <w:r>
        <w:rPr>
          <w:rStyle w:val="49"/>
        </w:rPr>
        <w:t xml:space="preserve">7.1 </w:t>
      </w:r>
      <w:r>
        <w:rPr>
          <w:rStyle w:val="49"/>
          <w:rFonts w:hint="eastAsia"/>
        </w:rPr>
        <w:t>对水质监控断面水质的影响分析</w:t>
      </w:r>
      <w:r>
        <w:tab/>
      </w:r>
      <w:r>
        <w:fldChar w:fldCharType="begin"/>
      </w:r>
      <w:r>
        <w:instrText xml:space="preserve"> PAGEREF _Toc166145952 \h </w:instrText>
      </w:r>
      <w:r>
        <w:fldChar w:fldCharType="separate"/>
      </w:r>
      <w:r>
        <w:t>- 44 -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"_Toc166145953" </w:instrText>
      </w:r>
      <w:r>
        <w:fldChar w:fldCharType="separate"/>
      </w:r>
      <w:r>
        <w:rPr>
          <w:rStyle w:val="49"/>
        </w:rPr>
        <w:t xml:space="preserve">7.2 </w:t>
      </w:r>
      <w:r>
        <w:rPr>
          <w:rStyle w:val="49"/>
          <w:rFonts w:hint="eastAsia"/>
        </w:rPr>
        <w:t>对排污口下游取水单位的影响分析</w:t>
      </w:r>
      <w:r>
        <w:tab/>
      </w:r>
      <w:r>
        <w:fldChar w:fldCharType="begin"/>
      </w:r>
      <w:r>
        <w:instrText xml:space="preserve"> PAGEREF _Toc166145953 \h </w:instrText>
      </w:r>
      <w:r>
        <w:fldChar w:fldCharType="separate"/>
      </w:r>
      <w:r>
        <w:t>- 44 -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"_Toc166145954" </w:instrText>
      </w:r>
      <w:r>
        <w:fldChar w:fldCharType="separate"/>
      </w:r>
      <w:r>
        <w:rPr>
          <w:rStyle w:val="49"/>
        </w:rPr>
        <w:t xml:space="preserve">7.3 </w:t>
      </w:r>
      <w:r>
        <w:rPr>
          <w:rStyle w:val="49"/>
          <w:rFonts w:hint="eastAsia"/>
        </w:rPr>
        <w:t>对其它生产经营活动的影响分析</w:t>
      </w:r>
      <w:r>
        <w:tab/>
      </w:r>
      <w:r>
        <w:fldChar w:fldCharType="begin"/>
      </w:r>
      <w:r>
        <w:instrText xml:space="preserve"> PAGEREF _Toc166145954 \h </w:instrText>
      </w:r>
      <w:r>
        <w:fldChar w:fldCharType="separate"/>
      </w:r>
      <w:r>
        <w:t>- 44 -</w:t>
      </w:r>
      <w:r>
        <w:fldChar w:fldCharType="end"/>
      </w:r>
      <w:r>
        <w:fldChar w:fldCharType="end"/>
      </w:r>
    </w:p>
    <w:p>
      <w:pPr>
        <w:pStyle w:val="28"/>
        <w:tabs>
          <w:tab w:val="right" w:leader="dot" w:pos="8720"/>
        </w:tabs>
        <w:ind w:firstLine="480"/>
        <w:rPr>
          <w:rFonts w:asciiTheme="minorHAnsi" w:hAnsiTheme="minorHAnsi" w:eastAsiaTheme="minorEastAsia" w:cstheme="minorBidi"/>
          <w:sz w:val="21"/>
        </w:rPr>
      </w:pPr>
      <w:r>
        <w:fldChar w:fldCharType="begin"/>
      </w:r>
      <w:r>
        <w:instrText xml:space="preserve"> HYPERLINK \l "_Toc166145955" </w:instrText>
      </w:r>
      <w:r>
        <w:fldChar w:fldCharType="separate"/>
      </w:r>
      <w:r>
        <w:rPr>
          <w:rStyle w:val="49"/>
        </w:rPr>
        <w:t xml:space="preserve">8. </w:t>
      </w:r>
      <w:r>
        <w:rPr>
          <w:rStyle w:val="49"/>
          <w:rFonts w:hint="eastAsia"/>
        </w:rPr>
        <w:t>对排污的限制要求和措施</w:t>
      </w:r>
      <w:r>
        <w:tab/>
      </w:r>
      <w:r>
        <w:fldChar w:fldCharType="begin"/>
      </w:r>
      <w:r>
        <w:instrText xml:space="preserve"> PAGEREF _Toc166145955 \h </w:instrText>
      </w:r>
      <w:r>
        <w:fldChar w:fldCharType="separate"/>
      </w:r>
      <w:r>
        <w:t>- 45 -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"_Toc166145956" </w:instrText>
      </w:r>
      <w:r>
        <w:fldChar w:fldCharType="separate"/>
      </w:r>
      <w:r>
        <w:rPr>
          <w:rStyle w:val="49"/>
        </w:rPr>
        <w:t xml:space="preserve">8.1 </w:t>
      </w:r>
      <w:r>
        <w:rPr>
          <w:rStyle w:val="49"/>
          <w:rFonts w:hint="eastAsia"/>
        </w:rPr>
        <w:t>总量控制</w:t>
      </w:r>
      <w:r>
        <w:tab/>
      </w:r>
      <w:r>
        <w:fldChar w:fldCharType="begin"/>
      </w:r>
      <w:r>
        <w:instrText xml:space="preserve"> PAGEREF _Toc166145956 \h </w:instrText>
      </w:r>
      <w:r>
        <w:fldChar w:fldCharType="separate"/>
      </w:r>
      <w:r>
        <w:t>- 45 -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"_Toc166145957" </w:instrText>
      </w:r>
      <w:r>
        <w:fldChar w:fldCharType="separate"/>
      </w:r>
      <w:r>
        <w:rPr>
          <w:rStyle w:val="49"/>
        </w:rPr>
        <w:t xml:space="preserve">8.2 </w:t>
      </w:r>
      <w:r>
        <w:rPr>
          <w:rStyle w:val="49"/>
          <w:rFonts w:hint="eastAsia"/>
        </w:rPr>
        <w:t>日常管理</w:t>
      </w:r>
      <w:r>
        <w:tab/>
      </w:r>
      <w:r>
        <w:fldChar w:fldCharType="begin"/>
      </w:r>
      <w:r>
        <w:instrText xml:space="preserve"> PAGEREF _Toc166145957 \h </w:instrText>
      </w:r>
      <w:r>
        <w:fldChar w:fldCharType="separate"/>
      </w:r>
      <w:r>
        <w:t>- 45 -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"_Toc166145958" </w:instrText>
      </w:r>
      <w:r>
        <w:fldChar w:fldCharType="separate"/>
      </w:r>
      <w:r>
        <w:rPr>
          <w:rStyle w:val="49"/>
        </w:rPr>
        <w:t xml:space="preserve">8.3 </w:t>
      </w:r>
      <w:r>
        <w:rPr>
          <w:rStyle w:val="49"/>
          <w:rFonts w:hint="eastAsia"/>
        </w:rPr>
        <w:t>风险防范</w:t>
      </w:r>
      <w:r>
        <w:tab/>
      </w:r>
      <w:r>
        <w:fldChar w:fldCharType="begin"/>
      </w:r>
      <w:r>
        <w:instrText xml:space="preserve"> PAGEREF _Toc166145958 \h </w:instrText>
      </w:r>
      <w:r>
        <w:fldChar w:fldCharType="separate"/>
      </w:r>
      <w:r>
        <w:t>- 46 -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"_Toc166145959" </w:instrText>
      </w:r>
      <w:r>
        <w:fldChar w:fldCharType="separate"/>
      </w:r>
      <w:r>
        <w:rPr>
          <w:rStyle w:val="49"/>
        </w:rPr>
        <w:t xml:space="preserve">8.4 </w:t>
      </w:r>
      <w:r>
        <w:rPr>
          <w:rStyle w:val="49"/>
          <w:rFonts w:hint="eastAsia"/>
        </w:rPr>
        <w:t>在线监测</w:t>
      </w:r>
      <w:r>
        <w:tab/>
      </w:r>
      <w:r>
        <w:fldChar w:fldCharType="begin"/>
      </w:r>
      <w:r>
        <w:instrText xml:space="preserve"> PAGEREF _Toc166145959 \h </w:instrText>
      </w:r>
      <w:r>
        <w:fldChar w:fldCharType="separate"/>
      </w:r>
      <w:r>
        <w:t>- 46 -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"_Toc166145960" </w:instrText>
      </w:r>
      <w:r>
        <w:fldChar w:fldCharType="separate"/>
      </w:r>
      <w:r>
        <w:rPr>
          <w:rStyle w:val="49"/>
        </w:rPr>
        <w:t xml:space="preserve">8.5 </w:t>
      </w:r>
      <w:r>
        <w:rPr>
          <w:rStyle w:val="49"/>
          <w:rFonts w:hint="eastAsia"/>
        </w:rPr>
        <w:t>排污口规范化</w:t>
      </w:r>
      <w:r>
        <w:tab/>
      </w:r>
      <w:r>
        <w:fldChar w:fldCharType="begin"/>
      </w:r>
      <w:r>
        <w:instrText xml:space="preserve"> PAGEREF _Toc166145960 \h </w:instrText>
      </w:r>
      <w:r>
        <w:fldChar w:fldCharType="separate"/>
      </w:r>
      <w:r>
        <w:t>- 51 -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"_Toc166145961" </w:instrText>
      </w:r>
      <w:r>
        <w:fldChar w:fldCharType="separate"/>
      </w:r>
      <w:r>
        <w:rPr>
          <w:rStyle w:val="49"/>
        </w:rPr>
        <w:t xml:space="preserve">8.6 </w:t>
      </w:r>
      <w:r>
        <w:rPr>
          <w:rStyle w:val="49"/>
          <w:rFonts w:hint="eastAsia"/>
        </w:rPr>
        <w:t>水环境保护措施</w:t>
      </w:r>
      <w:r>
        <w:tab/>
      </w:r>
      <w:r>
        <w:fldChar w:fldCharType="begin"/>
      </w:r>
      <w:r>
        <w:instrText xml:space="preserve"> PAGEREF _Toc166145961 \h </w:instrText>
      </w:r>
      <w:r>
        <w:fldChar w:fldCharType="separate"/>
      </w:r>
      <w:r>
        <w:t>- 53 -</w:t>
      </w:r>
      <w:r>
        <w:fldChar w:fldCharType="end"/>
      </w:r>
      <w:r>
        <w:fldChar w:fldCharType="end"/>
      </w:r>
    </w:p>
    <w:p>
      <w:pPr>
        <w:pStyle w:val="28"/>
        <w:tabs>
          <w:tab w:val="right" w:leader="dot" w:pos="8720"/>
        </w:tabs>
        <w:ind w:firstLine="480"/>
        <w:rPr>
          <w:rFonts w:asciiTheme="minorHAnsi" w:hAnsiTheme="minorHAnsi" w:eastAsiaTheme="minorEastAsia" w:cstheme="minorBidi"/>
          <w:sz w:val="21"/>
        </w:rPr>
      </w:pPr>
      <w:r>
        <w:fldChar w:fldCharType="begin"/>
      </w:r>
      <w:r>
        <w:instrText xml:space="preserve"> HYPERLINK \l "_Toc166145962" </w:instrText>
      </w:r>
      <w:r>
        <w:fldChar w:fldCharType="separate"/>
      </w:r>
      <w:r>
        <w:rPr>
          <w:rStyle w:val="49"/>
        </w:rPr>
        <w:t xml:space="preserve">9. </w:t>
      </w:r>
      <w:r>
        <w:rPr>
          <w:rStyle w:val="49"/>
          <w:rFonts w:hint="eastAsia"/>
        </w:rPr>
        <w:t>入河排污口设置合理性分析</w:t>
      </w:r>
      <w:r>
        <w:tab/>
      </w:r>
      <w:r>
        <w:fldChar w:fldCharType="begin"/>
      </w:r>
      <w:r>
        <w:instrText xml:space="preserve"> PAGEREF _Toc166145962 \h </w:instrText>
      </w:r>
      <w:r>
        <w:fldChar w:fldCharType="separate"/>
      </w:r>
      <w:r>
        <w:t>- 57 -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"_Toc166145963" </w:instrText>
      </w:r>
      <w:r>
        <w:fldChar w:fldCharType="separate"/>
      </w:r>
      <w:r>
        <w:rPr>
          <w:rStyle w:val="49"/>
        </w:rPr>
        <w:t xml:space="preserve">9.1 </w:t>
      </w:r>
      <w:r>
        <w:rPr>
          <w:rStyle w:val="49"/>
          <w:rFonts w:hint="eastAsia"/>
        </w:rPr>
        <w:t>排污口位置合理性分析</w:t>
      </w:r>
      <w:r>
        <w:tab/>
      </w:r>
      <w:r>
        <w:fldChar w:fldCharType="begin"/>
      </w:r>
      <w:r>
        <w:instrText xml:space="preserve"> PAGEREF _Toc166145963 \h </w:instrText>
      </w:r>
      <w:r>
        <w:fldChar w:fldCharType="separate"/>
      </w:r>
      <w:r>
        <w:t>- 57 -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"_Toc166145964" </w:instrText>
      </w:r>
      <w:r>
        <w:fldChar w:fldCharType="separate"/>
      </w:r>
      <w:r>
        <w:rPr>
          <w:rStyle w:val="49"/>
        </w:rPr>
        <w:t xml:space="preserve">9.2 </w:t>
      </w:r>
      <w:r>
        <w:rPr>
          <w:rStyle w:val="49"/>
          <w:rFonts w:hint="eastAsia"/>
        </w:rPr>
        <w:t>相关政策要求</w:t>
      </w:r>
      <w:r>
        <w:tab/>
      </w:r>
      <w:r>
        <w:fldChar w:fldCharType="begin"/>
      </w:r>
      <w:r>
        <w:instrText xml:space="preserve"> PAGEREF _Toc166145964 \h </w:instrText>
      </w:r>
      <w:r>
        <w:fldChar w:fldCharType="separate"/>
      </w:r>
      <w:r>
        <w:t>- 57 -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"_Toc166145965" </w:instrText>
      </w:r>
      <w:r>
        <w:fldChar w:fldCharType="separate"/>
      </w:r>
      <w:r>
        <w:rPr>
          <w:rStyle w:val="49"/>
        </w:rPr>
        <w:t xml:space="preserve">9.3 </w:t>
      </w:r>
      <w:r>
        <w:rPr>
          <w:rStyle w:val="49"/>
          <w:rFonts w:hint="eastAsia"/>
        </w:rPr>
        <w:t>水功能区水质和水生态保护要求</w:t>
      </w:r>
      <w:r>
        <w:tab/>
      </w:r>
      <w:r>
        <w:fldChar w:fldCharType="begin"/>
      </w:r>
      <w:r>
        <w:instrText xml:space="preserve"> PAGEREF _Toc166145965 \h </w:instrText>
      </w:r>
      <w:r>
        <w:fldChar w:fldCharType="separate"/>
      </w:r>
      <w:r>
        <w:t>- 61 -</w:t>
      </w:r>
      <w:r>
        <w:fldChar w:fldCharType="end"/>
      </w:r>
      <w:r>
        <w:fldChar w:fldCharType="end"/>
      </w:r>
    </w:p>
    <w:p>
      <w:pPr>
        <w:pStyle w:val="28"/>
        <w:tabs>
          <w:tab w:val="right" w:leader="dot" w:pos="8720"/>
        </w:tabs>
        <w:ind w:firstLine="480"/>
        <w:rPr>
          <w:rFonts w:asciiTheme="minorHAnsi" w:hAnsiTheme="minorHAnsi" w:eastAsiaTheme="minorEastAsia" w:cstheme="minorBidi"/>
          <w:sz w:val="21"/>
        </w:rPr>
      </w:pPr>
      <w:r>
        <w:fldChar w:fldCharType="begin"/>
      </w:r>
      <w:r>
        <w:instrText xml:space="preserve"> HYPERLINK \l "_Toc166145966" </w:instrText>
      </w:r>
      <w:r>
        <w:fldChar w:fldCharType="separate"/>
      </w:r>
      <w:r>
        <w:rPr>
          <w:rStyle w:val="49"/>
        </w:rPr>
        <w:t xml:space="preserve">10. </w:t>
      </w:r>
      <w:r>
        <w:rPr>
          <w:rStyle w:val="49"/>
          <w:rFonts w:hint="eastAsia"/>
        </w:rPr>
        <w:t>论证结论与建议</w:t>
      </w:r>
      <w:r>
        <w:tab/>
      </w:r>
      <w:r>
        <w:fldChar w:fldCharType="begin"/>
      </w:r>
      <w:r>
        <w:instrText xml:space="preserve"> PAGEREF _Toc166145966 \h </w:instrText>
      </w:r>
      <w:r>
        <w:fldChar w:fldCharType="separate"/>
      </w:r>
      <w:r>
        <w:t>- 62 -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"_Toc166145967" </w:instrText>
      </w:r>
      <w:r>
        <w:fldChar w:fldCharType="separate"/>
      </w:r>
      <w:r>
        <w:rPr>
          <w:rStyle w:val="49"/>
        </w:rPr>
        <w:t xml:space="preserve">10.1 </w:t>
      </w:r>
      <w:r>
        <w:rPr>
          <w:rStyle w:val="49"/>
          <w:rFonts w:hint="eastAsia"/>
        </w:rPr>
        <w:t>论证结论</w:t>
      </w:r>
      <w:r>
        <w:tab/>
      </w:r>
      <w:r>
        <w:fldChar w:fldCharType="begin"/>
      </w:r>
      <w:r>
        <w:instrText xml:space="preserve"> PAGEREF _Toc166145967 \h </w:instrText>
      </w:r>
      <w:r>
        <w:fldChar w:fldCharType="separate"/>
      </w:r>
      <w:r>
        <w:t>- 62 -</w:t>
      </w:r>
      <w:r>
        <w:fldChar w:fldCharType="end"/>
      </w:r>
      <w:r>
        <w:fldChar w:fldCharType="end"/>
      </w:r>
    </w:p>
    <w:p>
      <w:pPr>
        <w:pStyle w:val="33"/>
        <w:tabs>
          <w:tab w:val="right" w:leader="dot" w:pos="8720"/>
        </w:tabs>
        <w:ind w:left="480" w:firstLine="480"/>
        <w:rPr>
          <w:rFonts w:asciiTheme="minorHAnsi" w:hAnsiTheme="minorHAnsi" w:eastAsiaTheme="minorEastAsia" w:cstheme="minorBidi"/>
          <w:sz w:val="21"/>
        </w:rPr>
      </w:pPr>
      <w:r>
        <w:fldChar w:fldCharType="begin"/>
      </w:r>
      <w:r>
        <w:instrText xml:space="preserve"> HYPERLINK \l "_Toc166145968" </w:instrText>
      </w:r>
      <w:r>
        <w:fldChar w:fldCharType="separate"/>
      </w:r>
      <w:r>
        <w:rPr>
          <w:rStyle w:val="49"/>
        </w:rPr>
        <w:t xml:space="preserve">10.2 </w:t>
      </w:r>
      <w:r>
        <w:rPr>
          <w:rStyle w:val="49"/>
          <w:rFonts w:hint="eastAsia"/>
        </w:rPr>
        <w:t>建议</w:t>
      </w:r>
      <w:r>
        <w:tab/>
      </w:r>
      <w:r>
        <w:fldChar w:fldCharType="begin"/>
      </w:r>
      <w:r>
        <w:instrText xml:space="preserve"> PAGEREF _Toc166145968 \h </w:instrText>
      </w:r>
      <w:r>
        <w:fldChar w:fldCharType="separate"/>
      </w:r>
      <w:r>
        <w:t>- 64 -</w:t>
      </w:r>
      <w:r>
        <w:fldChar w:fldCharType="end"/>
      </w:r>
      <w:r>
        <w:fldChar w:fldCharType="end"/>
      </w:r>
    </w:p>
    <w:p>
      <w:pPr>
        <w:ind w:firstLine="0" w:firstLineChars="0"/>
        <w:sectPr>
          <w:footerReference r:id="rId11" w:type="default"/>
          <w:pgSz w:w="11906" w:h="16838"/>
          <w:pgMar w:top="1418" w:right="1588" w:bottom="1418" w:left="1588" w:header="851" w:footer="992" w:gutter="0"/>
          <w:pgNumType w:fmt="upperRoman" w:start="1"/>
          <w:cols w:space="425" w:num="1"/>
          <w:docGrid w:type="lines" w:linePitch="326" w:charSpace="0"/>
        </w:sectPr>
      </w:pPr>
      <w:r>
        <w:fldChar w:fldCharType="end"/>
      </w:r>
    </w:p>
    <w:p>
      <w:pPr>
        <w:pStyle w:val="15"/>
        <w:kinsoku w:val="0"/>
        <w:overflowPunct w:val="0"/>
        <w:spacing w:before="0"/>
        <w:ind w:left="0" w:firstLine="562"/>
        <w:jc w:val="center"/>
        <w:rPr>
          <w:rFonts w:hint="default"/>
          <w:b/>
          <w:szCs w:val="22"/>
        </w:rPr>
      </w:pPr>
      <w:r>
        <w:rPr>
          <w:b/>
          <w:szCs w:val="22"/>
        </w:rPr>
        <w:t>项目特性表</w:t>
      </w:r>
    </w:p>
    <w:p>
      <w:pPr>
        <w:pStyle w:val="15"/>
        <w:kinsoku w:val="0"/>
        <w:overflowPunct w:val="0"/>
        <w:spacing w:before="0"/>
        <w:ind w:left="0" w:firstLine="562"/>
        <w:jc w:val="center"/>
        <w:rPr>
          <w:rFonts w:hint="default"/>
          <w:b/>
          <w:szCs w:val="22"/>
        </w:rPr>
      </w:pP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1568"/>
        <w:gridCol w:w="1283"/>
        <w:gridCol w:w="2422"/>
        <w:gridCol w:w="2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pct"/>
            <w:gridSpan w:val="2"/>
            <w:vAlign w:val="center"/>
          </w:tcPr>
          <w:p>
            <w:pPr>
              <w:widowControl/>
              <w:spacing w:line="240" w:lineRule="auto"/>
              <w:ind w:firstLine="0" w:firstLineChars="0"/>
              <w:jc w:val="center"/>
              <w:rPr>
                <w:b/>
                <w:kern w:val="0"/>
                <w:szCs w:val="24"/>
              </w:rPr>
            </w:pPr>
            <w:r>
              <w:rPr>
                <w:b/>
                <w:kern w:val="0"/>
                <w:szCs w:val="24"/>
              </w:rPr>
              <w:t>项目名称</w:t>
            </w:r>
          </w:p>
        </w:tc>
        <w:tc>
          <w:tcPr>
            <w:tcW w:w="3505" w:type="pct"/>
            <w:gridSpan w:val="3"/>
            <w:vAlign w:val="center"/>
          </w:tcPr>
          <w:p>
            <w:pPr>
              <w:autoSpaceDE w:val="0"/>
              <w:autoSpaceDN w:val="0"/>
              <w:adjustRightInd w:val="0"/>
              <w:spacing w:line="240" w:lineRule="auto"/>
              <w:ind w:firstLine="0" w:firstLineChars="0"/>
              <w:jc w:val="center"/>
            </w:pPr>
            <w:r>
              <w:rPr>
                <w:rFonts w:hAnsi="宋体"/>
                <w:szCs w:val="24"/>
              </w:rPr>
              <w:t>澧县东部新区污水处理厂建设项目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pct"/>
            <w:gridSpan w:val="2"/>
            <w:vAlign w:val="center"/>
          </w:tcPr>
          <w:p>
            <w:pPr>
              <w:widowControl/>
              <w:spacing w:line="240" w:lineRule="auto"/>
              <w:ind w:firstLine="0" w:firstLineChars="0"/>
              <w:jc w:val="center"/>
              <w:rPr>
                <w:b/>
                <w:kern w:val="0"/>
                <w:szCs w:val="24"/>
              </w:rPr>
            </w:pPr>
            <w:r>
              <w:rPr>
                <w:b/>
                <w:kern w:val="0"/>
                <w:szCs w:val="24"/>
              </w:rPr>
              <w:t>项目地址</w:t>
            </w:r>
          </w:p>
        </w:tc>
        <w:tc>
          <w:tcPr>
            <w:tcW w:w="3505" w:type="pct"/>
            <w:gridSpan w:val="3"/>
            <w:vAlign w:val="center"/>
          </w:tcPr>
          <w:p>
            <w:pPr>
              <w:autoSpaceDE w:val="0"/>
              <w:autoSpaceDN w:val="0"/>
              <w:adjustRightInd w:val="0"/>
              <w:spacing w:line="240" w:lineRule="auto"/>
              <w:ind w:firstLine="0" w:firstLineChars="0"/>
              <w:jc w:val="center"/>
              <w:rPr>
                <w:rFonts w:hAnsi="宋体"/>
                <w:szCs w:val="24"/>
              </w:rPr>
            </w:pPr>
            <w:r>
              <w:rPr>
                <w:rFonts w:hint="eastAsia" w:hAnsi="宋体"/>
                <w:szCs w:val="24"/>
              </w:rPr>
              <w:t>湖南省常德市澧县澧澹街道东洲村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pct"/>
            <w:gridSpan w:val="2"/>
            <w:vAlign w:val="center"/>
          </w:tcPr>
          <w:p>
            <w:pPr>
              <w:widowControl/>
              <w:spacing w:line="240" w:lineRule="auto"/>
              <w:ind w:firstLine="0" w:firstLineChars="0"/>
              <w:jc w:val="center"/>
              <w:rPr>
                <w:b/>
                <w:kern w:val="0"/>
                <w:szCs w:val="24"/>
              </w:rPr>
            </w:pPr>
            <w:r>
              <w:rPr>
                <w:b/>
                <w:kern w:val="0"/>
                <w:szCs w:val="24"/>
              </w:rPr>
              <w:t>项目建设单位</w:t>
            </w:r>
          </w:p>
        </w:tc>
        <w:tc>
          <w:tcPr>
            <w:tcW w:w="3505" w:type="pct"/>
            <w:gridSpan w:val="3"/>
            <w:vAlign w:val="center"/>
          </w:tcPr>
          <w:p>
            <w:pPr>
              <w:autoSpaceDE w:val="0"/>
              <w:autoSpaceDN w:val="0"/>
              <w:adjustRightInd w:val="0"/>
              <w:spacing w:line="240" w:lineRule="auto"/>
              <w:ind w:firstLine="0" w:firstLineChars="0"/>
              <w:jc w:val="center"/>
              <w:rPr>
                <w:rFonts w:hAnsi="宋体"/>
                <w:szCs w:val="24"/>
              </w:rPr>
            </w:pPr>
            <w:r>
              <w:rPr>
                <w:rFonts w:hint="eastAsia" w:hAnsi="宋体"/>
                <w:szCs w:val="24"/>
              </w:rPr>
              <w:t>澧县</w:t>
            </w:r>
            <w:r>
              <w:rPr>
                <w:rFonts w:hAnsi="宋体"/>
                <w:szCs w:val="24"/>
              </w:rPr>
              <w:t>澧</w:t>
            </w:r>
            <w:r>
              <w:rPr>
                <w:rFonts w:hint="eastAsia" w:hAnsi="宋体"/>
                <w:szCs w:val="24"/>
              </w:rPr>
              <w:t>州</w:t>
            </w:r>
            <w:r>
              <w:rPr>
                <w:rFonts w:hAnsi="宋体"/>
                <w:szCs w:val="24"/>
              </w:rPr>
              <w:t>新城投资开发有限公司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pct"/>
            <w:gridSpan w:val="2"/>
            <w:vAlign w:val="center"/>
          </w:tcPr>
          <w:p>
            <w:pPr>
              <w:widowControl/>
              <w:spacing w:line="240" w:lineRule="auto"/>
              <w:ind w:firstLine="0" w:firstLineChars="0"/>
              <w:jc w:val="center"/>
              <w:rPr>
                <w:b/>
                <w:kern w:val="0"/>
                <w:szCs w:val="24"/>
              </w:rPr>
            </w:pPr>
            <w:r>
              <w:rPr>
                <w:b/>
                <w:kern w:val="0"/>
                <w:szCs w:val="24"/>
              </w:rPr>
              <w:t>方案编制单位</w:t>
            </w:r>
          </w:p>
        </w:tc>
        <w:tc>
          <w:tcPr>
            <w:tcW w:w="3505" w:type="pct"/>
            <w:gridSpan w:val="3"/>
            <w:vAlign w:val="center"/>
          </w:tcPr>
          <w:p>
            <w:pPr>
              <w:autoSpaceDE w:val="0"/>
              <w:autoSpaceDN w:val="0"/>
              <w:adjustRightInd w:val="0"/>
              <w:spacing w:line="240" w:lineRule="auto"/>
              <w:ind w:firstLine="0" w:firstLineChars="0"/>
              <w:jc w:val="center"/>
              <w:rPr>
                <w:rFonts w:hAnsi="宋体"/>
                <w:szCs w:val="24"/>
              </w:rPr>
            </w:pPr>
            <w:r>
              <w:rPr>
                <w:rFonts w:hAnsi="宋体"/>
                <w:szCs w:val="24"/>
              </w:rPr>
              <w:t>湖南志远环境咨询服务有限</w:t>
            </w:r>
            <w:r>
              <w:rPr>
                <w:rFonts w:hint="eastAsia" w:hAnsi="宋体"/>
                <w:szCs w:val="24"/>
              </w:rPr>
              <w:t>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pct"/>
            <w:gridSpan w:val="2"/>
            <w:vAlign w:val="center"/>
          </w:tcPr>
          <w:p>
            <w:pPr>
              <w:widowControl/>
              <w:spacing w:line="240" w:lineRule="auto"/>
              <w:ind w:firstLine="0" w:firstLineChars="0"/>
              <w:jc w:val="center"/>
              <w:rPr>
                <w:b/>
                <w:kern w:val="0"/>
                <w:szCs w:val="24"/>
              </w:rPr>
            </w:pPr>
            <w:r>
              <w:rPr>
                <w:b/>
                <w:kern w:val="0"/>
                <w:szCs w:val="24"/>
              </w:rPr>
              <w:t>工程投资</w:t>
            </w:r>
          </w:p>
        </w:tc>
        <w:tc>
          <w:tcPr>
            <w:tcW w:w="3505" w:type="pct"/>
            <w:gridSpan w:val="3"/>
            <w:vAlign w:val="center"/>
          </w:tcPr>
          <w:p>
            <w:pPr>
              <w:autoSpaceDE w:val="0"/>
              <w:autoSpaceDN w:val="0"/>
              <w:adjustRightInd w:val="0"/>
              <w:spacing w:line="240" w:lineRule="auto"/>
              <w:ind w:firstLine="0" w:firstLineChars="0"/>
              <w:jc w:val="center"/>
              <w:rPr>
                <w:rFonts w:hAnsi="宋体"/>
                <w:szCs w:val="24"/>
              </w:rPr>
            </w:pPr>
            <w:r>
              <w:t>43800</w:t>
            </w:r>
            <w:r>
              <w:rPr>
                <w:rFonts w:hAnsi="宋体"/>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pct"/>
            <w:gridSpan w:val="2"/>
            <w:vAlign w:val="center"/>
          </w:tcPr>
          <w:p>
            <w:pPr>
              <w:widowControl/>
              <w:spacing w:line="240" w:lineRule="auto"/>
              <w:ind w:firstLine="0" w:firstLineChars="0"/>
              <w:jc w:val="center"/>
              <w:rPr>
                <w:b/>
                <w:kern w:val="0"/>
                <w:szCs w:val="24"/>
              </w:rPr>
            </w:pPr>
            <w:r>
              <w:rPr>
                <w:b/>
                <w:kern w:val="0"/>
                <w:szCs w:val="24"/>
              </w:rPr>
              <w:t>污水处理工程地理位置</w:t>
            </w:r>
          </w:p>
        </w:tc>
        <w:tc>
          <w:tcPr>
            <w:tcW w:w="3505" w:type="pct"/>
            <w:gridSpan w:val="3"/>
            <w:vAlign w:val="center"/>
          </w:tcPr>
          <w:p>
            <w:pPr>
              <w:autoSpaceDE w:val="0"/>
              <w:autoSpaceDN w:val="0"/>
              <w:adjustRightInd w:val="0"/>
              <w:spacing w:line="240" w:lineRule="auto"/>
              <w:ind w:firstLine="0" w:firstLineChars="0"/>
              <w:jc w:val="center"/>
            </w:pPr>
            <w:r>
              <w:rPr>
                <w:rFonts w:hint="eastAsia"/>
              </w:rPr>
              <w:t>湖南省常德市</w:t>
            </w:r>
            <w:r>
              <w:rPr>
                <w:rFonts w:hint="eastAsia" w:hAnsi="宋体"/>
                <w:szCs w:val="24"/>
              </w:rPr>
              <w:t>澧县澧澹街道东洲村</w:t>
            </w:r>
          </w:p>
          <w:p>
            <w:pPr>
              <w:autoSpaceDE w:val="0"/>
              <w:autoSpaceDN w:val="0"/>
              <w:adjustRightInd w:val="0"/>
              <w:spacing w:line="240" w:lineRule="auto"/>
              <w:ind w:firstLine="0" w:firstLineChars="0"/>
              <w:jc w:val="center"/>
            </w:pPr>
            <w:r>
              <w:t>E111°51′49.73949″，N29°38′43.90949″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pct"/>
            <w:vMerge w:val="restart"/>
            <w:vAlign w:val="center"/>
          </w:tcPr>
          <w:p>
            <w:pPr>
              <w:widowControl/>
              <w:spacing w:line="240" w:lineRule="auto"/>
              <w:ind w:firstLine="0" w:firstLineChars="0"/>
              <w:jc w:val="center"/>
              <w:rPr>
                <w:b/>
                <w:kern w:val="0"/>
                <w:szCs w:val="24"/>
              </w:rPr>
            </w:pPr>
            <w:r>
              <w:rPr>
                <w:b/>
                <w:kern w:val="0"/>
                <w:szCs w:val="24"/>
              </w:rPr>
              <w:t>入河排污口基本情况</w:t>
            </w:r>
          </w:p>
        </w:tc>
        <w:tc>
          <w:tcPr>
            <w:tcW w:w="876" w:type="pct"/>
            <w:vAlign w:val="center"/>
          </w:tcPr>
          <w:p>
            <w:pPr>
              <w:widowControl/>
              <w:spacing w:line="240" w:lineRule="auto"/>
              <w:ind w:firstLine="0" w:firstLineChars="0"/>
              <w:jc w:val="center"/>
              <w:rPr>
                <w:b/>
                <w:kern w:val="0"/>
                <w:szCs w:val="24"/>
              </w:rPr>
            </w:pPr>
            <w:r>
              <w:rPr>
                <w:b/>
                <w:kern w:val="0"/>
                <w:szCs w:val="24"/>
              </w:rPr>
              <w:t>地理位置</w:t>
            </w:r>
          </w:p>
        </w:tc>
        <w:tc>
          <w:tcPr>
            <w:tcW w:w="3505" w:type="pct"/>
            <w:gridSpan w:val="3"/>
            <w:vAlign w:val="center"/>
          </w:tcPr>
          <w:p>
            <w:pPr>
              <w:autoSpaceDE w:val="0"/>
              <w:autoSpaceDN w:val="0"/>
              <w:adjustRightInd w:val="0"/>
              <w:spacing w:line="240" w:lineRule="auto"/>
              <w:ind w:firstLine="0" w:firstLineChars="0"/>
              <w:jc w:val="center"/>
            </w:pPr>
            <w:r>
              <w:rPr>
                <w:rFonts w:hint="eastAsia"/>
              </w:rPr>
              <w:t>污水通过废水总排口（DW001）排入项目东侧农灌沟渠，澹水水位低于34m时（一般为10月至次年3月），污水通过下游155m处农灌沟渠自流口排入澹水，自流口底板高程32.7m，入河排放口（自流口）位于澹水右岸，入河坐标</w:t>
            </w:r>
            <w:r>
              <w:t>E111°51′58.38470″，N29°38′45.95730″</w:t>
            </w:r>
            <w:r>
              <w:rPr>
                <w:rFonts w:hint="eastAsia"/>
              </w:rPr>
              <w:t>；澹水水位高于34m时（一般为4月至9月），农灌渠自流口闸门通过人工关闭，污水通过下游250m处的东洲机埠电排排入澹水河，入河排放口（东洲机埠电排）位于澹水右岸，入河坐标</w:t>
            </w:r>
            <w:r>
              <w:t>E111°52′00.30279″，N29°38′43.66977″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pct"/>
            <w:vMerge w:val="continue"/>
            <w:vAlign w:val="center"/>
          </w:tcPr>
          <w:p>
            <w:pPr>
              <w:widowControl/>
              <w:spacing w:line="240" w:lineRule="auto"/>
              <w:ind w:firstLine="0" w:firstLineChars="0"/>
              <w:jc w:val="center"/>
              <w:rPr>
                <w:b/>
                <w:kern w:val="0"/>
                <w:szCs w:val="24"/>
              </w:rPr>
            </w:pPr>
          </w:p>
        </w:tc>
        <w:tc>
          <w:tcPr>
            <w:tcW w:w="876" w:type="pct"/>
            <w:vAlign w:val="center"/>
          </w:tcPr>
          <w:p>
            <w:pPr>
              <w:widowControl/>
              <w:spacing w:line="240" w:lineRule="auto"/>
              <w:ind w:firstLine="0" w:firstLineChars="0"/>
              <w:jc w:val="center"/>
              <w:rPr>
                <w:b/>
                <w:kern w:val="0"/>
                <w:szCs w:val="24"/>
              </w:rPr>
            </w:pPr>
            <w:r>
              <w:rPr>
                <w:b/>
                <w:kern w:val="0"/>
                <w:szCs w:val="24"/>
              </w:rPr>
              <w:t>河道名称</w:t>
            </w:r>
          </w:p>
        </w:tc>
        <w:tc>
          <w:tcPr>
            <w:tcW w:w="3505" w:type="pct"/>
            <w:gridSpan w:val="3"/>
            <w:vAlign w:val="center"/>
          </w:tcPr>
          <w:p>
            <w:pPr>
              <w:autoSpaceDE w:val="0"/>
              <w:autoSpaceDN w:val="0"/>
              <w:adjustRightInd w:val="0"/>
              <w:spacing w:line="240" w:lineRule="auto"/>
              <w:ind w:firstLine="0" w:firstLineChars="0"/>
              <w:jc w:val="center"/>
              <w:rPr>
                <w:position w:val="-1"/>
                <w:sz w:val="22"/>
              </w:rPr>
            </w:pPr>
            <w:r>
              <w:rPr>
                <w:rFonts w:hint="eastAsia"/>
              </w:rPr>
              <w:t>澹水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pct"/>
            <w:vMerge w:val="continue"/>
            <w:vAlign w:val="center"/>
          </w:tcPr>
          <w:p>
            <w:pPr>
              <w:widowControl/>
              <w:spacing w:line="240" w:lineRule="auto"/>
              <w:ind w:firstLine="0" w:firstLineChars="0"/>
              <w:jc w:val="center"/>
              <w:rPr>
                <w:b/>
                <w:kern w:val="0"/>
                <w:szCs w:val="24"/>
              </w:rPr>
            </w:pPr>
          </w:p>
        </w:tc>
        <w:tc>
          <w:tcPr>
            <w:tcW w:w="876" w:type="pct"/>
            <w:vAlign w:val="center"/>
          </w:tcPr>
          <w:p>
            <w:pPr>
              <w:widowControl/>
              <w:spacing w:line="240" w:lineRule="auto"/>
              <w:ind w:firstLine="0" w:firstLineChars="0"/>
              <w:jc w:val="center"/>
              <w:rPr>
                <w:b/>
                <w:kern w:val="0"/>
                <w:szCs w:val="24"/>
              </w:rPr>
            </w:pPr>
            <w:r>
              <w:rPr>
                <w:b/>
                <w:kern w:val="0"/>
                <w:szCs w:val="24"/>
              </w:rPr>
              <w:t>类型</w:t>
            </w:r>
          </w:p>
        </w:tc>
        <w:tc>
          <w:tcPr>
            <w:tcW w:w="3505" w:type="pct"/>
            <w:gridSpan w:val="3"/>
            <w:vAlign w:val="center"/>
          </w:tcPr>
          <w:p>
            <w:pPr>
              <w:autoSpaceDE w:val="0"/>
              <w:autoSpaceDN w:val="0"/>
              <w:adjustRightInd w:val="0"/>
              <w:spacing w:line="240" w:lineRule="auto"/>
              <w:ind w:firstLine="0" w:firstLineChars="0"/>
              <w:jc w:val="center"/>
            </w:pPr>
            <w:r>
              <w:rPr>
                <w:rFonts w:hint="eastAsia"/>
              </w:rPr>
              <w:t>新建（补办完善手续）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pct"/>
            <w:vMerge w:val="continue"/>
            <w:vAlign w:val="center"/>
          </w:tcPr>
          <w:p>
            <w:pPr>
              <w:widowControl/>
              <w:spacing w:line="240" w:lineRule="auto"/>
              <w:ind w:firstLine="0" w:firstLineChars="0"/>
              <w:jc w:val="center"/>
              <w:rPr>
                <w:b/>
                <w:kern w:val="0"/>
                <w:szCs w:val="24"/>
              </w:rPr>
            </w:pPr>
          </w:p>
        </w:tc>
        <w:tc>
          <w:tcPr>
            <w:tcW w:w="876" w:type="pct"/>
            <w:vAlign w:val="center"/>
          </w:tcPr>
          <w:p>
            <w:pPr>
              <w:widowControl/>
              <w:spacing w:line="240" w:lineRule="auto"/>
              <w:ind w:firstLine="0" w:firstLineChars="0"/>
              <w:jc w:val="center"/>
              <w:rPr>
                <w:b/>
                <w:kern w:val="0"/>
                <w:szCs w:val="24"/>
              </w:rPr>
            </w:pPr>
            <w:r>
              <w:rPr>
                <w:b/>
                <w:kern w:val="0"/>
                <w:szCs w:val="24"/>
              </w:rPr>
              <w:t>性质</w:t>
            </w:r>
          </w:p>
        </w:tc>
        <w:tc>
          <w:tcPr>
            <w:tcW w:w="3505" w:type="pct"/>
            <w:gridSpan w:val="3"/>
            <w:vAlign w:val="center"/>
          </w:tcPr>
          <w:p>
            <w:pPr>
              <w:autoSpaceDE w:val="0"/>
              <w:autoSpaceDN w:val="0"/>
              <w:adjustRightInd w:val="0"/>
              <w:spacing w:line="240" w:lineRule="auto"/>
              <w:ind w:firstLine="0" w:firstLineChars="0"/>
              <w:jc w:val="center"/>
            </w:pPr>
            <w:r>
              <w:rPr>
                <w:rFonts w:hint="eastAsia"/>
              </w:rPr>
              <w:t>城镇污水处理厂排污口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pct"/>
            <w:vMerge w:val="continue"/>
            <w:vAlign w:val="center"/>
          </w:tcPr>
          <w:p>
            <w:pPr>
              <w:widowControl/>
              <w:spacing w:line="240" w:lineRule="auto"/>
              <w:ind w:firstLine="0" w:firstLineChars="0"/>
              <w:jc w:val="center"/>
              <w:rPr>
                <w:b/>
                <w:kern w:val="0"/>
                <w:szCs w:val="24"/>
              </w:rPr>
            </w:pPr>
          </w:p>
        </w:tc>
        <w:tc>
          <w:tcPr>
            <w:tcW w:w="876" w:type="pct"/>
            <w:vAlign w:val="center"/>
          </w:tcPr>
          <w:p>
            <w:pPr>
              <w:widowControl/>
              <w:spacing w:line="240" w:lineRule="auto"/>
              <w:ind w:firstLine="0" w:firstLineChars="0"/>
              <w:jc w:val="center"/>
              <w:rPr>
                <w:b/>
                <w:kern w:val="0"/>
                <w:szCs w:val="24"/>
              </w:rPr>
            </w:pPr>
            <w:r>
              <w:rPr>
                <w:b/>
                <w:kern w:val="0"/>
                <w:szCs w:val="24"/>
              </w:rPr>
              <w:t>排放方式</w:t>
            </w:r>
          </w:p>
        </w:tc>
        <w:tc>
          <w:tcPr>
            <w:tcW w:w="3505" w:type="pct"/>
            <w:gridSpan w:val="3"/>
            <w:vAlign w:val="center"/>
          </w:tcPr>
          <w:p>
            <w:pPr>
              <w:autoSpaceDE w:val="0"/>
              <w:autoSpaceDN w:val="0"/>
              <w:adjustRightInd w:val="0"/>
              <w:spacing w:line="240" w:lineRule="auto"/>
              <w:ind w:firstLine="0" w:firstLineChars="0"/>
              <w:jc w:val="center"/>
            </w:pPr>
            <w:r>
              <w:rPr>
                <w:rFonts w:hint="eastAsia"/>
              </w:rPr>
              <w:t>连续排放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pct"/>
            <w:vMerge w:val="continue"/>
            <w:vAlign w:val="center"/>
          </w:tcPr>
          <w:p>
            <w:pPr>
              <w:widowControl/>
              <w:spacing w:line="240" w:lineRule="auto"/>
              <w:ind w:firstLine="0" w:firstLineChars="0"/>
              <w:jc w:val="center"/>
              <w:rPr>
                <w:b/>
                <w:kern w:val="0"/>
                <w:szCs w:val="24"/>
              </w:rPr>
            </w:pPr>
          </w:p>
        </w:tc>
        <w:tc>
          <w:tcPr>
            <w:tcW w:w="876" w:type="pct"/>
            <w:vAlign w:val="center"/>
          </w:tcPr>
          <w:p>
            <w:pPr>
              <w:widowControl/>
              <w:spacing w:line="240" w:lineRule="auto"/>
              <w:ind w:firstLine="0" w:firstLineChars="0"/>
              <w:jc w:val="center"/>
              <w:rPr>
                <w:b/>
                <w:kern w:val="0"/>
                <w:szCs w:val="24"/>
              </w:rPr>
            </w:pPr>
            <w:r>
              <w:rPr>
                <w:b/>
                <w:kern w:val="0"/>
                <w:szCs w:val="24"/>
              </w:rPr>
              <w:t>入河方式</w:t>
            </w:r>
          </w:p>
        </w:tc>
        <w:tc>
          <w:tcPr>
            <w:tcW w:w="3505" w:type="pct"/>
            <w:gridSpan w:val="3"/>
            <w:vAlign w:val="center"/>
          </w:tcPr>
          <w:p>
            <w:pPr>
              <w:autoSpaceDE w:val="0"/>
              <w:autoSpaceDN w:val="0"/>
              <w:adjustRightInd w:val="0"/>
              <w:spacing w:line="240" w:lineRule="auto"/>
              <w:ind w:firstLine="0" w:firstLineChars="0"/>
              <w:jc w:val="center"/>
            </w:pPr>
            <w:r>
              <w:rPr>
                <w:rFonts w:hint="eastAsia" w:hAnsi="宋体"/>
                <w:szCs w:val="21"/>
              </w:rPr>
              <w:t>污水处理后通过总排口（DW001）排入项目东侧沟渠，</w:t>
            </w:r>
            <w:r>
              <w:rPr>
                <w:rFonts w:hint="eastAsia"/>
              </w:rPr>
              <w:t>澹水水位低于34m时，污水通过下游155m处农灌沟渠自流口排入澹水右岸（岸边排放）；澹水水位高于34m时，污水经农灌沟渠通过下游250m处东洲机埠电排排入澹水右岸（岸边排放）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pct"/>
            <w:vMerge w:val="continue"/>
            <w:vAlign w:val="center"/>
          </w:tcPr>
          <w:p>
            <w:pPr>
              <w:widowControl/>
              <w:spacing w:line="240" w:lineRule="auto"/>
              <w:ind w:firstLine="0" w:firstLineChars="0"/>
              <w:jc w:val="center"/>
              <w:rPr>
                <w:b/>
                <w:kern w:val="0"/>
                <w:szCs w:val="24"/>
              </w:rPr>
            </w:pPr>
          </w:p>
        </w:tc>
        <w:tc>
          <w:tcPr>
            <w:tcW w:w="876" w:type="pct"/>
            <w:vAlign w:val="center"/>
          </w:tcPr>
          <w:p>
            <w:pPr>
              <w:widowControl/>
              <w:spacing w:line="240" w:lineRule="auto"/>
              <w:ind w:firstLine="0" w:firstLineChars="0"/>
              <w:jc w:val="center"/>
              <w:rPr>
                <w:b/>
                <w:kern w:val="0"/>
                <w:szCs w:val="24"/>
              </w:rPr>
            </w:pPr>
            <w:r>
              <w:rPr>
                <w:b/>
                <w:kern w:val="0"/>
                <w:szCs w:val="24"/>
              </w:rPr>
              <w:t>规模</w:t>
            </w:r>
          </w:p>
        </w:tc>
        <w:tc>
          <w:tcPr>
            <w:tcW w:w="3505" w:type="pct"/>
            <w:gridSpan w:val="3"/>
            <w:vAlign w:val="center"/>
          </w:tcPr>
          <w:p>
            <w:pPr>
              <w:autoSpaceDE w:val="0"/>
              <w:autoSpaceDN w:val="0"/>
              <w:adjustRightInd w:val="0"/>
              <w:spacing w:line="240" w:lineRule="auto"/>
              <w:ind w:firstLine="0" w:firstLineChars="0"/>
              <w:jc w:val="center"/>
            </w:pPr>
            <w:r>
              <w:rPr>
                <w:rFonts w:hint="eastAsia"/>
              </w:rPr>
              <w:t>一期工程环评设计规模60000m</w:t>
            </w:r>
            <w:r>
              <w:rPr>
                <w:rFonts w:hint="eastAsia"/>
                <w:vertAlign w:val="superscript"/>
              </w:rPr>
              <w:t>3</w:t>
            </w:r>
            <w:r>
              <w:rPr>
                <w:rFonts w:hint="eastAsia"/>
              </w:rPr>
              <w:t>/d，已建成规模30000m</w:t>
            </w:r>
            <w:r>
              <w:rPr>
                <w:rFonts w:hint="eastAsia"/>
                <w:vertAlign w:val="superscript"/>
              </w:rPr>
              <w:t>3</w:t>
            </w:r>
            <w:r>
              <w:rPr>
                <w:rFonts w:hint="eastAsia"/>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pct"/>
            <w:vMerge w:val="continue"/>
            <w:vAlign w:val="center"/>
          </w:tcPr>
          <w:p>
            <w:pPr>
              <w:widowControl/>
              <w:spacing w:line="240" w:lineRule="auto"/>
              <w:ind w:firstLine="0" w:firstLineChars="0"/>
              <w:jc w:val="center"/>
              <w:rPr>
                <w:b/>
                <w:kern w:val="0"/>
                <w:szCs w:val="24"/>
              </w:rPr>
            </w:pPr>
          </w:p>
        </w:tc>
        <w:tc>
          <w:tcPr>
            <w:tcW w:w="876" w:type="pct"/>
            <w:vAlign w:val="center"/>
          </w:tcPr>
          <w:p>
            <w:pPr>
              <w:widowControl/>
              <w:spacing w:line="240" w:lineRule="auto"/>
              <w:ind w:firstLine="0" w:firstLineChars="0"/>
              <w:jc w:val="center"/>
              <w:rPr>
                <w:b/>
                <w:kern w:val="0"/>
                <w:szCs w:val="24"/>
              </w:rPr>
            </w:pPr>
            <w:r>
              <w:rPr>
                <w:b/>
                <w:kern w:val="0"/>
                <w:szCs w:val="24"/>
              </w:rPr>
              <w:t>排放标准</w:t>
            </w:r>
          </w:p>
        </w:tc>
        <w:tc>
          <w:tcPr>
            <w:tcW w:w="3505" w:type="pct"/>
            <w:gridSpan w:val="3"/>
            <w:vAlign w:val="center"/>
          </w:tcPr>
          <w:p>
            <w:pPr>
              <w:autoSpaceDE w:val="0"/>
              <w:autoSpaceDN w:val="0"/>
              <w:adjustRightInd w:val="0"/>
              <w:spacing w:line="240" w:lineRule="auto"/>
              <w:ind w:firstLine="0" w:firstLineChars="0"/>
              <w:jc w:val="center"/>
            </w:pPr>
            <w:r>
              <w:t>《城镇污水处理厂污染物排放标准》（GB18918-2002）</w:t>
            </w:r>
          </w:p>
          <w:p>
            <w:pPr>
              <w:autoSpaceDE w:val="0"/>
              <w:autoSpaceDN w:val="0"/>
              <w:adjustRightInd w:val="0"/>
              <w:spacing w:line="240" w:lineRule="auto"/>
              <w:ind w:firstLine="0" w:firstLineChars="0"/>
              <w:jc w:val="center"/>
            </w:pPr>
            <w:r>
              <w:t>一级A标准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pct"/>
            <w:vMerge w:val="restart"/>
            <w:vAlign w:val="center"/>
          </w:tcPr>
          <w:p>
            <w:pPr>
              <w:widowControl/>
              <w:spacing w:line="240" w:lineRule="auto"/>
              <w:ind w:firstLine="0" w:firstLineChars="0"/>
              <w:jc w:val="center"/>
              <w:rPr>
                <w:b/>
                <w:kern w:val="0"/>
                <w:szCs w:val="24"/>
              </w:rPr>
            </w:pPr>
            <w:r>
              <w:rPr>
                <w:b/>
                <w:kern w:val="0"/>
                <w:szCs w:val="24"/>
              </w:rPr>
              <w:t>所属水功能区</w:t>
            </w:r>
          </w:p>
        </w:tc>
        <w:tc>
          <w:tcPr>
            <w:tcW w:w="876" w:type="pct"/>
            <w:vMerge w:val="restart"/>
            <w:vAlign w:val="center"/>
          </w:tcPr>
          <w:p>
            <w:pPr>
              <w:widowControl/>
              <w:spacing w:line="240" w:lineRule="auto"/>
              <w:ind w:firstLine="0" w:firstLineChars="0"/>
              <w:jc w:val="center"/>
              <w:rPr>
                <w:b/>
                <w:kern w:val="0"/>
                <w:szCs w:val="24"/>
              </w:rPr>
            </w:pPr>
            <w:r>
              <w:rPr>
                <w:rFonts w:hint="eastAsia"/>
                <w:b/>
                <w:kern w:val="0"/>
                <w:szCs w:val="24"/>
              </w:rPr>
              <w:t>《澧县水功能区划》</w:t>
            </w:r>
          </w:p>
        </w:tc>
        <w:tc>
          <w:tcPr>
            <w:tcW w:w="717" w:type="pct"/>
            <w:vMerge w:val="restart"/>
            <w:vAlign w:val="center"/>
          </w:tcPr>
          <w:p>
            <w:pPr>
              <w:autoSpaceDE w:val="0"/>
              <w:autoSpaceDN w:val="0"/>
              <w:adjustRightInd w:val="0"/>
              <w:spacing w:line="240" w:lineRule="auto"/>
              <w:ind w:firstLine="0" w:firstLineChars="0"/>
              <w:jc w:val="center"/>
            </w:pPr>
            <w:r>
              <w:rPr>
                <w:rFonts w:hint="eastAsia"/>
              </w:rPr>
              <w:t>澹水开发利用区</w:t>
            </w:r>
          </w:p>
        </w:tc>
        <w:tc>
          <w:tcPr>
            <w:tcW w:w="1353" w:type="pct"/>
            <w:vMerge w:val="restart"/>
            <w:vAlign w:val="center"/>
          </w:tcPr>
          <w:p>
            <w:pPr>
              <w:autoSpaceDE w:val="0"/>
              <w:autoSpaceDN w:val="0"/>
              <w:adjustRightInd w:val="0"/>
              <w:spacing w:line="240" w:lineRule="auto"/>
              <w:ind w:firstLine="0" w:firstLineChars="0"/>
              <w:jc w:val="center"/>
            </w:pPr>
            <w:r>
              <w:rPr>
                <w:rFonts w:hint="eastAsia"/>
              </w:rPr>
              <w:t>起于澧县澧澹街道任家港，止于澧澹街道东洲，全长15.93km</w:t>
            </w:r>
          </w:p>
        </w:tc>
        <w:tc>
          <w:tcPr>
            <w:tcW w:w="1435" w:type="pct"/>
            <w:vAlign w:val="center"/>
          </w:tcPr>
          <w:p>
            <w:pPr>
              <w:autoSpaceDE w:val="0"/>
              <w:autoSpaceDN w:val="0"/>
              <w:adjustRightInd w:val="0"/>
              <w:spacing w:line="240" w:lineRule="auto"/>
              <w:ind w:firstLine="0" w:firstLineChars="0"/>
              <w:jc w:val="center"/>
            </w:pPr>
            <w:r>
              <w:t>现状水质：</w:t>
            </w:r>
            <w:r>
              <w:rPr>
                <w:rFonts w:hint="eastAsia" w:ascii="宋体" w:hAnsi="宋体" w:cs="宋体"/>
              </w:rPr>
              <w:t>Ⅱ</w:t>
            </w:r>
            <w:r>
              <w:t>～</w:t>
            </w:r>
            <w:r>
              <w:rPr>
                <w:rFonts w:hint="eastAsia"/>
              </w:rPr>
              <w:t>劣</w:t>
            </w:r>
            <w:r>
              <w:rPr>
                <w:rFonts w:hint="eastAsia" w:ascii="宋体" w:hAnsi="宋体" w:cs="宋体"/>
              </w:rPr>
              <w:t>Ⅴ</w:t>
            </w:r>
            <w: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pct"/>
            <w:vMerge w:val="continue"/>
            <w:vAlign w:val="center"/>
          </w:tcPr>
          <w:p>
            <w:pPr>
              <w:widowControl/>
              <w:spacing w:line="240" w:lineRule="auto"/>
              <w:ind w:firstLine="0" w:firstLineChars="0"/>
              <w:jc w:val="center"/>
              <w:rPr>
                <w:b/>
                <w:kern w:val="0"/>
                <w:szCs w:val="24"/>
              </w:rPr>
            </w:pPr>
          </w:p>
        </w:tc>
        <w:tc>
          <w:tcPr>
            <w:tcW w:w="876" w:type="pct"/>
            <w:vMerge w:val="continue"/>
            <w:vAlign w:val="center"/>
          </w:tcPr>
          <w:p>
            <w:pPr>
              <w:widowControl/>
              <w:spacing w:line="240" w:lineRule="auto"/>
              <w:ind w:firstLine="0" w:firstLineChars="0"/>
              <w:jc w:val="center"/>
              <w:rPr>
                <w:b/>
                <w:kern w:val="0"/>
                <w:szCs w:val="24"/>
              </w:rPr>
            </w:pPr>
          </w:p>
        </w:tc>
        <w:tc>
          <w:tcPr>
            <w:tcW w:w="717" w:type="pct"/>
            <w:vMerge w:val="continue"/>
            <w:vAlign w:val="center"/>
          </w:tcPr>
          <w:p>
            <w:pPr>
              <w:autoSpaceDE w:val="0"/>
              <w:autoSpaceDN w:val="0"/>
              <w:adjustRightInd w:val="0"/>
              <w:spacing w:line="240" w:lineRule="auto"/>
              <w:ind w:firstLine="0" w:firstLineChars="0"/>
              <w:jc w:val="center"/>
            </w:pPr>
          </w:p>
        </w:tc>
        <w:tc>
          <w:tcPr>
            <w:tcW w:w="1353" w:type="pct"/>
            <w:vMerge w:val="continue"/>
            <w:vAlign w:val="center"/>
          </w:tcPr>
          <w:p>
            <w:pPr>
              <w:autoSpaceDE w:val="0"/>
              <w:autoSpaceDN w:val="0"/>
              <w:adjustRightInd w:val="0"/>
              <w:spacing w:line="240" w:lineRule="auto"/>
              <w:ind w:firstLine="0" w:firstLineChars="0"/>
              <w:jc w:val="center"/>
            </w:pPr>
          </w:p>
        </w:tc>
        <w:tc>
          <w:tcPr>
            <w:tcW w:w="1435" w:type="pct"/>
            <w:vAlign w:val="center"/>
          </w:tcPr>
          <w:p>
            <w:pPr>
              <w:autoSpaceDE w:val="0"/>
              <w:autoSpaceDN w:val="0"/>
              <w:adjustRightInd w:val="0"/>
              <w:spacing w:line="240" w:lineRule="auto"/>
              <w:ind w:firstLine="0" w:firstLineChars="0"/>
              <w:jc w:val="center"/>
            </w:pPr>
            <w:r>
              <w:t>水质管理目标：Ⅲ～Ⅳ类</w:t>
            </w:r>
            <w:r>
              <w:rPr>
                <w:rFonts w:hint="eastAsia"/>
              </w:rPr>
              <w:t>，本次论证按</w:t>
            </w:r>
            <w:r>
              <w:t>Ⅲ</w:t>
            </w:r>
            <w:r>
              <w:rPr>
                <w:rFonts w:hint="eastAsia"/>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pct"/>
            <w:gridSpan w:val="2"/>
            <w:vAlign w:val="center"/>
          </w:tcPr>
          <w:p>
            <w:pPr>
              <w:widowControl/>
              <w:spacing w:line="240" w:lineRule="auto"/>
              <w:ind w:firstLine="0" w:firstLineChars="0"/>
              <w:jc w:val="center"/>
              <w:rPr>
                <w:b/>
                <w:kern w:val="0"/>
                <w:szCs w:val="24"/>
              </w:rPr>
            </w:pPr>
            <w:r>
              <w:rPr>
                <w:b/>
                <w:kern w:val="0"/>
                <w:szCs w:val="24"/>
              </w:rPr>
              <w:t>论证及分析范围</w:t>
            </w:r>
          </w:p>
        </w:tc>
        <w:tc>
          <w:tcPr>
            <w:tcW w:w="3505" w:type="pct"/>
            <w:gridSpan w:val="3"/>
            <w:vAlign w:val="center"/>
          </w:tcPr>
          <w:p>
            <w:pPr>
              <w:autoSpaceDE w:val="0"/>
              <w:autoSpaceDN w:val="0"/>
              <w:adjustRightInd w:val="0"/>
              <w:spacing w:line="240" w:lineRule="auto"/>
              <w:ind w:firstLine="480"/>
              <w:jc w:val="center"/>
              <w:rPr>
                <w:position w:val="-1"/>
                <w:szCs w:val="24"/>
              </w:rPr>
            </w:pPr>
            <w:r>
              <w:rPr>
                <w:position w:val="-1"/>
                <w:szCs w:val="24"/>
              </w:rPr>
              <w:t>本项目论证范围为</w:t>
            </w:r>
            <w:r>
              <w:rPr>
                <w:rFonts w:hint="eastAsia"/>
                <w:position w:val="-1"/>
                <w:szCs w:val="24"/>
              </w:rPr>
              <w:t>总排口（</w:t>
            </w:r>
            <w:r>
              <w:rPr>
                <w:position w:val="-1"/>
                <w:szCs w:val="24"/>
              </w:rPr>
              <w:t>坐标为</w:t>
            </w:r>
            <w:r>
              <w:t>E 111°51′53.58781″，N 29°38′49.76332″</w:t>
            </w:r>
            <w:r>
              <w:rPr>
                <w:rFonts w:hint="eastAsia"/>
                <w:position w:val="-1"/>
                <w:szCs w:val="24"/>
              </w:rPr>
              <w:t>）至</w:t>
            </w:r>
            <w:r>
              <w:rPr>
                <w:szCs w:val="21"/>
              </w:rPr>
              <w:t>东洲机埠电排</w:t>
            </w:r>
            <w:r>
              <w:rPr>
                <w:rFonts w:hint="eastAsia"/>
                <w:szCs w:val="21"/>
              </w:rPr>
              <w:t>（</w:t>
            </w:r>
            <w:r>
              <w:t>111°52′0</w:t>
            </w:r>
            <w:r>
              <w:rPr>
                <w:rFonts w:hint="eastAsia"/>
              </w:rPr>
              <w:t>0</w:t>
            </w:r>
            <w:r>
              <w:t>.30279″，N 29°38′43.66977″</w:t>
            </w:r>
            <w:r>
              <w:rPr>
                <w:rFonts w:hint="eastAsia"/>
                <w:szCs w:val="21"/>
              </w:rPr>
              <w:t>）250m长农灌沟渠</w:t>
            </w:r>
            <w:r>
              <w:rPr>
                <w:rFonts w:hint="eastAsia"/>
                <w:position w:val="-1"/>
                <w:szCs w:val="24"/>
              </w:rPr>
              <w:t>；</w:t>
            </w:r>
            <w:r>
              <w:rPr>
                <w:rFonts w:hint="eastAsia"/>
                <w:szCs w:val="21"/>
              </w:rPr>
              <w:t>农罐沟渠自流口入</w:t>
            </w:r>
            <w:r>
              <w:rPr>
                <w:position w:val="-1"/>
                <w:szCs w:val="24"/>
              </w:rPr>
              <w:t>澹水处上游1000m（坐标为E111°51′55.85171″，N29°39′15.04980″）至澹水</w:t>
            </w:r>
            <w:r>
              <w:t>与涔水汇合处</w:t>
            </w:r>
            <w:r>
              <w:rPr>
                <w:position w:val="-1"/>
                <w:szCs w:val="24"/>
              </w:rPr>
              <w:t>（坐标为</w:t>
            </w:r>
            <w:r>
              <w:t>E111°54′2.89338″，N 29°39′39.71520″</w:t>
            </w:r>
            <w:r>
              <w:rPr>
                <w:position w:val="-1"/>
                <w:szCs w:val="24"/>
              </w:rPr>
              <w:t>），该河段全长6.6km</w:t>
            </w:r>
          </w:p>
        </w:tc>
      </w:tr>
    </w:tbl>
    <w:p>
      <w:pPr>
        <w:pStyle w:val="15"/>
        <w:kinsoku w:val="0"/>
        <w:overflowPunct w:val="0"/>
        <w:spacing w:before="0"/>
        <w:ind w:left="0" w:firstLine="562"/>
        <w:jc w:val="center"/>
        <w:rPr>
          <w:rFonts w:hint="default"/>
          <w:b/>
          <w:szCs w:val="22"/>
        </w:rPr>
        <w:sectPr>
          <w:footerReference r:id="rId12" w:type="default"/>
          <w:pgSz w:w="11910" w:h="16840"/>
          <w:pgMar w:top="1418" w:right="1588" w:bottom="1418" w:left="1588" w:header="720" w:footer="720" w:gutter="0"/>
          <w:pgNumType w:start="1"/>
          <w:cols w:space="720" w:num="1"/>
        </w:sectPr>
      </w:pPr>
    </w:p>
    <w:p>
      <w:pPr>
        <w:ind w:firstLine="480"/>
        <w:sectPr>
          <w:pgSz w:w="11906" w:h="16838"/>
          <w:pgMar w:top="1418" w:right="1588" w:bottom="1418" w:left="1588" w:header="851" w:footer="992" w:gutter="0"/>
          <w:pgNumType w:fmt="upperRoman" w:start="1"/>
          <w:cols w:space="425" w:num="1"/>
          <w:docGrid w:type="lines" w:linePitch="326" w:charSpace="0"/>
        </w:sectPr>
      </w:pPr>
    </w:p>
    <w:p>
      <w:pPr>
        <w:pStyle w:val="2"/>
      </w:pPr>
      <w:bookmarkStart w:id="0" w:name="_Toc166145920"/>
      <w:r>
        <w:rPr>
          <w:rFonts w:hint="eastAsia"/>
        </w:rPr>
        <w:t>1. 总则</w:t>
      </w:r>
      <w:bookmarkEnd w:id="0"/>
    </w:p>
    <w:p>
      <w:pPr>
        <w:pStyle w:val="3"/>
      </w:pPr>
      <w:bookmarkStart w:id="1" w:name="_Toc166145921"/>
      <w:r>
        <w:rPr>
          <w:rFonts w:hint="eastAsia"/>
        </w:rPr>
        <w:t>1.1项目由来</w:t>
      </w:r>
      <w:bookmarkEnd w:id="1"/>
    </w:p>
    <w:p>
      <w:pPr>
        <w:ind w:firstLine="480"/>
        <w:rPr>
          <w:sz w:val="23"/>
          <w:szCs w:val="23"/>
        </w:rPr>
      </w:pPr>
      <w:r>
        <w:rPr>
          <w:rFonts w:hint="eastAsia"/>
        </w:rPr>
        <w:t>澧县东部新区污水处理厂位于澧县澧澹街道东洲村，</w:t>
      </w:r>
      <w:r>
        <w:rPr>
          <w:rFonts w:hint="eastAsia"/>
          <w:kern w:val="0"/>
        </w:rPr>
        <w:t>澧县</w:t>
      </w:r>
      <w:r>
        <w:rPr>
          <w:kern w:val="0"/>
        </w:rPr>
        <w:t>澧</w:t>
      </w:r>
      <w:r>
        <w:rPr>
          <w:rFonts w:hint="eastAsia"/>
          <w:kern w:val="0"/>
        </w:rPr>
        <w:t>州</w:t>
      </w:r>
      <w:r>
        <w:rPr>
          <w:kern w:val="0"/>
        </w:rPr>
        <w:t>新城投资开发有限公司</w:t>
      </w:r>
      <w:r>
        <w:rPr>
          <w:rFonts w:hint="eastAsia"/>
          <w:kern w:val="0"/>
        </w:rPr>
        <w:t>投资</w:t>
      </w:r>
      <w:r>
        <w:rPr>
          <w:rFonts w:hint="eastAsia"/>
        </w:rPr>
        <w:t>43800.00</w:t>
      </w:r>
      <w:r>
        <w:t>万元</w:t>
      </w:r>
      <w:r>
        <w:rPr>
          <w:rFonts w:hint="eastAsia"/>
        </w:rPr>
        <w:t>建设。</w:t>
      </w:r>
      <w:r>
        <w:rPr>
          <w:rFonts w:hAnsi="宋体"/>
        </w:rPr>
        <w:t>污水处理厂占地面积为</w:t>
      </w:r>
      <w:r>
        <w:t>89336.68m</w:t>
      </w:r>
      <w:r>
        <w:rPr>
          <w:vertAlign w:val="superscript"/>
        </w:rPr>
        <w:t>2</w:t>
      </w:r>
      <w:r>
        <w:rPr>
          <w:rFonts w:hAnsi="宋体"/>
        </w:rPr>
        <w:t>，</w:t>
      </w:r>
      <w:r>
        <w:rPr>
          <w:rFonts w:hint="eastAsia" w:hAnsi="宋体"/>
        </w:rPr>
        <w:t>其中</w:t>
      </w:r>
      <w:r>
        <w:rPr>
          <w:rFonts w:hAnsi="宋体"/>
        </w:rPr>
        <w:t>一期占地面积</w:t>
      </w:r>
      <w:r>
        <w:t>57518.47m</w:t>
      </w:r>
      <w:r>
        <w:rPr>
          <w:vertAlign w:val="superscript"/>
        </w:rPr>
        <w:t>2</w:t>
      </w:r>
      <w:r>
        <w:rPr>
          <w:rFonts w:hAnsi="宋体"/>
          <w:szCs w:val="24"/>
        </w:rPr>
        <w:t>，</w:t>
      </w:r>
      <w:r>
        <w:rPr>
          <w:rFonts w:hint="eastAsia" w:hAnsi="宋体"/>
          <w:szCs w:val="24"/>
        </w:rPr>
        <w:t>一期工程</w:t>
      </w:r>
      <w:r>
        <w:rPr>
          <w:rFonts w:hAnsi="宋体"/>
          <w:szCs w:val="24"/>
        </w:rPr>
        <w:t>设计</w:t>
      </w:r>
      <w:r>
        <w:rPr>
          <w:rFonts w:hint="eastAsia" w:hAnsi="宋体"/>
          <w:szCs w:val="24"/>
        </w:rPr>
        <w:t>污水处理</w:t>
      </w:r>
      <w:r>
        <w:rPr>
          <w:rFonts w:hAnsi="宋体"/>
          <w:szCs w:val="24"/>
        </w:rPr>
        <w:t>规模为</w:t>
      </w:r>
      <w:r>
        <w:rPr>
          <w:szCs w:val="24"/>
        </w:rPr>
        <w:t>6.0</w:t>
      </w:r>
      <w:r>
        <w:rPr>
          <w:rFonts w:hAnsi="宋体"/>
          <w:szCs w:val="24"/>
        </w:rPr>
        <w:t>万</w:t>
      </w:r>
      <w:r>
        <w:rPr>
          <w:szCs w:val="24"/>
        </w:rPr>
        <w:t>m</w:t>
      </w:r>
      <w:r>
        <w:rPr>
          <w:szCs w:val="24"/>
          <w:vertAlign w:val="superscript"/>
        </w:rPr>
        <w:t>3</w:t>
      </w:r>
      <w:r>
        <w:rPr>
          <w:szCs w:val="24"/>
        </w:rPr>
        <w:t>/d</w:t>
      </w:r>
      <w:r>
        <w:rPr>
          <w:rFonts w:hAnsi="宋体"/>
          <w:szCs w:val="24"/>
        </w:rPr>
        <w:t>，</w:t>
      </w:r>
      <w:r>
        <w:rPr>
          <w:rFonts w:hint="eastAsia" w:hAnsi="宋体"/>
          <w:szCs w:val="24"/>
        </w:rPr>
        <w:t>目前已建成规模</w:t>
      </w:r>
      <w:r>
        <w:rPr>
          <w:rFonts w:hAnsi="宋体"/>
          <w:szCs w:val="24"/>
        </w:rPr>
        <w:t>为</w:t>
      </w:r>
      <w:r>
        <w:rPr>
          <w:szCs w:val="24"/>
        </w:rPr>
        <w:t>3.0</w:t>
      </w:r>
      <w:r>
        <w:rPr>
          <w:rFonts w:hAnsi="宋体"/>
          <w:szCs w:val="24"/>
        </w:rPr>
        <w:t>万</w:t>
      </w:r>
      <w:r>
        <w:rPr>
          <w:szCs w:val="24"/>
        </w:rPr>
        <w:t>m</w:t>
      </w:r>
      <w:r>
        <w:rPr>
          <w:szCs w:val="24"/>
          <w:vertAlign w:val="superscript"/>
        </w:rPr>
        <w:t>3</w:t>
      </w:r>
      <w:r>
        <w:rPr>
          <w:szCs w:val="24"/>
        </w:rPr>
        <w:t>/d</w:t>
      </w:r>
      <w:r>
        <w:rPr>
          <w:rFonts w:hAnsi="宋体"/>
        </w:rPr>
        <w:t>，采用氧化沟工艺</w:t>
      </w:r>
      <w:r>
        <w:rPr>
          <w:rFonts w:hint="eastAsia" w:hAnsi="宋体"/>
        </w:rPr>
        <w:t>。</w:t>
      </w:r>
      <w:r>
        <w:t>项目服务范围为</w:t>
      </w:r>
      <w:r>
        <w:rPr>
          <w:rFonts w:hint="eastAsia"/>
        </w:rPr>
        <w:t>澧县东部新区，东至东部新区污水处理厂，西至经二十路，南至纬七路，北至发展大道（东洲社区），共22平方公里的区域，主要</w:t>
      </w:r>
      <w:r>
        <w:rPr>
          <w:rFonts w:hint="eastAsia" w:hAnsi="宋体"/>
        </w:rPr>
        <w:t>处理</w:t>
      </w:r>
      <w:r>
        <w:rPr>
          <w:rFonts w:hint="eastAsia"/>
        </w:rPr>
        <w:t>澧县东部新区生活污水及及澧县创新创业园工业排水。</w:t>
      </w:r>
    </w:p>
    <w:p>
      <w:pPr>
        <w:ind w:firstLine="480"/>
        <w:rPr>
          <w:rFonts w:hAnsi="宋体"/>
          <w:szCs w:val="24"/>
          <w:u w:val="single"/>
        </w:rPr>
      </w:pPr>
      <w:r>
        <w:rPr>
          <w:rFonts w:hAnsi="宋体"/>
          <w:szCs w:val="24"/>
          <w:u w:val="single"/>
        </w:rPr>
        <w:t>澧县澧州新城投资开发有限公司委托常德市双赢环境咨询服务有限公司于</w:t>
      </w:r>
      <w:r>
        <w:rPr>
          <w:szCs w:val="24"/>
          <w:u w:val="single"/>
        </w:rPr>
        <w:t>2017</w:t>
      </w:r>
      <w:r>
        <w:rPr>
          <w:rFonts w:hAnsi="宋体"/>
          <w:szCs w:val="24"/>
          <w:u w:val="single"/>
        </w:rPr>
        <w:t>年</w:t>
      </w:r>
      <w:r>
        <w:rPr>
          <w:szCs w:val="24"/>
          <w:u w:val="single"/>
        </w:rPr>
        <w:t>10</w:t>
      </w:r>
      <w:r>
        <w:rPr>
          <w:rFonts w:hAnsi="宋体"/>
          <w:szCs w:val="24"/>
          <w:u w:val="single"/>
        </w:rPr>
        <w:t>月编制了《澧县东部新区污水处理厂建设项目环境影响报告书》，</w:t>
      </w:r>
      <w:r>
        <w:rPr>
          <w:szCs w:val="24"/>
          <w:u w:val="single"/>
        </w:rPr>
        <w:t>2018</w:t>
      </w:r>
      <w:r>
        <w:rPr>
          <w:rFonts w:hAnsi="宋体"/>
          <w:szCs w:val="24"/>
          <w:u w:val="single"/>
        </w:rPr>
        <w:t>年</w:t>
      </w:r>
      <w:r>
        <w:rPr>
          <w:szCs w:val="24"/>
          <w:u w:val="single"/>
        </w:rPr>
        <w:t>3</w:t>
      </w:r>
      <w:r>
        <w:rPr>
          <w:rFonts w:hAnsi="宋体"/>
          <w:szCs w:val="24"/>
          <w:u w:val="single"/>
        </w:rPr>
        <w:t>月</w:t>
      </w:r>
      <w:r>
        <w:rPr>
          <w:szCs w:val="24"/>
          <w:u w:val="single"/>
        </w:rPr>
        <w:t>14</w:t>
      </w:r>
      <w:r>
        <w:rPr>
          <w:rFonts w:hAnsi="宋体"/>
          <w:szCs w:val="24"/>
          <w:u w:val="single"/>
        </w:rPr>
        <w:t>日取得了澧县环境保护局《关于澧县东部新区污水处理厂建设项目环境影响报告书的批复》（澧环审</w:t>
      </w:r>
      <w:r>
        <w:rPr>
          <w:szCs w:val="24"/>
          <w:u w:val="single"/>
        </w:rPr>
        <w:t>[2018]15</w:t>
      </w:r>
      <w:r>
        <w:rPr>
          <w:rFonts w:hAnsi="宋体"/>
          <w:szCs w:val="24"/>
          <w:u w:val="single"/>
        </w:rPr>
        <w:t>号）；项目于</w:t>
      </w:r>
      <w:r>
        <w:rPr>
          <w:szCs w:val="24"/>
          <w:u w:val="single"/>
        </w:rPr>
        <w:t>2018</w:t>
      </w:r>
      <w:r>
        <w:rPr>
          <w:rFonts w:hAnsi="宋体"/>
          <w:szCs w:val="24"/>
          <w:u w:val="single"/>
        </w:rPr>
        <w:t>年</w:t>
      </w:r>
      <w:r>
        <w:rPr>
          <w:rFonts w:hint="eastAsia"/>
          <w:szCs w:val="24"/>
          <w:u w:val="single"/>
        </w:rPr>
        <w:t>3</w:t>
      </w:r>
      <w:r>
        <w:rPr>
          <w:rFonts w:hAnsi="宋体"/>
          <w:szCs w:val="24"/>
          <w:u w:val="single"/>
        </w:rPr>
        <w:t>月</w:t>
      </w:r>
      <w:r>
        <w:rPr>
          <w:rFonts w:hint="eastAsia" w:hAnsi="宋体"/>
          <w:szCs w:val="24"/>
          <w:u w:val="single"/>
        </w:rPr>
        <w:t>底</w:t>
      </w:r>
      <w:r>
        <w:rPr>
          <w:rFonts w:hAnsi="宋体"/>
          <w:szCs w:val="24"/>
          <w:u w:val="single"/>
        </w:rPr>
        <w:t>开</w:t>
      </w:r>
      <w:r>
        <w:rPr>
          <w:rFonts w:hint="eastAsia" w:hAnsi="宋体"/>
          <w:szCs w:val="24"/>
          <w:u w:val="single"/>
        </w:rPr>
        <w:t>工</w:t>
      </w:r>
      <w:r>
        <w:rPr>
          <w:rFonts w:hAnsi="宋体"/>
          <w:szCs w:val="24"/>
          <w:u w:val="single"/>
        </w:rPr>
        <w:t>建设，</w:t>
      </w:r>
      <w:r>
        <w:rPr>
          <w:szCs w:val="24"/>
          <w:u w:val="single"/>
        </w:rPr>
        <w:t>202</w:t>
      </w:r>
      <w:r>
        <w:rPr>
          <w:rFonts w:hint="eastAsia"/>
          <w:szCs w:val="24"/>
          <w:u w:val="single"/>
        </w:rPr>
        <w:t>3</w:t>
      </w:r>
      <w:r>
        <w:rPr>
          <w:rFonts w:hAnsi="宋体"/>
          <w:szCs w:val="24"/>
          <w:u w:val="single"/>
        </w:rPr>
        <w:t>年</w:t>
      </w:r>
      <w:r>
        <w:rPr>
          <w:rFonts w:hint="eastAsia"/>
          <w:szCs w:val="24"/>
          <w:u w:val="single"/>
        </w:rPr>
        <w:t>3</w:t>
      </w:r>
      <w:r>
        <w:rPr>
          <w:rFonts w:hAnsi="宋体"/>
          <w:szCs w:val="24"/>
          <w:u w:val="single"/>
        </w:rPr>
        <w:t>月投入试运行</w:t>
      </w:r>
      <w:r>
        <w:rPr>
          <w:rFonts w:hint="eastAsia" w:hAnsi="宋体"/>
          <w:szCs w:val="24"/>
          <w:u w:val="single"/>
        </w:rPr>
        <w:t>。</w:t>
      </w:r>
    </w:p>
    <w:p>
      <w:pPr>
        <w:ind w:firstLine="480"/>
        <w:rPr>
          <w:szCs w:val="24"/>
          <w:u w:val="single"/>
        </w:rPr>
      </w:pPr>
      <w:r>
        <w:rPr>
          <w:rFonts w:hint="eastAsia"/>
          <w:szCs w:val="24"/>
          <w:u w:val="single"/>
        </w:rPr>
        <w:t>环评中</w:t>
      </w:r>
      <w:r>
        <w:rPr>
          <w:rFonts w:hint="eastAsia"/>
          <w:kern w:val="0"/>
          <w:u w:val="single"/>
        </w:rPr>
        <w:t>澧县东部新区污水处理厂</w:t>
      </w:r>
      <w:r>
        <w:rPr>
          <w:rFonts w:hint="eastAsia"/>
          <w:szCs w:val="24"/>
          <w:u w:val="single"/>
        </w:rPr>
        <w:t>尾水通过DN800专管排入澹水，入河排污口经纬度为E</w:t>
      </w:r>
      <w:r>
        <w:rPr>
          <w:szCs w:val="24"/>
          <w:u w:val="single"/>
        </w:rPr>
        <w:t>111.86519623</w:t>
      </w:r>
      <w:r>
        <w:rPr>
          <w:rFonts w:hint="eastAsia"/>
          <w:szCs w:val="24"/>
          <w:u w:val="single"/>
        </w:rPr>
        <w:t>°、N</w:t>
      </w:r>
      <w:r>
        <w:rPr>
          <w:szCs w:val="24"/>
          <w:u w:val="single"/>
        </w:rPr>
        <w:t>29.64850736</w:t>
      </w:r>
      <w:r>
        <w:rPr>
          <w:rFonts w:hint="eastAsia"/>
          <w:szCs w:val="24"/>
          <w:u w:val="single"/>
        </w:rPr>
        <w:t>°；实际建设中由于污水管网占地与穿越河堤等问题，根据澧县水利局复函（详见附件6），</w:t>
      </w:r>
      <w:r>
        <w:rPr>
          <w:szCs w:val="24"/>
          <w:u w:val="single"/>
        </w:rPr>
        <w:t>从防洪安全的角度</w:t>
      </w:r>
      <w:r>
        <w:rPr>
          <w:rFonts w:hint="eastAsia"/>
          <w:szCs w:val="24"/>
          <w:u w:val="single"/>
        </w:rPr>
        <w:t>项目不宜</w:t>
      </w:r>
      <w:r>
        <w:rPr>
          <w:szCs w:val="24"/>
          <w:u w:val="single"/>
        </w:rPr>
        <w:t>设置专管</w:t>
      </w:r>
      <w:r>
        <w:rPr>
          <w:rFonts w:hint="eastAsia"/>
          <w:szCs w:val="24"/>
          <w:u w:val="single"/>
        </w:rPr>
        <w:t>穿</w:t>
      </w:r>
      <w:r>
        <w:rPr>
          <w:szCs w:val="24"/>
          <w:u w:val="single"/>
        </w:rPr>
        <w:t>堤</w:t>
      </w:r>
      <w:r>
        <w:rPr>
          <w:rFonts w:hint="eastAsia"/>
          <w:szCs w:val="24"/>
          <w:u w:val="single"/>
        </w:rPr>
        <w:t>排入</w:t>
      </w:r>
      <w:r>
        <w:rPr>
          <w:szCs w:val="24"/>
          <w:u w:val="single"/>
        </w:rPr>
        <w:t>澹水河</w:t>
      </w:r>
      <w:r>
        <w:rPr>
          <w:rFonts w:hint="eastAsia"/>
          <w:szCs w:val="24"/>
          <w:u w:val="single"/>
        </w:rPr>
        <w:t>。</w:t>
      </w:r>
    </w:p>
    <w:p>
      <w:pPr>
        <w:ind w:firstLine="480"/>
        <w:rPr>
          <w:kern w:val="0"/>
          <w:u w:val="single"/>
        </w:rPr>
      </w:pPr>
      <w:r>
        <w:rPr>
          <w:rFonts w:hint="eastAsia"/>
          <w:szCs w:val="24"/>
          <w:u w:val="single"/>
        </w:rPr>
        <w:t>根据现场勘查，</w:t>
      </w:r>
      <w:r>
        <w:rPr>
          <w:rFonts w:hint="eastAsia"/>
          <w:kern w:val="0"/>
          <w:u w:val="single"/>
        </w:rPr>
        <w:t>澧县东部新区污水处理厂污水采用氧化沟工艺处理后通过废水总排口（DW001）排入项目东侧农灌沟渠，澹水水位低于34m时（一般为10月至次年3月），污水通过下游155m处农灌沟渠自流口排入澹水，入河排放口（自流口）位于澹水右岸，入河</w:t>
      </w:r>
      <w:r>
        <w:rPr>
          <w:kern w:val="0"/>
          <w:u w:val="single"/>
        </w:rPr>
        <w:t>坐标E111°5</w:t>
      </w:r>
      <w:r>
        <w:rPr>
          <w:rFonts w:hint="eastAsia"/>
          <w:kern w:val="0"/>
          <w:u w:val="single"/>
        </w:rPr>
        <w:t>1</w:t>
      </w:r>
      <w:r>
        <w:rPr>
          <w:kern w:val="0"/>
          <w:u w:val="single"/>
        </w:rPr>
        <w:t>′</w:t>
      </w:r>
      <w:r>
        <w:rPr>
          <w:rFonts w:hint="eastAsia"/>
          <w:kern w:val="0"/>
          <w:u w:val="single"/>
        </w:rPr>
        <w:t>58.38470</w:t>
      </w:r>
      <w:r>
        <w:rPr>
          <w:kern w:val="0"/>
          <w:u w:val="single"/>
        </w:rPr>
        <w:t>″，N 29°38′</w:t>
      </w:r>
      <w:r>
        <w:rPr>
          <w:rFonts w:hint="eastAsia"/>
          <w:kern w:val="0"/>
          <w:u w:val="single"/>
        </w:rPr>
        <w:t>45.95730</w:t>
      </w:r>
      <w:r>
        <w:rPr>
          <w:kern w:val="0"/>
          <w:u w:val="single"/>
        </w:rPr>
        <w:t>″</w:t>
      </w:r>
      <w:r>
        <w:rPr>
          <w:rFonts w:hint="eastAsia"/>
          <w:kern w:val="0"/>
          <w:u w:val="single"/>
        </w:rPr>
        <w:t>；澹水水位高于34m时（一般为4月至9月），农灌渠自流口闸门通过人工关闭，污水通过下游250m处的</w:t>
      </w:r>
      <w:r>
        <w:rPr>
          <w:kern w:val="0"/>
          <w:u w:val="single"/>
        </w:rPr>
        <w:t>东洲机埠电排排入澹水河</w:t>
      </w:r>
      <w:r>
        <w:rPr>
          <w:rFonts w:hint="eastAsia"/>
          <w:kern w:val="0"/>
          <w:u w:val="single"/>
        </w:rPr>
        <w:t>，入河排放口（</w:t>
      </w:r>
      <w:r>
        <w:rPr>
          <w:kern w:val="0"/>
          <w:u w:val="single"/>
        </w:rPr>
        <w:t>东洲机埠电排</w:t>
      </w:r>
      <w:r>
        <w:rPr>
          <w:rFonts w:hint="eastAsia"/>
          <w:kern w:val="0"/>
          <w:u w:val="single"/>
        </w:rPr>
        <w:t>）位于澹水右岸，入河</w:t>
      </w:r>
      <w:r>
        <w:rPr>
          <w:kern w:val="0"/>
          <w:u w:val="single"/>
        </w:rPr>
        <w:t>坐标E 111°52′0</w:t>
      </w:r>
      <w:r>
        <w:rPr>
          <w:rFonts w:hint="eastAsia"/>
          <w:kern w:val="0"/>
          <w:u w:val="single"/>
        </w:rPr>
        <w:t>0</w:t>
      </w:r>
      <w:r>
        <w:rPr>
          <w:kern w:val="0"/>
          <w:u w:val="single"/>
        </w:rPr>
        <w:t>.30279″，N 29°38′43.66977″</w:t>
      </w:r>
      <w:r>
        <w:rPr>
          <w:rFonts w:hint="eastAsia"/>
          <w:kern w:val="0"/>
          <w:u w:val="single"/>
        </w:rPr>
        <w:t>。</w:t>
      </w:r>
    </w:p>
    <w:p>
      <w:pPr>
        <w:ind w:firstLine="480"/>
        <w:rPr>
          <w:kern w:val="0"/>
          <w:u w:val="single"/>
        </w:rPr>
      </w:pPr>
      <w:r>
        <w:rPr>
          <w:rFonts w:hint="eastAsia"/>
          <w:kern w:val="0"/>
          <w:u w:val="single"/>
        </w:rPr>
        <w:t>本项目已于</w:t>
      </w:r>
      <w:r>
        <w:rPr>
          <w:kern w:val="0"/>
          <w:u w:val="single"/>
        </w:rPr>
        <w:t>202</w:t>
      </w:r>
      <w:r>
        <w:rPr>
          <w:rFonts w:hint="eastAsia"/>
          <w:kern w:val="0"/>
          <w:u w:val="single"/>
        </w:rPr>
        <w:t>3</w:t>
      </w:r>
      <w:r>
        <w:rPr>
          <w:kern w:val="0"/>
          <w:u w:val="single"/>
        </w:rPr>
        <w:t>年</w:t>
      </w:r>
      <w:r>
        <w:rPr>
          <w:rFonts w:hint="eastAsia"/>
          <w:kern w:val="0"/>
          <w:u w:val="single"/>
        </w:rPr>
        <w:t>3</w:t>
      </w:r>
      <w:r>
        <w:rPr>
          <w:kern w:val="0"/>
          <w:u w:val="single"/>
        </w:rPr>
        <w:t>月投入试运行</w:t>
      </w:r>
      <w:r>
        <w:rPr>
          <w:rFonts w:hint="eastAsia"/>
          <w:kern w:val="0"/>
          <w:u w:val="single"/>
        </w:rPr>
        <w:t>，根据</w:t>
      </w:r>
      <w:r>
        <w:rPr>
          <w:u w:val="single"/>
        </w:rPr>
        <w:t>《湖南省入河（湖）排污口监督管理工作方案》（湘环发[2023]31号）</w:t>
      </w:r>
      <w:r>
        <w:rPr>
          <w:rFonts w:hint="eastAsia"/>
          <w:u w:val="single"/>
        </w:rPr>
        <w:t>中“三、重点任务——（三）严格规范设置审批”中“</w:t>
      </w:r>
      <w:r>
        <w:rPr>
          <w:rFonts w:hint="eastAsia"/>
          <w:b/>
          <w:u w:val="single"/>
        </w:rPr>
        <w:t>3、已建排污口补办设置审批要求。对于已建成（排查后予以保留的）未办理排污口设置审批手续的工矿企业、工业及其他各类园区污水处理厂、城镇污水处理厂，各市州应要求排污口责任主体单位限期补办设置审批手续</w:t>
      </w:r>
      <w:r>
        <w:rPr>
          <w:rFonts w:hint="eastAsia"/>
          <w:u w:val="single"/>
        </w:rPr>
        <w:t>”，</w:t>
      </w:r>
      <w:r>
        <w:rPr>
          <w:rFonts w:hint="eastAsia"/>
          <w:kern w:val="0"/>
          <w:u w:val="single"/>
        </w:rPr>
        <w:t>因此本次论证为已批复的项目补办排污口设置手续。</w:t>
      </w:r>
    </w:p>
    <w:p>
      <w:pPr>
        <w:pStyle w:val="15"/>
        <w:spacing w:before="0" w:line="360" w:lineRule="auto"/>
        <w:ind w:left="0" w:firstLine="480" w:firstLineChars="200"/>
        <w:jc w:val="both"/>
        <w:rPr>
          <w:rFonts w:hint="default" w:ascii="Times New Roman" w:hAnsi="Times New Roman"/>
          <w:sz w:val="24"/>
          <w:szCs w:val="22"/>
        </w:rPr>
      </w:pPr>
      <w:r>
        <w:rPr>
          <w:rFonts w:ascii="Times New Roman" w:hAnsi="Times New Roman"/>
          <w:sz w:val="24"/>
          <w:szCs w:val="22"/>
        </w:rPr>
        <w:t>为促进水资源优化配置，保证水资源可持续利用，保障建设项目的合理排水要求，我公司受</w:t>
      </w:r>
      <w:r>
        <w:rPr>
          <w:sz w:val="24"/>
          <w:lang w:val="zh-CN"/>
        </w:rPr>
        <w:t>澧县澧州新城投资开发有限公司</w:t>
      </w:r>
      <w:r>
        <w:rPr>
          <w:rFonts w:ascii="Times New Roman" w:hAnsi="Times New Roman"/>
          <w:sz w:val="24"/>
          <w:szCs w:val="22"/>
        </w:rPr>
        <w:t>的委托，根据</w:t>
      </w:r>
      <w:r>
        <w:rPr>
          <w:rFonts w:hint="default" w:ascii="Times New Roman" w:hAnsi="Times New Roman"/>
          <w:sz w:val="24"/>
          <w:szCs w:val="22"/>
        </w:rPr>
        <w:t>《湖南省入河</w:t>
      </w:r>
      <w:r>
        <w:rPr>
          <w:rFonts w:ascii="Times New Roman" w:hAnsi="Times New Roman"/>
          <w:sz w:val="24"/>
          <w:szCs w:val="22"/>
        </w:rPr>
        <w:t>（湖）</w:t>
      </w:r>
      <w:r>
        <w:rPr>
          <w:rFonts w:hint="default" w:ascii="Times New Roman" w:hAnsi="Times New Roman"/>
          <w:sz w:val="24"/>
          <w:szCs w:val="22"/>
        </w:rPr>
        <w:t>排污口监督管理工作方案》（湘环发[202</w:t>
      </w:r>
      <w:r>
        <w:rPr>
          <w:rFonts w:ascii="Times New Roman" w:hAnsi="Times New Roman"/>
          <w:sz w:val="24"/>
          <w:szCs w:val="22"/>
        </w:rPr>
        <w:t>3</w:t>
      </w:r>
      <w:r>
        <w:rPr>
          <w:rFonts w:hint="default" w:ascii="Times New Roman" w:hAnsi="Times New Roman"/>
          <w:sz w:val="24"/>
          <w:szCs w:val="22"/>
        </w:rPr>
        <w:t>]31号）</w:t>
      </w:r>
      <w:r>
        <w:rPr>
          <w:rFonts w:ascii="Times New Roman" w:hAnsi="Times New Roman"/>
          <w:sz w:val="24"/>
          <w:szCs w:val="22"/>
        </w:rPr>
        <w:t>、《湖南省入河排污口监督管理办法》及《入河排污口设置论证基本要求（试行）》的有关规定，对</w:t>
      </w:r>
      <w:r>
        <w:rPr>
          <w:sz w:val="24"/>
        </w:rPr>
        <w:t>澧县东部新区污水处理厂一期</w:t>
      </w:r>
      <w:r>
        <w:rPr>
          <w:rFonts w:ascii="Times New Roman" w:hAnsi="Times New Roman"/>
          <w:sz w:val="24"/>
          <w:szCs w:val="22"/>
        </w:rPr>
        <w:t>工程（处理规模60000m</w:t>
      </w:r>
      <w:r>
        <w:rPr>
          <w:rFonts w:ascii="Times New Roman" w:hAnsi="Times New Roman"/>
          <w:sz w:val="24"/>
          <w:szCs w:val="22"/>
          <w:vertAlign w:val="superscript"/>
        </w:rPr>
        <w:t>3</w:t>
      </w:r>
      <w:r>
        <w:rPr>
          <w:rFonts w:ascii="Times New Roman" w:hAnsi="Times New Roman"/>
          <w:sz w:val="24"/>
          <w:szCs w:val="22"/>
        </w:rPr>
        <w:t>/d）入河排污口设置进行论证工作，并编制完成《</w:t>
      </w:r>
      <w:r>
        <w:rPr>
          <w:sz w:val="24"/>
        </w:rPr>
        <w:t>澧县东部新区污水处理厂</w:t>
      </w:r>
      <w:r>
        <w:rPr>
          <w:rFonts w:ascii="Times New Roman" w:hAnsi="Times New Roman"/>
          <w:sz w:val="24"/>
          <w:szCs w:val="22"/>
        </w:rPr>
        <w:t>入澹水河排污口设置论证报告》。</w:t>
      </w:r>
    </w:p>
    <w:p>
      <w:pPr>
        <w:pStyle w:val="3"/>
      </w:pPr>
      <w:bookmarkStart w:id="2" w:name="_Toc166145922"/>
      <w:r>
        <w:rPr>
          <w:rFonts w:hint="eastAsia"/>
        </w:rPr>
        <w:t>1.2 论证目的</w:t>
      </w:r>
      <w:bookmarkEnd w:id="2"/>
    </w:p>
    <w:p>
      <w:pPr>
        <w:ind w:firstLine="480"/>
      </w:pPr>
      <w:r>
        <w:rPr>
          <w:rFonts w:hint="eastAsia"/>
        </w:rPr>
        <w:t>实施入河排污口监督管理是保护水资源、改善水环境、促进水资源可持续利用的重要措施，也是水资源保护工作的重要内容之一。入河排污口是污染物进入水体的主要通道之一，通过排污口每天有大量的污废水排入河流，对河流造成污染威胁。为加强入河排污口监督管理，保护水资源，保障防洪和工程设施安全，促进水资源的可持续利用，根据相关法律法规，需要对入河排污口的设置进行科学论证。因此入河排污口设置的论证工作是做好入河排污口监督管理的前提，也是建立良好水资源管理体制的前提。</w:t>
      </w:r>
    </w:p>
    <w:p>
      <w:pPr>
        <w:ind w:firstLine="480"/>
      </w:pPr>
      <w:r>
        <w:rPr>
          <w:rFonts w:hint="eastAsia"/>
        </w:rPr>
        <w:t>根据《中华人民共和国水法》、《中华人民共和国水污染防治法》、《入河排污口监督管理办法》和《关于做好入河排污口和水功能区划相关工作的通知》等法律法规的要求，在江河、湖泊新建、改建和扩大排污口，需经行政主管部门审批。在项目建设单位提交的申请材料中应包括《入河排污口设置论证报告》。</w:t>
      </w:r>
    </w:p>
    <w:p>
      <w:pPr>
        <w:ind w:firstLine="480"/>
      </w:pPr>
      <w:r>
        <w:rPr>
          <w:rFonts w:hint="eastAsia"/>
        </w:rPr>
        <w:t>本次论证通过实地查勘，收集该建设项目前期相关技术资料及审查意见，分析入河排污口，在满足水功能区保护要求的前提下，论证入河排污口设置对水功能区、水生态和第三者权益的影响以及对区域污染物的削减效果。根据纳污能力、排污总量控制、水生态保护等要求，提出水资源保护措施，优化入河排污口设置方案，为各级环保主管部门或流域管理机构审批入河排污口设置方案以及建设单位合理设置入河排污口提供科学依据，以保障生活、生产和生态用水安全。</w:t>
      </w:r>
    </w:p>
    <w:p>
      <w:pPr>
        <w:pStyle w:val="3"/>
        <w:keepNext w:val="0"/>
        <w:keepLines w:val="0"/>
      </w:pPr>
      <w:bookmarkStart w:id="3" w:name="_Toc166145923"/>
      <w:r>
        <w:rPr>
          <w:rFonts w:hint="eastAsia"/>
        </w:rPr>
        <w:t>1.3 论证原则及依据</w:t>
      </w:r>
      <w:bookmarkEnd w:id="3"/>
    </w:p>
    <w:p>
      <w:pPr>
        <w:pStyle w:val="4"/>
      </w:pPr>
      <w:r>
        <w:rPr>
          <w:rFonts w:hint="eastAsia"/>
        </w:rPr>
        <w:t>1.3.1 论证原则</w:t>
      </w:r>
    </w:p>
    <w:p>
      <w:pPr>
        <w:ind w:firstLine="480"/>
      </w:pPr>
      <w:r>
        <w:rPr>
          <w:rFonts w:hint="eastAsia"/>
        </w:rPr>
        <w:t>（1）符合国家法律、法规和相关政策的要求和规定。</w:t>
      </w:r>
    </w:p>
    <w:p>
      <w:pPr>
        <w:ind w:firstLine="480"/>
      </w:pPr>
      <w:r>
        <w:rPr>
          <w:rFonts w:hint="eastAsia"/>
        </w:rPr>
        <w:t>（2）符合国家和行业有关技术标准与规范、规程。</w:t>
      </w:r>
    </w:p>
    <w:p>
      <w:pPr>
        <w:ind w:firstLine="480"/>
      </w:pPr>
      <w:r>
        <w:rPr>
          <w:rFonts w:hint="eastAsia"/>
        </w:rPr>
        <w:t>（3）符合流域或区域的综合规划及水资源保护等专业规划。</w:t>
      </w:r>
    </w:p>
    <w:p>
      <w:pPr>
        <w:ind w:firstLine="480"/>
      </w:pPr>
      <w:r>
        <w:rPr>
          <w:rFonts w:hint="eastAsia"/>
        </w:rPr>
        <w:t>（4）符合水功能区管理要求和水域水环境容量。</w:t>
      </w:r>
    </w:p>
    <w:p>
      <w:pPr>
        <w:pStyle w:val="3"/>
        <w:keepNext w:val="0"/>
        <w:keepLines w:val="0"/>
      </w:pPr>
      <w:bookmarkStart w:id="4" w:name="_Toc166145924"/>
      <w:r>
        <w:rPr>
          <w:rFonts w:hint="eastAsia"/>
        </w:rPr>
        <w:t>1.4 论证依据</w:t>
      </w:r>
      <w:bookmarkEnd w:id="4"/>
    </w:p>
    <w:p>
      <w:pPr>
        <w:pStyle w:val="5"/>
        <w:rPr>
          <w:sz w:val="24"/>
          <w:szCs w:val="24"/>
        </w:rPr>
      </w:pPr>
      <w:r>
        <w:rPr>
          <w:rFonts w:hint="eastAsia"/>
          <w:sz w:val="24"/>
          <w:szCs w:val="24"/>
        </w:rPr>
        <w:t>1.4.1 法律法规、政策</w:t>
      </w:r>
    </w:p>
    <w:p>
      <w:pPr>
        <w:ind w:firstLine="480"/>
        <w:rPr>
          <w:szCs w:val="24"/>
        </w:rPr>
      </w:pPr>
      <w:r>
        <w:rPr>
          <w:rFonts w:hint="eastAsia"/>
          <w:szCs w:val="24"/>
        </w:rPr>
        <w:t>（1）《中华人民共和国水法》（中华人民共和国主席令第74号，2016年7月2日修正版）；</w:t>
      </w:r>
    </w:p>
    <w:p>
      <w:pPr>
        <w:ind w:firstLine="480"/>
        <w:rPr>
          <w:szCs w:val="24"/>
        </w:rPr>
      </w:pPr>
      <w:r>
        <w:rPr>
          <w:rFonts w:hint="eastAsia"/>
          <w:szCs w:val="24"/>
        </w:rPr>
        <w:t>（2）《中华人民共和国水污染防治法》（2017年6月27日修正）；</w:t>
      </w:r>
    </w:p>
    <w:p>
      <w:pPr>
        <w:ind w:firstLine="480"/>
        <w:rPr>
          <w:szCs w:val="24"/>
        </w:rPr>
      </w:pPr>
      <w:r>
        <w:rPr>
          <w:rFonts w:hint="eastAsia"/>
          <w:szCs w:val="24"/>
        </w:rPr>
        <w:t>（3）《中华人民共和国环境保护法》（2014年4月24日修订）；</w:t>
      </w:r>
    </w:p>
    <w:p>
      <w:pPr>
        <w:ind w:firstLine="480"/>
        <w:rPr>
          <w:szCs w:val="24"/>
        </w:rPr>
      </w:pPr>
      <w:r>
        <w:rPr>
          <w:rFonts w:hint="eastAsia"/>
          <w:szCs w:val="24"/>
        </w:rPr>
        <w:t>（4）《</w:t>
      </w:r>
      <w:r>
        <w:rPr>
          <w:szCs w:val="24"/>
        </w:rPr>
        <w:t>中华人民共和国长江保护法</w:t>
      </w:r>
      <w:r>
        <w:rPr>
          <w:rFonts w:hint="eastAsia"/>
          <w:szCs w:val="24"/>
        </w:rPr>
        <w:t>》（2022年02月25日发布）；</w:t>
      </w:r>
    </w:p>
    <w:p>
      <w:pPr>
        <w:ind w:firstLine="480"/>
        <w:rPr>
          <w:szCs w:val="24"/>
        </w:rPr>
      </w:pPr>
      <w:r>
        <w:rPr>
          <w:rFonts w:hint="eastAsia"/>
          <w:szCs w:val="24"/>
        </w:rPr>
        <w:t>（5）《中华人民共和国环境影响评价法》（20</w:t>
      </w:r>
      <w:r>
        <w:rPr>
          <w:szCs w:val="24"/>
        </w:rPr>
        <w:t>18</w:t>
      </w:r>
      <w:r>
        <w:rPr>
          <w:rFonts w:hint="eastAsia"/>
          <w:szCs w:val="24"/>
        </w:rPr>
        <w:t>年</w:t>
      </w:r>
      <w:r>
        <w:rPr>
          <w:szCs w:val="24"/>
        </w:rPr>
        <w:t>12</w:t>
      </w:r>
      <w:r>
        <w:rPr>
          <w:rFonts w:hint="eastAsia"/>
          <w:szCs w:val="24"/>
        </w:rPr>
        <w:t>月2</w:t>
      </w:r>
      <w:r>
        <w:rPr>
          <w:szCs w:val="24"/>
        </w:rPr>
        <w:t>9</w:t>
      </w:r>
      <w:r>
        <w:rPr>
          <w:rFonts w:hint="eastAsia"/>
          <w:szCs w:val="24"/>
        </w:rPr>
        <w:t>日修正）；</w:t>
      </w:r>
    </w:p>
    <w:p>
      <w:pPr>
        <w:ind w:firstLine="480"/>
        <w:rPr>
          <w:szCs w:val="24"/>
        </w:rPr>
      </w:pPr>
      <w:r>
        <w:rPr>
          <w:rFonts w:hint="eastAsia"/>
          <w:szCs w:val="24"/>
        </w:rPr>
        <w:t>（6）《中华人民共和国河道管理条例》（国务院令第676号修改，2017年3月1日）；</w:t>
      </w:r>
    </w:p>
    <w:p>
      <w:pPr>
        <w:ind w:firstLine="480"/>
        <w:rPr>
          <w:szCs w:val="24"/>
        </w:rPr>
      </w:pPr>
      <w:r>
        <w:rPr>
          <w:rFonts w:hint="eastAsia"/>
          <w:szCs w:val="24"/>
        </w:rPr>
        <w:t>（7）《建设项目水资源论证管理办法》（水利部、国家计委第15号令）；</w:t>
      </w:r>
    </w:p>
    <w:p>
      <w:pPr>
        <w:ind w:firstLine="480"/>
        <w:rPr>
          <w:szCs w:val="24"/>
        </w:rPr>
      </w:pPr>
      <w:r>
        <w:rPr>
          <w:rFonts w:hint="eastAsia"/>
          <w:szCs w:val="24"/>
        </w:rPr>
        <w:t>（8）《关于做好建设项目水资源论证工作的通知》（水资源[2002]145号）；</w:t>
      </w:r>
    </w:p>
    <w:p>
      <w:pPr>
        <w:ind w:firstLine="480"/>
        <w:rPr>
          <w:szCs w:val="24"/>
        </w:rPr>
      </w:pPr>
      <w:r>
        <w:rPr>
          <w:rFonts w:hint="eastAsia"/>
          <w:szCs w:val="24"/>
        </w:rPr>
        <w:t>（9）《入河排污口监督管理办法》（</w:t>
      </w:r>
      <w:r>
        <w:rPr>
          <w:rFonts w:hint="eastAsia"/>
        </w:rPr>
        <w:t>水利部令第47号修改，2015.12</w:t>
      </w:r>
      <w:r>
        <w:rPr>
          <w:rFonts w:hint="eastAsia"/>
          <w:szCs w:val="24"/>
        </w:rPr>
        <w:t>）；</w:t>
      </w:r>
    </w:p>
    <w:p>
      <w:pPr>
        <w:ind w:firstLine="480"/>
        <w:rPr>
          <w:szCs w:val="24"/>
        </w:rPr>
      </w:pPr>
      <w:r>
        <w:rPr>
          <w:rFonts w:hint="eastAsia"/>
          <w:szCs w:val="24"/>
        </w:rPr>
        <w:t>（10）</w:t>
      </w:r>
      <w:r>
        <w:t>《水利部关于进一步加强人河排污口监督管理工作的通知》（水利部水资源〔2017〕138号，2017年3月23日）</w:t>
      </w:r>
      <w:r>
        <w:rPr>
          <w:rFonts w:hint="eastAsia"/>
          <w:szCs w:val="24"/>
        </w:rPr>
        <w:t>；</w:t>
      </w:r>
    </w:p>
    <w:p>
      <w:pPr>
        <w:ind w:firstLine="480"/>
        <w:rPr>
          <w:szCs w:val="24"/>
        </w:rPr>
      </w:pPr>
      <w:r>
        <w:rPr>
          <w:rFonts w:hint="eastAsia"/>
          <w:szCs w:val="24"/>
        </w:rPr>
        <w:t>（11）《水功能区管理办法》（水利部水资源[2017]101号；</w:t>
      </w:r>
    </w:p>
    <w:p>
      <w:pPr>
        <w:ind w:firstLine="480"/>
        <w:rPr>
          <w:szCs w:val="24"/>
        </w:rPr>
      </w:pPr>
      <w:r>
        <w:rPr>
          <w:rFonts w:hint="eastAsia"/>
          <w:szCs w:val="24"/>
        </w:rPr>
        <w:t>（12）</w:t>
      </w:r>
      <w:r>
        <w:rPr>
          <w:szCs w:val="24"/>
        </w:rPr>
        <w:t>《国务院关于印发水污染防治行动计划的通知》</w:t>
      </w:r>
      <w:r>
        <w:rPr>
          <w:rFonts w:hint="eastAsia"/>
          <w:szCs w:val="24"/>
        </w:rPr>
        <w:t>(</w:t>
      </w:r>
      <w:r>
        <w:rPr>
          <w:szCs w:val="24"/>
        </w:rPr>
        <w:t>国发</w:t>
      </w:r>
      <w:r>
        <w:rPr>
          <w:rFonts w:hint="eastAsia"/>
          <w:szCs w:val="24"/>
        </w:rPr>
        <w:t>[</w:t>
      </w:r>
      <w:r>
        <w:rPr>
          <w:szCs w:val="24"/>
        </w:rPr>
        <w:t>2015</w:t>
      </w:r>
      <w:r>
        <w:rPr>
          <w:rFonts w:hint="eastAsia"/>
          <w:szCs w:val="24"/>
        </w:rPr>
        <w:t>]</w:t>
      </w:r>
      <w:r>
        <w:rPr>
          <w:szCs w:val="24"/>
        </w:rPr>
        <w:t>17号</w:t>
      </w:r>
      <w:r>
        <w:rPr>
          <w:rFonts w:hint="eastAsia"/>
          <w:szCs w:val="24"/>
        </w:rPr>
        <w:t>)；</w:t>
      </w:r>
    </w:p>
    <w:p>
      <w:pPr>
        <w:ind w:firstLine="480"/>
        <w:rPr>
          <w:szCs w:val="24"/>
        </w:rPr>
      </w:pPr>
      <w:r>
        <w:rPr>
          <w:rFonts w:hint="eastAsia"/>
          <w:szCs w:val="24"/>
        </w:rPr>
        <w:t>（13）《湖南省入河排污口监督管理办法》（湘政办发[2018]44号）；</w:t>
      </w:r>
    </w:p>
    <w:p>
      <w:pPr>
        <w:ind w:firstLine="480"/>
        <w:rPr>
          <w:szCs w:val="24"/>
        </w:rPr>
      </w:pPr>
      <w:r>
        <w:rPr>
          <w:rFonts w:hint="eastAsia"/>
          <w:szCs w:val="24"/>
        </w:rPr>
        <w:t>（14）《饮用水水源保护区污染防治管理规定》（环境保护部令第16号）；</w:t>
      </w:r>
    </w:p>
    <w:p>
      <w:pPr>
        <w:ind w:firstLine="480"/>
        <w:rPr>
          <w:szCs w:val="24"/>
        </w:rPr>
      </w:pPr>
      <w:r>
        <w:rPr>
          <w:rFonts w:hint="eastAsia"/>
          <w:szCs w:val="24"/>
        </w:rPr>
        <w:t>（15）《集中式饮用水水源环境保护指南（试行）》（环办</w:t>
      </w:r>
      <w:r>
        <w:rPr>
          <w:rFonts w:hint="eastAsia"/>
        </w:rPr>
        <w:t>[</w:t>
      </w:r>
      <w:r>
        <w:rPr>
          <w:rFonts w:hint="eastAsia"/>
          <w:szCs w:val="24"/>
        </w:rPr>
        <w:t>2012</w:t>
      </w:r>
      <w:r>
        <w:rPr>
          <w:rFonts w:hint="eastAsia"/>
        </w:rPr>
        <w:t>]</w:t>
      </w:r>
      <w:r>
        <w:rPr>
          <w:rFonts w:hint="eastAsia"/>
          <w:szCs w:val="24"/>
        </w:rPr>
        <w:t>50号）；</w:t>
      </w:r>
    </w:p>
    <w:p>
      <w:pPr>
        <w:ind w:firstLine="480"/>
        <w:rPr>
          <w:szCs w:val="24"/>
        </w:rPr>
      </w:pPr>
      <w:r>
        <w:rPr>
          <w:rFonts w:hint="eastAsia"/>
          <w:szCs w:val="24"/>
        </w:rPr>
        <w:t>（16）《湖南省水功能区划（修编版）》（湖南省水利厅，2014年修编）；</w:t>
      </w:r>
    </w:p>
    <w:p>
      <w:pPr>
        <w:ind w:firstLine="480"/>
        <w:rPr>
          <w:szCs w:val="24"/>
        </w:rPr>
      </w:pPr>
      <w:r>
        <w:rPr>
          <w:rFonts w:hint="eastAsia"/>
          <w:szCs w:val="24"/>
        </w:rPr>
        <w:t>（17）《湖南省主要水系地表水环境功能区划》（DB43023-2005）；</w:t>
      </w:r>
    </w:p>
    <w:p>
      <w:pPr>
        <w:ind w:firstLine="480"/>
        <w:rPr>
          <w:szCs w:val="24"/>
        </w:rPr>
      </w:pPr>
      <w:r>
        <w:rPr>
          <w:rFonts w:hint="eastAsia"/>
          <w:szCs w:val="24"/>
        </w:rPr>
        <w:t>（18）</w:t>
      </w:r>
      <w:r>
        <w:rPr>
          <w:rFonts w:hint="eastAsia"/>
        </w:rPr>
        <w:t>湖南省人民政府关于印发《湖南省贯彻落实＜水污染防治行动计划＞实施方案（2016-2020年）》的通知（湘政办发[2015]53号）；</w:t>
      </w:r>
    </w:p>
    <w:p>
      <w:pPr>
        <w:pStyle w:val="15"/>
        <w:overflowPunct w:val="0"/>
        <w:spacing w:before="0" w:line="360" w:lineRule="auto"/>
        <w:ind w:left="0" w:firstLine="480" w:firstLineChars="200"/>
        <w:jc w:val="both"/>
        <w:rPr>
          <w:rFonts w:hint="default" w:ascii="Times New Roman" w:hAnsi="Times New Roman"/>
          <w:sz w:val="24"/>
          <w:szCs w:val="22"/>
        </w:rPr>
      </w:pPr>
      <w:r>
        <w:rPr>
          <w:rFonts w:ascii="Times New Roman" w:hAnsi="Times New Roman"/>
          <w:sz w:val="24"/>
          <w:szCs w:val="22"/>
        </w:rPr>
        <w:t>（19）湖南省生态环境厅、湖南省农业农村厅、湖南省林业局《关于规范人河排污口设置审批工作的函》（湘环函〔2021〕71号）；</w:t>
      </w:r>
    </w:p>
    <w:p>
      <w:pPr>
        <w:pStyle w:val="15"/>
        <w:overflowPunct w:val="0"/>
        <w:spacing w:before="0" w:line="360" w:lineRule="auto"/>
        <w:ind w:left="0" w:firstLine="480" w:firstLineChars="200"/>
        <w:jc w:val="both"/>
        <w:rPr>
          <w:rFonts w:hint="default" w:ascii="Times New Roman" w:hAnsi="Times New Roman"/>
          <w:sz w:val="24"/>
          <w:szCs w:val="22"/>
        </w:rPr>
      </w:pPr>
      <w:r>
        <w:rPr>
          <w:rFonts w:ascii="Times New Roman" w:hAnsi="Times New Roman"/>
          <w:sz w:val="24"/>
          <w:szCs w:val="22"/>
        </w:rPr>
        <w:t>（20）</w:t>
      </w:r>
      <w:r>
        <w:rPr>
          <w:rFonts w:hint="default" w:ascii="Times New Roman" w:hAnsi="Times New Roman"/>
          <w:sz w:val="24"/>
          <w:szCs w:val="22"/>
        </w:rPr>
        <w:t>《湖南省入河</w:t>
      </w:r>
      <w:r>
        <w:rPr>
          <w:rFonts w:ascii="Times New Roman" w:hAnsi="Times New Roman"/>
          <w:sz w:val="24"/>
          <w:szCs w:val="22"/>
        </w:rPr>
        <w:t>（湖）</w:t>
      </w:r>
      <w:r>
        <w:rPr>
          <w:rFonts w:hint="default" w:ascii="Times New Roman" w:hAnsi="Times New Roman"/>
          <w:sz w:val="24"/>
          <w:szCs w:val="22"/>
        </w:rPr>
        <w:t>排污口监督管理工作方案》（湘环发[202</w:t>
      </w:r>
      <w:r>
        <w:rPr>
          <w:rFonts w:ascii="Times New Roman" w:hAnsi="Times New Roman"/>
          <w:sz w:val="24"/>
          <w:szCs w:val="22"/>
        </w:rPr>
        <w:t>3</w:t>
      </w:r>
      <w:r>
        <w:rPr>
          <w:rFonts w:hint="default" w:ascii="Times New Roman" w:hAnsi="Times New Roman"/>
          <w:sz w:val="24"/>
          <w:szCs w:val="22"/>
        </w:rPr>
        <w:t>]31号）</w:t>
      </w:r>
      <w:r>
        <w:rPr>
          <w:rFonts w:ascii="Times New Roman" w:hAnsi="Times New Roman"/>
          <w:sz w:val="24"/>
          <w:szCs w:val="22"/>
        </w:rPr>
        <w:t>；</w:t>
      </w:r>
    </w:p>
    <w:p>
      <w:pPr>
        <w:pStyle w:val="15"/>
        <w:overflowPunct w:val="0"/>
        <w:spacing w:before="0" w:line="360" w:lineRule="auto"/>
        <w:ind w:left="0" w:firstLine="480" w:firstLineChars="200"/>
        <w:jc w:val="both"/>
        <w:rPr>
          <w:rFonts w:hint="default" w:ascii="Times New Roman" w:hAnsi="Times New Roman"/>
          <w:sz w:val="24"/>
          <w:szCs w:val="22"/>
        </w:rPr>
      </w:pPr>
      <w:r>
        <w:rPr>
          <w:rFonts w:ascii="Times New Roman" w:hAnsi="Times New Roman"/>
          <w:sz w:val="24"/>
          <w:szCs w:val="22"/>
        </w:rPr>
        <w:t>（21）常德市生态环境局《关于加强入河（湖）排污口管理的通知》（常环发〔2021〕7号）；</w:t>
      </w:r>
    </w:p>
    <w:p>
      <w:pPr>
        <w:ind w:firstLine="480"/>
        <w:rPr>
          <w:szCs w:val="24"/>
        </w:rPr>
      </w:pPr>
      <w:r>
        <w:rPr>
          <w:rFonts w:hint="eastAsia"/>
          <w:szCs w:val="24"/>
        </w:rPr>
        <w:t>（22）《常德市水功能区划》（</w:t>
      </w:r>
      <w:r>
        <w:rPr>
          <w:rFonts w:hint="eastAsia" w:ascii="宋体" w:hAnsi="宋体" w:cs="宋体"/>
        </w:rPr>
        <w:t>常政</w:t>
      </w:r>
      <w:r>
        <w:t>函[2014]24号</w:t>
      </w:r>
      <w:r>
        <w:rPr>
          <w:szCs w:val="24"/>
        </w:rPr>
        <w:t>）；</w:t>
      </w:r>
    </w:p>
    <w:p>
      <w:pPr>
        <w:ind w:firstLine="480"/>
      </w:pPr>
      <w:r>
        <w:rPr>
          <w:rFonts w:hint="eastAsia"/>
        </w:rPr>
        <w:t>（23）</w:t>
      </w:r>
      <w:r>
        <w:t>《</w:t>
      </w:r>
      <w:r>
        <w:rPr>
          <w:rFonts w:hint="eastAsia" w:ascii="宋体" w:hAnsi="宋体" w:cs="宋体"/>
          <w:spacing w:val="-2"/>
        </w:rPr>
        <w:t>常德市饮用水水源环境保护条例</w:t>
      </w:r>
      <w:r>
        <w:t>》</w:t>
      </w:r>
      <w:r>
        <w:rPr>
          <w:rFonts w:hint="eastAsia"/>
        </w:rPr>
        <w:t>；</w:t>
      </w:r>
    </w:p>
    <w:p>
      <w:pPr>
        <w:ind w:firstLine="480"/>
      </w:pPr>
      <w:r>
        <w:rPr>
          <w:rFonts w:hint="eastAsia"/>
        </w:rPr>
        <w:t>（24）</w:t>
      </w:r>
      <w:r>
        <w:rPr>
          <w:rFonts w:hint="eastAsia"/>
          <w:szCs w:val="24"/>
        </w:rPr>
        <w:t>《澧县水功能区划》</w:t>
      </w:r>
      <w:r>
        <w:rPr>
          <w:rFonts w:hint="eastAsia"/>
        </w:rPr>
        <w:t>。</w:t>
      </w:r>
    </w:p>
    <w:p>
      <w:pPr>
        <w:pStyle w:val="5"/>
        <w:rPr>
          <w:sz w:val="24"/>
          <w:szCs w:val="24"/>
        </w:rPr>
      </w:pPr>
      <w:r>
        <w:rPr>
          <w:rFonts w:hint="eastAsia"/>
          <w:sz w:val="24"/>
          <w:szCs w:val="24"/>
        </w:rPr>
        <w:t>1.4.2 技术标准和规范</w:t>
      </w:r>
    </w:p>
    <w:p>
      <w:pPr>
        <w:ind w:firstLine="480"/>
        <w:rPr>
          <w:szCs w:val="24"/>
        </w:rPr>
      </w:pPr>
      <w:r>
        <w:rPr>
          <w:rFonts w:hint="eastAsia"/>
          <w:szCs w:val="24"/>
        </w:rPr>
        <w:t>（1）</w:t>
      </w:r>
      <w:r>
        <w:t>《环境影响评价技术导则</w:t>
      </w:r>
      <w:r>
        <w:rPr>
          <w:rFonts w:hint="eastAsia" w:ascii="宋体" w:hAnsi="宋体" w:cs="宋体"/>
        </w:rPr>
        <w:t>—</w:t>
      </w:r>
      <w:r>
        <w:t>地</w:t>
      </w:r>
      <w:r>
        <w:rPr>
          <w:rFonts w:hint="eastAsia"/>
        </w:rPr>
        <w:t>表</w:t>
      </w:r>
      <w:r>
        <w:t>水环境》（HJ2.3-</w:t>
      </w:r>
      <w:r>
        <w:rPr>
          <w:rFonts w:hint="eastAsia"/>
        </w:rPr>
        <w:t>2018</w:t>
      </w:r>
      <w:r>
        <w:t>）</w:t>
      </w:r>
      <w:r>
        <w:rPr>
          <w:rFonts w:hint="eastAsia"/>
        </w:rPr>
        <w:t>；</w:t>
      </w:r>
    </w:p>
    <w:p>
      <w:pPr>
        <w:ind w:firstLine="480"/>
        <w:rPr>
          <w:szCs w:val="24"/>
        </w:rPr>
      </w:pPr>
      <w:r>
        <w:rPr>
          <w:rFonts w:hint="eastAsia"/>
          <w:szCs w:val="24"/>
        </w:rPr>
        <w:t>（2）《水域纳污能力计算规程》（GB/T25173-2010）；</w:t>
      </w:r>
    </w:p>
    <w:p>
      <w:pPr>
        <w:ind w:firstLine="480"/>
        <w:rPr>
          <w:szCs w:val="24"/>
        </w:rPr>
      </w:pPr>
      <w:r>
        <w:rPr>
          <w:rFonts w:hint="eastAsia"/>
          <w:szCs w:val="24"/>
        </w:rPr>
        <w:t>（3）《入河排污口设置论证基本要求（试行）》；</w:t>
      </w:r>
    </w:p>
    <w:p>
      <w:pPr>
        <w:ind w:firstLine="480"/>
        <w:rPr>
          <w:szCs w:val="24"/>
        </w:rPr>
      </w:pPr>
      <w:r>
        <w:rPr>
          <w:rFonts w:hint="eastAsia"/>
          <w:szCs w:val="24"/>
        </w:rPr>
        <w:t>（4）《入河排污口管理技术导则》（SL532-2011）；</w:t>
      </w:r>
    </w:p>
    <w:p>
      <w:pPr>
        <w:ind w:firstLine="480"/>
        <w:rPr>
          <w:szCs w:val="24"/>
        </w:rPr>
      </w:pPr>
      <w:r>
        <w:rPr>
          <w:rFonts w:hint="eastAsia"/>
          <w:szCs w:val="24"/>
        </w:rPr>
        <w:t>（5）《水利水电工程水文计算规范》（SL196-2015）；</w:t>
      </w:r>
    </w:p>
    <w:p>
      <w:pPr>
        <w:ind w:firstLine="480"/>
        <w:rPr>
          <w:szCs w:val="24"/>
        </w:rPr>
      </w:pPr>
      <w:r>
        <w:rPr>
          <w:rFonts w:hint="eastAsia"/>
          <w:szCs w:val="24"/>
        </w:rPr>
        <w:t>（6）《水利工程水利计算规范》（SL104-2015）；</w:t>
      </w:r>
    </w:p>
    <w:p>
      <w:pPr>
        <w:ind w:firstLine="480"/>
        <w:rPr>
          <w:szCs w:val="24"/>
        </w:rPr>
      </w:pPr>
      <w:r>
        <w:rPr>
          <w:rFonts w:hint="eastAsia"/>
          <w:szCs w:val="24"/>
        </w:rPr>
        <w:t>（7）《地表水资源质量评价技术规程》（SL395-2007）；</w:t>
      </w:r>
    </w:p>
    <w:p>
      <w:pPr>
        <w:ind w:firstLine="480"/>
        <w:rPr>
          <w:szCs w:val="24"/>
        </w:rPr>
      </w:pPr>
      <w:r>
        <w:rPr>
          <w:rFonts w:hint="eastAsia"/>
          <w:szCs w:val="24"/>
        </w:rPr>
        <w:t>（8）《城镇污水处理厂污染物排放标准》（GB18918-2002）；</w:t>
      </w:r>
    </w:p>
    <w:p>
      <w:pPr>
        <w:ind w:firstLine="480"/>
        <w:rPr>
          <w:szCs w:val="24"/>
        </w:rPr>
      </w:pPr>
      <w:r>
        <w:rPr>
          <w:rFonts w:hint="eastAsia"/>
          <w:szCs w:val="24"/>
        </w:rPr>
        <w:t>（9）《湖南省地方标准用水定额》（DB43/T388-20</w:t>
      </w:r>
      <w:r>
        <w:rPr>
          <w:szCs w:val="24"/>
        </w:rPr>
        <w:t>20</w:t>
      </w:r>
      <w:r>
        <w:rPr>
          <w:rFonts w:hint="eastAsia"/>
          <w:szCs w:val="24"/>
        </w:rPr>
        <w:t>）。</w:t>
      </w:r>
    </w:p>
    <w:p>
      <w:pPr>
        <w:ind w:firstLine="480"/>
        <w:rPr>
          <w:szCs w:val="24"/>
        </w:rPr>
      </w:pPr>
      <w:r>
        <w:rPr>
          <w:rFonts w:hint="eastAsia"/>
          <w:szCs w:val="24"/>
        </w:rPr>
        <w:t>（10）《地表水环境质量标准》（GB3838-2002）；</w:t>
      </w:r>
    </w:p>
    <w:p>
      <w:pPr>
        <w:pStyle w:val="15"/>
        <w:overflowPunct w:val="0"/>
        <w:spacing w:before="0" w:line="360" w:lineRule="auto"/>
        <w:ind w:left="0" w:firstLine="480" w:firstLineChars="200"/>
        <w:jc w:val="both"/>
        <w:rPr>
          <w:rFonts w:hint="default" w:ascii="Times New Roman" w:hAnsi="Times New Roman"/>
          <w:sz w:val="24"/>
          <w:szCs w:val="22"/>
        </w:rPr>
      </w:pPr>
      <w:r>
        <w:rPr>
          <w:rFonts w:ascii="Times New Roman" w:hAnsi="Times New Roman"/>
          <w:sz w:val="24"/>
          <w:szCs w:val="22"/>
        </w:rPr>
        <w:t>（11）《入河排污口管理技术导则》（SL532-2011）；</w:t>
      </w:r>
    </w:p>
    <w:p>
      <w:pPr>
        <w:pStyle w:val="15"/>
        <w:overflowPunct w:val="0"/>
        <w:spacing w:before="0" w:line="360" w:lineRule="auto"/>
        <w:ind w:left="0" w:firstLine="480" w:firstLineChars="200"/>
        <w:jc w:val="both"/>
        <w:rPr>
          <w:rFonts w:hint="default" w:ascii="Times New Roman" w:hAnsi="Times New Roman"/>
          <w:sz w:val="24"/>
          <w:szCs w:val="22"/>
        </w:rPr>
      </w:pPr>
      <w:r>
        <w:rPr>
          <w:rFonts w:ascii="Times New Roman" w:hAnsi="Times New Roman"/>
          <w:sz w:val="24"/>
          <w:szCs w:val="22"/>
        </w:rPr>
        <w:t>（12）《入河排污量统计技术规程》（SL662-2014）；</w:t>
      </w:r>
    </w:p>
    <w:p>
      <w:pPr>
        <w:pStyle w:val="15"/>
        <w:overflowPunct w:val="0"/>
        <w:spacing w:before="0" w:line="360" w:lineRule="auto"/>
        <w:ind w:left="0" w:firstLine="480" w:firstLineChars="200"/>
        <w:jc w:val="both"/>
        <w:rPr>
          <w:rFonts w:hint="default" w:ascii="Times New Roman" w:hAnsi="Times New Roman"/>
          <w:sz w:val="24"/>
          <w:szCs w:val="22"/>
        </w:rPr>
      </w:pPr>
      <w:r>
        <w:rPr>
          <w:rFonts w:ascii="Times New Roman" w:hAnsi="Times New Roman"/>
          <w:sz w:val="24"/>
          <w:szCs w:val="22"/>
        </w:rPr>
        <w:t>（13）《建设项目水资源论证导则》（SL322-2013）；</w:t>
      </w:r>
    </w:p>
    <w:p>
      <w:pPr>
        <w:pStyle w:val="15"/>
        <w:overflowPunct w:val="0"/>
        <w:spacing w:before="0" w:line="360" w:lineRule="auto"/>
        <w:ind w:left="0" w:firstLine="480" w:firstLineChars="200"/>
        <w:jc w:val="both"/>
        <w:rPr>
          <w:rFonts w:hint="default" w:ascii="Times New Roman" w:hAnsi="Times New Roman"/>
          <w:sz w:val="24"/>
          <w:szCs w:val="22"/>
        </w:rPr>
      </w:pPr>
      <w:r>
        <w:rPr>
          <w:rFonts w:ascii="Times New Roman" w:hAnsi="Times New Roman"/>
          <w:sz w:val="24"/>
          <w:szCs w:val="22"/>
        </w:rPr>
        <w:t>（14）《水域纳污能力计算规程》（GB/T25173-2010）；</w:t>
      </w:r>
    </w:p>
    <w:p>
      <w:pPr>
        <w:pStyle w:val="15"/>
        <w:overflowPunct w:val="0"/>
        <w:spacing w:before="0" w:line="360" w:lineRule="auto"/>
        <w:ind w:left="0" w:firstLine="480" w:firstLineChars="200"/>
        <w:jc w:val="both"/>
        <w:rPr>
          <w:rFonts w:hint="default" w:ascii="Times New Roman" w:hAnsi="Times New Roman"/>
          <w:sz w:val="24"/>
          <w:szCs w:val="22"/>
        </w:rPr>
      </w:pPr>
      <w:r>
        <w:rPr>
          <w:rFonts w:ascii="Times New Roman" w:hAnsi="Times New Roman"/>
          <w:sz w:val="24"/>
          <w:szCs w:val="22"/>
        </w:rPr>
        <w:t>（15）《水环境监测规范》（SL219-2013）；</w:t>
      </w:r>
    </w:p>
    <w:p>
      <w:pPr>
        <w:pStyle w:val="15"/>
        <w:overflowPunct w:val="0"/>
        <w:spacing w:before="0" w:line="360" w:lineRule="auto"/>
        <w:ind w:left="0" w:firstLine="480" w:firstLineChars="200"/>
        <w:jc w:val="both"/>
        <w:rPr>
          <w:rFonts w:hint="default" w:ascii="Times New Roman" w:hAnsi="Times New Roman"/>
          <w:sz w:val="24"/>
          <w:szCs w:val="22"/>
        </w:rPr>
      </w:pPr>
      <w:r>
        <w:rPr>
          <w:rFonts w:ascii="Times New Roman" w:hAnsi="Times New Roman"/>
          <w:sz w:val="24"/>
          <w:szCs w:val="22"/>
        </w:rPr>
        <w:t>（16）《水资源评价导则》（SL/T238-1999）；</w:t>
      </w:r>
    </w:p>
    <w:p>
      <w:pPr>
        <w:pStyle w:val="15"/>
        <w:overflowPunct w:val="0"/>
        <w:spacing w:before="0" w:line="360" w:lineRule="auto"/>
        <w:ind w:left="0" w:firstLine="480" w:firstLineChars="200"/>
        <w:jc w:val="both"/>
        <w:rPr>
          <w:rFonts w:hint="default" w:ascii="Times New Roman" w:hAnsi="Times New Roman"/>
          <w:sz w:val="24"/>
          <w:szCs w:val="22"/>
        </w:rPr>
      </w:pPr>
      <w:r>
        <w:rPr>
          <w:rFonts w:ascii="Times New Roman" w:hAnsi="Times New Roman"/>
          <w:sz w:val="24"/>
          <w:szCs w:val="22"/>
        </w:rPr>
        <w:t>（17）《入河入海排污口监督管理技术指南　整治总则》（HJ 1308-2023）；</w:t>
      </w:r>
    </w:p>
    <w:p>
      <w:pPr>
        <w:pStyle w:val="15"/>
        <w:overflowPunct w:val="0"/>
        <w:spacing w:before="0" w:line="360" w:lineRule="auto"/>
        <w:ind w:left="0" w:firstLine="480" w:firstLineChars="200"/>
        <w:jc w:val="both"/>
        <w:rPr>
          <w:rFonts w:hint="default" w:ascii="Times New Roman" w:hAnsi="Times New Roman"/>
          <w:sz w:val="24"/>
          <w:szCs w:val="22"/>
        </w:rPr>
      </w:pPr>
      <w:r>
        <w:rPr>
          <w:rFonts w:ascii="Times New Roman" w:hAnsi="Times New Roman"/>
          <w:sz w:val="24"/>
          <w:szCs w:val="22"/>
        </w:rPr>
        <w:t>（18）《入河入海排污口监督管理技术指南　入河排污口规范化建设》（HJ 1309-2023）；</w:t>
      </w:r>
    </w:p>
    <w:p>
      <w:pPr>
        <w:pStyle w:val="15"/>
        <w:overflowPunct w:val="0"/>
        <w:spacing w:before="0" w:line="360" w:lineRule="auto"/>
        <w:ind w:left="0" w:firstLine="480" w:firstLineChars="200"/>
        <w:jc w:val="both"/>
        <w:rPr>
          <w:rFonts w:hint="default" w:ascii="Times New Roman" w:hAnsi="Times New Roman"/>
          <w:sz w:val="24"/>
          <w:szCs w:val="22"/>
        </w:rPr>
      </w:pPr>
      <w:r>
        <w:rPr>
          <w:rFonts w:ascii="Times New Roman" w:hAnsi="Times New Roman"/>
          <w:sz w:val="24"/>
          <w:szCs w:val="22"/>
        </w:rPr>
        <w:t>（19）《入河入海排污口监督管理技术指南名词术语》（HJ 1310-2023）；</w:t>
      </w:r>
    </w:p>
    <w:p>
      <w:pPr>
        <w:pStyle w:val="15"/>
        <w:overflowPunct w:val="0"/>
        <w:spacing w:before="0" w:line="360" w:lineRule="auto"/>
        <w:ind w:left="0" w:firstLine="480" w:firstLineChars="200"/>
        <w:jc w:val="both"/>
        <w:rPr>
          <w:rFonts w:hint="default" w:ascii="Times New Roman" w:hAnsi="Times New Roman"/>
          <w:sz w:val="24"/>
          <w:szCs w:val="22"/>
        </w:rPr>
      </w:pPr>
      <w:r>
        <w:rPr>
          <w:rFonts w:ascii="Times New Roman" w:hAnsi="Times New Roman"/>
          <w:sz w:val="24"/>
          <w:szCs w:val="22"/>
        </w:rPr>
        <w:t>（20）《入河入海排污口监督管理技术指南排污口分类》（HJ 1312-2023）。</w:t>
      </w:r>
    </w:p>
    <w:p>
      <w:pPr>
        <w:pStyle w:val="5"/>
        <w:rPr>
          <w:sz w:val="24"/>
          <w:szCs w:val="24"/>
        </w:rPr>
      </w:pPr>
      <w:r>
        <w:rPr>
          <w:rFonts w:hint="eastAsia"/>
          <w:sz w:val="24"/>
          <w:szCs w:val="24"/>
        </w:rPr>
        <w:t>1.4.3 其他资料</w:t>
      </w:r>
    </w:p>
    <w:p>
      <w:pPr>
        <w:pStyle w:val="15"/>
        <w:overflowPunct w:val="0"/>
        <w:spacing w:before="0" w:line="360" w:lineRule="auto"/>
        <w:ind w:left="0" w:firstLine="480" w:firstLineChars="200"/>
        <w:jc w:val="both"/>
        <w:rPr>
          <w:rFonts w:hint="default" w:ascii="Times New Roman" w:hAnsi="Times New Roman"/>
          <w:sz w:val="24"/>
          <w:szCs w:val="22"/>
        </w:rPr>
      </w:pPr>
      <w:r>
        <w:rPr>
          <w:rFonts w:ascii="Times New Roman" w:hAnsi="Times New Roman"/>
          <w:sz w:val="24"/>
          <w:szCs w:val="22"/>
        </w:rPr>
        <w:t>（1）《</w:t>
      </w:r>
      <w:r>
        <w:rPr>
          <w:rFonts w:ascii="Times New Roman" w:hAnsi="Times New Roman"/>
          <w:sz w:val="24"/>
        </w:rPr>
        <w:t>澧县东部新区污水处理厂建设项目环境影响报告书</w:t>
      </w:r>
      <w:r>
        <w:rPr>
          <w:rFonts w:ascii="Times New Roman" w:hAnsi="Times New Roman"/>
          <w:sz w:val="24"/>
          <w:szCs w:val="22"/>
        </w:rPr>
        <w:t>》（常德市双赢环境咨询服务有限公司2018年3月）；</w:t>
      </w:r>
    </w:p>
    <w:p>
      <w:pPr>
        <w:pStyle w:val="15"/>
        <w:overflowPunct w:val="0"/>
        <w:spacing w:before="0" w:line="360" w:lineRule="auto"/>
        <w:ind w:left="0" w:firstLine="480" w:firstLineChars="200"/>
        <w:jc w:val="both"/>
        <w:rPr>
          <w:rFonts w:hint="default" w:ascii="Times New Roman" w:hAnsi="Times New Roman"/>
          <w:sz w:val="24"/>
          <w:szCs w:val="22"/>
        </w:rPr>
      </w:pPr>
      <w:r>
        <w:rPr>
          <w:rFonts w:ascii="Times New Roman" w:hAnsi="Times New Roman"/>
          <w:sz w:val="24"/>
          <w:szCs w:val="22"/>
        </w:rPr>
        <w:t>（2）</w:t>
      </w:r>
      <w:r>
        <w:rPr>
          <w:rFonts w:ascii="Times New Roman" w:hAnsi="Times New Roman"/>
          <w:sz w:val="24"/>
        </w:rPr>
        <w:t>澧县环境保护局《关于澧县东部新区污水处理厂建设项目环境影响报告书的批复》（澧环审[2018]15号）</w:t>
      </w:r>
      <w:r>
        <w:rPr>
          <w:rFonts w:ascii="Times New Roman" w:hAnsi="Times New Roman"/>
          <w:sz w:val="24"/>
          <w:szCs w:val="22"/>
        </w:rPr>
        <w:t>；</w:t>
      </w:r>
    </w:p>
    <w:p>
      <w:pPr>
        <w:pStyle w:val="15"/>
        <w:overflowPunct w:val="0"/>
        <w:spacing w:before="0" w:line="360" w:lineRule="auto"/>
        <w:ind w:left="0" w:firstLine="480" w:firstLineChars="200"/>
        <w:jc w:val="both"/>
        <w:rPr>
          <w:rFonts w:hint="default" w:ascii="Times New Roman" w:hAnsi="Times New Roman"/>
          <w:sz w:val="24"/>
          <w:szCs w:val="22"/>
        </w:rPr>
      </w:pPr>
      <w:r>
        <w:rPr>
          <w:rFonts w:ascii="Times New Roman" w:hAnsi="Times New Roman"/>
          <w:sz w:val="24"/>
          <w:szCs w:val="22"/>
        </w:rPr>
        <w:t>（3）《</w:t>
      </w:r>
      <w:r>
        <w:rPr>
          <w:rFonts w:ascii="Times New Roman" w:hAnsi="Times New Roman"/>
          <w:sz w:val="24"/>
        </w:rPr>
        <w:t>澧县东部新区污水处理厂变更环境影响报告书</w:t>
      </w:r>
      <w:r>
        <w:rPr>
          <w:rFonts w:ascii="Times New Roman" w:hAnsi="Times New Roman"/>
          <w:sz w:val="24"/>
          <w:szCs w:val="22"/>
        </w:rPr>
        <w:t>》（常德市双赢环境咨询服务有限公司2024年5月）；</w:t>
      </w:r>
    </w:p>
    <w:p>
      <w:pPr>
        <w:pStyle w:val="15"/>
        <w:overflowPunct w:val="0"/>
        <w:spacing w:before="0" w:line="360" w:lineRule="auto"/>
        <w:ind w:left="0" w:firstLine="480" w:firstLineChars="200"/>
        <w:jc w:val="both"/>
        <w:rPr>
          <w:rFonts w:hint="default" w:ascii="Times New Roman" w:hAnsi="Times New Roman"/>
          <w:sz w:val="24"/>
          <w:szCs w:val="22"/>
        </w:rPr>
      </w:pPr>
      <w:r>
        <w:rPr>
          <w:rFonts w:ascii="Times New Roman" w:hAnsi="Times New Roman"/>
          <w:sz w:val="24"/>
          <w:szCs w:val="22"/>
        </w:rPr>
        <w:t>（4）建设单位提供的其他资料。</w:t>
      </w:r>
    </w:p>
    <w:p>
      <w:pPr>
        <w:pStyle w:val="3"/>
        <w:keepNext w:val="0"/>
        <w:keepLines w:val="0"/>
      </w:pPr>
      <w:bookmarkStart w:id="5" w:name="_Toc166145925"/>
      <w:r>
        <w:rPr>
          <w:rFonts w:hint="eastAsia"/>
        </w:rPr>
        <w:t>1.5 论证范围</w:t>
      </w:r>
      <w:bookmarkEnd w:id="5"/>
    </w:p>
    <w:p>
      <w:pPr>
        <w:ind w:firstLine="480"/>
      </w:pPr>
      <w:r>
        <w:rPr>
          <w:rFonts w:hint="eastAsia"/>
        </w:rPr>
        <w:t>按照《入河排污口管理技术导则》（SL532-2011）中要求，“可能受入河排污口影响的主要水域和其影响范围内的第三方取、用水户原则上应纳入论证范围。论证工作的基础单元为水功能区，其中入河排污口所在水功能区和可能受到影响的周边水功能区，是论证的重点区域；涉及鱼类产卵场等生态敏感点的，论证范围不限于上述水功能区。</w:t>
      </w:r>
    </w:p>
    <w:p>
      <w:pPr>
        <w:ind w:firstLine="480"/>
      </w:pPr>
      <w:r>
        <w:rPr>
          <w:rFonts w:hint="eastAsia"/>
        </w:rPr>
        <w:t>澧县东部新区污水处理厂入澹水河排污口设置于澹水右岸，企业污水处理后通过废水总排口（DW001）排入项目东侧农灌沟渠，澹水水位低于34m时，污水通过下游155m处农灌沟渠自流口排入澹水；澹水水位高于34m时，污水经农灌沟渠通过下游250m处东洲机埠电排排入澹水。</w:t>
      </w:r>
    </w:p>
    <w:p>
      <w:pPr>
        <w:ind w:firstLine="480"/>
      </w:pPr>
      <w:r>
        <w:rPr>
          <w:rFonts w:hint="eastAsia"/>
          <w:u w:val="single"/>
        </w:rPr>
        <w:t>本项目入河排污口（</w:t>
      </w:r>
      <w:r>
        <w:rPr>
          <w:rFonts w:hint="eastAsia"/>
          <w:szCs w:val="21"/>
          <w:u w:val="single"/>
        </w:rPr>
        <w:t>农灌渠自流口</w:t>
      </w:r>
      <w:r>
        <w:rPr>
          <w:rFonts w:hint="eastAsia"/>
          <w:u w:val="single"/>
        </w:rPr>
        <w:t>）</w:t>
      </w:r>
      <w:r>
        <w:rPr>
          <w:szCs w:val="21"/>
          <w:u w:val="single"/>
        </w:rPr>
        <w:t>入</w:t>
      </w:r>
      <w:r>
        <w:rPr>
          <w:position w:val="-1"/>
          <w:szCs w:val="24"/>
          <w:u w:val="single"/>
        </w:rPr>
        <w:t>澹水处上游1000m至</w:t>
      </w:r>
      <w:r>
        <w:rPr>
          <w:rFonts w:hint="eastAsia"/>
          <w:position w:val="-1"/>
          <w:szCs w:val="24"/>
          <w:u w:val="single"/>
        </w:rPr>
        <w:t>东洲</w:t>
      </w:r>
      <w:r>
        <w:rPr>
          <w:rFonts w:hint="eastAsia"/>
          <w:u w:val="single"/>
        </w:rPr>
        <w:t>断面，属于</w:t>
      </w:r>
      <w:r>
        <w:rPr>
          <w:rFonts w:hint="eastAsia"/>
          <w:szCs w:val="24"/>
          <w:u w:val="single"/>
        </w:rPr>
        <w:t>《澧县水功能区划》</w:t>
      </w:r>
      <w:r>
        <w:rPr>
          <w:szCs w:val="24"/>
          <w:u w:val="single"/>
        </w:rPr>
        <w:t>一级水功能区划</w:t>
      </w:r>
      <w:r>
        <w:rPr>
          <w:u w:val="single"/>
        </w:rPr>
        <w:t>中</w:t>
      </w:r>
      <w:r>
        <w:rPr>
          <w:rFonts w:hint="eastAsia"/>
          <w:u w:val="single"/>
        </w:rPr>
        <w:t>澹水河（澧县境内）开发利用区（起于澧县澧澹街道任家港，止于澧澹街道东洲，全长15.93km）；</w:t>
      </w:r>
      <w:r>
        <w:rPr>
          <w:rFonts w:hint="eastAsia"/>
          <w:szCs w:val="21"/>
          <w:u w:val="single"/>
        </w:rPr>
        <w:t>东洲断面下游至澹水与涔水交汇处，该段河流长度为5km，未划分水功能区，</w:t>
      </w:r>
      <w:r>
        <w:rPr>
          <w:rFonts w:hint="eastAsia"/>
          <w:spacing w:val="-1"/>
          <w:szCs w:val="24"/>
          <w:u w:val="single"/>
        </w:rPr>
        <w:t>根据《入河排污口设置论证基本要求（试行）》，未划分水功能区的水域，入河排污口排污影响范围内的水域都应为论证范围；</w:t>
      </w:r>
      <w:r>
        <w:rPr>
          <w:rFonts w:hint="eastAsia"/>
          <w:position w:val="-1"/>
          <w:szCs w:val="24"/>
          <w:u w:val="single"/>
        </w:rPr>
        <w:t>总排口至下游</w:t>
      </w:r>
      <w:r>
        <w:rPr>
          <w:rFonts w:hint="eastAsia"/>
          <w:szCs w:val="21"/>
          <w:u w:val="single"/>
        </w:rPr>
        <w:t>250m</w:t>
      </w:r>
      <w:r>
        <w:rPr>
          <w:szCs w:val="21"/>
          <w:u w:val="single"/>
        </w:rPr>
        <w:t>东洲机埠电排</w:t>
      </w:r>
      <w:r>
        <w:rPr>
          <w:rFonts w:hint="eastAsia"/>
          <w:szCs w:val="21"/>
          <w:u w:val="single"/>
        </w:rPr>
        <w:t>为农灌沟渠。</w:t>
      </w:r>
    </w:p>
    <w:p>
      <w:pPr>
        <w:ind w:firstLine="480"/>
        <w:rPr>
          <w:position w:val="-1"/>
          <w:szCs w:val="24"/>
          <w:u w:val="single"/>
        </w:rPr>
      </w:pPr>
      <w:r>
        <w:rPr>
          <w:rFonts w:hint="eastAsia"/>
          <w:u w:val="single"/>
        </w:rPr>
        <w:t>根据设计污水排放量、污染物排放浓度、入河排污口位置以及纳污水体等情况，确定</w:t>
      </w:r>
      <w:r>
        <w:rPr>
          <w:u w:val="single"/>
        </w:rPr>
        <w:t>本次论证</w:t>
      </w:r>
      <w:r>
        <w:rPr>
          <w:rFonts w:hint="eastAsia"/>
          <w:u w:val="single"/>
        </w:rPr>
        <w:t>及</w:t>
      </w:r>
      <w:r>
        <w:rPr>
          <w:u w:val="single"/>
        </w:rPr>
        <w:t>分析范围</w:t>
      </w:r>
      <w:r>
        <w:rPr>
          <w:position w:val="-1"/>
          <w:szCs w:val="24"/>
          <w:u w:val="single"/>
        </w:rPr>
        <w:t>为</w:t>
      </w:r>
      <w:r>
        <w:rPr>
          <w:rFonts w:hint="eastAsia"/>
          <w:position w:val="-1"/>
          <w:szCs w:val="24"/>
          <w:u w:val="single"/>
        </w:rPr>
        <w:t>：污水处理厂总排口（</w:t>
      </w:r>
      <w:r>
        <w:rPr>
          <w:position w:val="-1"/>
          <w:szCs w:val="24"/>
          <w:u w:val="single"/>
        </w:rPr>
        <w:t>坐标为</w:t>
      </w:r>
      <w:r>
        <w:rPr>
          <w:u w:val="single"/>
        </w:rPr>
        <w:t>E 111°51′53.58781″，N 29°38′49.76332″</w:t>
      </w:r>
      <w:r>
        <w:rPr>
          <w:rFonts w:hint="eastAsia"/>
          <w:position w:val="-1"/>
          <w:szCs w:val="24"/>
          <w:u w:val="single"/>
        </w:rPr>
        <w:t>）至</w:t>
      </w:r>
      <w:r>
        <w:rPr>
          <w:szCs w:val="21"/>
          <w:u w:val="single"/>
        </w:rPr>
        <w:t>东洲机埠电排</w:t>
      </w:r>
      <w:r>
        <w:rPr>
          <w:rFonts w:hint="eastAsia"/>
          <w:szCs w:val="21"/>
          <w:u w:val="single"/>
        </w:rPr>
        <w:t>（</w:t>
      </w:r>
      <w:r>
        <w:rPr>
          <w:u w:val="single"/>
        </w:rPr>
        <w:t>111°52′0</w:t>
      </w:r>
      <w:r>
        <w:rPr>
          <w:rFonts w:hint="eastAsia"/>
          <w:u w:val="single"/>
        </w:rPr>
        <w:t>0</w:t>
      </w:r>
      <w:r>
        <w:rPr>
          <w:u w:val="single"/>
        </w:rPr>
        <w:t>.30279″，N 29°38′43.66977″</w:t>
      </w:r>
      <w:r>
        <w:rPr>
          <w:rFonts w:hint="eastAsia"/>
          <w:szCs w:val="21"/>
          <w:u w:val="single"/>
        </w:rPr>
        <w:t>）250m长农灌沟渠；农罐沟渠自流口入</w:t>
      </w:r>
      <w:r>
        <w:rPr>
          <w:szCs w:val="21"/>
          <w:u w:val="single"/>
        </w:rPr>
        <w:t>澹水处上游1000m（坐标为E111°51′55.85171″，N29°39′15.04980″）至澹水与涔水汇合处（坐标为E111°54′2.89338″，N 29°39′39.71520″），</w:t>
      </w:r>
      <w:r>
        <w:rPr>
          <w:position w:val="-1"/>
          <w:szCs w:val="24"/>
          <w:u w:val="single"/>
        </w:rPr>
        <w:t>该河段全长6.6km。</w:t>
      </w:r>
    </w:p>
    <w:p>
      <w:pPr>
        <w:ind w:firstLine="480"/>
      </w:pPr>
      <w:r>
        <w:rPr>
          <w:rFonts w:hint="eastAsia"/>
        </w:rPr>
        <w:t>本项目地理位置、论证范围详见附图。</w:t>
      </w:r>
    </w:p>
    <w:p>
      <w:pPr>
        <w:pStyle w:val="3"/>
        <w:keepNext w:val="0"/>
        <w:keepLines w:val="0"/>
      </w:pPr>
      <w:bookmarkStart w:id="6" w:name="_Toc166145926"/>
      <w:r>
        <w:rPr>
          <w:rFonts w:hint="eastAsia"/>
        </w:rPr>
        <w:t>1.6 论证工作程序</w:t>
      </w:r>
      <w:bookmarkEnd w:id="6"/>
    </w:p>
    <w:p>
      <w:pPr>
        <w:ind w:firstLine="480"/>
      </w:pPr>
      <w:r>
        <w:rPr>
          <w:rFonts w:hint="eastAsia"/>
        </w:rPr>
        <w:t>（1）现场查勘与资料收集</w:t>
      </w:r>
    </w:p>
    <w:p>
      <w:pPr>
        <w:ind w:firstLine="480"/>
      </w:pPr>
      <w:r>
        <w:rPr>
          <w:rFonts w:hint="eastAsia"/>
        </w:rPr>
        <w:t>根据入河排污口设置的方案，组织技术人员对现场进行查勘，调查和收集该项目所在区域的自然环境和社会环境资料，排污口设置河段的水文、水质和水生态资料等，同时收集可能影响的其他取排水用户资料，收集工程设计资料，特别是入河排污口设置方案和污废水处理工艺等。</w:t>
      </w:r>
    </w:p>
    <w:p>
      <w:pPr>
        <w:ind w:firstLine="480"/>
      </w:pPr>
      <w:r>
        <w:rPr>
          <w:rFonts w:hint="eastAsia"/>
        </w:rPr>
        <w:t>（2）资料整理</w:t>
      </w:r>
    </w:p>
    <w:p>
      <w:pPr>
        <w:ind w:firstLine="480"/>
      </w:pPr>
      <w:r>
        <w:rPr>
          <w:rFonts w:hint="eastAsia"/>
        </w:rPr>
        <w:t>根据所收集的资料，整理分析，明确工程布局、工艺流程、入河排污口位置、主要污染物排放量及污染特性等基本情况；分析所属河段水资源保护管理要求，水环境现状和水生态现状等情况，以及其他取排水用户分布情况等。</w:t>
      </w:r>
    </w:p>
    <w:p>
      <w:pPr>
        <w:ind w:firstLine="480"/>
      </w:pPr>
      <w:r>
        <w:rPr>
          <w:rFonts w:hint="eastAsia"/>
        </w:rPr>
        <w:t>（3）建立数学模型，进行预测模拟</w:t>
      </w:r>
    </w:p>
    <w:p>
      <w:pPr>
        <w:ind w:firstLine="480"/>
      </w:pPr>
      <w:r>
        <w:rPr>
          <w:rFonts w:hint="eastAsia"/>
        </w:rPr>
        <w:t>根据水功能区水质和水生态保护要求，结合废污水处理排放情况，项目所处河段水文特性，按照《水域纳污能力计算规程》，选定合适的数学模型，拟定模型预测计算工况，进行污染物扩散浓度预测计算，统计分析不同条件下入河废污水的影响程度及范围。</w:t>
      </w:r>
    </w:p>
    <w:p>
      <w:pPr>
        <w:ind w:firstLine="480"/>
      </w:pPr>
      <w:r>
        <w:rPr>
          <w:rFonts w:hint="eastAsia"/>
        </w:rPr>
        <w:t>（4）影响分析</w:t>
      </w:r>
    </w:p>
    <w:p>
      <w:pPr>
        <w:ind w:firstLine="480"/>
      </w:pPr>
      <w:r>
        <w:rPr>
          <w:rFonts w:hint="eastAsia"/>
        </w:rPr>
        <w:t>根据计算结果，得出的入河排污口污染物排放产生的影响范围，以及所处河段水生态现状，论证分析入河排污口对澹水的影响程度。论证分析排污口对上下游水功能区内第三方取用水安全的影响，提出入河排污口设置的制约因素。</w:t>
      </w:r>
    </w:p>
    <w:p>
      <w:pPr>
        <w:ind w:firstLine="480"/>
      </w:pPr>
      <w:r>
        <w:rPr>
          <w:rFonts w:hint="eastAsia"/>
        </w:rPr>
        <w:t>（5）排污口设置合理性分析</w:t>
      </w:r>
    </w:p>
    <w:p>
      <w:pPr>
        <w:ind w:firstLine="480"/>
      </w:pPr>
      <w:r>
        <w:rPr>
          <w:rFonts w:hint="eastAsia"/>
        </w:rPr>
        <w:t>根据影响论证结果，结合考虑水功能区水质和水生态保护的要求，第三者权益等因素，分析入河排污口位置、排放浓度和总量是否符合有关要求。</w:t>
      </w:r>
    </w:p>
    <w:p>
      <w:pPr>
        <w:ind w:firstLine="480"/>
      </w:pPr>
      <w:r>
        <w:rPr>
          <w:rFonts w:hint="eastAsia"/>
        </w:rPr>
        <w:t>（6）结论与建议</w:t>
      </w:r>
    </w:p>
    <w:p>
      <w:pPr>
        <w:ind w:firstLine="480"/>
      </w:pPr>
      <w:r>
        <w:rPr>
          <w:rFonts w:hint="eastAsia"/>
        </w:rPr>
        <w:t>根据入河排污口设置情况及水功能区相关要求，经综合分析，给出排污口设置的结论及合理性建议。</w:t>
      </w:r>
    </w:p>
    <w:p>
      <w:pPr>
        <w:ind w:firstLine="480"/>
      </w:pPr>
      <w:r>
        <w:rPr>
          <w:rFonts w:hint="eastAsia"/>
        </w:rPr>
        <w:t>入河排污口论证工作程序见下图。</w:t>
      </w:r>
    </w:p>
    <w:p>
      <w:pPr>
        <w:ind w:firstLine="0" w:firstLineChars="0"/>
        <w:jc w:val="center"/>
      </w:pPr>
      <w:r>
        <w:object>
          <v:shape id="_x0000_i1025" o:spt="75" type="#_x0000_t75" style="height:478.35pt;width:430.35pt;" o:ole="t" filled="f" o:preferrelative="t" stroked="f" coordsize="21600,21600">
            <v:path/>
            <v:fill on="f" focussize="0,0"/>
            <v:stroke on="f" joinstyle="miter"/>
            <v:imagedata r:id="rId17" o:title=""/>
            <o:lock v:ext="edit" aspectratio="t"/>
            <w10:wrap type="none"/>
            <w10:anchorlock/>
          </v:shape>
          <o:OLEObject Type="Embed" ProgID="Visio.Drawing.11" ShapeID="_x0000_i1025" DrawAspect="Content" ObjectID="_1468075725" r:id="rId16">
            <o:LockedField>false</o:LockedField>
          </o:OLEObject>
        </w:object>
      </w:r>
    </w:p>
    <w:p>
      <w:pPr>
        <w:ind w:firstLine="0" w:firstLineChars="0"/>
        <w:jc w:val="center"/>
        <w:rPr>
          <w:b/>
          <w:bCs/>
          <w:sz w:val="21"/>
          <w:szCs w:val="21"/>
        </w:rPr>
      </w:pPr>
      <w:r>
        <w:rPr>
          <w:rFonts w:hint="eastAsia"/>
          <w:b/>
          <w:bCs/>
          <w:sz w:val="21"/>
          <w:szCs w:val="21"/>
        </w:rPr>
        <w:t>图1-1  入河排污口设置论证工作程序图</w:t>
      </w:r>
    </w:p>
    <w:p>
      <w:pPr>
        <w:pStyle w:val="3"/>
        <w:keepNext w:val="0"/>
        <w:keepLines w:val="0"/>
      </w:pPr>
      <w:bookmarkStart w:id="7" w:name="_Toc166145927"/>
      <w:r>
        <w:rPr>
          <w:rFonts w:hint="eastAsia"/>
        </w:rPr>
        <w:t>1.7 论证的主要内容</w:t>
      </w:r>
      <w:bookmarkEnd w:id="7"/>
    </w:p>
    <w:p>
      <w:pPr>
        <w:ind w:firstLine="480"/>
        <w:rPr>
          <w:color w:val="000000"/>
          <w:szCs w:val="24"/>
        </w:rPr>
      </w:pPr>
      <w:r>
        <w:rPr>
          <w:rFonts w:hint="eastAsia"/>
          <w:color w:val="000000"/>
          <w:szCs w:val="24"/>
        </w:rPr>
        <w:t>（1）建设项目基本情况；</w:t>
      </w:r>
    </w:p>
    <w:p>
      <w:pPr>
        <w:ind w:firstLine="480"/>
        <w:rPr>
          <w:color w:val="000000"/>
          <w:szCs w:val="24"/>
        </w:rPr>
      </w:pPr>
      <w:r>
        <w:rPr>
          <w:rFonts w:hint="eastAsia"/>
          <w:color w:val="000000"/>
          <w:szCs w:val="24"/>
        </w:rPr>
        <w:t>（2）入河排污口所在水功能区（水域）管理要求、现状取排水、水质及纳污状况分析；</w:t>
      </w:r>
    </w:p>
    <w:p>
      <w:pPr>
        <w:ind w:firstLine="480"/>
        <w:rPr>
          <w:color w:val="000000"/>
          <w:szCs w:val="24"/>
        </w:rPr>
      </w:pPr>
      <w:r>
        <w:rPr>
          <w:rFonts w:hint="eastAsia"/>
          <w:color w:val="000000"/>
          <w:szCs w:val="24"/>
        </w:rPr>
        <w:t>（3）入河排污口设置可行性分析论证及入河排污口设置方案；</w:t>
      </w:r>
    </w:p>
    <w:p>
      <w:pPr>
        <w:ind w:firstLine="480"/>
        <w:rPr>
          <w:color w:val="000000"/>
          <w:szCs w:val="24"/>
        </w:rPr>
      </w:pPr>
      <w:r>
        <w:rPr>
          <w:rFonts w:hint="eastAsia"/>
          <w:color w:val="000000"/>
          <w:szCs w:val="24"/>
        </w:rPr>
        <w:t>（4）入河排污口设置对水功能区（水域）水质、水生态及地下水影响分析；</w:t>
      </w:r>
    </w:p>
    <w:p>
      <w:pPr>
        <w:ind w:firstLine="480"/>
        <w:rPr>
          <w:color w:val="000000"/>
          <w:szCs w:val="24"/>
        </w:rPr>
      </w:pPr>
      <w:r>
        <w:rPr>
          <w:rFonts w:hint="eastAsia"/>
          <w:color w:val="000000"/>
          <w:szCs w:val="24"/>
        </w:rPr>
        <w:t>（5）入河排污口设置对有利害关系的第三者权益的影响分析；</w:t>
      </w:r>
    </w:p>
    <w:p>
      <w:pPr>
        <w:ind w:firstLine="480"/>
        <w:rPr>
          <w:color w:val="000000"/>
          <w:szCs w:val="24"/>
        </w:rPr>
      </w:pPr>
      <w:r>
        <w:rPr>
          <w:rFonts w:hint="eastAsia"/>
          <w:color w:val="000000"/>
          <w:szCs w:val="24"/>
        </w:rPr>
        <w:t>（6）对排污的限制要求和措施；</w:t>
      </w:r>
    </w:p>
    <w:p>
      <w:pPr>
        <w:ind w:firstLine="480"/>
        <w:rPr>
          <w:color w:val="000000"/>
          <w:szCs w:val="24"/>
        </w:rPr>
      </w:pPr>
      <w:r>
        <w:rPr>
          <w:rFonts w:hint="eastAsia"/>
          <w:color w:val="000000"/>
          <w:szCs w:val="24"/>
        </w:rPr>
        <w:t>（7）结论与建议。</w:t>
      </w:r>
    </w:p>
    <w:p>
      <w:pPr>
        <w:pStyle w:val="3"/>
        <w:keepNext w:val="0"/>
        <w:keepLines w:val="0"/>
      </w:pPr>
      <w:bookmarkStart w:id="8" w:name="_Toc6585"/>
      <w:bookmarkStart w:id="9" w:name="_Toc13064"/>
      <w:bookmarkStart w:id="10" w:name="_Toc166145928"/>
      <w:bookmarkStart w:id="11" w:name="_Toc475"/>
      <w:bookmarkStart w:id="12" w:name="_Toc15750"/>
      <w:bookmarkStart w:id="13" w:name="_Toc1982"/>
      <w:r>
        <w:t>1.</w:t>
      </w:r>
      <w:r>
        <w:rPr>
          <w:rFonts w:hint="eastAsia"/>
        </w:rPr>
        <w:t>8</w:t>
      </w:r>
      <w:r>
        <w:t xml:space="preserve"> 论证水平年的确定</w:t>
      </w:r>
      <w:bookmarkEnd w:id="8"/>
      <w:bookmarkEnd w:id="9"/>
      <w:bookmarkEnd w:id="10"/>
      <w:bookmarkEnd w:id="11"/>
      <w:bookmarkEnd w:id="12"/>
      <w:bookmarkEnd w:id="13"/>
    </w:p>
    <w:p>
      <w:pPr>
        <w:ind w:firstLine="480"/>
        <w:rPr>
          <w:color w:val="000000"/>
          <w:szCs w:val="24"/>
        </w:rPr>
      </w:pPr>
      <w:r>
        <w:rPr>
          <w:color w:val="000000"/>
          <w:szCs w:val="24"/>
        </w:rPr>
        <w:t>考虑到与《</w:t>
      </w:r>
      <w:r>
        <w:rPr>
          <w:rFonts w:hint="eastAsia"/>
          <w:color w:val="000000"/>
          <w:szCs w:val="24"/>
        </w:rPr>
        <w:t>澧县水功能区划</w:t>
      </w:r>
      <w:r>
        <w:rPr>
          <w:color w:val="000000"/>
          <w:szCs w:val="24"/>
        </w:rPr>
        <w:t>》和《全国重要江河湖泊水功能区纳污能力核定和分阶段限制排污总量控制方案》相衔接，并与国民经济和社会发展规划相协调，取202</w:t>
      </w:r>
      <w:r>
        <w:rPr>
          <w:rFonts w:hint="eastAsia"/>
          <w:color w:val="000000"/>
          <w:szCs w:val="24"/>
        </w:rPr>
        <w:t>3</w:t>
      </w:r>
      <w:r>
        <w:rPr>
          <w:color w:val="000000"/>
          <w:szCs w:val="24"/>
        </w:rPr>
        <w:t>年为基准年，2025年为近期规划水平年，2030年为远期规划水平年。</w:t>
      </w:r>
    </w:p>
    <w:p>
      <w:pPr>
        <w:ind w:firstLine="480"/>
        <w:sectPr>
          <w:footerReference r:id="rId13" w:type="default"/>
          <w:pgSz w:w="11906" w:h="16838"/>
          <w:pgMar w:top="1418" w:right="1588" w:bottom="1418" w:left="1588" w:header="851" w:footer="992" w:gutter="0"/>
          <w:pgNumType w:fmt="numberInDash" w:start="1"/>
          <w:cols w:space="425" w:num="1"/>
          <w:docGrid w:type="lines" w:linePitch="326" w:charSpace="0"/>
        </w:sectPr>
      </w:pPr>
    </w:p>
    <w:p>
      <w:pPr>
        <w:pStyle w:val="2"/>
      </w:pPr>
      <w:bookmarkStart w:id="14" w:name="_Toc166145929"/>
      <w:r>
        <w:rPr>
          <w:rFonts w:hint="eastAsia"/>
        </w:rPr>
        <w:t>2. 建设项目基本情况</w:t>
      </w:r>
      <w:bookmarkEnd w:id="14"/>
    </w:p>
    <w:p>
      <w:pPr>
        <w:pStyle w:val="3"/>
      </w:pPr>
      <w:bookmarkStart w:id="15" w:name="_Toc166145930"/>
      <w:r>
        <w:rPr>
          <w:rFonts w:hint="eastAsia"/>
        </w:rPr>
        <w:t>2.1 项目概况</w:t>
      </w:r>
      <w:bookmarkEnd w:id="15"/>
    </w:p>
    <w:p>
      <w:pPr>
        <w:ind w:firstLine="480"/>
        <w:rPr>
          <w:color w:val="000000"/>
        </w:rPr>
      </w:pPr>
      <w:r>
        <w:rPr>
          <w:rFonts w:hint="eastAsia"/>
          <w:kern w:val="0"/>
        </w:rPr>
        <w:t>澧县</w:t>
      </w:r>
      <w:r>
        <w:rPr>
          <w:kern w:val="0"/>
        </w:rPr>
        <w:t>澧</w:t>
      </w:r>
      <w:r>
        <w:rPr>
          <w:rFonts w:hint="eastAsia"/>
          <w:kern w:val="0"/>
        </w:rPr>
        <w:t>州</w:t>
      </w:r>
      <w:r>
        <w:rPr>
          <w:kern w:val="0"/>
        </w:rPr>
        <w:t>新城投资开发有限公司</w:t>
      </w:r>
      <w:r>
        <w:rPr>
          <w:rFonts w:hint="eastAsia"/>
        </w:rPr>
        <w:t>于2018年</w:t>
      </w:r>
      <w:r>
        <w:rPr>
          <w:rFonts w:hint="eastAsia"/>
          <w:color w:val="000000"/>
        </w:rPr>
        <w:t>委托常德市双赢环境咨询服务有限公司编制了《</w:t>
      </w:r>
      <w:r>
        <w:t>澧县东部新区污水处理厂建设项目环境影响报告书</w:t>
      </w:r>
      <w:r>
        <w:rPr>
          <w:rFonts w:hint="eastAsia"/>
          <w:color w:val="000000"/>
        </w:rPr>
        <w:t>》，并于2018年3月取得了</w:t>
      </w:r>
      <w:r>
        <w:t>澧县环境保护局《关于澧县东部新区污水处理厂建设项目环境影响报告书的批复》（澧环审[2018]15号）</w:t>
      </w:r>
      <w:r>
        <w:rPr>
          <w:rFonts w:hint="eastAsia"/>
          <w:color w:val="000000"/>
        </w:rPr>
        <w:t>。项目目前还没办理排污许可证（办理排污许可证需提前办理排污口论证），未进行竣工环境保护验收。</w:t>
      </w:r>
    </w:p>
    <w:p>
      <w:pPr>
        <w:widowControl/>
        <w:autoSpaceDE w:val="0"/>
        <w:autoSpaceDN w:val="0"/>
        <w:ind w:firstLine="422"/>
        <w:jc w:val="center"/>
        <w:rPr>
          <w:b/>
          <w:kern w:val="0"/>
          <w:sz w:val="21"/>
          <w:szCs w:val="21"/>
        </w:rPr>
      </w:pPr>
      <w:r>
        <w:rPr>
          <w:b/>
          <w:kern w:val="0"/>
          <w:sz w:val="21"/>
          <w:szCs w:val="21"/>
        </w:rPr>
        <w:t>表2-</w:t>
      </w:r>
      <w:r>
        <w:rPr>
          <w:rFonts w:hint="eastAsia"/>
          <w:b/>
          <w:kern w:val="0"/>
          <w:sz w:val="21"/>
          <w:szCs w:val="21"/>
        </w:rPr>
        <w:t>1</w:t>
      </w:r>
      <w:r>
        <w:rPr>
          <w:b/>
          <w:kern w:val="0"/>
          <w:sz w:val="21"/>
          <w:szCs w:val="21"/>
        </w:rPr>
        <w:t xml:space="preserve">  工程基本情况一览表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1636"/>
        <w:gridCol w:w="1119"/>
        <w:gridCol w:w="2239"/>
        <w:gridCol w:w="3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tcMar>
              <w:left w:w="28" w:type="dxa"/>
              <w:right w:w="28" w:type="dxa"/>
            </w:tcMar>
            <w:vAlign w:val="center"/>
          </w:tcPr>
          <w:p>
            <w:pPr>
              <w:widowControl/>
              <w:spacing w:line="240" w:lineRule="auto"/>
              <w:ind w:firstLine="0" w:firstLineChars="0"/>
              <w:jc w:val="center"/>
              <w:rPr>
                <w:rFonts w:eastAsiaTheme="minorEastAsia"/>
                <w:b/>
                <w:kern w:val="0"/>
                <w:sz w:val="21"/>
                <w:szCs w:val="21"/>
              </w:rPr>
            </w:pPr>
            <w:r>
              <w:rPr>
                <w:rFonts w:eastAsiaTheme="minorEastAsia"/>
                <w:b/>
                <w:kern w:val="0"/>
                <w:sz w:val="21"/>
                <w:szCs w:val="21"/>
              </w:rPr>
              <w:t>序号</w:t>
            </w:r>
          </w:p>
        </w:tc>
        <w:tc>
          <w:tcPr>
            <w:tcW w:w="931" w:type="pct"/>
            <w:tcMar>
              <w:left w:w="28" w:type="dxa"/>
              <w:right w:w="28" w:type="dxa"/>
            </w:tcMar>
            <w:vAlign w:val="center"/>
          </w:tcPr>
          <w:p>
            <w:pPr>
              <w:widowControl/>
              <w:spacing w:line="240" w:lineRule="auto"/>
              <w:ind w:firstLine="0" w:firstLineChars="0"/>
              <w:jc w:val="center"/>
              <w:rPr>
                <w:rFonts w:eastAsiaTheme="minorEastAsia"/>
                <w:b/>
                <w:kern w:val="0"/>
                <w:sz w:val="21"/>
                <w:szCs w:val="21"/>
              </w:rPr>
            </w:pPr>
            <w:r>
              <w:rPr>
                <w:rFonts w:eastAsiaTheme="minorEastAsia"/>
                <w:b/>
                <w:kern w:val="0"/>
                <w:sz w:val="21"/>
                <w:szCs w:val="21"/>
              </w:rPr>
              <w:t>项 目</w:t>
            </w:r>
          </w:p>
        </w:tc>
        <w:tc>
          <w:tcPr>
            <w:tcW w:w="3710" w:type="pct"/>
            <w:gridSpan w:val="3"/>
            <w:tcMar>
              <w:left w:w="28" w:type="dxa"/>
              <w:right w:w="28" w:type="dxa"/>
            </w:tcMar>
            <w:vAlign w:val="center"/>
          </w:tcPr>
          <w:p>
            <w:pPr>
              <w:widowControl/>
              <w:spacing w:line="240" w:lineRule="auto"/>
              <w:ind w:firstLine="0" w:firstLineChars="0"/>
              <w:jc w:val="center"/>
              <w:rPr>
                <w:rFonts w:eastAsiaTheme="minorEastAsia"/>
                <w:b/>
                <w:kern w:val="0"/>
                <w:sz w:val="21"/>
                <w:szCs w:val="21"/>
              </w:rPr>
            </w:pPr>
            <w:r>
              <w:rPr>
                <w:rFonts w:eastAsiaTheme="minorEastAsia"/>
                <w:b/>
                <w:kern w:val="0"/>
                <w:sz w:val="21"/>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tcMar>
              <w:left w:w="28" w:type="dxa"/>
              <w:right w:w="28" w:type="dxa"/>
            </w:tcMar>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1</w:t>
            </w:r>
          </w:p>
        </w:tc>
        <w:tc>
          <w:tcPr>
            <w:tcW w:w="931" w:type="pct"/>
            <w:tcMar>
              <w:left w:w="28" w:type="dxa"/>
              <w:right w:w="28" w:type="dxa"/>
            </w:tcMar>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企业名称</w:t>
            </w:r>
          </w:p>
        </w:tc>
        <w:tc>
          <w:tcPr>
            <w:tcW w:w="3710" w:type="pct"/>
            <w:gridSpan w:val="3"/>
            <w:tcMar>
              <w:left w:w="28" w:type="dxa"/>
              <w:right w:w="28" w:type="dxa"/>
            </w:tcMar>
            <w:vAlign w:val="center"/>
          </w:tcPr>
          <w:p>
            <w:pPr>
              <w:widowControl/>
              <w:spacing w:line="240" w:lineRule="auto"/>
              <w:ind w:firstLine="0" w:firstLineChars="0"/>
              <w:jc w:val="center"/>
              <w:rPr>
                <w:rFonts w:eastAsiaTheme="minorEastAsia"/>
                <w:kern w:val="0"/>
                <w:sz w:val="21"/>
                <w:szCs w:val="21"/>
              </w:rPr>
            </w:pPr>
            <w:r>
              <w:rPr>
                <w:sz w:val="21"/>
                <w:szCs w:val="21"/>
              </w:rPr>
              <w:t>澧县东部新区污水处理厂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tcMar>
              <w:left w:w="28" w:type="dxa"/>
              <w:right w:w="28" w:type="dxa"/>
            </w:tcMar>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2</w:t>
            </w:r>
          </w:p>
        </w:tc>
        <w:tc>
          <w:tcPr>
            <w:tcW w:w="931" w:type="pct"/>
            <w:tcMar>
              <w:left w:w="28" w:type="dxa"/>
              <w:right w:w="28" w:type="dxa"/>
            </w:tcMar>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企业所在地</w:t>
            </w:r>
          </w:p>
        </w:tc>
        <w:tc>
          <w:tcPr>
            <w:tcW w:w="3710" w:type="pct"/>
            <w:gridSpan w:val="3"/>
            <w:tcMar>
              <w:left w:w="28" w:type="dxa"/>
              <w:right w:w="28" w:type="dxa"/>
            </w:tcMar>
            <w:vAlign w:val="center"/>
          </w:tcPr>
          <w:p>
            <w:pPr>
              <w:widowControl/>
              <w:spacing w:line="240" w:lineRule="auto"/>
              <w:ind w:firstLine="0" w:firstLineChars="0"/>
              <w:jc w:val="center"/>
              <w:rPr>
                <w:rFonts w:eastAsiaTheme="minorEastAsia"/>
                <w:kern w:val="0"/>
                <w:sz w:val="21"/>
                <w:szCs w:val="21"/>
              </w:rPr>
            </w:pPr>
            <w:r>
              <w:rPr>
                <w:sz w:val="21"/>
                <w:szCs w:val="21"/>
              </w:rPr>
              <w:t>澧县澧澹街道东洲村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tcMar>
              <w:left w:w="28" w:type="dxa"/>
              <w:right w:w="28" w:type="dxa"/>
            </w:tcMar>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3</w:t>
            </w:r>
          </w:p>
        </w:tc>
        <w:tc>
          <w:tcPr>
            <w:tcW w:w="931" w:type="pct"/>
            <w:tcMar>
              <w:left w:w="28" w:type="dxa"/>
              <w:right w:w="28" w:type="dxa"/>
            </w:tcMar>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建设规模</w:t>
            </w:r>
          </w:p>
        </w:tc>
        <w:tc>
          <w:tcPr>
            <w:tcW w:w="3710" w:type="pct"/>
            <w:gridSpan w:val="3"/>
            <w:tcMar>
              <w:left w:w="28" w:type="dxa"/>
              <w:right w:w="28" w:type="dxa"/>
            </w:tcMar>
            <w:vAlign w:val="center"/>
          </w:tcPr>
          <w:p>
            <w:pPr>
              <w:widowControl/>
              <w:spacing w:line="240" w:lineRule="auto"/>
              <w:ind w:firstLine="0" w:firstLineChars="0"/>
              <w:jc w:val="center"/>
              <w:rPr>
                <w:rFonts w:eastAsiaTheme="minorEastAsia"/>
                <w:kern w:val="0"/>
                <w:sz w:val="21"/>
                <w:szCs w:val="21"/>
              </w:rPr>
            </w:pPr>
            <w:r>
              <w:rPr>
                <w:rFonts w:hint="eastAsia"/>
                <w:sz w:val="21"/>
              </w:rPr>
              <w:t>一期工程环评设计规模60000m</w:t>
            </w:r>
            <w:r>
              <w:rPr>
                <w:rFonts w:hint="eastAsia"/>
                <w:sz w:val="21"/>
                <w:vertAlign w:val="superscript"/>
              </w:rPr>
              <w:t>3</w:t>
            </w:r>
            <w:r>
              <w:rPr>
                <w:rFonts w:hint="eastAsia"/>
                <w:sz w:val="21"/>
              </w:rPr>
              <w:t>/d，已建成规模30000m</w:t>
            </w:r>
            <w:r>
              <w:rPr>
                <w:rFonts w:hint="eastAsia"/>
                <w:sz w:val="21"/>
                <w:vertAlign w:val="superscript"/>
              </w:rPr>
              <w:t>3</w:t>
            </w:r>
            <w:r>
              <w:rPr>
                <w:rFonts w:hint="eastAsia"/>
                <w:sz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tcMar>
              <w:left w:w="28" w:type="dxa"/>
              <w:right w:w="28" w:type="dxa"/>
            </w:tcMar>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4</w:t>
            </w:r>
          </w:p>
        </w:tc>
        <w:tc>
          <w:tcPr>
            <w:tcW w:w="931" w:type="pct"/>
            <w:tcMar>
              <w:left w:w="28" w:type="dxa"/>
              <w:right w:w="28" w:type="dxa"/>
            </w:tcMar>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运营情况</w:t>
            </w:r>
          </w:p>
        </w:tc>
        <w:tc>
          <w:tcPr>
            <w:tcW w:w="3710" w:type="pct"/>
            <w:gridSpan w:val="3"/>
            <w:tcMar>
              <w:left w:w="28" w:type="dxa"/>
              <w:right w:w="28" w:type="dxa"/>
            </w:tcMar>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2023年</w:t>
            </w:r>
            <w:r>
              <w:rPr>
                <w:rFonts w:hint="eastAsia" w:eastAsiaTheme="minorEastAsia"/>
                <w:kern w:val="0"/>
                <w:sz w:val="21"/>
                <w:szCs w:val="21"/>
              </w:rPr>
              <w:t>3</w:t>
            </w:r>
            <w:r>
              <w:rPr>
                <w:rFonts w:eastAsiaTheme="minorEastAsia"/>
                <w:kern w:val="0"/>
                <w:sz w:val="21"/>
                <w:szCs w:val="21"/>
              </w:rPr>
              <w:t>月投入</w:t>
            </w:r>
            <w:r>
              <w:rPr>
                <w:rFonts w:hint="eastAsia" w:eastAsiaTheme="minorEastAsia"/>
                <w:kern w:val="0"/>
                <w:sz w:val="21"/>
                <w:szCs w:val="21"/>
              </w:rPr>
              <w:t>试</w:t>
            </w:r>
            <w:r>
              <w:rPr>
                <w:rFonts w:eastAsiaTheme="minorEastAsia"/>
                <w:kern w:val="0"/>
                <w:sz w:val="21"/>
                <w:szCs w:val="21"/>
              </w:rPr>
              <w:t>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tcMar>
              <w:left w:w="28" w:type="dxa"/>
              <w:right w:w="28" w:type="dxa"/>
            </w:tcMar>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5</w:t>
            </w:r>
          </w:p>
        </w:tc>
        <w:tc>
          <w:tcPr>
            <w:tcW w:w="931" w:type="pct"/>
            <w:tcMar>
              <w:left w:w="28" w:type="dxa"/>
              <w:right w:w="28" w:type="dxa"/>
            </w:tcMar>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从业人数</w:t>
            </w:r>
          </w:p>
        </w:tc>
        <w:tc>
          <w:tcPr>
            <w:tcW w:w="3710" w:type="pct"/>
            <w:gridSpan w:val="3"/>
            <w:tcMar>
              <w:left w:w="28" w:type="dxa"/>
              <w:right w:w="28" w:type="dxa"/>
            </w:tcMar>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40人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tcMar>
              <w:left w:w="28" w:type="dxa"/>
              <w:right w:w="28" w:type="dxa"/>
            </w:tcMar>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6</w:t>
            </w:r>
          </w:p>
        </w:tc>
        <w:tc>
          <w:tcPr>
            <w:tcW w:w="931" w:type="pct"/>
            <w:tcMar>
              <w:left w:w="28" w:type="dxa"/>
              <w:right w:w="28" w:type="dxa"/>
            </w:tcMar>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工作时间</w:t>
            </w:r>
          </w:p>
        </w:tc>
        <w:tc>
          <w:tcPr>
            <w:tcW w:w="3710" w:type="pct"/>
            <w:gridSpan w:val="3"/>
            <w:tcMar>
              <w:left w:w="28" w:type="dxa"/>
              <w:right w:w="28" w:type="dxa"/>
            </w:tcMar>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全年生产365天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tcMar>
              <w:left w:w="28" w:type="dxa"/>
              <w:right w:w="28" w:type="dxa"/>
            </w:tcMar>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7</w:t>
            </w:r>
          </w:p>
        </w:tc>
        <w:tc>
          <w:tcPr>
            <w:tcW w:w="931" w:type="pct"/>
            <w:tcMar>
              <w:left w:w="28" w:type="dxa"/>
              <w:right w:w="28" w:type="dxa"/>
            </w:tcMar>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环评审批情况</w:t>
            </w:r>
          </w:p>
        </w:tc>
        <w:tc>
          <w:tcPr>
            <w:tcW w:w="3710" w:type="pct"/>
            <w:gridSpan w:val="3"/>
            <w:tcMar>
              <w:left w:w="28" w:type="dxa"/>
              <w:right w:w="28" w:type="dxa"/>
            </w:tcMar>
            <w:vAlign w:val="center"/>
          </w:tcPr>
          <w:p>
            <w:pPr>
              <w:widowControl/>
              <w:spacing w:line="240" w:lineRule="auto"/>
              <w:ind w:firstLine="0" w:firstLineChars="0"/>
              <w:jc w:val="center"/>
              <w:rPr>
                <w:rFonts w:eastAsiaTheme="minorEastAsia"/>
                <w:kern w:val="0"/>
                <w:sz w:val="21"/>
                <w:szCs w:val="21"/>
              </w:rPr>
            </w:pPr>
            <w:r>
              <w:rPr>
                <w:color w:val="000000"/>
                <w:sz w:val="21"/>
                <w:szCs w:val="21"/>
              </w:rPr>
              <w:t>2018年3月取得了</w:t>
            </w:r>
            <w:r>
              <w:rPr>
                <w:sz w:val="21"/>
                <w:szCs w:val="21"/>
              </w:rPr>
              <w:t>澧县环境保护局《关于澧县东部新区污水处理厂建设项目环境影响报告书的批复》（澧环审[2018]15号）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tcMar>
              <w:left w:w="28" w:type="dxa"/>
              <w:right w:w="28" w:type="dxa"/>
            </w:tcMar>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8</w:t>
            </w:r>
          </w:p>
        </w:tc>
        <w:tc>
          <w:tcPr>
            <w:tcW w:w="931" w:type="pct"/>
            <w:tcMar>
              <w:left w:w="28" w:type="dxa"/>
              <w:right w:w="28" w:type="dxa"/>
            </w:tcMar>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纳污水体</w:t>
            </w:r>
          </w:p>
        </w:tc>
        <w:tc>
          <w:tcPr>
            <w:tcW w:w="637" w:type="pct"/>
            <w:tcMar>
              <w:left w:w="28" w:type="dxa"/>
              <w:right w:w="28" w:type="dxa"/>
            </w:tcMar>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澹水</w:t>
            </w:r>
          </w:p>
        </w:tc>
        <w:tc>
          <w:tcPr>
            <w:tcW w:w="1274"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澹水开发利用区</w:t>
            </w:r>
          </w:p>
        </w:tc>
        <w:tc>
          <w:tcPr>
            <w:tcW w:w="1799"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水质管理目标</w:t>
            </w:r>
            <w:r>
              <w:rPr>
                <w:rFonts w:hint="eastAsia" w:eastAsiaTheme="minorEastAsia"/>
                <w:kern w:val="0"/>
                <w:sz w:val="21"/>
                <w:szCs w:val="21"/>
              </w:rPr>
              <w:t>：</w:t>
            </w:r>
            <w:r>
              <w:rPr>
                <w:rFonts w:hint="eastAsia" w:ascii="宋体" w:hAnsi="宋体" w:cs="宋体"/>
                <w:sz w:val="21"/>
                <w:szCs w:val="21"/>
              </w:rPr>
              <w:t>Ⅲ</w:t>
            </w:r>
            <w:r>
              <w:rPr>
                <w:sz w:val="21"/>
                <w:szCs w:val="21"/>
              </w:rPr>
              <w:t>～</w:t>
            </w:r>
            <w:r>
              <w:rPr>
                <w:rFonts w:hint="eastAsia" w:ascii="宋体" w:hAnsi="宋体" w:cs="宋体"/>
                <w:sz w:val="21"/>
                <w:szCs w:val="21"/>
              </w:rPr>
              <w:t>Ⅳ</w:t>
            </w:r>
            <w:r>
              <w:rPr>
                <w:rFonts w:hint="eastAsia"/>
                <w:sz w:val="21"/>
                <w:szCs w:val="21"/>
              </w:rPr>
              <w:t>类，本次论证按</w:t>
            </w:r>
            <w:r>
              <w:rPr>
                <w:rFonts w:hint="eastAsia" w:ascii="宋体" w:hAnsi="宋体" w:cs="宋体"/>
                <w:sz w:val="21"/>
                <w:szCs w:val="21"/>
              </w:rPr>
              <w:t>Ⅲ类水质</w:t>
            </w:r>
          </w:p>
        </w:tc>
      </w:tr>
    </w:tbl>
    <w:p>
      <w:pPr>
        <w:ind w:firstLine="480"/>
      </w:pPr>
      <w:r>
        <w:rPr>
          <w:rFonts w:hint="eastAsia"/>
        </w:rPr>
        <w:t>澧县东部新区污水处理厂位于澧县澧澹街道东洲村，</w:t>
      </w:r>
      <w:r>
        <w:rPr>
          <w:rFonts w:hint="eastAsia"/>
          <w:kern w:val="0"/>
        </w:rPr>
        <w:t>澧县</w:t>
      </w:r>
      <w:r>
        <w:rPr>
          <w:kern w:val="0"/>
        </w:rPr>
        <w:t>澧</w:t>
      </w:r>
      <w:r>
        <w:rPr>
          <w:rFonts w:hint="eastAsia"/>
          <w:kern w:val="0"/>
        </w:rPr>
        <w:t>州</w:t>
      </w:r>
      <w:r>
        <w:rPr>
          <w:kern w:val="0"/>
        </w:rPr>
        <w:t>新城投资开发有限公司</w:t>
      </w:r>
      <w:r>
        <w:rPr>
          <w:rFonts w:hint="eastAsia"/>
          <w:kern w:val="0"/>
        </w:rPr>
        <w:t>投资</w:t>
      </w:r>
      <w:r>
        <w:rPr>
          <w:rFonts w:hint="eastAsia"/>
        </w:rPr>
        <w:t>43800.00</w:t>
      </w:r>
      <w:r>
        <w:t>万元</w:t>
      </w:r>
      <w:r>
        <w:rPr>
          <w:rFonts w:hint="eastAsia"/>
        </w:rPr>
        <w:t>建设。</w:t>
      </w:r>
      <w:r>
        <w:rPr>
          <w:rFonts w:hAnsi="宋体"/>
        </w:rPr>
        <w:t>污水处理厂占地面积为</w:t>
      </w:r>
      <w:r>
        <w:t>89336.68m</w:t>
      </w:r>
      <w:r>
        <w:rPr>
          <w:vertAlign w:val="superscript"/>
        </w:rPr>
        <w:t>2</w:t>
      </w:r>
      <w:r>
        <w:rPr>
          <w:rFonts w:hAnsi="宋体"/>
        </w:rPr>
        <w:t>，</w:t>
      </w:r>
      <w:r>
        <w:rPr>
          <w:rFonts w:hint="eastAsia" w:hAnsi="宋体"/>
        </w:rPr>
        <w:t>其中</w:t>
      </w:r>
      <w:r>
        <w:rPr>
          <w:rFonts w:hAnsi="宋体"/>
        </w:rPr>
        <w:t>一期占地面积</w:t>
      </w:r>
      <w:r>
        <w:t>57518.47 m</w:t>
      </w:r>
      <w:r>
        <w:rPr>
          <w:vertAlign w:val="superscript"/>
        </w:rPr>
        <w:t>2</w:t>
      </w:r>
      <w:r>
        <w:rPr>
          <w:rFonts w:hAnsi="宋体"/>
          <w:szCs w:val="24"/>
        </w:rPr>
        <w:t>，</w:t>
      </w:r>
      <w:r>
        <w:rPr>
          <w:rFonts w:hint="eastAsia" w:hAnsi="宋体"/>
          <w:szCs w:val="24"/>
        </w:rPr>
        <w:t>一期工程</w:t>
      </w:r>
      <w:r>
        <w:rPr>
          <w:rFonts w:hAnsi="宋体"/>
          <w:szCs w:val="24"/>
        </w:rPr>
        <w:t>设计建设规模为</w:t>
      </w:r>
      <w:r>
        <w:rPr>
          <w:szCs w:val="24"/>
        </w:rPr>
        <w:t>6.0</w:t>
      </w:r>
      <w:r>
        <w:rPr>
          <w:rFonts w:hAnsi="宋体"/>
          <w:szCs w:val="24"/>
        </w:rPr>
        <w:t>万</w:t>
      </w:r>
      <w:r>
        <w:rPr>
          <w:szCs w:val="24"/>
        </w:rPr>
        <w:t>m</w:t>
      </w:r>
      <w:r>
        <w:rPr>
          <w:szCs w:val="24"/>
          <w:vertAlign w:val="superscript"/>
        </w:rPr>
        <w:t>3</w:t>
      </w:r>
      <w:r>
        <w:rPr>
          <w:szCs w:val="24"/>
        </w:rPr>
        <w:t>/d</w:t>
      </w:r>
      <w:r>
        <w:rPr>
          <w:rFonts w:hAnsi="宋体"/>
          <w:szCs w:val="24"/>
        </w:rPr>
        <w:t>，</w:t>
      </w:r>
      <w:r>
        <w:rPr>
          <w:rFonts w:hint="eastAsia" w:hAnsi="宋体"/>
          <w:szCs w:val="24"/>
        </w:rPr>
        <w:t>已建成</w:t>
      </w:r>
      <w:r>
        <w:rPr>
          <w:rFonts w:hAnsi="宋体"/>
          <w:szCs w:val="24"/>
        </w:rPr>
        <w:t>规模为</w:t>
      </w:r>
      <w:r>
        <w:rPr>
          <w:szCs w:val="24"/>
        </w:rPr>
        <w:t>3.0</w:t>
      </w:r>
      <w:r>
        <w:rPr>
          <w:rFonts w:hAnsi="宋体"/>
          <w:szCs w:val="24"/>
        </w:rPr>
        <w:t>万</w:t>
      </w:r>
      <w:r>
        <w:rPr>
          <w:szCs w:val="24"/>
        </w:rPr>
        <w:t>m</w:t>
      </w:r>
      <w:r>
        <w:rPr>
          <w:szCs w:val="24"/>
          <w:vertAlign w:val="superscript"/>
        </w:rPr>
        <w:t>3</w:t>
      </w:r>
      <w:r>
        <w:rPr>
          <w:szCs w:val="24"/>
        </w:rPr>
        <w:t>/d</w:t>
      </w:r>
      <w:r>
        <w:rPr>
          <w:rFonts w:hAnsi="宋体"/>
        </w:rPr>
        <w:t>，采用氧化沟工艺</w:t>
      </w:r>
      <w:r>
        <w:rPr>
          <w:rFonts w:hint="eastAsia" w:hAnsi="宋体"/>
        </w:rPr>
        <w:t>，</w:t>
      </w:r>
      <w:r>
        <w:t>项目服务范围为</w:t>
      </w:r>
      <w:r>
        <w:rPr>
          <w:rFonts w:hint="eastAsia"/>
        </w:rPr>
        <w:t>澧县东部新区，东至东部新区污水处理厂，西至经二十路，南至纬七路，北至发展大道（东洲社区），共22平方公里的区域，处理澧县东部新区生活污水及及澧县创新创业园工业排水。</w:t>
      </w:r>
    </w:p>
    <w:p>
      <w:pPr>
        <w:ind w:firstLine="480"/>
        <w:rPr>
          <w:szCs w:val="24"/>
          <w:u w:val="single"/>
        </w:rPr>
      </w:pPr>
      <w:r>
        <w:rPr>
          <w:szCs w:val="24"/>
        </w:rPr>
        <w:t>2018年湖南省政府下发《湖南省人民政府关于设立桂阳工业园区等6个省</w:t>
      </w:r>
      <w:r>
        <w:rPr>
          <w:rFonts w:hint="eastAsia"/>
          <w:szCs w:val="24"/>
        </w:rPr>
        <w:t>级高新技术产业开发区的批复》（湘政函〔2019〕14号），澧县经济开发区正式获批为澧县高新技术产业开发区，由此更名为“澧县高新技术产业开发区”。湖南澧县经济开发区申报的规划为“一园两区”结构，为对现有开发区的扩区规划，规划总控制面积为17.72km</w:t>
      </w:r>
      <w:r>
        <w:rPr>
          <w:rFonts w:hint="eastAsia"/>
          <w:szCs w:val="24"/>
          <w:vertAlign w:val="superscript"/>
        </w:rPr>
        <w:t>2</w:t>
      </w:r>
      <w:r>
        <w:rPr>
          <w:rFonts w:hint="eastAsia"/>
          <w:szCs w:val="24"/>
        </w:rPr>
        <w:t>，其中老区（即现有开发区）位于澧县县城规划区西侧，其规划区范围北抵新河路，南临澧水大堤、西至回水渠、东达护城路，规划面积6.24km</w:t>
      </w:r>
      <w:r>
        <w:rPr>
          <w:rFonts w:hint="eastAsia"/>
          <w:szCs w:val="24"/>
          <w:vertAlign w:val="superscript"/>
        </w:rPr>
        <w:t>2</w:t>
      </w:r>
      <w:r>
        <w:rPr>
          <w:rFonts w:hint="eastAsia"/>
          <w:szCs w:val="24"/>
        </w:rPr>
        <w:t>，产业定位以食品加工、医疗器械、轻纺等产业为主，适当配套发展纸制品包装和现代化服务等辅助产业，现已初步形成食品加工、医疗器械、轻纺三大产业集群；新区产业定位以物流、服装生产和电子机械为主，辅以发展食品加工工业。严格执行入园准入制度，不得引进国家命令淘汰和禁止发展的能耗高物耗高、环境污染严重、不符合产业政策的建设项目，</w:t>
      </w:r>
      <w:r>
        <w:rPr>
          <w:rFonts w:hint="eastAsia"/>
          <w:b/>
          <w:szCs w:val="24"/>
        </w:rPr>
        <w:t>经开区禁止引进引入三类工业及排放重金属企业入园，限制耗水量及排水量大的企业进入</w:t>
      </w:r>
      <w:r>
        <w:rPr>
          <w:rFonts w:hint="eastAsia"/>
          <w:szCs w:val="24"/>
        </w:rPr>
        <w:t>，</w:t>
      </w:r>
      <w:r>
        <w:rPr>
          <w:rFonts w:hint="eastAsia"/>
          <w:b/>
          <w:bCs/>
          <w:szCs w:val="24"/>
        </w:rPr>
        <w:t>新区主要发展一类工业，禁止引进水型污染企业和气型污染企业</w:t>
      </w:r>
      <w:r>
        <w:rPr>
          <w:rFonts w:hint="eastAsia"/>
          <w:szCs w:val="24"/>
        </w:rPr>
        <w:t>。</w:t>
      </w:r>
      <w:r>
        <w:rPr>
          <w:rFonts w:hint="eastAsia"/>
          <w:szCs w:val="24"/>
          <w:u w:val="single"/>
        </w:rPr>
        <w:t>主要企业如下表所示：</w:t>
      </w:r>
    </w:p>
    <w:p>
      <w:pPr>
        <w:ind w:firstLine="442"/>
        <w:jc w:val="center"/>
        <w:rPr>
          <w:b/>
          <w:bCs/>
          <w:sz w:val="22"/>
          <w:u w:val="single"/>
        </w:rPr>
      </w:pPr>
      <w:r>
        <w:rPr>
          <w:rFonts w:hint="eastAsia"/>
          <w:b/>
          <w:bCs/>
          <w:sz w:val="22"/>
          <w:u w:val="single"/>
        </w:rPr>
        <w:t>表2-2    澧县东部新区纳污企业情况一览表</w:t>
      </w:r>
    </w:p>
    <w:tbl>
      <w:tblPr>
        <w:tblStyle w:val="41"/>
        <w:tblW w:w="87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3683"/>
        <w:gridCol w:w="2125"/>
        <w:gridCol w:w="2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spacing w:line="240" w:lineRule="auto"/>
              <w:ind w:firstLine="0" w:firstLineChars="0"/>
              <w:jc w:val="center"/>
              <w:rPr>
                <w:rFonts w:eastAsiaTheme="minorEastAsia"/>
                <w:b/>
                <w:kern w:val="0"/>
                <w:sz w:val="21"/>
                <w:szCs w:val="21"/>
              </w:rPr>
            </w:pPr>
            <w:r>
              <w:rPr>
                <w:rFonts w:eastAsiaTheme="minorEastAsia"/>
                <w:b/>
                <w:kern w:val="0"/>
                <w:sz w:val="21"/>
                <w:szCs w:val="21"/>
              </w:rPr>
              <w:t>序号</w:t>
            </w:r>
          </w:p>
        </w:tc>
        <w:tc>
          <w:tcPr>
            <w:tcW w:w="2109" w:type="pct"/>
            <w:vAlign w:val="center"/>
          </w:tcPr>
          <w:p>
            <w:pPr>
              <w:widowControl/>
              <w:spacing w:line="240" w:lineRule="auto"/>
              <w:ind w:firstLine="0" w:firstLineChars="0"/>
              <w:jc w:val="center"/>
              <w:rPr>
                <w:rFonts w:eastAsiaTheme="minorEastAsia"/>
                <w:b/>
                <w:kern w:val="0"/>
                <w:sz w:val="21"/>
                <w:szCs w:val="21"/>
              </w:rPr>
            </w:pPr>
            <w:r>
              <w:rPr>
                <w:rFonts w:eastAsiaTheme="minorEastAsia"/>
                <w:b/>
                <w:kern w:val="0"/>
                <w:sz w:val="21"/>
                <w:szCs w:val="21"/>
              </w:rPr>
              <w:t>企业名称</w:t>
            </w:r>
          </w:p>
        </w:tc>
        <w:tc>
          <w:tcPr>
            <w:tcW w:w="1217" w:type="pct"/>
            <w:vAlign w:val="center"/>
          </w:tcPr>
          <w:p>
            <w:pPr>
              <w:widowControl/>
              <w:spacing w:line="240" w:lineRule="auto"/>
              <w:ind w:firstLine="0" w:firstLineChars="0"/>
              <w:jc w:val="center"/>
              <w:rPr>
                <w:rFonts w:eastAsiaTheme="minorEastAsia"/>
                <w:b/>
                <w:kern w:val="0"/>
                <w:sz w:val="21"/>
                <w:szCs w:val="21"/>
              </w:rPr>
            </w:pPr>
            <w:r>
              <w:rPr>
                <w:rFonts w:eastAsiaTheme="minorEastAsia"/>
                <w:b/>
                <w:kern w:val="0"/>
                <w:sz w:val="21"/>
                <w:szCs w:val="21"/>
              </w:rPr>
              <w:t>产品</w:t>
            </w:r>
          </w:p>
        </w:tc>
        <w:tc>
          <w:tcPr>
            <w:tcW w:w="1286" w:type="pct"/>
            <w:vAlign w:val="center"/>
          </w:tcPr>
          <w:p>
            <w:pPr>
              <w:widowControl/>
              <w:spacing w:line="240" w:lineRule="auto"/>
              <w:ind w:firstLine="0" w:firstLineChars="0"/>
              <w:jc w:val="center"/>
              <w:rPr>
                <w:rFonts w:eastAsiaTheme="minorEastAsia"/>
                <w:b/>
                <w:kern w:val="0"/>
                <w:sz w:val="21"/>
                <w:szCs w:val="21"/>
              </w:rPr>
            </w:pPr>
            <w:r>
              <w:rPr>
                <w:rFonts w:eastAsiaTheme="minorEastAsia"/>
                <w:b/>
                <w:kern w:val="0"/>
                <w:sz w:val="21"/>
                <w:szCs w:val="21"/>
              </w:rPr>
              <w:t>污染物情况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1</w:t>
            </w:r>
          </w:p>
        </w:tc>
        <w:tc>
          <w:tcPr>
            <w:tcW w:w="2109"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澧县华萌纺织有限公司</w:t>
            </w:r>
          </w:p>
        </w:tc>
        <w:tc>
          <w:tcPr>
            <w:tcW w:w="1217" w:type="pct"/>
            <w:vAlign w:val="center"/>
          </w:tcPr>
          <w:p>
            <w:pPr>
              <w:widowControl/>
              <w:spacing w:line="240" w:lineRule="auto"/>
              <w:ind w:firstLine="0" w:firstLineChars="0"/>
              <w:jc w:val="center"/>
              <w:rPr>
                <w:rFonts w:eastAsiaTheme="minorEastAsia"/>
                <w:kern w:val="0"/>
                <w:sz w:val="21"/>
                <w:szCs w:val="21"/>
              </w:rPr>
            </w:pPr>
            <w:r>
              <w:rPr>
                <w:rFonts w:hint="eastAsia" w:eastAsiaTheme="minorEastAsia"/>
                <w:kern w:val="0"/>
                <w:sz w:val="21"/>
                <w:szCs w:val="21"/>
              </w:rPr>
              <w:t>纺织品</w:t>
            </w:r>
          </w:p>
        </w:tc>
        <w:tc>
          <w:tcPr>
            <w:tcW w:w="1286"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生活废水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2</w:t>
            </w:r>
          </w:p>
        </w:tc>
        <w:tc>
          <w:tcPr>
            <w:tcW w:w="2109" w:type="pct"/>
            <w:vAlign w:val="center"/>
          </w:tcPr>
          <w:p>
            <w:pPr>
              <w:widowControl/>
              <w:spacing w:line="240" w:lineRule="auto"/>
              <w:ind w:firstLine="0" w:firstLineChars="0"/>
              <w:jc w:val="center"/>
              <w:rPr>
                <w:rFonts w:eastAsiaTheme="minorEastAsia"/>
                <w:kern w:val="0"/>
                <w:sz w:val="21"/>
                <w:szCs w:val="21"/>
              </w:rPr>
            </w:pPr>
            <w:r>
              <w:rPr>
                <w:rFonts w:hint="eastAsia" w:eastAsiaTheme="minorEastAsia"/>
                <w:kern w:val="0"/>
                <w:sz w:val="21"/>
                <w:szCs w:val="21"/>
              </w:rPr>
              <w:t>湖南城头山矿泉水科研开发有限公司</w:t>
            </w:r>
          </w:p>
        </w:tc>
        <w:tc>
          <w:tcPr>
            <w:tcW w:w="1217" w:type="pct"/>
            <w:vAlign w:val="center"/>
          </w:tcPr>
          <w:p>
            <w:pPr>
              <w:widowControl/>
              <w:spacing w:line="240" w:lineRule="auto"/>
              <w:ind w:firstLine="0" w:firstLineChars="0"/>
              <w:jc w:val="center"/>
              <w:rPr>
                <w:rFonts w:eastAsiaTheme="minorEastAsia"/>
                <w:kern w:val="0"/>
                <w:sz w:val="21"/>
                <w:szCs w:val="21"/>
              </w:rPr>
            </w:pPr>
            <w:r>
              <w:rPr>
                <w:rFonts w:hint="eastAsia" w:eastAsiaTheme="minorEastAsia"/>
                <w:kern w:val="0"/>
                <w:sz w:val="21"/>
                <w:szCs w:val="21"/>
              </w:rPr>
              <w:t>矿泉水</w:t>
            </w:r>
          </w:p>
        </w:tc>
        <w:tc>
          <w:tcPr>
            <w:tcW w:w="1286"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生活废水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3</w:t>
            </w:r>
          </w:p>
        </w:tc>
        <w:tc>
          <w:tcPr>
            <w:tcW w:w="2109" w:type="pct"/>
            <w:vAlign w:val="center"/>
          </w:tcPr>
          <w:p>
            <w:pPr>
              <w:widowControl/>
              <w:spacing w:line="240" w:lineRule="auto"/>
              <w:ind w:firstLine="0" w:firstLineChars="0"/>
              <w:jc w:val="center"/>
              <w:rPr>
                <w:rFonts w:eastAsiaTheme="minorEastAsia"/>
                <w:kern w:val="0"/>
                <w:sz w:val="21"/>
                <w:szCs w:val="21"/>
              </w:rPr>
            </w:pPr>
            <w:r>
              <w:rPr>
                <w:rFonts w:hint="eastAsia" w:eastAsiaTheme="minorEastAsia"/>
                <w:kern w:val="0"/>
                <w:sz w:val="21"/>
                <w:szCs w:val="21"/>
              </w:rPr>
              <w:t>湖南澧州电商管理股份有限公司</w:t>
            </w:r>
          </w:p>
        </w:tc>
        <w:tc>
          <w:tcPr>
            <w:tcW w:w="1217"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电子商务</w:t>
            </w:r>
          </w:p>
        </w:tc>
        <w:tc>
          <w:tcPr>
            <w:tcW w:w="1286"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生活废水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4</w:t>
            </w:r>
          </w:p>
        </w:tc>
        <w:tc>
          <w:tcPr>
            <w:tcW w:w="2109" w:type="pct"/>
            <w:vAlign w:val="center"/>
          </w:tcPr>
          <w:p>
            <w:pPr>
              <w:widowControl/>
              <w:spacing w:line="240" w:lineRule="auto"/>
              <w:ind w:firstLine="0" w:firstLineChars="0"/>
              <w:jc w:val="center"/>
              <w:rPr>
                <w:rFonts w:eastAsiaTheme="minorEastAsia"/>
                <w:kern w:val="0"/>
                <w:sz w:val="21"/>
                <w:szCs w:val="21"/>
              </w:rPr>
            </w:pPr>
            <w:r>
              <w:rPr>
                <w:rFonts w:hint="eastAsia" w:eastAsiaTheme="minorEastAsia"/>
                <w:kern w:val="0"/>
                <w:sz w:val="21"/>
                <w:szCs w:val="21"/>
              </w:rPr>
              <w:t>常德鸿事达纺织针业有限公司</w:t>
            </w:r>
          </w:p>
        </w:tc>
        <w:tc>
          <w:tcPr>
            <w:tcW w:w="1217"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年产50万枚纺织针</w:t>
            </w:r>
          </w:p>
        </w:tc>
        <w:tc>
          <w:tcPr>
            <w:tcW w:w="1286"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废水排放750t/a，COD</w:t>
            </w:r>
            <w:r>
              <w:rPr>
                <w:rFonts w:hint="eastAsia" w:eastAsiaTheme="minorEastAsia"/>
                <w:kern w:val="0"/>
                <w:sz w:val="21"/>
                <w:szCs w:val="21"/>
                <w:vertAlign w:val="subscript"/>
              </w:rPr>
              <w:t>C</w:t>
            </w:r>
            <w:r>
              <w:rPr>
                <w:rFonts w:eastAsiaTheme="minorEastAsia"/>
                <w:kern w:val="0"/>
                <w:sz w:val="21"/>
                <w:szCs w:val="21"/>
                <w:vertAlign w:val="subscript"/>
              </w:rPr>
              <w:t>r</w:t>
            </w:r>
            <w:r>
              <w:rPr>
                <w:rFonts w:eastAsiaTheme="minorEastAsia"/>
                <w:kern w:val="0"/>
                <w:sz w:val="21"/>
                <w:szCs w:val="21"/>
              </w:rPr>
              <w:t>0.074t/a，氨氮0.000975t/a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5</w:t>
            </w:r>
          </w:p>
        </w:tc>
        <w:tc>
          <w:tcPr>
            <w:tcW w:w="2109"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常德恒瑞纺织品有限公司</w:t>
            </w:r>
          </w:p>
        </w:tc>
        <w:tc>
          <w:tcPr>
            <w:tcW w:w="1217" w:type="pct"/>
            <w:vAlign w:val="center"/>
          </w:tcPr>
          <w:p>
            <w:pPr>
              <w:widowControl/>
              <w:spacing w:line="240" w:lineRule="auto"/>
              <w:ind w:firstLine="0" w:firstLineChars="0"/>
              <w:jc w:val="center"/>
              <w:rPr>
                <w:rFonts w:eastAsiaTheme="minorEastAsia"/>
                <w:kern w:val="0"/>
                <w:sz w:val="21"/>
                <w:szCs w:val="21"/>
              </w:rPr>
            </w:pPr>
            <w:r>
              <w:rPr>
                <w:rFonts w:hint="eastAsia" w:eastAsiaTheme="minorEastAsia"/>
                <w:kern w:val="0"/>
                <w:sz w:val="21"/>
                <w:szCs w:val="21"/>
              </w:rPr>
              <w:t>纺织品</w:t>
            </w:r>
          </w:p>
        </w:tc>
        <w:tc>
          <w:tcPr>
            <w:tcW w:w="1286"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生活废水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6</w:t>
            </w:r>
          </w:p>
        </w:tc>
        <w:tc>
          <w:tcPr>
            <w:tcW w:w="2109"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澧县广帛线业有限公司</w:t>
            </w:r>
          </w:p>
        </w:tc>
        <w:tc>
          <w:tcPr>
            <w:tcW w:w="1217"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针织品、纺织品、服装</w:t>
            </w:r>
          </w:p>
        </w:tc>
        <w:tc>
          <w:tcPr>
            <w:tcW w:w="1286"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生活废水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7</w:t>
            </w:r>
          </w:p>
        </w:tc>
        <w:tc>
          <w:tcPr>
            <w:tcW w:w="2109"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澧县雨霖服饰有限公司</w:t>
            </w:r>
          </w:p>
        </w:tc>
        <w:tc>
          <w:tcPr>
            <w:tcW w:w="1217" w:type="pct"/>
            <w:vAlign w:val="center"/>
          </w:tcPr>
          <w:p>
            <w:pPr>
              <w:widowControl/>
              <w:spacing w:line="240" w:lineRule="auto"/>
              <w:ind w:firstLine="0" w:firstLineChars="0"/>
              <w:jc w:val="center"/>
              <w:rPr>
                <w:rFonts w:eastAsiaTheme="minorEastAsia"/>
                <w:kern w:val="0"/>
                <w:sz w:val="21"/>
                <w:szCs w:val="21"/>
              </w:rPr>
            </w:pPr>
            <w:r>
              <w:rPr>
                <w:rFonts w:hint="eastAsia" w:eastAsiaTheme="minorEastAsia"/>
                <w:kern w:val="0"/>
                <w:sz w:val="21"/>
                <w:szCs w:val="21"/>
              </w:rPr>
              <w:t>服装</w:t>
            </w:r>
          </w:p>
        </w:tc>
        <w:tc>
          <w:tcPr>
            <w:tcW w:w="1286"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生活废水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8</w:t>
            </w:r>
          </w:p>
        </w:tc>
        <w:tc>
          <w:tcPr>
            <w:tcW w:w="2109"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常德益翔实业有限公司</w:t>
            </w:r>
          </w:p>
        </w:tc>
        <w:tc>
          <w:tcPr>
            <w:tcW w:w="1217"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年产300吨铝管</w:t>
            </w:r>
          </w:p>
        </w:tc>
        <w:tc>
          <w:tcPr>
            <w:tcW w:w="1286"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废水排放72t/a，COD</w:t>
            </w:r>
            <w:r>
              <w:rPr>
                <w:rFonts w:hint="eastAsia" w:eastAsiaTheme="minorEastAsia"/>
                <w:kern w:val="0"/>
                <w:sz w:val="21"/>
                <w:szCs w:val="21"/>
                <w:vertAlign w:val="subscript"/>
              </w:rPr>
              <w:t>C</w:t>
            </w:r>
            <w:r>
              <w:rPr>
                <w:rFonts w:eastAsiaTheme="minorEastAsia"/>
                <w:kern w:val="0"/>
                <w:sz w:val="21"/>
                <w:szCs w:val="21"/>
                <w:vertAlign w:val="subscript"/>
              </w:rPr>
              <w:t>r</w:t>
            </w:r>
            <w:r>
              <w:rPr>
                <w:rFonts w:eastAsiaTheme="minorEastAsia"/>
                <w:kern w:val="0"/>
                <w:sz w:val="21"/>
                <w:szCs w:val="21"/>
              </w:rPr>
              <w:t>0.01t/a，氨氮0.0009t/a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9</w:t>
            </w:r>
          </w:p>
        </w:tc>
        <w:tc>
          <w:tcPr>
            <w:tcW w:w="2109"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常德尚帛纺织品有限公司</w:t>
            </w:r>
          </w:p>
        </w:tc>
        <w:tc>
          <w:tcPr>
            <w:tcW w:w="1217" w:type="pct"/>
            <w:vAlign w:val="center"/>
          </w:tcPr>
          <w:p>
            <w:pPr>
              <w:widowControl/>
              <w:spacing w:line="240" w:lineRule="auto"/>
              <w:ind w:firstLine="0" w:firstLineChars="0"/>
              <w:jc w:val="center"/>
              <w:rPr>
                <w:rFonts w:eastAsiaTheme="minorEastAsia"/>
                <w:kern w:val="0"/>
                <w:sz w:val="21"/>
                <w:szCs w:val="21"/>
              </w:rPr>
            </w:pPr>
            <w:r>
              <w:rPr>
                <w:rFonts w:hint="eastAsia" w:eastAsiaTheme="minorEastAsia"/>
                <w:kern w:val="0"/>
                <w:sz w:val="21"/>
                <w:szCs w:val="21"/>
              </w:rPr>
              <w:t>纺织品</w:t>
            </w:r>
          </w:p>
        </w:tc>
        <w:tc>
          <w:tcPr>
            <w:tcW w:w="1286"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生活废水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10</w:t>
            </w:r>
          </w:p>
        </w:tc>
        <w:tc>
          <w:tcPr>
            <w:tcW w:w="2109"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澧县富旺达包装材料有限公司</w:t>
            </w:r>
          </w:p>
        </w:tc>
        <w:tc>
          <w:tcPr>
            <w:tcW w:w="1217"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年产15000t干胶带</w:t>
            </w:r>
          </w:p>
        </w:tc>
        <w:tc>
          <w:tcPr>
            <w:tcW w:w="1286"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废水排放1080t/a，COD</w:t>
            </w:r>
            <w:r>
              <w:rPr>
                <w:rFonts w:hint="eastAsia" w:eastAsiaTheme="minorEastAsia"/>
                <w:kern w:val="0"/>
                <w:sz w:val="21"/>
                <w:szCs w:val="21"/>
                <w:vertAlign w:val="subscript"/>
              </w:rPr>
              <w:t>C</w:t>
            </w:r>
            <w:r>
              <w:rPr>
                <w:rFonts w:eastAsiaTheme="minorEastAsia"/>
                <w:kern w:val="0"/>
                <w:sz w:val="21"/>
                <w:szCs w:val="21"/>
                <w:vertAlign w:val="subscript"/>
              </w:rPr>
              <w:t>r</w:t>
            </w:r>
            <w:r>
              <w:rPr>
                <w:rFonts w:eastAsiaTheme="minorEastAsia"/>
                <w:kern w:val="0"/>
                <w:sz w:val="21"/>
                <w:szCs w:val="21"/>
              </w:rPr>
              <w:t>0.15t/a，氨氮0.02t/a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11</w:t>
            </w:r>
          </w:p>
        </w:tc>
        <w:tc>
          <w:tcPr>
            <w:tcW w:w="2109"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湖南杰丽思光电科技有限公司</w:t>
            </w:r>
          </w:p>
        </w:tc>
        <w:tc>
          <w:tcPr>
            <w:tcW w:w="1217" w:type="pct"/>
            <w:vAlign w:val="center"/>
          </w:tcPr>
          <w:p>
            <w:pPr>
              <w:widowControl/>
              <w:spacing w:line="240" w:lineRule="auto"/>
              <w:ind w:firstLine="0" w:firstLineChars="0"/>
              <w:jc w:val="center"/>
              <w:rPr>
                <w:rFonts w:eastAsiaTheme="minorEastAsia"/>
                <w:kern w:val="0"/>
                <w:sz w:val="21"/>
                <w:szCs w:val="21"/>
              </w:rPr>
            </w:pPr>
          </w:p>
        </w:tc>
        <w:tc>
          <w:tcPr>
            <w:tcW w:w="1286"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生活废水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12</w:t>
            </w:r>
          </w:p>
        </w:tc>
        <w:tc>
          <w:tcPr>
            <w:tcW w:w="2109" w:type="pct"/>
            <w:vAlign w:val="center"/>
          </w:tcPr>
          <w:p>
            <w:pPr>
              <w:widowControl/>
              <w:spacing w:line="240" w:lineRule="auto"/>
              <w:ind w:firstLine="0" w:firstLineChars="0"/>
              <w:jc w:val="center"/>
              <w:rPr>
                <w:rFonts w:eastAsiaTheme="minorEastAsia"/>
                <w:kern w:val="0"/>
                <w:sz w:val="21"/>
                <w:szCs w:val="21"/>
              </w:rPr>
            </w:pPr>
            <w:r>
              <w:rPr>
                <w:rFonts w:hint="eastAsia" w:eastAsiaTheme="minorEastAsia"/>
                <w:kern w:val="0"/>
                <w:sz w:val="21"/>
                <w:szCs w:val="21"/>
              </w:rPr>
              <w:t>湖南高茨控制系统科技有限公司</w:t>
            </w:r>
          </w:p>
        </w:tc>
        <w:tc>
          <w:tcPr>
            <w:tcW w:w="1217" w:type="pct"/>
            <w:vAlign w:val="center"/>
          </w:tcPr>
          <w:p>
            <w:pPr>
              <w:widowControl/>
              <w:spacing w:line="240" w:lineRule="auto"/>
              <w:ind w:firstLine="0" w:firstLineChars="0"/>
              <w:jc w:val="center"/>
              <w:rPr>
                <w:rFonts w:eastAsiaTheme="minorEastAsia"/>
                <w:kern w:val="0"/>
                <w:sz w:val="21"/>
                <w:szCs w:val="21"/>
              </w:rPr>
            </w:pPr>
          </w:p>
        </w:tc>
        <w:tc>
          <w:tcPr>
            <w:tcW w:w="1286"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生活废水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13</w:t>
            </w:r>
          </w:p>
        </w:tc>
        <w:tc>
          <w:tcPr>
            <w:tcW w:w="2109"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湖南韩顺电子科技有限公司</w:t>
            </w:r>
          </w:p>
        </w:tc>
        <w:tc>
          <w:tcPr>
            <w:tcW w:w="1217"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电子商务</w:t>
            </w:r>
          </w:p>
        </w:tc>
        <w:tc>
          <w:tcPr>
            <w:tcW w:w="1286"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生活废水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14</w:t>
            </w:r>
          </w:p>
        </w:tc>
        <w:tc>
          <w:tcPr>
            <w:tcW w:w="2109" w:type="pct"/>
            <w:vAlign w:val="center"/>
          </w:tcPr>
          <w:p>
            <w:pPr>
              <w:widowControl/>
              <w:spacing w:line="240" w:lineRule="auto"/>
              <w:ind w:firstLine="0" w:firstLineChars="0"/>
              <w:jc w:val="center"/>
              <w:rPr>
                <w:rFonts w:eastAsiaTheme="minorEastAsia"/>
                <w:kern w:val="0"/>
                <w:sz w:val="21"/>
                <w:szCs w:val="21"/>
              </w:rPr>
            </w:pPr>
            <w:r>
              <w:rPr>
                <w:rFonts w:hint="eastAsia" w:eastAsiaTheme="minorEastAsia"/>
                <w:kern w:val="0"/>
                <w:sz w:val="21"/>
                <w:szCs w:val="21"/>
              </w:rPr>
              <w:t>湖南广和包装有限公司</w:t>
            </w:r>
          </w:p>
        </w:tc>
        <w:tc>
          <w:tcPr>
            <w:tcW w:w="1217"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包装装潢印刷品</w:t>
            </w:r>
          </w:p>
        </w:tc>
        <w:tc>
          <w:tcPr>
            <w:tcW w:w="1286"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废水排放570t/a，COD</w:t>
            </w:r>
            <w:r>
              <w:rPr>
                <w:rFonts w:hint="eastAsia" w:eastAsiaTheme="minorEastAsia"/>
                <w:kern w:val="0"/>
                <w:sz w:val="21"/>
                <w:szCs w:val="21"/>
                <w:vertAlign w:val="subscript"/>
              </w:rPr>
              <w:t>C</w:t>
            </w:r>
            <w:r>
              <w:rPr>
                <w:rFonts w:eastAsiaTheme="minorEastAsia"/>
                <w:kern w:val="0"/>
                <w:sz w:val="21"/>
                <w:szCs w:val="21"/>
                <w:vertAlign w:val="subscript"/>
              </w:rPr>
              <w:t>r</w:t>
            </w:r>
            <w:r>
              <w:rPr>
                <w:rFonts w:eastAsiaTheme="minorEastAsia"/>
                <w:kern w:val="0"/>
                <w:sz w:val="21"/>
                <w:szCs w:val="21"/>
              </w:rPr>
              <w:t>0.114t/a，氨氮0.01089t/a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15</w:t>
            </w:r>
          </w:p>
        </w:tc>
        <w:tc>
          <w:tcPr>
            <w:tcW w:w="2109" w:type="pct"/>
            <w:vAlign w:val="center"/>
          </w:tcPr>
          <w:p>
            <w:pPr>
              <w:widowControl/>
              <w:spacing w:line="240" w:lineRule="auto"/>
              <w:ind w:firstLine="0" w:firstLineChars="0"/>
              <w:jc w:val="center"/>
              <w:rPr>
                <w:rFonts w:eastAsiaTheme="minorEastAsia"/>
                <w:kern w:val="0"/>
                <w:sz w:val="21"/>
                <w:szCs w:val="21"/>
              </w:rPr>
            </w:pPr>
            <w:r>
              <w:rPr>
                <w:rFonts w:hint="eastAsia" w:eastAsiaTheme="minorEastAsia"/>
                <w:kern w:val="0"/>
                <w:sz w:val="21"/>
                <w:szCs w:val="21"/>
              </w:rPr>
              <w:t>湖南蓝欣纺织科技有限公司</w:t>
            </w:r>
          </w:p>
        </w:tc>
        <w:tc>
          <w:tcPr>
            <w:tcW w:w="1217" w:type="pct"/>
            <w:vAlign w:val="center"/>
          </w:tcPr>
          <w:p>
            <w:pPr>
              <w:widowControl/>
              <w:spacing w:line="240" w:lineRule="auto"/>
              <w:ind w:firstLine="0" w:firstLineChars="0"/>
              <w:jc w:val="center"/>
              <w:rPr>
                <w:rFonts w:eastAsiaTheme="minorEastAsia"/>
                <w:kern w:val="0"/>
                <w:sz w:val="21"/>
                <w:szCs w:val="21"/>
              </w:rPr>
            </w:pPr>
            <w:r>
              <w:rPr>
                <w:rFonts w:hint="eastAsia" w:eastAsiaTheme="minorEastAsia"/>
                <w:kern w:val="0"/>
                <w:sz w:val="21"/>
                <w:szCs w:val="21"/>
              </w:rPr>
              <w:t>纺织品</w:t>
            </w:r>
          </w:p>
        </w:tc>
        <w:tc>
          <w:tcPr>
            <w:tcW w:w="1286"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生活废水</w:t>
            </w:r>
          </w:p>
        </w:tc>
      </w:tr>
    </w:tbl>
    <w:p>
      <w:pPr>
        <w:ind w:firstLine="480"/>
        <w:rPr>
          <w:szCs w:val="24"/>
        </w:rPr>
      </w:pPr>
      <w:bookmarkStart w:id="16" w:name="_Toc9645"/>
      <w:bookmarkStart w:id="17" w:name="_Toc166145931"/>
      <w:r>
        <w:rPr>
          <w:rFonts w:hint="eastAsia"/>
        </w:rPr>
        <w:t>根据《</w:t>
      </w:r>
      <w:r>
        <w:t>澧县东部新区污水处理厂建设项目环境影响报告书</w:t>
      </w:r>
      <w:r>
        <w:rPr>
          <w:rFonts w:hint="eastAsia"/>
        </w:rPr>
        <w:t>》，</w:t>
      </w:r>
      <w:r>
        <w:rPr>
          <w:szCs w:val="24"/>
        </w:rPr>
        <w:t>东部新区20</w:t>
      </w:r>
      <w:r>
        <w:rPr>
          <w:rFonts w:hint="eastAsia"/>
          <w:szCs w:val="24"/>
        </w:rPr>
        <w:t>20</w:t>
      </w:r>
      <w:r>
        <w:rPr>
          <w:szCs w:val="24"/>
        </w:rPr>
        <w:t>年和20</w:t>
      </w:r>
      <w:r>
        <w:rPr>
          <w:rFonts w:hint="eastAsia"/>
          <w:szCs w:val="24"/>
        </w:rPr>
        <w:t>3</w:t>
      </w:r>
      <w:r>
        <w:rPr>
          <w:szCs w:val="24"/>
        </w:rPr>
        <w:t>0年污水量预测值见</w:t>
      </w:r>
      <w:r>
        <w:rPr>
          <w:rFonts w:hint="eastAsia"/>
          <w:szCs w:val="24"/>
        </w:rPr>
        <w:t>下表。</w:t>
      </w:r>
    </w:p>
    <w:p>
      <w:pPr>
        <w:ind w:firstLine="442"/>
        <w:jc w:val="center"/>
        <w:rPr>
          <w:b/>
          <w:bCs/>
          <w:sz w:val="22"/>
          <w:szCs w:val="21"/>
        </w:rPr>
      </w:pPr>
    </w:p>
    <w:p>
      <w:pPr>
        <w:ind w:firstLine="442"/>
        <w:jc w:val="center"/>
        <w:rPr>
          <w:b/>
          <w:bCs/>
          <w:sz w:val="22"/>
          <w:szCs w:val="21"/>
          <w:u w:val="single"/>
        </w:rPr>
      </w:pPr>
      <w:r>
        <w:rPr>
          <w:b/>
          <w:bCs/>
          <w:sz w:val="22"/>
          <w:szCs w:val="21"/>
          <w:u w:val="single"/>
        </w:rPr>
        <w:t>表</w:t>
      </w:r>
      <w:r>
        <w:rPr>
          <w:rFonts w:hint="eastAsia"/>
          <w:b/>
          <w:bCs/>
          <w:sz w:val="22"/>
          <w:szCs w:val="21"/>
          <w:u w:val="single"/>
        </w:rPr>
        <w:t>2-3</w:t>
      </w:r>
      <w:r>
        <w:rPr>
          <w:b/>
          <w:bCs/>
          <w:sz w:val="22"/>
          <w:szCs w:val="21"/>
          <w:u w:val="single"/>
        </w:rPr>
        <w:t xml:space="preserve">     澧县东部新区20</w:t>
      </w:r>
      <w:r>
        <w:rPr>
          <w:rFonts w:hint="eastAsia"/>
          <w:b/>
          <w:bCs/>
          <w:sz w:val="22"/>
          <w:szCs w:val="21"/>
          <w:u w:val="single"/>
        </w:rPr>
        <w:t>20</w:t>
      </w:r>
      <w:r>
        <w:rPr>
          <w:b/>
          <w:bCs/>
          <w:sz w:val="22"/>
          <w:szCs w:val="21"/>
          <w:u w:val="single"/>
        </w:rPr>
        <w:t>年与20</w:t>
      </w:r>
      <w:r>
        <w:rPr>
          <w:rFonts w:hint="eastAsia"/>
          <w:b/>
          <w:bCs/>
          <w:sz w:val="22"/>
          <w:szCs w:val="21"/>
          <w:u w:val="single"/>
        </w:rPr>
        <w:t>3</w:t>
      </w:r>
      <w:r>
        <w:rPr>
          <w:b/>
          <w:bCs/>
          <w:sz w:val="22"/>
          <w:szCs w:val="21"/>
          <w:u w:val="single"/>
        </w:rPr>
        <w:t>0年污水量预测值表</w:t>
      </w:r>
    </w:p>
    <w:tbl>
      <w:tblPr>
        <w:tblStyle w:val="41"/>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2889"/>
        <w:gridCol w:w="1259"/>
        <w:gridCol w:w="1261"/>
        <w:gridCol w:w="1259"/>
        <w:gridCol w:w="1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Merge w:val="restar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序号</w:t>
            </w:r>
          </w:p>
        </w:tc>
        <w:tc>
          <w:tcPr>
            <w:tcW w:w="1654" w:type="pct"/>
            <w:vMerge w:val="restar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名称</w:t>
            </w:r>
          </w:p>
        </w:tc>
        <w:tc>
          <w:tcPr>
            <w:tcW w:w="1443" w:type="pct"/>
            <w:gridSpan w:val="2"/>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2020年</w:t>
            </w:r>
          </w:p>
        </w:tc>
        <w:tc>
          <w:tcPr>
            <w:tcW w:w="1443" w:type="pct"/>
            <w:gridSpan w:val="2"/>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2030年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Merge w:val="continue"/>
            <w:vAlign w:val="center"/>
          </w:tcPr>
          <w:p>
            <w:pPr>
              <w:widowControl/>
              <w:spacing w:line="240" w:lineRule="auto"/>
              <w:ind w:firstLine="0" w:firstLineChars="0"/>
              <w:jc w:val="center"/>
              <w:rPr>
                <w:rFonts w:eastAsiaTheme="minorEastAsia"/>
                <w:kern w:val="0"/>
                <w:sz w:val="21"/>
                <w:szCs w:val="21"/>
              </w:rPr>
            </w:pPr>
          </w:p>
        </w:tc>
        <w:tc>
          <w:tcPr>
            <w:tcW w:w="1654" w:type="pct"/>
            <w:vMerge w:val="continue"/>
            <w:vAlign w:val="center"/>
          </w:tcPr>
          <w:p>
            <w:pPr>
              <w:widowControl/>
              <w:spacing w:line="240" w:lineRule="auto"/>
              <w:ind w:firstLine="0" w:firstLineChars="0"/>
              <w:jc w:val="center"/>
              <w:rPr>
                <w:rFonts w:eastAsiaTheme="minorEastAsia"/>
                <w:kern w:val="0"/>
                <w:sz w:val="21"/>
                <w:szCs w:val="21"/>
              </w:rPr>
            </w:pPr>
          </w:p>
        </w:tc>
        <w:tc>
          <w:tcPr>
            <w:tcW w:w="721" w:type="pct"/>
            <w:vAlign w:val="center"/>
          </w:tcPr>
          <w:p>
            <w:pPr>
              <w:widowControl/>
              <w:spacing w:line="240" w:lineRule="auto"/>
              <w:ind w:firstLine="0" w:firstLineChars="0"/>
              <w:jc w:val="center"/>
              <w:rPr>
                <w:rFonts w:eastAsiaTheme="minorEastAsia"/>
                <w:kern w:val="0"/>
                <w:sz w:val="21"/>
                <w:szCs w:val="21"/>
              </w:rPr>
            </w:pPr>
            <w:r>
              <w:rPr>
                <w:rFonts w:hint="eastAsia" w:eastAsiaTheme="minorEastAsia"/>
                <w:kern w:val="0"/>
                <w:sz w:val="21"/>
                <w:szCs w:val="21"/>
              </w:rPr>
              <w:t>生活</w:t>
            </w:r>
          </w:p>
        </w:tc>
        <w:tc>
          <w:tcPr>
            <w:tcW w:w="722" w:type="pct"/>
            <w:vAlign w:val="center"/>
          </w:tcPr>
          <w:p>
            <w:pPr>
              <w:widowControl/>
              <w:spacing w:line="240" w:lineRule="auto"/>
              <w:ind w:firstLine="0" w:firstLineChars="0"/>
              <w:jc w:val="center"/>
              <w:rPr>
                <w:rFonts w:eastAsiaTheme="minorEastAsia"/>
                <w:kern w:val="0"/>
                <w:sz w:val="21"/>
                <w:szCs w:val="21"/>
              </w:rPr>
            </w:pPr>
            <w:r>
              <w:rPr>
                <w:rFonts w:hint="eastAsia" w:eastAsiaTheme="minorEastAsia"/>
                <w:kern w:val="0"/>
                <w:sz w:val="21"/>
                <w:szCs w:val="21"/>
              </w:rPr>
              <w:t>工业</w:t>
            </w:r>
          </w:p>
        </w:tc>
        <w:tc>
          <w:tcPr>
            <w:tcW w:w="721" w:type="pct"/>
            <w:vAlign w:val="center"/>
          </w:tcPr>
          <w:p>
            <w:pPr>
              <w:widowControl/>
              <w:spacing w:line="240" w:lineRule="auto"/>
              <w:ind w:firstLine="0" w:firstLineChars="0"/>
              <w:jc w:val="center"/>
              <w:rPr>
                <w:rFonts w:eastAsiaTheme="minorEastAsia"/>
                <w:kern w:val="0"/>
                <w:sz w:val="21"/>
                <w:szCs w:val="21"/>
              </w:rPr>
            </w:pPr>
            <w:r>
              <w:rPr>
                <w:rFonts w:hint="eastAsia" w:eastAsiaTheme="minorEastAsia"/>
                <w:kern w:val="0"/>
                <w:sz w:val="21"/>
                <w:szCs w:val="21"/>
              </w:rPr>
              <w:t>生活</w:t>
            </w:r>
          </w:p>
        </w:tc>
        <w:tc>
          <w:tcPr>
            <w:tcW w:w="722" w:type="pct"/>
            <w:vAlign w:val="center"/>
          </w:tcPr>
          <w:p>
            <w:pPr>
              <w:widowControl/>
              <w:spacing w:line="240" w:lineRule="auto"/>
              <w:ind w:firstLine="0" w:firstLineChars="0"/>
              <w:jc w:val="center"/>
              <w:rPr>
                <w:rFonts w:eastAsiaTheme="minorEastAsia"/>
                <w:kern w:val="0"/>
                <w:sz w:val="21"/>
                <w:szCs w:val="21"/>
              </w:rPr>
            </w:pPr>
            <w:r>
              <w:rPr>
                <w:rFonts w:hint="eastAsia" w:eastAsiaTheme="minorEastAsia"/>
                <w:kern w:val="0"/>
                <w:sz w:val="21"/>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1</w:t>
            </w:r>
          </w:p>
        </w:tc>
        <w:tc>
          <w:tcPr>
            <w:tcW w:w="1654"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用水量预测值（万m</w:t>
            </w:r>
            <w:r>
              <w:rPr>
                <w:rFonts w:eastAsiaTheme="minorEastAsia"/>
                <w:kern w:val="0"/>
                <w:sz w:val="21"/>
                <w:szCs w:val="21"/>
                <w:vertAlign w:val="superscript"/>
              </w:rPr>
              <w:t>3</w:t>
            </w:r>
            <w:r>
              <w:rPr>
                <w:rFonts w:eastAsiaTheme="minorEastAsia"/>
                <w:kern w:val="0"/>
                <w:sz w:val="21"/>
                <w:szCs w:val="21"/>
              </w:rPr>
              <w:t>/d）</w:t>
            </w:r>
          </w:p>
        </w:tc>
        <w:tc>
          <w:tcPr>
            <w:tcW w:w="721"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5.50</w:t>
            </w:r>
          </w:p>
        </w:tc>
        <w:tc>
          <w:tcPr>
            <w:tcW w:w="722"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2.00</w:t>
            </w:r>
          </w:p>
        </w:tc>
        <w:tc>
          <w:tcPr>
            <w:tcW w:w="721" w:type="pct"/>
            <w:vAlign w:val="center"/>
          </w:tcPr>
          <w:p>
            <w:pPr>
              <w:widowControl/>
              <w:spacing w:line="240" w:lineRule="auto"/>
              <w:ind w:firstLine="0" w:firstLineChars="0"/>
              <w:jc w:val="center"/>
              <w:rPr>
                <w:rFonts w:eastAsiaTheme="minorEastAsia"/>
                <w:kern w:val="0"/>
                <w:sz w:val="21"/>
                <w:szCs w:val="21"/>
              </w:rPr>
            </w:pPr>
            <w:r>
              <w:rPr>
                <w:rFonts w:hint="eastAsia" w:eastAsiaTheme="minorEastAsia"/>
                <w:kern w:val="0"/>
                <w:sz w:val="21"/>
                <w:szCs w:val="21"/>
              </w:rPr>
              <w:t>8.75</w:t>
            </w:r>
          </w:p>
        </w:tc>
        <w:tc>
          <w:tcPr>
            <w:tcW w:w="722" w:type="pct"/>
            <w:vAlign w:val="center"/>
          </w:tcPr>
          <w:p>
            <w:pPr>
              <w:widowControl/>
              <w:spacing w:line="240" w:lineRule="auto"/>
              <w:ind w:firstLine="0" w:firstLineChars="0"/>
              <w:jc w:val="center"/>
              <w:rPr>
                <w:rFonts w:eastAsiaTheme="minorEastAsia"/>
                <w:kern w:val="0"/>
                <w:sz w:val="21"/>
                <w:szCs w:val="21"/>
              </w:rPr>
            </w:pPr>
            <w:r>
              <w:rPr>
                <w:rFonts w:hint="eastAsia" w:eastAsiaTheme="minorEastAsia"/>
                <w:kern w:val="0"/>
                <w:sz w:val="21"/>
                <w:szCs w:val="21"/>
              </w:rPr>
              <w:t>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2</w:t>
            </w:r>
          </w:p>
        </w:tc>
        <w:tc>
          <w:tcPr>
            <w:tcW w:w="1654"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排污系数</w:t>
            </w:r>
          </w:p>
        </w:tc>
        <w:tc>
          <w:tcPr>
            <w:tcW w:w="721"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0.85</w:t>
            </w:r>
          </w:p>
        </w:tc>
        <w:tc>
          <w:tcPr>
            <w:tcW w:w="722"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0.85</w:t>
            </w:r>
          </w:p>
        </w:tc>
        <w:tc>
          <w:tcPr>
            <w:tcW w:w="721"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0.85</w:t>
            </w:r>
          </w:p>
        </w:tc>
        <w:tc>
          <w:tcPr>
            <w:tcW w:w="722"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3</w:t>
            </w:r>
          </w:p>
        </w:tc>
        <w:tc>
          <w:tcPr>
            <w:tcW w:w="1654"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污水收集系数</w:t>
            </w:r>
          </w:p>
        </w:tc>
        <w:tc>
          <w:tcPr>
            <w:tcW w:w="721"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0.95</w:t>
            </w:r>
          </w:p>
        </w:tc>
        <w:tc>
          <w:tcPr>
            <w:tcW w:w="722"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0.95</w:t>
            </w:r>
          </w:p>
        </w:tc>
        <w:tc>
          <w:tcPr>
            <w:tcW w:w="721"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0.95</w:t>
            </w:r>
          </w:p>
        </w:tc>
        <w:tc>
          <w:tcPr>
            <w:tcW w:w="722"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4</w:t>
            </w:r>
          </w:p>
        </w:tc>
        <w:tc>
          <w:tcPr>
            <w:tcW w:w="1654"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日变化系数</w:t>
            </w:r>
          </w:p>
        </w:tc>
        <w:tc>
          <w:tcPr>
            <w:tcW w:w="721"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1.4</w:t>
            </w:r>
          </w:p>
        </w:tc>
        <w:tc>
          <w:tcPr>
            <w:tcW w:w="722"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1.4</w:t>
            </w:r>
          </w:p>
        </w:tc>
        <w:tc>
          <w:tcPr>
            <w:tcW w:w="721"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1.4</w:t>
            </w:r>
          </w:p>
        </w:tc>
        <w:tc>
          <w:tcPr>
            <w:tcW w:w="722"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5</w:t>
            </w:r>
          </w:p>
        </w:tc>
        <w:tc>
          <w:tcPr>
            <w:tcW w:w="1654"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污水量预测值（万m</w:t>
            </w:r>
            <w:r>
              <w:rPr>
                <w:rFonts w:eastAsiaTheme="minorEastAsia"/>
                <w:kern w:val="0"/>
                <w:sz w:val="21"/>
                <w:szCs w:val="21"/>
                <w:vertAlign w:val="superscript"/>
              </w:rPr>
              <w:t>3</w:t>
            </w:r>
            <w:r>
              <w:rPr>
                <w:rFonts w:eastAsiaTheme="minorEastAsia"/>
                <w:kern w:val="0"/>
                <w:sz w:val="21"/>
                <w:szCs w:val="21"/>
              </w:rPr>
              <w:t>/d）</w:t>
            </w:r>
          </w:p>
        </w:tc>
        <w:tc>
          <w:tcPr>
            <w:tcW w:w="721"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3.17</w:t>
            </w:r>
          </w:p>
        </w:tc>
        <w:tc>
          <w:tcPr>
            <w:tcW w:w="722"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1.15</w:t>
            </w:r>
          </w:p>
        </w:tc>
        <w:tc>
          <w:tcPr>
            <w:tcW w:w="721"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5.0</w:t>
            </w:r>
            <w:r>
              <w:rPr>
                <w:rFonts w:hint="eastAsia" w:eastAsiaTheme="minorEastAsia"/>
                <w:kern w:val="0"/>
                <w:sz w:val="21"/>
                <w:szCs w:val="21"/>
              </w:rPr>
              <w:t>5</w:t>
            </w:r>
          </w:p>
        </w:tc>
        <w:tc>
          <w:tcPr>
            <w:tcW w:w="722" w:type="pct"/>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1.6</w:t>
            </w:r>
            <w:r>
              <w:rPr>
                <w:rFonts w:hint="eastAsia" w:eastAsiaTheme="minorEastAsia"/>
                <w:kern w:val="0"/>
                <w:sz w:val="21"/>
                <w:szCs w:val="21"/>
              </w:rPr>
              <w:t>1</w:t>
            </w:r>
          </w:p>
        </w:tc>
      </w:tr>
    </w:tbl>
    <w:p>
      <w:pPr>
        <w:ind w:firstLine="480"/>
        <w:rPr>
          <w:u w:val="single"/>
        </w:rPr>
      </w:pPr>
      <w:r>
        <w:rPr>
          <w:rFonts w:hint="eastAsia"/>
          <w:u w:val="single"/>
        </w:rPr>
        <w:t>根据上表，2030年</w:t>
      </w:r>
      <w:r>
        <w:rPr>
          <w:u w:val="single"/>
        </w:rPr>
        <w:t>澧县东部新区污水处理厂</w:t>
      </w:r>
      <w:r>
        <w:rPr>
          <w:rFonts w:hint="eastAsia"/>
          <w:u w:val="single"/>
        </w:rPr>
        <w:t>接纳的生活污水与工业废水水量占比分别为75.8%和24.2%。由于开发区禁止引进引入三类工业及排放重金属企业入园，限制耗水量及排水量大的企业进入，新区主要发展一类工业，因此接纳的污水不含重金属及有毒有害物质。</w:t>
      </w:r>
    </w:p>
    <w:p>
      <w:pPr>
        <w:tabs>
          <w:tab w:val="left" w:pos="2548"/>
        </w:tabs>
        <w:ind w:firstLine="480"/>
        <w:rPr>
          <w:rFonts w:hAnsi="宋体"/>
          <w:szCs w:val="24"/>
          <w:u w:val="single"/>
        </w:rPr>
      </w:pPr>
      <w:r>
        <w:rPr>
          <w:rFonts w:hint="eastAsia" w:hAnsi="宋体"/>
          <w:szCs w:val="24"/>
          <w:u w:val="single"/>
        </w:rPr>
        <w:t>根据《入河入海排污口监督管理技术指南 排污口分类》（HJ 1312-2023）中“4.2污水混合排放的入河入海排污口，可参考排水量占比、主要水污染物排放量占比、重金属及有毒有害物质排放情况等确定入河入海排污口类型。”本项目</w:t>
      </w:r>
      <w:r>
        <w:rPr>
          <w:rFonts w:hint="eastAsia"/>
          <w:u w:val="single"/>
        </w:rPr>
        <w:t>接纳的生活污水与工业废水水量占比分别为75.8%和24.2%，且不含重金属及有毒有害物质，因此</w:t>
      </w:r>
      <w:r>
        <w:rPr>
          <w:u w:val="single"/>
        </w:rPr>
        <w:t>澧县东部新区污水处理厂</w:t>
      </w:r>
      <w:r>
        <w:rPr>
          <w:rFonts w:hint="eastAsia"/>
          <w:u w:val="single"/>
        </w:rPr>
        <w:t>入河排污口分类为</w:t>
      </w:r>
      <w:r>
        <w:rPr>
          <w:rFonts w:hint="eastAsia"/>
          <w:b/>
          <w:u w:val="single"/>
        </w:rPr>
        <w:t>城镇污水处理厂排污口</w:t>
      </w:r>
      <w:r>
        <w:rPr>
          <w:rFonts w:hint="eastAsia"/>
          <w:u w:val="single"/>
        </w:rPr>
        <w:t>。</w:t>
      </w:r>
    </w:p>
    <w:p>
      <w:pPr>
        <w:pStyle w:val="3"/>
      </w:pPr>
      <w:r>
        <w:t>2.</w:t>
      </w:r>
      <w:r>
        <w:rPr>
          <w:rFonts w:hint="eastAsia"/>
        </w:rPr>
        <w:t xml:space="preserve">2 </w:t>
      </w:r>
      <w:r>
        <w:t>工艺方案</w:t>
      </w:r>
      <w:bookmarkEnd w:id="16"/>
      <w:bookmarkEnd w:id="17"/>
    </w:p>
    <w:p>
      <w:pPr>
        <w:tabs>
          <w:tab w:val="left" w:pos="2548"/>
        </w:tabs>
        <w:ind w:firstLine="480"/>
        <w:rPr>
          <w:rFonts w:hAnsi="宋体"/>
          <w:szCs w:val="24"/>
        </w:rPr>
      </w:pPr>
      <w:r>
        <w:rPr>
          <w:rFonts w:hint="eastAsia" w:hAnsi="宋体"/>
          <w:szCs w:val="24"/>
        </w:rPr>
        <w:t>1、</w:t>
      </w:r>
      <w:r>
        <w:rPr>
          <w:rFonts w:hAnsi="宋体"/>
          <w:szCs w:val="24"/>
        </w:rPr>
        <w:t>设计进、出水水质</w:t>
      </w:r>
    </w:p>
    <w:p>
      <w:pPr>
        <w:tabs>
          <w:tab w:val="left" w:pos="2548"/>
        </w:tabs>
        <w:ind w:firstLine="480"/>
        <w:rPr>
          <w:rFonts w:hAnsi="宋体"/>
          <w:szCs w:val="24"/>
        </w:rPr>
      </w:pPr>
      <w:r>
        <w:rPr>
          <w:rFonts w:hint="eastAsia" w:hAnsi="宋体"/>
          <w:szCs w:val="24"/>
        </w:rPr>
        <w:t>（1）设计进水水质</w:t>
      </w:r>
    </w:p>
    <w:p>
      <w:pPr>
        <w:tabs>
          <w:tab w:val="left" w:pos="2548"/>
        </w:tabs>
        <w:ind w:firstLine="480"/>
        <w:rPr>
          <w:rFonts w:hAnsi="宋体"/>
          <w:szCs w:val="24"/>
        </w:rPr>
      </w:pPr>
      <w:r>
        <w:rPr>
          <w:rFonts w:hint="eastAsia" w:hAnsi="宋体"/>
          <w:szCs w:val="24"/>
        </w:rPr>
        <w:t>本项目设计进水水质</w:t>
      </w:r>
      <w:r>
        <w:rPr>
          <w:rFonts w:hAnsi="宋体"/>
          <w:szCs w:val="24"/>
        </w:rPr>
        <w:t>见</w:t>
      </w:r>
      <w:r>
        <w:rPr>
          <w:rFonts w:hint="eastAsia" w:hAnsi="宋体"/>
          <w:szCs w:val="24"/>
        </w:rPr>
        <w:t>下</w:t>
      </w:r>
      <w:r>
        <w:rPr>
          <w:rFonts w:hAnsi="宋体"/>
          <w:szCs w:val="24"/>
        </w:rPr>
        <w:t>表</w:t>
      </w:r>
      <w:r>
        <w:rPr>
          <w:rFonts w:hint="eastAsia" w:hAnsi="宋体"/>
          <w:szCs w:val="24"/>
        </w:rPr>
        <w:t>。</w:t>
      </w:r>
    </w:p>
    <w:p>
      <w:pPr>
        <w:widowControl/>
        <w:autoSpaceDE w:val="0"/>
        <w:autoSpaceDN w:val="0"/>
        <w:ind w:firstLine="422"/>
        <w:jc w:val="center"/>
        <w:rPr>
          <w:b/>
          <w:kern w:val="0"/>
          <w:sz w:val="21"/>
          <w:szCs w:val="21"/>
        </w:rPr>
      </w:pPr>
      <w:r>
        <w:rPr>
          <w:b/>
          <w:kern w:val="0"/>
          <w:sz w:val="21"/>
          <w:szCs w:val="21"/>
        </w:rPr>
        <w:t>表</w:t>
      </w:r>
      <w:r>
        <w:rPr>
          <w:rFonts w:hint="eastAsia"/>
          <w:b/>
          <w:kern w:val="0"/>
          <w:sz w:val="21"/>
          <w:szCs w:val="21"/>
        </w:rPr>
        <w:t xml:space="preserve">2-4  </w:t>
      </w:r>
      <w:r>
        <w:rPr>
          <w:b/>
          <w:kern w:val="0"/>
          <w:sz w:val="21"/>
          <w:szCs w:val="21"/>
        </w:rPr>
        <w:t>污水处理厂设计进水水质一览表</w:t>
      </w:r>
      <w:r>
        <w:rPr>
          <w:rFonts w:hint="eastAsia"/>
          <w:b/>
          <w:kern w:val="0"/>
          <w:sz w:val="21"/>
          <w:szCs w:val="21"/>
        </w:rPr>
        <w:t xml:space="preserve">    </w:t>
      </w:r>
      <w:r>
        <w:rPr>
          <w:b/>
          <w:kern w:val="0"/>
          <w:sz w:val="21"/>
          <w:szCs w:val="21"/>
        </w:rPr>
        <w:t>单位：mg/</w:t>
      </w:r>
      <w:r>
        <w:rPr>
          <w:rFonts w:hint="eastAsia"/>
          <w:b/>
          <w:kern w:val="0"/>
          <w:sz w:val="21"/>
          <w:szCs w:val="21"/>
        </w:rPr>
        <w:t>L</w:t>
      </w:r>
    </w:p>
    <w:tbl>
      <w:tblPr>
        <w:tblStyle w:val="41"/>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8"/>
        <w:gridCol w:w="1224"/>
        <w:gridCol w:w="1226"/>
        <w:gridCol w:w="1226"/>
        <w:gridCol w:w="1226"/>
        <w:gridCol w:w="1226"/>
        <w:gridCol w:w="1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4" w:type="dxa"/>
            <w:vAlign w:val="center"/>
          </w:tcPr>
          <w:p>
            <w:pPr>
              <w:widowControl/>
              <w:spacing w:line="240" w:lineRule="auto"/>
              <w:ind w:firstLine="0" w:firstLineChars="0"/>
              <w:jc w:val="center"/>
              <w:rPr>
                <w:rFonts w:eastAsiaTheme="minorEastAsia"/>
                <w:b/>
                <w:kern w:val="0"/>
                <w:sz w:val="21"/>
                <w:szCs w:val="21"/>
              </w:rPr>
            </w:pPr>
            <w:r>
              <w:rPr>
                <w:rFonts w:eastAsiaTheme="minorEastAsia"/>
                <w:b/>
                <w:kern w:val="0"/>
                <w:sz w:val="21"/>
                <w:szCs w:val="21"/>
              </w:rPr>
              <w:t>项目</w:t>
            </w:r>
          </w:p>
        </w:tc>
        <w:tc>
          <w:tcPr>
            <w:tcW w:w="1229" w:type="dxa"/>
            <w:vAlign w:val="center"/>
          </w:tcPr>
          <w:p>
            <w:pPr>
              <w:widowControl/>
              <w:spacing w:line="240" w:lineRule="auto"/>
              <w:ind w:firstLine="0" w:firstLineChars="0"/>
              <w:jc w:val="center"/>
              <w:rPr>
                <w:rFonts w:eastAsiaTheme="minorEastAsia"/>
                <w:b/>
                <w:kern w:val="0"/>
                <w:sz w:val="21"/>
                <w:szCs w:val="21"/>
              </w:rPr>
            </w:pPr>
            <w:r>
              <w:rPr>
                <w:rFonts w:eastAsiaTheme="minorEastAsia"/>
                <w:b/>
                <w:kern w:val="0"/>
                <w:sz w:val="21"/>
                <w:szCs w:val="21"/>
              </w:rPr>
              <w:t>COD</w:t>
            </w:r>
            <w:r>
              <w:rPr>
                <w:rFonts w:hint="eastAsia" w:eastAsiaTheme="minorEastAsia"/>
                <w:b/>
                <w:kern w:val="0"/>
                <w:sz w:val="21"/>
                <w:szCs w:val="21"/>
                <w:vertAlign w:val="subscript"/>
              </w:rPr>
              <w:t>C</w:t>
            </w:r>
            <w:r>
              <w:rPr>
                <w:rFonts w:eastAsiaTheme="minorEastAsia"/>
                <w:b/>
                <w:kern w:val="0"/>
                <w:sz w:val="21"/>
                <w:szCs w:val="21"/>
                <w:vertAlign w:val="subscript"/>
              </w:rPr>
              <w:t>r</w:t>
            </w:r>
          </w:p>
        </w:tc>
        <w:tc>
          <w:tcPr>
            <w:tcW w:w="1232" w:type="dxa"/>
            <w:vAlign w:val="center"/>
          </w:tcPr>
          <w:p>
            <w:pPr>
              <w:widowControl/>
              <w:spacing w:line="240" w:lineRule="auto"/>
              <w:ind w:firstLine="0" w:firstLineChars="0"/>
              <w:jc w:val="center"/>
              <w:rPr>
                <w:rFonts w:eastAsiaTheme="minorEastAsia"/>
                <w:b/>
                <w:kern w:val="0"/>
                <w:sz w:val="21"/>
                <w:szCs w:val="21"/>
              </w:rPr>
            </w:pPr>
            <w:r>
              <w:rPr>
                <w:rFonts w:eastAsiaTheme="minorEastAsia"/>
                <w:b/>
                <w:kern w:val="0"/>
                <w:sz w:val="21"/>
                <w:szCs w:val="21"/>
              </w:rPr>
              <w:t>BOD</w:t>
            </w:r>
            <w:r>
              <w:rPr>
                <w:rFonts w:eastAsiaTheme="minorEastAsia"/>
                <w:b/>
                <w:kern w:val="0"/>
                <w:sz w:val="21"/>
                <w:szCs w:val="21"/>
                <w:vertAlign w:val="subscript"/>
              </w:rPr>
              <w:t>5</w:t>
            </w:r>
          </w:p>
        </w:tc>
        <w:tc>
          <w:tcPr>
            <w:tcW w:w="1232" w:type="dxa"/>
            <w:vAlign w:val="center"/>
          </w:tcPr>
          <w:p>
            <w:pPr>
              <w:widowControl/>
              <w:spacing w:line="240" w:lineRule="auto"/>
              <w:ind w:firstLine="0" w:firstLineChars="0"/>
              <w:jc w:val="center"/>
              <w:rPr>
                <w:rFonts w:eastAsiaTheme="minorEastAsia"/>
                <w:b/>
                <w:kern w:val="0"/>
                <w:sz w:val="21"/>
                <w:szCs w:val="21"/>
              </w:rPr>
            </w:pPr>
            <w:r>
              <w:rPr>
                <w:rFonts w:eastAsiaTheme="minorEastAsia"/>
                <w:b/>
                <w:kern w:val="0"/>
                <w:sz w:val="21"/>
                <w:szCs w:val="21"/>
              </w:rPr>
              <w:t>SS</w:t>
            </w:r>
          </w:p>
        </w:tc>
        <w:tc>
          <w:tcPr>
            <w:tcW w:w="1232" w:type="dxa"/>
            <w:vAlign w:val="center"/>
          </w:tcPr>
          <w:p>
            <w:pPr>
              <w:widowControl/>
              <w:spacing w:line="240" w:lineRule="auto"/>
              <w:ind w:firstLine="0" w:firstLineChars="0"/>
              <w:jc w:val="center"/>
              <w:rPr>
                <w:rFonts w:eastAsiaTheme="minorEastAsia"/>
                <w:b/>
                <w:kern w:val="0"/>
                <w:sz w:val="21"/>
                <w:szCs w:val="21"/>
              </w:rPr>
            </w:pPr>
            <w:r>
              <w:rPr>
                <w:rFonts w:eastAsiaTheme="minorEastAsia"/>
                <w:b/>
                <w:kern w:val="0"/>
                <w:sz w:val="21"/>
                <w:szCs w:val="21"/>
              </w:rPr>
              <w:t>TN</w:t>
            </w:r>
          </w:p>
        </w:tc>
        <w:tc>
          <w:tcPr>
            <w:tcW w:w="1232" w:type="dxa"/>
            <w:vAlign w:val="center"/>
          </w:tcPr>
          <w:p>
            <w:pPr>
              <w:widowControl/>
              <w:spacing w:line="240" w:lineRule="auto"/>
              <w:ind w:firstLine="0" w:firstLineChars="0"/>
              <w:jc w:val="center"/>
              <w:rPr>
                <w:rFonts w:eastAsiaTheme="minorEastAsia"/>
                <w:b/>
                <w:kern w:val="0"/>
                <w:sz w:val="21"/>
                <w:szCs w:val="21"/>
              </w:rPr>
            </w:pPr>
            <w:r>
              <w:rPr>
                <w:rFonts w:eastAsiaTheme="minorEastAsia"/>
                <w:b/>
                <w:kern w:val="0"/>
                <w:sz w:val="21"/>
                <w:szCs w:val="21"/>
              </w:rPr>
              <w:t>NH</w:t>
            </w:r>
            <w:r>
              <w:rPr>
                <w:rFonts w:eastAsiaTheme="minorEastAsia"/>
                <w:b/>
                <w:kern w:val="0"/>
                <w:sz w:val="21"/>
                <w:szCs w:val="21"/>
                <w:vertAlign w:val="subscript"/>
              </w:rPr>
              <w:t>3</w:t>
            </w:r>
            <w:r>
              <w:rPr>
                <w:rFonts w:eastAsiaTheme="minorEastAsia"/>
                <w:b/>
                <w:kern w:val="0"/>
                <w:sz w:val="21"/>
                <w:szCs w:val="21"/>
              </w:rPr>
              <w:t>-N</w:t>
            </w:r>
          </w:p>
        </w:tc>
        <w:tc>
          <w:tcPr>
            <w:tcW w:w="1232" w:type="dxa"/>
            <w:vAlign w:val="center"/>
          </w:tcPr>
          <w:p>
            <w:pPr>
              <w:widowControl/>
              <w:spacing w:line="240" w:lineRule="auto"/>
              <w:ind w:firstLine="0" w:firstLineChars="0"/>
              <w:jc w:val="center"/>
              <w:rPr>
                <w:rFonts w:eastAsiaTheme="minorEastAsia"/>
                <w:b/>
                <w:kern w:val="0"/>
                <w:sz w:val="21"/>
                <w:szCs w:val="21"/>
              </w:rPr>
            </w:pPr>
            <w:r>
              <w:rPr>
                <w:rFonts w:eastAsiaTheme="minorEastAsia"/>
                <w:b/>
                <w:kern w:val="0"/>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4" w:type="dxa"/>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进水水质</w:t>
            </w:r>
          </w:p>
        </w:tc>
        <w:tc>
          <w:tcPr>
            <w:tcW w:w="1229" w:type="dxa"/>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330</w:t>
            </w:r>
          </w:p>
        </w:tc>
        <w:tc>
          <w:tcPr>
            <w:tcW w:w="1232" w:type="dxa"/>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140</w:t>
            </w:r>
          </w:p>
        </w:tc>
        <w:tc>
          <w:tcPr>
            <w:tcW w:w="1232" w:type="dxa"/>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200</w:t>
            </w:r>
          </w:p>
        </w:tc>
        <w:tc>
          <w:tcPr>
            <w:tcW w:w="1232" w:type="dxa"/>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40</w:t>
            </w:r>
          </w:p>
        </w:tc>
        <w:tc>
          <w:tcPr>
            <w:tcW w:w="1232" w:type="dxa"/>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30</w:t>
            </w:r>
          </w:p>
        </w:tc>
        <w:tc>
          <w:tcPr>
            <w:tcW w:w="1232" w:type="dxa"/>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4</w:t>
            </w:r>
          </w:p>
        </w:tc>
      </w:tr>
    </w:tbl>
    <w:p>
      <w:pPr>
        <w:tabs>
          <w:tab w:val="left" w:pos="2548"/>
        </w:tabs>
        <w:spacing w:beforeLines="50"/>
        <w:ind w:firstLine="480"/>
        <w:rPr>
          <w:rFonts w:hAnsi="宋体"/>
          <w:szCs w:val="24"/>
        </w:rPr>
      </w:pPr>
      <w:r>
        <w:rPr>
          <w:rFonts w:hint="eastAsia" w:hAnsi="宋体"/>
          <w:szCs w:val="24"/>
        </w:rPr>
        <w:t>（2）</w:t>
      </w:r>
      <w:r>
        <w:rPr>
          <w:rFonts w:hAnsi="宋体"/>
          <w:szCs w:val="24"/>
        </w:rPr>
        <w:t>出水水质标准</w:t>
      </w:r>
    </w:p>
    <w:p>
      <w:pPr>
        <w:tabs>
          <w:tab w:val="left" w:pos="2548"/>
        </w:tabs>
        <w:ind w:firstLine="480"/>
        <w:rPr>
          <w:rFonts w:hAnsi="宋体"/>
          <w:szCs w:val="24"/>
        </w:rPr>
      </w:pPr>
      <w:r>
        <w:rPr>
          <w:rFonts w:hAnsi="宋体"/>
          <w:szCs w:val="24"/>
        </w:rPr>
        <w:t>澧县东部新区污水处理厂最终受纳水体为澹水，出水水质执行《城镇污水处理厂污染排放标准》（GB18918</w:t>
      </w:r>
      <w:r>
        <w:rPr>
          <w:rFonts w:hint="eastAsia" w:hAnsi="宋体"/>
          <w:szCs w:val="24"/>
        </w:rPr>
        <w:t>-</w:t>
      </w:r>
      <w:r>
        <w:rPr>
          <w:rFonts w:hAnsi="宋体"/>
          <w:szCs w:val="24"/>
        </w:rPr>
        <w:t>2002）一级标准的</w:t>
      </w:r>
      <w:r>
        <w:rPr>
          <w:rFonts w:hint="eastAsia" w:hAnsi="宋体"/>
          <w:szCs w:val="24"/>
        </w:rPr>
        <w:t>A</w:t>
      </w:r>
      <w:r>
        <w:rPr>
          <w:rFonts w:hAnsi="宋体"/>
          <w:szCs w:val="24"/>
        </w:rPr>
        <w:t>标准，该标准具体出水水质</w:t>
      </w:r>
      <w:r>
        <w:rPr>
          <w:rFonts w:hint="eastAsia" w:hAnsi="宋体"/>
          <w:szCs w:val="24"/>
        </w:rPr>
        <w:t>详</w:t>
      </w:r>
      <w:r>
        <w:rPr>
          <w:rFonts w:hAnsi="宋体"/>
          <w:szCs w:val="24"/>
        </w:rPr>
        <w:t>见</w:t>
      </w:r>
      <w:r>
        <w:rPr>
          <w:rFonts w:hint="eastAsia" w:hAnsi="宋体"/>
          <w:szCs w:val="24"/>
        </w:rPr>
        <w:t>下表</w:t>
      </w:r>
      <w:r>
        <w:rPr>
          <w:rFonts w:hAnsi="宋体"/>
          <w:szCs w:val="24"/>
        </w:rPr>
        <w:t>。</w:t>
      </w:r>
    </w:p>
    <w:p>
      <w:pPr>
        <w:widowControl/>
        <w:autoSpaceDE w:val="0"/>
        <w:autoSpaceDN w:val="0"/>
        <w:ind w:firstLine="422"/>
        <w:jc w:val="center"/>
        <w:rPr>
          <w:b/>
          <w:kern w:val="0"/>
          <w:sz w:val="21"/>
          <w:szCs w:val="21"/>
        </w:rPr>
      </w:pPr>
      <w:r>
        <w:rPr>
          <w:b/>
          <w:kern w:val="0"/>
          <w:sz w:val="21"/>
          <w:szCs w:val="21"/>
        </w:rPr>
        <w:t>表</w:t>
      </w:r>
      <w:r>
        <w:rPr>
          <w:rFonts w:hint="eastAsia"/>
          <w:b/>
          <w:kern w:val="0"/>
          <w:sz w:val="21"/>
          <w:szCs w:val="21"/>
        </w:rPr>
        <w:t xml:space="preserve">2-5  </w:t>
      </w:r>
      <w:r>
        <w:rPr>
          <w:b/>
          <w:kern w:val="0"/>
          <w:sz w:val="21"/>
          <w:szCs w:val="21"/>
        </w:rPr>
        <w:t>污水处理厂出水水质</w:t>
      </w:r>
      <w:r>
        <w:rPr>
          <w:rFonts w:hint="eastAsia"/>
          <w:b/>
          <w:kern w:val="0"/>
          <w:sz w:val="21"/>
          <w:szCs w:val="21"/>
        </w:rPr>
        <w:t xml:space="preserve">    </w:t>
      </w:r>
      <w:r>
        <w:rPr>
          <w:b/>
          <w:kern w:val="0"/>
          <w:sz w:val="21"/>
          <w:szCs w:val="21"/>
        </w:rPr>
        <w:t>单位：mg/</w:t>
      </w:r>
      <w:r>
        <w:rPr>
          <w:rFonts w:hint="eastAsia"/>
          <w:b/>
          <w:kern w:val="0"/>
          <w:sz w:val="21"/>
          <w:szCs w:val="21"/>
        </w:rPr>
        <w:t>L</w:t>
      </w:r>
    </w:p>
    <w:tbl>
      <w:tblPr>
        <w:tblStyle w:val="41"/>
        <w:tblW w:w="87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4"/>
        <w:gridCol w:w="1304"/>
        <w:gridCol w:w="1158"/>
        <w:gridCol w:w="1008"/>
        <w:gridCol w:w="1008"/>
        <w:gridCol w:w="1508"/>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74" w:type="dxa"/>
            <w:vAlign w:val="center"/>
          </w:tcPr>
          <w:p>
            <w:pPr>
              <w:widowControl/>
              <w:spacing w:line="240" w:lineRule="auto"/>
              <w:ind w:firstLine="0" w:firstLineChars="0"/>
              <w:jc w:val="center"/>
              <w:rPr>
                <w:rFonts w:eastAsiaTheme="minorEastAsia"/>
                <w:b/>
                <w:kern w:val="0"/>
                <w:sz w:val="21"/>
                <w:szCs w:val="21"/>
              </w:rPr>
            </w:pPr>
            <w:r>
              <w:rPr>
                <w:rFonts w:eastAsiaTheme="minorEastAsia"/>
                <w:b/>
                <w:kern w:val="0"/>
                <w:sz w:val="21"/>
                <w:szCs w:val="21"/>
              </w:rPr>
              <w:t>项目</w:t>
            </w:r>
          </w:p>
        </w:tc>
        <w:tc>
          <w:tcPr>
            <w:tcW w:w="1304" w:type="dxa"/>
            <w:vAlign w:val="center"/>
          </w:tcPr>
          <w:p>
            <w:pPr>
              <w:widowControl/>
              <w:spacing w:line="240" w:lineRule="auto"/>
              <w:ind w:firstLine="0" w:firstLineChars="0"/>
              <w:jc w:val="center"/>
              <w:rPr>
                <w:rFonts w:eastAsiaTheme="minorEastAsia"/>
                <w:b/>
                <w:kern w:val="0"/>
                <w:sz w:val="21"/>
                <w:szCs w:val="21"/>
              </w:rPr>
            </w:pPr>
            <w:r>
              <w:rPr>
                <w:rFonts w:eastAsiaTheme="minorEastAsia"/>
                <w:b/>
                <w:kern w:val="0"/>
                <w:sz w:val="21"/>
                <w:szCs w:val="21"/>
              </w:rPr>
              <w:t>COD</w:t>
            </w:r>
            <w:r>
              <w:rPr>
                <w:rFonts w:hint="eastAsia" w:eastAsiaTheme="minorEastAsia"/>
                <w:b/>
                <w:kern w:val="0"/>
                <w:sz w:val="21"/>
                <w:szCs w:val="21"/>
                <w:vertAlign w:val="subscript"/>
              </w:rPr>
              <w:t>C</w:t>
            </w:r>
            <w:r>
              <w:rPr>
                <w:rFonts w:eastAsiaTheme="minorEastAsia"/>
                <w:b/>
                <w:kern w:val="0"/>
                <w:sz w:val="21"/>
                <w:szCs w:val="21"/>
                <w:vertAlign w:val="subscript"/>
              </w:rPr>
              <w:t>r</w:t>
            </w:r>
          </w:p>
        </w:tc>
        <w:tc>
          <w:tcPr>
            <w:tcW w:w="1158" w:type="dxa"/>
            <w:vAlign w:val="center"/>
          </w:tcPr>
          <w:p>
            <w:pPr>
              <w:widowControl/>
              <w:spacing w:line="240" w:lineRule="auto"/>
              <w:ind w:firstLine="0" w:firstLineChars="0"/>
              <w:jc w:val="center"/>
              <w:rPr>
                <w:rFonts w:eastAsiaTheme="minorEastAsia"/>
                <w:b/>
                <w:kern w:val="0"/>
                <w:sz w:val="21"/>
                <w:szCs w:val="21"/>
              </w:rPr>
            </w:pPr>
            <w:r>
              <w:rPr>
                <w:rFonts w:eastAsiaTheme="minorEastAsia"/>
                <w:b/>
                <w:kern w:val="0"/>
                <w:sz w:val="21"/>
                <w:szCs w:val="21"/>
              </w:rPr>
              <w:t>BOD</w:t>
            </w:r>
            <w:r>
              <w:rPr>
                <w:rFonts w:eastAsiaTheme="minorEastAsia"/>
                <w:b/>
                <w:kern w:val="0"/>
                <w:sz w:val="21"/>
                <w:szCs w:val="21"/>
                <w:vertAlign w:val="subscript"/>
              </w:rPr>
              <w:t>5</w:t>
            </w:r>
          </w:p>
        </w:tc>
        <w:tc>
          <w:tcPr>
            <w:tcW w:w="1008" w:type="dxa"/>
            <w:vAlign w:val="center"/>
          </w:tcPr>
          <w:p>
            <w:pPr>
              <w:widowControl/>
              <w:spacing w:line="240" w:lineRule="auto"/>
              <w:ind w:firstLine="0" w:firstLineChars="0"/>
              <w:jc w:val="center"/>
              <w:rPr>
                <w:rFonts w:eastAsiaTheme="minorEastAsia"/>
                <w:b/>
                <w:kern w:val="0"/>
                <w:sz w:val="21"/>
                <w:szCs w:val="21"/>
              </w:rPr>
            </w:pPr>
            <w:r>
              <w:rPr>
                <w:rFonts w:eastAsiaTheme="minorEastAsia"/>
                <w:b/>
                <w:kern w:val="0"/>
                <w:sz w:val="21"/>
                <w:szCs w:val="21"/>
              </w:rPr>
              <w:t>SS</w:t>
            </w:r>
          </w:p>
        </w:tc>
        <w:tc>
          <w:tcPr>
            <w:tcW w:w="1008" w:type="dxa"/>
            <w:vAlign w:val="center"/>
          </w:tcPr>
          <w:p>
            <w:pPr>
              <w:widowControl/>
              <w:spacing w:line="240" w:lineRule="auto"/>
              <w:ind w:firstLine="0" w:firstLineChars="0"/>
              <w:jc w:val="center"/>
              <w:rPr>
                <w:rFonts w:eastAsiaTheme="minorEastAsia"/>
                <w:b/>
                <w:kern w:val="0"/>
                <w:sz w:val="21"/>
                <w:szCs w:val="21"/>
              </w:rPr>
            </w:pPr>
            <w:r>
              <w:rPr>
                <w:rFonts w:eastAsiaTheme="minorEastAsia"/>
                <w:b/>
                <w:kern w:val="0"/>
                <w:sz w:val="21"/>
                <w:szCs w:val="21"/>
              </w:rPr>
              <w:t>TN</w:t>
            </w:r>
          </w:p>
        </w:tc>
        <w:tc>
          <w:tcPr>
            <w:tcW w:w="1508" w:type="dxa"/>
            <w:vAlign w:val="center"/>
          </w:tcPr>
          <w:p>
            <w:pPr>
              <w:widowControl/>
              <w:spacing w:line="240" w:lineRule="auto"/>
              <w:ind w:firstLine="0" w:firstLineChars="0"/>
              <w:jc w:val="center"/>
              <w:rPr>
                <w:rFonts w:eastAsiaTheme="minorEastAsia"/>
                <w:b/>
                <w:kern w:val="0"/>
                <w:sz w:val="21"/>
                <w:szCs w:val="21"/>
              </w:rPr>
            </w:pPr>
            <w:r>
              <w:rPr>
                <w:rFonts w:eastAsiaTheme="minorEastAsia"/>
                <w:b/>
                <w:kern w:val="0"/>
                <w:sz w:val="21"/>
                <w:szCs w:val="21"/>
              </w:rPr>
              <w:t>NH</w:t>
            </w:r>
            <w:r>
              <w:rPr>
                <w:rFonts w:eastAsiaTheme="minorEastAsia"/>
                <w:b/>
                <w:kern w:val="0"/>
                <w:sz w:val="21"/>
                <w:szCs w:val="21"/>
                <w:vertAlign w:val="subscript"/>
              </w:rPr>
              <w:t>3</w:t>
            </w:r>
            <w:r>
              <w:rPr>
                <w:rFonts w:eastAsiaTheme="minorEastAsia"/>
                <w:b/>
                <w:kern w:val="0"/>
                <w:sz w:val="21"/>
                <w:szCs w:val="21"/>
              </w:rPr>
              <w:t>-N</w:t>
            </w:r>
          </w:p>
        </w:tc>
        <w:tc>
          <w:tcPr>
            <w:tcW w:w="1072" w:type="dxa"/>
            <w:vAlign w:val="center"/>
          </w:tcPr>
          <w:p>
            <w:pPr>
              <w:widowControl/>
              <w:spacing w:line="240" w:lineRule="auto"/>
              <w:ind w:firstLine="0" w:firstLineChars="0"/>
              <w:jc w:val="center"/>
              <w:rPr>
                <w:rFonts w:eastAsiaTheme="minorEastAsia"/>
                <w:b/>
                <w:kern w:val="0"/>
                <w:sz w:val="21"/>
                <w:szCs w:val="21"/>
              </w:rPr>
            </w:pPr>
            <w:r>
              <w:rPr>
                <w:rFonts w:eastAsiaTheme="minorEastAsia"/>
                <w:b/>
                <w:kern w:val="0"/>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74" w:type="dxa"/>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出水水质</w:t>
            </w:r>
          </w:p>
        </w:tc>
        <w:tc>
          <w:tcPr>
            <w:tcW w:w="1304" w:type="dxa"/>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≤50</w:t>
            </w:r>
          </w:p>
        </w:tc>
        <w:tc>
          <w:tcPr>
            <w:tcW w:w="1158" w:type="dxa"/>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≤10</w:t>
            </w:r>
          </w:p>
        </w:tc>
        <w:tc>
          <w:tcPr>
            <w:tcW w:w="1008" w:type="dxa"/>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≤10</w:t>
            </w:r>
          </w:p>
        </w:tc>
        <w:tc>
          <w:tcPr>
            <w:tcW w:w="1008" w:type="dxa"/>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≤15</w:t>
            </w:r>
          </w:p>
        </w:tc>
        <w:tc>
          <w:tcPr>
            <w:tcW w:w="1508" w:type="dxa"/>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≤5</w:t>
            </w:r>
          </w:p>
        </w:tc>
        <w:tc>
          <w:tcPr>
            <w:tcW w:w="1072" w:type="dxa"/>
            <w:vAlign w:val="center"/>
          </w:tcPr>
          <w:p>
            <w:pPr>
              <w:widowControl/>
              <w:spacing w:line="240" w:lineRule="auto"/>
              <w:ind w:firstLine="0" w:firstLineChars="0"/>
              <w:jc w:val="center"/>
              <w:rPr>
                <w:rFonts w:eastAsiaTheme="minorEastAsia"/>
                <w:kern w:val="0"/>
                <w:sz w:val="21"/>
                <w:szCs w:val="21"/>
              </w:rPr>
            </w:pPr>
            <w:r>
              <w:rPr>
                <w:rFonts w:eastAsiaTheme="minorEastAsia"/>
                <w:kern w:val="0"/>
                <w:sz w:val="21"/>
                <w:szCs w:val="21"/>
              </w:rPr>
              <w:t>≤0.5</w:t>
            </w:r>
          </w:p>
        </w:tc>
      </w:tr>
    </w:tbl>
    <w:p>
      <w:pPr>
        <w:spacing w:beforeLines="50"/>
        <w:ind w:firstLine="480"/>
      </w:pPr>
      <w:r>
        <w:rPr>
          <w:rFonts w:hint="eastAsia"/>
        </w:rPr>
        <w:t>2、处理工艺方案</w:t>
      </w:r>
    </w:p>
    <w:p>
      <w:pPr>
        <w:tabs>
          <w:tab w:val="left" w:pos="2548"/>
        </w:tabs>
        <w:ind w:firstLine="480"/>
        <w:rPr>
          <w:rFonts w:hAnsi="宋体"/>
          <w:szCs w:val="24"/>
        </w:rPr>
      </w:pPr>
      <w:r>
        <w:rPr>
          <w:rFonts w:hAnsi="宋体"/>
          <w:szCs w:val="24"/>
        </w:rPr>
        <w:t>本项目</w:t>
      </w:r>
      <w:r>
        <w:rPr>
          <w:rFonts w:hAnsi="宋体"/>
        </w:rPr>
        <w:t>采用氧化沟工艺</w:t>
      </w:r>
      <w:r>
        <w:rPr>
          <w:rFonts w:hint="eastAsia" w:hAnsi="宋体"/>
        </w:rPr>
        <w:t>，</w:t>
      </w:r>
      <w:r>
        <w:rPr>
          <w:rFonts w:hAnsi="宋体"/>
          <w:szCs w:val="24"/>
        </w:rPr>
        <w:t>工艺流程及产污环节见下图。</w:t>
      </w:r>
    </w:p>
    <w:p>
      <w:pPr>
        <w:ind w:firstLine="0" w:firstLineChars="0"/>
        <w:jc w:val="center"/>
        <w:rPr>
          <w:b/>
          <w:bCs/>
          <w:sz w:val="21"/>
          <w:szCs w:val="21"/>
        </w:rPr>
      </w:pPr>
      <w:r>
        <w:pict>
          <v:group id="画布 2" o:spid="_x0000_s1104" o:spt="203" style="position:absolute;left:0pt;margin-top:0.95pt;height:421.05pt;width:467.25pt;mso-position-horizontal:center;mso-position-horizontal-relative:margin;mso-wrap-distance-bottom:0pt;mso-wrap-distance-top:0pt;z-index:251659264;mso-width-relative:page;mso-height-relative:page;" coordorigin="763,4290" coordsize="9345,8421" editas="canvas">
            <o:lock v:ext="edit"/>
            <v:shape id="画布 2" o:spid="_x0000_s1105" o:spt="75" type="#_x0000_t75" style="position:absolute;left:763;top:4290;height:8421;width:9345;" filled="f" o:preferrelative="f" stroked="f" coordsize="21600,21600">
              <v:fill on="f" focussize="0,0"/>
              <v:stroke on="f" weight="0.25pt" joinstyle="miter"/>
              <v:imagedata o:title=""/>
              <o:lock v:ext="edit" rotation="t" text="t" aspectratio="t"/>
            </v:shape>
            <v:shape id="文本框 4" o:spid="_x0000_s1106" o:spt="202" type="#_x0000_t202" style="position:absolute;left:2252;top:7312;height:464;width:1650;" filled="t" stroked="f" coordsize="21600,21600">
              <v:path/>
              <v:fill type="gradient" on="t" angle="90" focussize="0,0">
                <o:fill type="gradientUnscaled" v:ext="backwardCompatible"/>
              </v:fill>
              <v:stroke on="f" weight="0.5pt" joinstyle="miter"/>
              <v:imagedata o:title=""/>
              <o:lock v:ext="edit"/>
              <v:textbox>
                <w:txbxContent>
                  <w:p>
                    <w:pPr>
                      <w:spacing w:line="240" w:lineRule="auto"/>
                      <w:ind w:firstLine="0" w:firstLineChars="0"/>
                      <w:jc w:val="center"/>
                      <w:rPr>
                        <w:sz w:val="21"/>
                      </w:rPr>
                    </w:pPr>
                    <w:r>
                      <w:rPr>
                        <w:sz w:val="21"/>
                      </w:rPr>
                      <w:t>PAC、PAM</w:t>
                    </w:r>
                  </w:p>
                </w:txbxContent>
              </v:textbox>
            </v:shape>
            <v:shape id="文本框 5" o:spid="_x0000_s1107" o:spt="202" type="#_x0000_t202" style="position:absolute;left:4599;top:7330;height:465;width:1515;" filled="t" coordsize="21600,21600">
              <v:path/>
              <v:fill type="gradient" on="t" angle="90" focussize="0,0">
                <o:fill type="gradientUnscaled" v:ext="backwardCompatible"/>
              </v:fill>
              <v:stroke weight="0.5pt" joinstyle="miter"/>
              <v:imagedata o:title=""/>
              <o:lock v:ext="edit"/>
              <v:textbox>
                <w:txbxContent>
                  <w:p>
                    <w:pPr>
                      <w:spacing w:line="240" w:lineRule="auto"/>
                      <w:ind w:firstLine="0" w:firstLineChars="0"/>
                      <w:jc w:val="center"/>
                      <w:rPr>
                        <w:sz w:val="21"/>
                      </w:rPr>
                    </w:pPr>
                    <w:r>
                      <w:rPr>
                        <w:rFonts w:hint="eastAsia"/>
                        <w:sz w:val="21"/>
                      </w:rPr>
                      <w:t>改良氧化沟</w:t>
                    </w:r>
                  </w:p>
                </w:txbxContent>
              </v:textbox>
            </v:shape>
            <v:shape id="文本框 9" o:spid="_x0000_s1108" o:spt="202" type="#_x0000_t202" style="position:absolute;left:4568;top:8338;height:452;width:1559;" filled="t" coordsize="21600,21600">
              <v:path/>
              <v:fill type="gradient" on="t" angle="90" focussize="0,0">
                <o:fill type="gradientUnscaled" v:ext="backwardCompatible"/>
              </v:fill>
              <v:stroke weight="0.5pt" joinstyle="miter"/>
              <v:imagedata o:title=""/>
              <o:lock v:ext="edit"/>
              <v:textbox>
                <w:txbxContent>
                  <w:p>
                    <w:pPr>
                      <w:spacing w:line="240" w:lineRule="auto"/>
                      <w:ind w:firstLine="0" w:firstLineChars="0"/>
                      <w:jc w:val="center"/>
                      <w:rPr>
                        <w:sz w:val="21"/>
                      </w:rPr>
                    </w:pPr>
                    <w:r>
                      <w:rPr>
                        <w:rFonts w:hint="eastAsia"/>
                        <w:sz w:val="21"/>
                      </w:rPr>
                      <w:t>二沉池</w:t>
                    </w:r>
                  </w:p>
                </w:txbxContent>
              </v:textbox>
            </v:shape>
            <v:shape id="文本框 10" o:spid="_x0000_s1109" o:spt="202" type="#_x0000_t202" style="position:absolute;left:4695;top:12123;height:466;width:1563;" filled="t" stroked="f" coordsize="21600,21600">
              <v:path/>
              <v:fill type="gradient" on="t" angle="90" focussize="0,0">
                <o:fill type="gradientUnscaled" v:ext="backwardCompatible"/>
              </v:fill>
              <v:stroke on="f" weight="0.5pt" joinstyle="miter"/>
              <v:imagedata o:title=""/>
              <o:lock v:ext="edit"/>
              <v:textbox>
                <w:txbxContent>
                  <w:p>
                    <w:pPr>
                      <w:spacing w:line="240" w:lineRule="auto"/>
                      <w:ind w:firstLine="0" w:firstLineChars="0"/>
                      <w:jc w:val="center"/>
                      <w:rPr>
                        <w:sz w:val="21"/>
                      </w:rPr>
                    </w:pPr>
                    <w:r>
                      <w:rPr>
                        <w:rFonts w:hint="eastAsia"/>
                        <w:sz w:val="21"/>
                      </w:rPr>
                      <w:t>废水总排口</w:t>
                    </w:r>
                  </w:p>
                </w:txbxContent>
              </v:textbox>
            </v:shape>
            <v:shape id="文本框 11" o:spid="_x0000_s1110" o:spt="202" type="#_x0000_t202" style="position:absolute;left:7246;top:8946;height:465;width:1379;" filled="t" coordsize="21600,21600">
              <v:path/>
              <v:fill type="gradient" on="t" angle="90" focussize="0,0">
                <o:fill type="gradientUnscaled" v:ext="backwardCompatible"/>
              </v:fill>
              <v:stroke weight="0.5pt" joinstyle="miter"/>
              <v:imagedata o:title=""/>
              <o:lock v:ext="edit"/>
              <v:textbox>
                <w:txbxContent>
                  <w:p>
                    <w:pPr>
                      <w:spacing w:line="240" w:lineRule="auto"/>
                      <w:ind w:firstLine="0" w:firstLineChars="0"/>
                      <w:jc w:val="center"/>
                      <w:rPr>
                        <w:sz w:val="21"/>
                      </w:rPr>
                    </w:pPr>
                    <w:r>
                      <w:rPr>
                        <w:rFonts w:hint="eastAsia"/>
                        <w:sz w:val="21"/>
                      </w:rPr>
                      <w:t>污泥泵站</w:t>
                    </w:r>
                  </w:p>
                </w:txbxContent>
              </v:textbox>
            </v:shape>
            <v:shape id="文本框 12" o:spid="_x0000_s1111" o:spt="202" type="#_x0000_t202" style="position:absolute;left:7245;top:10047;height:466;width:1380;" filled="t" coordsize="21600,21600">
              <v:path/>
              <v:fill type="gradient" on="t" angle="90" focussize="0,0">
                <o:fill type="gradientUnscaled" v:ext="backwardCompatible"/>
              </v:fill>
              <v:stroke weight="0.5pt" joinstyle="miter"/>
              <v:imagedata o:title=""/>
              <o:lock v:ext="edit"/>
              <v:textbox>
                <w:txbxContent>
                  <w:p>
                    <w:pPr>
                      <w:spacing w:line="240" w:lineRule="auto"/>
                      <w:ind w:firstLine="0" w:firstLineChars="0"/>
                      <w:jc w:val="center"/>
                      <w:rPr>
                        <w:sz w:val="21"/>
                      </w:rPr>
                    </w:pPr>
                    <w:r>
                      <w:rPr>
                        <w:rFonts w:hint="eastAsia"/>
                        <w:sz w:val="21"/>
                      </w:rPr>
                      <w:t>贮泥池</w:t>
                    </w:r>
                  </w:p>
                </w:txbxContent>
              </v:textbox>
            </v:shape>
            <v:shape id="文本框 13" o:spid="_x0000_s1112" o:spt="202" type="#_x0000_t202" style="position:absolute;left:4644;top:11118;height:466;width:1454;" filled="t" coordsize="21600,21600">
              <v:path/>
              <v:fill type="gradient" on="t" angle="90" focussize="0,0">
                <o:fill type="gradientUnscaled" v:ext="backwardCompatible"/>
              </v:fill>
              <v:stroke weight="0.5pt" joinstyle="miter"/>
              <v:imagedata o:title=""/>
              <o:lock v:ext="edit"/>
              <v:textbox>
                <w:txbxContent>
                  <w:p>
                    <w:pPr>
                      <w:spacing w:line="240" w:lineRule="auto"/>
                      <w:ind w:firstLine="0" w:firstLineChars="0"/>
                      <w:jc w:val="center"/>
                      <w:rPr>
                        <w:sz w:val="21"/>
                      </w:rPr>
                    </w:pPr>
                    <w:r>
                      <w:rPr>
                        <w:rFonts w:hint="eastAsia"/>
                        <w:sz w:val="21"/>
                      </w:rPr>
                      <w:t>消毒池</w:t>
                    </w:r>
                  </w:p>
                </w:txbxContent>
              </v:textbox>
            </v:shape>
            <v:shape id="文本框 14" o:spid="_x0000_s1113" o:spt="202" type="#_x0000_t202" style="position:absolute;left:7245;top:11112;height:466;width:1380;" filled="t" coordsize="21600,21600">
              <v:path/>
              <v:fill type="gradient" on="t" angle="90" focussize="0,0">
                <o:fill type="gradientUnscaled" v:ext="backwardCompatible"/>
              </v:fill>
              <v:stroke weight="0.5pt" joinstyle="miter"/>
              <v:imagedata o:title=""/>
              <o:lock v:ext="edit"/>
              <v:textbox>
                <w:txbxContent>
                  <w:p>
                    <w:pPr>
                      <w:spacing w:line="240" w:lineRule="auto"/>
                      <w:ind w:firstLine="0" w:firstLineChars="0"/>
                      <w:jc w:val="center"/>
                      <w:rPr>
                        <w:sz w:val="21"/>
                      </w:rPr>
                    </w:pPr>
                    <w:r>
                      <w:rPr>
                        <w:rFonts w:hint="eastAsia"/>
                        <w:sz w:val="21"/>
                      </w:rPr>
                      <w:t>污泥脱水机</w:t>
                    </w:r>
                  </w:p>
                </w:txbxContent>
              </v:textbox>
            </v:shape>
            <v:shape id="文本框 15" o:spid="_x0000_s1114" o:spt="202" type="#_x0000_t202" style="position:absolute;left:7155;top:12177;height:465;width:1561;" filled="t" stroked="f" coordsize="21600,21600">
              <v:path/>
              <v:fill type="gradient" on="t" angle="90" focussize="0,0">
                <o:fill type="gradientUnscaled" v:ext="backwardCompatible"/>
              </v:fill>
              <v:stroke on="f" weight="0.5pt" joinstyle="miter"/>
              <v:imagedata o:title=""/>
              <o:lock v:ext="edit"/>
              <v:textbox>
                <w:txbxContent>
                  <w:p>
                    <w:pPr>
                      <w:spacing w:line="240" w:lineRule="auto"/>
                      <w:ind w:firstLine="0" w:firstLineChars="0"/>
                      <w:jc w:val="center"/>
                      <w:rPr>
                        <w:sz w:val="21"/>
                      </w:rPr>
                    </w:pPr>
                    <w:r>
                      <w:rPr>
                        <w:rFonts w:hint="eastAsia"/>
                        <w:sz w:val="21"/>
                      </w:rPr>
                      <w:t>污泥外运处置</w:t>
                    </w:r>
                  </w:p>
                </w:txbxContent>
              </v:textbox>
            </v:shape>
            <v:shape id="自选图形 19" o:spid="_x0000_s1115" o:spt="32" type="#_x0000_t32" style="position:absolute;left:7935;top:9411;flip:x;height:636;width:1;" filled="f" coordsize="21600,21600">
              <v:path arrowok="t"/>
              <v:fill on="f" focussize="0,0"/>
              <v:stroke dashstyle="dashDot" endarrow="block"/>
              <v:imagedata o:title=""/>
              <o:lock v:ext="edit"/>
            </v:shape>
            <v:shape id="自选图形 20" o:spid="_x0000_s1116" o:spt="32" type="#_x0000_t32" style="position:absolute;left:7935;top:10513;height:599;width:1;" filled="f" coordsize="21600,21600">
              <v:path arrowok="t"/>
              <v:fill on="f" focussize="0,0"/>
              <v:stroke dashstyle="dashDot" endarrow="block"/>
              <v:imagedata o:title=""/>
              <o:lock v:ext="edit"/>
            </v:shape>
            <v:shape id="自选图形 21" o:spid="_x0000_s1117" o:spt="32" type="#_x0000_t32" style="position:absolute;left:7935;top:11578;height:599;width:1;" filled="f" coordsize="21600,21600">
              <v:path arrowok="t"/>
              <v:fill on="f" focussize="0,0"/>
              <v:stroke dashstyle="dashDot" endarrow="block"/>
              <v:imagedata o:title=""/>
              <o:lock v:ext="edit"/>
            </v:shape>
            <v:shape id="文本框 22" o:spid="_x0000_s1118" o:spt="202" type="#_x0000_t202" style="position:absolute;left:4670;top:4363;height:431;width:1381;" filled="t" stroked="f" coordsize="21600,21600">
              <v:path/>
              <v:fill type="gradient" on="t" angle="90" focussize="0,0">
                <o:fill type="gradientUnscaled" v:ext="backwardCompatible"/>
              </v:fill>
              <v:stroke on="f" weight="0.5pt" joinstyle="miter"/>
              <v:imagedata o:title=""/>
              <o:lock v:ext="edit"/>
              <v:textbox>
                <w:txbxContent>
                  <w:p>
                    <w:pPr>
                      <w:spacing w:line="240" w:lineRule="auto"/>
                      <w:ind w:firstLine="0" w:firstLineChars="0"/>
                      <w:jc w:val="center"/>
                      <w:rPr>
                        <w:sz w:val="21"/>
                      </w:rPr>
                    </w:pPr>
                    <w:r>
                      <w:rPr>
                        <w:rFonts w:hint="eastAsia"/>
                        <w:sz w:val="21"/>
                      </w:rPr>
                      <w:t>进水</w:t>
                    </w:r>
                  </w:p>
                </w:txbxContent>
              </v:textbox>
            </v:shape>
            <v:shape id="文本框 23" o:spid="_x0000_s1119" o:spt="202" type="#_x0000_t202" style="position:absolute;left:4337;top:6304;height:465;width:2055;" filled="t" coordsize="21600,21600">
              <v:path/>
              <v:fill type="gradient" on="t" angle="90" focussize="0,0">
                <o:fill type="gradientUnscaled" v:ext="backwardCompatible"/>
              </v:fill>
              <v:stroke weight="0.5pt" joinstyle="miter"/>
              <v:imagedata o:title=""/>
              <o:lock v:ext="edit"/>
              <v:textbox>
                <w:txbxContent>
                  <w:p>
                    <w:pPr>
                      <w:spacing w:line="240" w:lineRule="auto"/>
                      <w:ind w:firstLine="0" w:firstLineChars="0"/>
                      <w:jc w:val="center"/>
                      <w:rPr>
                        <w:sz w:val="21"/>
                        <w:szCs w:val="21"/>
                      </w:rPr>
                    </w:pPr>
                    <w:r>
                      <w:rPr>
                        <w:rFonts w:hint="eastAsia"/>
                        <w:sz w:val="21"/>
                        <w:szCs w:val="21"/>
                      </w:rPr>
                      <w:t>细格栅-旋流沉砂池</w:t>
                    </w:r>
                  </w:p>
                </w:txbxContent>
              </v:textbox>
            </v:shape>
            <v:shape id="文本框 24" o:spid="_x0000_s1120" o:spt="202" type="#_x0000_t202" style="position:absolute;left:4367;top:5322;height:465;width:2010;" filled="t" coordsize="21600,21600">
              <v:path/>
              <v:fill type="gradient" on="t" angle="90" focussize="0,0">
                <o:fill type="gradientUnscaled" v:ext="backwardCompatible"/>
              </v:fill>
              <v:stroke weight="0.5pt" joinstyle="miter"/>
              <v:imagedata o:title=""/>
              <o:lock v:ext="edit"/>
              <v:textbox>
                <w:txbxContent>
                  <w:p>
                    <w:pPr>
                      <w:spacing w:line="240" w:lineRule="auto"/>
                      <w:ind w:firstLine="0" w:firstLineChars="0"/>
                      <w:jc w:val="center"/>
                      <w:rPr>
                        <w:sz w:val="21"/>
                      </w:rPr>
                    </w:pPr>
                    <w:r>
                      <w:rPr>
                        <w:rFonts w:hint="eastAsia"/>
                        <w:sz w:val="21"/>
                      </w:rPr>
                      <w:t>粗格栅-提升泵房</w:t>
                    </w:r>
                  </w:p>
                </w:txbxContent>
              </v:textbox>
            </v:shape>
            <v:shape id="自选图形 27" o:spid="_x0000_s1121" o:spt="32" type="#_x0000_t32" style="position:absolute;left:5365;top:6769;height:539;width:1;" filled="f" coordsize="21600,21600">
              <v:path arrowok="t"/>
              <v:fill on="f" focussize="0,0"/>
              <v:stroke endarrow="block"/>
              <v:imagedata o:title=""/>
              <o:lock v:ext="edit"/>
            </v:shape>
            <v:shape id="自选图形 28" o:spid="_x0000_s1122" o:spt="34" type="#_x0000_t34" style="position:absolute;left:6143;top:9179;flip:y;height:1391;width:1103;" filled="f" coordsize="21600,21600" adj="10790">
              <v:path arrowok="t"/>
              <v:fill on="f" focussize="0,0"/>
              <v:stroke dashstyle="dashDot" endarrow="block"/>
              <v:imagedata o:title=""/>
              <o:lock v:ext="edit"/>
            </v:shape>
            <v:shape id="自选图形 29" o:spid="_x0000_s1123" o:spt="34" type="#_x0000_t34" style="position:absolute;left:6143;top:9179;flip:y;height:1391;width:1103;" filled="f" coordsize="21600,21600" adj="10790">
              <v:path arrowok="t"/>
              <v:fill on="f" focussize="0,0"/>
              <v:stroke dashstyle="dashDot" endarrow="block"/>
              <v:imagedata o:title=""/>
              <o:lock v:ext="edit"/>
            </v:shape>
            <v:shape id="自选图形 30" o:spid="_x0000_s1124" o:spt="32" type="#_x0000_t32" style="position:absolute;left:3917;top:7566;flip:y;height:5;width:683;" filled="f" coordsize="21600,21600">
              <v:path arrowok="t"/>
              <v:fill on="f" focussize="0,0"/>
              <v:stroke weight="1.25pt" dashstyle="1 1" endcap="round" endarrow="block"/>
              <v:imagedata o:title=""/>
              <o:lock v:ext="edit"/>
            </v:shape>
            <v:shape id="自选图形 31" o:spid="_x0000_s1125" o:spt="33" type="#_x0000_t33" style="position:absolute;left:6124;top:7563;height:1616;width:565;" filled="f" coordsize="21600,21600">
              <v:path arrowok="t"/>
              <v:fill on="f" focussize="0,0"/>
              <v:stroke dashstyle="dashDot"/>
              <v:imagedata o:title=""/>
              <o:lock v:ext="edit"/>
            </v:shape>
            <v:shape id="文本框 34" o:spid="_x0000_s1126" o:spt="202" type="#_x0000_t202" style="position:absolute;left:4629;top:9300;height:460;width:1440;" filled="t" coordsize="21600,21600">
              <v:path/>
              <v:fill type="gradient" on="t" angle="90" focussize="0,0">
                <o:fill type="gradientUnscaled" v:ext="backwardCompatible"/>
              </v:fill>
              <v:stroke weight="0.5pt" joinstyle="miter"/>
              <v:imagedata o:title=""/>
              <o:lock v:ext="edit"/>
              <v:textbox>
                <w:txbxContent>
                  <w:p>
                    <w:pPr>
                      <w:spacing w:line="240" w:lineRule="auto"/>
                      <w:ind w:firstLine="0" w:firstLineChars="0"/>
                      <w:jc w:val="center"/>
                      <w:rPr>
                        <w:sz w:val="21"/>
                      </w:rPr>
                    </w:pPr>
                    <w:r>
                      <w:rPr>
                        <w:rFonts w:hint="eastAsia"/>
                        <w:sz w:val="21"/>
                      </w:rPr>
                      <w:t>高效沉淀池</w:t>
                    </w:r>
                  </w:p>
                </w:txbxContent>
              </v:textbox>
            </v:shape>
            <v:shape id="文本框 35" o:spid="_x0000_s1127" o:spt="202" type="#_x0000_t202" style="position:absolute;left:4597;top:10279;height:460;width:1440;" filled="t" coordsize="21600,21600">
              <v:path/>
              <v:fill type="gradient" on="t" angle="90" focussize="0,0">
                <o:fill type="gradientUnscaled" v:ext="backwardCompatible"/>
              </v:fill>
              <v:stroke weight="0.5pt" joinstyle="miter"/>
              <v:imagedata o:title=""/>
              <o:lock v:ext="edit"/>
              <v:textbox>
                <w:txbxContent>
                  <w:p>
                    <w:pPr>
                      <w:spacing w:line="240" w:lineRule="auto"/>
                      <w:ind w:firstLine="0" w:firstLineChars="0"/>
                      <w:jc w:val="center"/>
                      <w:rPr>
                        <w:sz w:val="21"/>
                      </w:rPr>
                    </w:pPr>
                    <w:r>
                      <w:rPr>
                        <w:rFonts w:hint="eastAsia"/>
                        <w:sz w:val="21"/>
                      </w:rPr>
                      <w:t>活性砂滤池</w:t>
                    </w:r>
                  </w:p>
                </w:txbxContent>
              </v:textbox>
            </v:shape>
            <v:line id="直线 37" o:spid="_x0000_s1128" o:spt="20" style="position:absolute;left:6430;top:6575;height:1;width:683;" coordsize="21600,21600">
              <v:path arrowok="t"/>
              <v:fill focussize="0,0"/>
              <v:stroke dashstyle="dashDot" endarrow="block"/>
              <v:imagedata o:title=""/>
              <o:lock v:ext="edit"/>
            </v:line>
            <v:shape id="文本框 38" o:spid="_x0000_s1129" o:spt="202" type="#_x0000_t202" style="position:absolute;left:7129;top:6357;height:460;width:1360;" filled="t" coordsize="21600,21600">
              <v:path/>
              <v:fill type="gradient" on="t" angle="90" focussize="0,0">
                <o:fill type="gradientUnscaled" v:ext="backwardCompatible"/>
              </v:fill>
              <v:stroke weight="0.5pt" joinstyle="miter"/>
              <v:imagedata o:title=""/>
              <o:lock v:ext="edit"/>
              <v:textbox>
                <w:txbxContent>
                  <w:p>
                    <w:pPr>
                      <w:spacing w:line="240" w:lineRule="auto"/>
                      <w:ind w:firstLine="0" w:firstLineChars="0"/>
                      <w:jc w:val="center"/>
                    </w:pPr>
                    <w:r>
                      <w:rPr>
                        <w:rFonts w:hint="eastAsia"/>
                        <w:sz w:val="21"/>
                      </w:rPr>
                      <w:t>沙水分离</w:t>
                    </w:r>
                    <w:r>
                      <w:rPr>
                        <w:rFonts w:hint="eastAsia"/>
                      </w:rPr>
                      <w:t>器</w:t>
                    </w:r>
                  </w:p>
                </w:txbxContent>
              </v:textbox>
            </v:shape>
            <v:shape id="文本框 39" o:spid="_x0000_s1130" o:spt="202" type="#_x0000_t202" style="position:absolute;left:7062;top:7199;height:460;width:1560;" filled="t" stroked="f" coordsize="21600,21600">
              <v:path/>
              <v:fill type="gradient" on="t" angle="90" focussize="0,0">
                <o:fill type="gradientUnscaled" v:ext="backwardCompatible"/>
              </v:fill>
              <v:stroke on="f" weight="0.5pt" joinstyle="miter"/>
              <v:imagedata o:title=""/>
              <o:lock v:ext="edit"/>
              <v:textbox>
                <w:txbxContent>
                  <w:p>
                    <w:pPr>
                      <w:spacing w:line="240" w:lineRule="auto"/>
                      <w:ind w:firstLine="0" w:firstLineChars="0"/>
                      <w:rPr>
                        <w:sz w:val="21"/>
                      </w:rPr>
                    </w:pPr>
                    <w:r>
                      <w:rPr>
                        <w:rFonts w:hint="eastAsia"/>
                        <w:sz w:val="21"/>
                      </w:rPr>
                      <w:t>栅渣外运处置</w:t>
                    </w:r>
                  </w:p>
                </w:txbxContent>
              </v:textbox>
            </v:shape>
            <v:shape id="自选图形 33" o:spid="_x0000_s1131" o:spt="32" type="#_x0000_t32" style="position:absolute;left:5376;top:10738;height:380;width:1;" filled="f" coordsize="21600,21600">
              <v:path arrowok="t"/>
              <v:fill on="f" focussize="0,0"/>
              <v:stroke endarrow="block"/>
              <v:imagedata o:title=""/>
              <o:lock v:ext="edit"/>
            </v:shape>
            <v:shape id="自选图形 27" o:spid="_x0000_s1132" o:spt="32" type="#_x0000_t32" style="position:absolute;left:5364;top:11584;height:539;width:1;" filled="f" coordsize="21600,21600">
              <v:path arrowok="t"/>
              <v:fill on="f" focussize="0,0"/>
              <v:stroke endarrow="block"/>
              <v:imagedata o:title=""/>
              <o:lock v:ext="edit"/>
            </v:shape>
            <v:shape id="自选图形 16" o:spid="_x0000_s1133" o:spt="32" type="#_x0000_t32" style="position:absolute;left:5364;top:9769;height:510;width:7;" filled="f" coordsize="21600,21600">
              <v:path arrowok="t"/>
              <v:fill on="f" focussize="0,0"/>
              <v:stroke endarrow="block"/>
              <v:imagedata o:title=""/>
              <o:lock v:ext="edit"/>
            </v:shape>
            <v:shape id="自选图形 16" o:spid="_x0000_s1134" o:spt="32" type="#_x0000_t32" style="position:absolute;left:5377;top:8790;height:510;width:7;" filled="f" coordsize="21600,21600">
              <v:path arrowok="t"/>
              <v:fill on="f" focussize="0,0"/>
              <v:stroke endarrow="block"/>
              <v:imagedata o:title=""/>
              <o:lock v:ext="edit"/>
            </v:shape>
            <v:shape id="自选图形 16" o:spid="_x0000_s1135" o:spt="32" type="#_x0000_t32" style="position:absolute;left:5354;top:7811;height:510;width:7;" filled="f" coordsize="21600,21600">
              <v:path arrowok="t"/>
              <v:fill on="f" focussize="0,0"/>
              <v:stroke endarrow="block"/>
              <v:imagedata o:title=""/>
              <o:lock v:ext="edit"/>
            </v:shape>
            <v:shape id="自选图形 16" o:spid="_x0000_s1136" o:spt="32" type="#_x0000_t32" style="position:absolute;left:5347;top:5787;height:510;width:7;" filled="f" coordsize="21600,21600">
              <v:path arrowok="t"/>
              <v:fill on="f" focussize="0,0"/>
              <v:stroke endarrow="block"/>
              <v:imagedata o:title=""/>
              <o:lock v:ext="edit"/>
            </v:shape>
            <v:shape id="自选图形 16" o:spid="_x0000_s1137" o:spt="32" type="#_x0000_t32" style="position:absolute;left:5340;top:4812;height:510;width:7;" filled="f" coordsize="21600,21600">
              <v:path arrowok="t"/>
              <v:fill on="f" focussize="0,0"/>
              <v:stroke endarrow="block"/>
              <v:imagedata o:title=""/>
              <o:lock v:ext="edit"/>
            </v:shape>
            <v:line id="直线 37" o:spid="_x0000_s1138" o:spt="20" style="position:absolute;left:7841;top:6817;height:465;width:1;" coordsize="21600,21600">
              <v:path arrowok="t"/>
              <v:fill focussize="0,0"/>
              <v:stroke dashstyle="dashDot" endarrow="block"/>
              <v:imagedata o:title=""/>
              <o:lock v:ext="edit"/>
            </v:line>
            <w10:wrap type="topAndBottom"/>
          </v:group>
        </w:pict>
      </w:r>
      <w:r>
        <w:rPr>
          <w:rFonts w:hint="eastAsia"/>
          <w:b/>
          <w:bCs/>
          <w:sz w:val="21"/>
          <w:szCs w:val="21"/>
        </w:rPr>
        <w:t>图2-2  污水处理工艺流程</w:t>
      </w:r>
    </w:p>
    <w:p>
      <w:pPr>
        <w:tabs>
          <w:tab w:val="left" w:pos="2548"/>
        </w:tabs>
        <w:ind w:firstLine="480"/>
        <w:rPr>
          <w:rFonts w:hAnsi="宋体"/>
          <w:szCs w:val="24"/>
        </w:rPr>
      </w:pPr>
      <w:r>
        <w:rPr>
          <w:rFonts w:hAnsi="宋体"/>
          <w:szCs w:val="24"/>
        </w:rPr>
        <w:t>生产工艺简述：</w:t>
      </w:r>
    </w:p>
    <w:p>
      <w:pPr>
        <w:tabs>
          <w:tab w:val="left" w:pos="2548"/>
        </w:tabs>
        <w:ind w:firstLine="480"/>
        <w:rPr>
          <w:rFonts w:hAnsi="宋体"/>
          <w:szCs w:val="24"/>
        </w:rPr>
      </w:pPr>
      <w:r>
        <w:rPr>
          <w:rFonts w:hAnsi="宋体"/>
          <w:szCs w:val="24"/>
        </w:rPr>
        <w:t>污水处理厂主要工艺构筑物由预处理构筑物（粗格栅间及提升泵站、细格栅间、旋流沉砂池）、</w:t>
      </w:r>
      <w:r>
        <w:rPr>
          <w:rFonts w:hint="eastAsia" w:hAnsi="宋体"/>
          <w:szCs w:val="24"/>
        </w:rPr>
        <w:t>改良型氧化沟</w:t>
      </w:r>
      <w:r>
        <w:rPr>
          <w:rFonts w:hAnsi="宋体"/>
          <w:szCs w:val="24"/>
        </w:rPr>
        <w:t>、二沉池、</w:t>
      </w:r>
      <w:r>
        <w:rPr>
          <w:rFonts w:hint="eastAsia" w:hAnsi="宋体"/>
          <w:szCs w:val="24"/>
        </w:rPr>
        <w:t>高效沉淀池、活性砂滤池</w:t>
      </w:r>
      <w:r>
        <w:rPr>
          <w:rFonts w:hAnsi="宋体"/>
          <w:szCs w:val="24"/>
        </w:rPr>
        <w:t>及</w:t>
      </w:r>
      <w:r>
        <w:rPr>
          <w:rFonts w:hint="eastAsia" w:hAnsi="宋体"/>
          <w:szCs w:val="24"/>
        </w:rPr>
        <w:t>消毒池</w:t>
      </w:r>
      <w:r>
        <w:rPr>
          <w:rFonts w:hAnsi="宋体"/>
          <w:szCs w:val="24"/>
        </w:rPr>
        <w:t>等组成。按本工艺流程，城市污水通过污水收集系统进入污水厂后，首先经粗格栅间去除较大固体杂物，进入提升泵站集水池。由泵提升的污水经细格栅进一步去除固体杂物，污水至沉砂池除砂处理进入</w:t>
      </w:r>
      <w:r>
        <w:rPr>
          <w:rFonts w:hint="eastAsia" w:hAnsi="宋体"/>
          <w:szCs w:val="24"/>
        </w:rPr>
        <w:t>改良型氧化沟</w:t>
      </w:r>
      <w:r>
        <w:rPr>
          <w:rFonts w:hAnsi="宋体"/>
          <w:szCs w:val="24"/>
        </w:rPr>
        <w:t>，通过厌氧、缺氧、曝气，在微生物作用下，将城市污水中有机污染物分解为H</w:t>
      </w:r>
      <w:r>
        <w:rPr>
          <w:rFonts w:hAnsi="宋体"/>
          <w:szCs w:val="24"/>
          <w:vertAlign w:val="subscript"/>
        </w:rPr>
        <w:t>2</w:t>
      </w:r>
      <w:r>
        <w:rPr>
          <w:rFonts w:hAnsi="宋体"/>
          <w:szCs w:val="24"/>
        </w:rPr>
        <w:t>O、CO</w:t>
      </w:r>
      <w:r>
        <w:rPr>
          <w:rFonts w:hAnsi="宋体"/>
          <w:szCs w:val="24"/>
          <w:vertAlign w:val="subscript"/>
        </w:rPr>
        <w:t>2</w:t>
      </w:r>
      <w:r>
        <w:rPr>
          <w:rFonts w:hAnsi="宋体"/>
          <w:szCs w:val="24"/>
        </w:rPr>
        <w:t>等物质，其泥水混合物</w:t>
      </w:r>
      <w:r>
        <w:rPr>
          <w:rFonts w:hint="eastAsia" w:hAnsi="宋体"/>
          <w:szCs w:val="24"/>
        </w:rPr>
        <w:t>经配水井</w:t>
      </w:r>
      <w:r>
        <w:rPr>
          <w:rFonts w:hAnsi="宋体"/>
          <w:szCs w:val="24"/>
        </w:rPr>
        <w:t>进入二沉池，经沉淀分离</w:t>
      </w:r>
      <w:r>
        <w:rPr>
          <w:rFonts w:hint="eastAsia" w:hAnsi="宋体"/>
          <w:szCs w:val="24"/>
        </w:rPr>
        <w:t>后，进入高效沉淀池、活性砂滤池进行进一步的深度处理，其出水进入消毒池采用次氯酸钠</w:t>
      </w:r>
      <w:r>
        <w:rPr>
          <w:rFonts w:hAnsi="宋体"/>
          <w:szCs w:val="24"/>
        </w:rPr>
        <w:t>消毒，清水达到排放标准后排放。二沉池中的活性污泥则进入</w:t>
      </w:r>
      <w:r>
        <w:rPr>
          <w:rFonts w:hint="eastAsia" w:hAnsi="宋体"/>
          <w:szCs w:val="24"/>
        </w:rPr>
        <w:t>污泥泵房</w:t>
      </w:r>
      <w:r>
        <w:rPr>
          <w:rFonts w:hAnsi="宋体"/>
          <w:szCs w:val="24"/>
        </w:rPr>
        <w:t>，由泵提升回流进入</w:t>
      </w:r>
      <w:r>
        <w:rPr>
          <w:rFonts w:hint="eastAsia" w:hAnsi="宋体"/>
          <w:szCs w:val="24"/>
        </w:rPr>
        <w:t>改良型氧化沟</w:t>
      </w:r>
      <w:r>
        <w:rPr>
          <w:rFonts w:hAnsi="宋体"/>
          <w:szCs w:val="24"/>
        </w:rPr>
        <w:t>，而剩余污泥由剩余污泥泵抽升进入</w:t>
      </w:r>
      <w:r>
        <w:rPr>
          <w:rFonts w:hint="eastAsia" w:hAnsi="宋体"/>
          <w:szCs w:val="24"/>
        </w:rPr>
        <w:t>贮泥池，再进入污泥脱水机房经脱水达到小于60%含水率后，运至常德粵科绿色环保科技有限公司处置。</w:t>
      </w:r>
    </w:p>
    <w:p>
      <w:pPr>
        <w:tabs>
          <w:tab w:val="left" w:pos="2548"/>
        </w:tabs>
        <w:ind w:firstLine="480"/>
        <w:rPr>
          <w:rFonts w:hAnsi="宋体"/>
          <w:szCs w:val="24"/>
        </w:rPr>
      </w:pPr>
      <w:r>
        <w:rPr>
          <w:rFonts w:hint="eastAsia" w:hAnsi="宋体"/>
          <w:szCs w:val="24"/>
        </w:rPr>
        <w:t>3、</w:t>
      </w:r>
      <w:r>
        <w:rPr>
          <w:rFonts w:hAnsi="宋体"/>
          <w:szCs w:val="24"/>
        </w:rPr>
        <w:t>主要工艺构筑物及设备</w:t>
      </w:r>
    </w:p>
    <w:p>
      <w:pPr>
        <w:tabs>
          <w:tab w:val="left" w:pos="2548"/>
        </w:tabs>
        <w:ind w:firstLine="480"/>
        <w:rPr>
          <w:rFonts w:hAnsi="宋体"/>
          <w:szCs w:val="24"/>
        </w:rPr>
      </w:pPr>
      <w:r>
        <w:rPr>
          <w:rFonts w:hint="eastAsia" w:hAnsi="宋体"/>
        </w:rPr>
        <w:t>一期</w:t>
      </w:r>
      <w:r>
        <w:rPr>
          <w:rFonts w:hAnsi="宋体"/>
        </w:rPr>
        <w:t>污水处理厂总占地面积</w:t>
      </w:r>
      <w:r>
        <w:t>57518.47</w:t>
      </w:r>
      <w:r>
        <w:rPr>
          <w:rFonts w:hint="eastAsia" w:hAnsi="宋体"/>
        </w:rPr>
        <w:t>m</w:t>
      </w:r>
      <w:r>
        <w:rPr>
          <w:rFonts w:hint="eastAsia" w:hAnsi="宋体"/>
          <w:vertAlign w:val="superscript"/>
        </w:rPr>
        <w:t>2</w:t>
      </w:r>
      <w:r>
        <w:rPr>
          <w:rFonts w:hAnsi="宋体"/>
        </w:rPr>
        <w:t>，</w:t>
      </w:r>
      <w:r>
        <w:rPr>
          <w:rFonts w:hint="eastAsia" w:hAnsi="宋体"/>
        </w:rPr>
        <w:t>构筑物占地面积8900.9 m</w:t>
      </w:r>
      <w:r>
        <w:rPr>
          <w:rFonts w:hint="eastAsia" w:hAnsi="宋体"/>
          <w:vertAlign w:val="superscript"/>
        </w:rPr>
        <w:t>2</w:t>
      </w:r>
      <w:r>
        <w:rPr>
          <w:rFonts w:hint="eastAsia" w:hAnsi="宋体"/>
          <w:szCs w:val="24"/>
        </w:rPr>
        <w:t>，</w:t>
      </w:r>
      <w:r>
        <w:rPr>
          <w:rFonts w:hAnsi="宋体"/>
        </w:rPr>
        <w:t>工程内容包括厂区附属建筑和污水、污泥处理构（建）筑物</w:t>
      </w:r>
      <w:r>
        <w:rPr>
          <w:rFonts w:hint="eastAsia" w:hAnsi="宋体"/>
        </w:rPr>
        <w:t>；</w:t>
      </w:r>
      <w:r>
        <w:rPr>
          <w:rFonts w:hAnsi="宋体"/>
        </w:rPr>
        <w:t>附属建筑物包括综合楼、</w:t>
      </w:r>
      <w:r>
        <w:rPr>
          <w:rFonts w:hint="eastAsia" w:hAnsi="宋体"/>
        </w:rPr>
        <w:t>传达室</w:t>
      </w:r>
      <w:r>
        <w:rPr>
          <w:rFonts w:hAnsi="宋体"/>
        </w:rPr>
        <w:t>、空压机房及机修仓库等。</w:t>
      </w:r>
    </w:p>
    <w:p>
      <w:pPr>
        <w:tabs>
          <w:tab w:val="left" w:pos="2548"/>
        </w:tabs>
        <w:ind w:firstLine="480"/>
      </w:pPr>
      <w:r>
        <w:t>项目组成见下表。</w:t>
      </w:r>
    </w:p>
    <w:p>
      <w:pPr>
        <w:widowControl/>
        <w:autoSpaceDE w:val="0"/>
        <w:autoSpaceDN w:val="0"/>
        <w:ind w:firstLine="422"/>
        <w:jc w:val="center"/>
        <w:rPr>
          <w:b/>
          <w:kern w:val="0"/>
          <w:sz w:val="21"/>
          <w:szCs w:val="21"/>
        </w:rPr>
      </w:pPr>
      <w:r>
        <w:rPr>
          <w:b/>
          <w:kern w:val="0"/>
          <w:sz w:val="21"/>
          <w:szCs w:val="21"/>
        </w:rPr>
        <w:t>表</w:t>
      </w:r>
      <w:r>
        <w:rPr>
          <w:rFonts w:hint="eastAsia"/>
          <w:b/>
          <w:kern w:val="0"/>
          <w:sz w:val="21"/>
          <w:szCs w:val="21"/>
        </w:rPr>
        <w:t>2-6</w:t>
      </w:r>
      <w:r>
        <w:rPr>
          <w:b/>
          <w:kern w:val="0"/>
          <w:sz w:val="21"/>
          <w:szCs w:val="21"/>
        </w:rPr>
        <w:t xml:space="preserve">  项目组成表</w:t>
      </w:r>
    </w:p>
    <w:tbl>
      <w:tblPr>
        <w:tblStyle w:val="41"/>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1985"/>
        <w:gridCol w:w="6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5" w:type="dxa"/>
            <w:gridSpan w:val="2"/>
            <w:vAlign w:val="center"/>
          </w:tcPr>
          <w:p>
            <w:pPr>
              <w:spacing w:line="240" w:lineRule="auto"/>
              <w:ind w:firstLine="0" w:firstLineChars="0"/>
              <w:jc w:val="center"/>
              <w:rPr>
                <w:b/>
                <w:sz w:val="21"/>
                <w:szCs w:val="21"/>
              </w:rPr>
            </w:pPr>
            <w:r>
              <w:rPr>
                <w:b/>
                <w:sz w:val="21"/>
                <w:szCs w:val="21"/>
              </w:rPr>
              <w:t>建设内容</w:t>
            </w:r>
          </w:p>
        </w:tc>
        <w:tc>
          <w:tcPr>
            <w:tcW w:w="6037" w:type="dxa"/>
            <w:vAlign w:val="center"/>
          </w:tcPr>
          <w:p>
            <w:pPr>
              <w:spacing w:line="240" w:lineRule="auto"/>
              <w:ind w:firstLine="0" w:firstLineChars="0"/>
              <w:jc w:val="center"/>
              <w:rPr>
                <w:b/>
                <w:sz w:val="21"/>
                <w:szCs w:val="21"/>
              </w:rPr>
            </w:pPr>
            <w:r>
              <w:rPr>
                <w:b/>
                <w:sz w:val="21"/>
                <w:szCs w:val="21"/>
              </w:rPr>
              <w:t>实际建设内容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Merge w:val="restart"/>
            <w:vAlign w:val="center"/>
          </w:tcPr>
          <w:p>
            <w:pPr>
              <w:spacing w:line="240" w:lineRule="auto"/>
              <w:ind w:firstLine="0" w:firstLineChars="0"/>
              <w:jc w:val="center"/>
              <w:rPr>
                <w:sz w:val="21"/>
                <w:szCs w:val="21"/>
              </w:rPr>
            </w:pPr>
            <w:r>
              <w:rPr>
                <w:sz w:val="21"/>
                <w:szCs w:val="21"/>
              </w:rPr>
              <w:t>主体工程</w:t>
            </w:r>
          </w:p>
        </w:tc>
        <w:tc>
          <w:tcPr>
            <w:tcW w:w="1985" w:type="dxa"/>
            <w:vMerge w:val="restart"/>
            <w:vAlign w:val="center"/>
          </w:tcPr>
          <w:p>
            <w:pPr>
              <w:spacing w:line="240" w:lineRule="auto"/>
              <w:ind w:firstLine="0" w:firstLineChars="0"/>
              <w:jc w:val="center"/>
              <w:rPr>
                <w:sz w:val="21"/>
                <w:szCs w:val="21"/>
              </w:rPr>
            </w:pPr>
            <w:r>
              <w:rPr>
                <w:sz w:val="21"/>
                <w:szCs w:val="21"/>
              </w:rPr>
              <w:t>污水处理用房</w:t>
            </w:r>
          </w:p>
        </w:tc>
        <w:tc>
          <w:tcPr>
            <w:tcW w:w="6037" w:type="dxa"/>
            <w:vAlign w:val="center"/>
          </w:tcPr>
          <w:p>
            <w:pPr>
              <w:spacing w:line="240" w:lineRule="auto"/>
              <w:ind w:firstLine="0" w:firstLineChars="0"/>
              <w:jc w:val="center"/>
              <w:rPr>
                <w:sz w:val="21"/>
                <w:szCs w:val="21"/>
              </w:rPr>
            </w:pPr>
            <w:r>
              <w:rPr>
                <w:sz w:val="21"/>
                <w:szCs w:val="21"/>
              </w:rPr>
              <w:t>预处理（包括粗、细格栅）</w:t>
            </w:r>
            <w:r>
              <w:rPr>
                <w:rFonts w:hint="eastAsia"/>
                <w:sz w:val="21"/>
                <w:szCs w:val="21"/>
              </w:rPr>
              <w:t>150m</w:t>
            </w:r>
            <w:r>
              <w:rPr>
                <w:rFonts w:hint="eastAsia"/>
                <w:sz w:val="21"/>
                <w:szCs w:val="21"/>
                <w:vertAlign w:val="superscript"/>
              </w:rPr>
              <w:t>2</w:t>
            </w:r>
            <w:r>
              <w:rPr>
                <w:sz w:val="21"/>
                <w:szCs w:val="21"/>
              </w:rPr>
              <w:t>：3.0×104m</w:t>
            </w:r>
            <w:r>
              <w:rPr>
                <w:sz w:val="21"/>
                <w:szCs w:val="21"/>
                <w:vertAlign w:val="superscript"/>
              </w:rPr>
              <w:t>3</w:t>
            </w:r>
            <w:r>
              <w:rPr>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Merge w:val="continue"/>
            <w:vAlign w:val="center"/>
          </w:tcPr>
          <w:p>
            <w:pPr>
              <w:spacing w:line="240" w:lineRule="auto"/>
              <w:ind w:firstLine="0" w:firstLineChars="0"/>
              <w:jc w:val="center"/>
              <w:rPr>
                <w:sz w:val="21"/>
                <w:szCs w:val="21"/>
              </w:rPr>
            </w:pPr>
          </w:p>
        </w:tc>
        <w:tc>
          <w:tcPr>
            <w:tcW w:w="1985" w:type="dxa"/>
            <w:vMerge w:val="continue"/>
            <w:vAlign w:val="center"/>
          </w:tcPr>
          <w:p>
            <w:pPr>
              <w:spacing w:line="240" w:lineRule="auto"/>
              <w:ind w:firstLine="0" w:firstLineChars="0"/>
              <w:jc w:val="center"/>
              <w:rPr>
                <w:sz w:val="21"/>
                <w:szCs w:val="21"/>
              </w:rPr>
            </w:pPr>
          </w:p>
        </w:tc>
        <w:tc>
          <w:tcPr>
            <w:tcW w:w="6037" w:type="dxa"/>
            <w:vAlign w:val="center"/>
          </w:tcPr>
          <w:p>
            <w:pPr>
              <w:spacing w:line="240" w:lineRule="auto"/>
              <w:ind w:firstLine="0" w:firstLineChars="0"/>
              <w:jc w:val="center"/>
              <w:rPr>
                <w:sz w:val="21"/>
                <w:szCs w:val="21"/>
              </w:rPr>
            </w:pPr>
            <w:r>
              <w:rPr>
                <w:sz w:val="21"/>
                <w:szCs w:val="21"/>
              </w:rPr>
              <w:t>改良型氧化沟</w:t>
            </w:r>
            <w:r>
              <w:rPr>
                <w:rFonts w:hint="eastAsia"/>
                <w:sz w:val="21"/>
                <w:szCs w:val="21"/>
              </w:rPr>
              <w:t>5007.2m</w:t>
            </w:r>
            <w:r>
              <w:rPr>
                <w:rFonts w:hint="eastAsia"/>
                <w:sz w:val="21"/>
                <w:szCs w:val="21"/>
                <w:vertAlign w:val="superscript"/>
              </w:rPr>
              <w:t>2</w:t>
            </w:r>
            <w:r>
              <w:rPr>
                <w:sz w:val="21"/>
                <w:szCs w:val="21"/>
              </w:rPr>
              <w:t>：2组×1.5×104m</w:t>
            </w:r>
            <w:r>
              <w:rPr>
                <w:sz w:val="21"/>
                <w:szCs w:val="21"/>
                <w:vertAlign w:val="superscript"/>
              </w:rPr>
              <w:t>3</w:t>
            </w:r>
            <w:r>
              <w:rPr>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Merge w:val="continue"/>
            <w:vAlign w:val="center"/>
          </w:tcPr>
          <w:p>
            <w:pPr>
              <w:spacing w:line="240" w:lineRule="auto"/>
              <w:ind w:firstLine="0" w:firstLineChars="0"/>
              <w:jc w:val="center"/>
              <w:rPr>
                <w:sz w:val="21"/>
                <w:szCs w:val="21"/>
              </w:rPr>
            </w:pPr>
          </w:p>
        </w:tc>
        <w:tc>
          <w:tcPr>
            <w:tcW w:w="1985" w:type="dxa"/>
            <w:vMerge w:val="continue"/>
            <w:vAlign w:val="center"/>
          </w:tcPr>
          <w:p>
            <w:pPr>
              <w:spacing w:line="240" w:lineRule="auto"/>
              <w:ind w:firstLine="0" w:firstLineChars="0"/>
              <w:jc w:val="center"/>
              <w:rPr>
                <w:sz w:val="21"/>
                <w:szCs w:val="21"/>
              </w:rPr>
            </w:pPr>
          </w:p>
        </w:tc>
        <w:tc>
          <w:tcPr>
            <w:tcW w:w="6037" w:type="dxa"/>
            <w:vAlign w:val="center"/>
          </w:tcPr>
          <w:p>
            <w:pPr>
              <w:spacing w:line="240" w:lineRule="auto"/>
              <w:ind w:firstLine="0" w:firstLineChars="0"/>
              <w:jc w:val="center"/>
              <w:rPr>
                <w:sz w:val="21"/>
                <w:szCs w:val="21"/>
              </w:rPr>
            </w:pPr>
            <w:r>
              <w:rPr>
                <w:sz w:val="21"/>
                <w:szCs w:val="21"/>
              </w:rPr>
              <w:t>二沉池</w:t>
            </w:r>
            <w:r>
              <w:rPr>
                <w:rFonts w:hint="eastAsia"/>
                <w:sz w:val="21"/>
                <w:szCs w:val="21"/>
              </w:rPr>
              <w:t>1608.4m</w:t>
            </w:r>
            <w:r>
              <w:rPr>
                <w:rFonts w:hint="eastAsia"/>
                <w:sz w:val="21"/>
                <w:szCs w:val="21"/>
                <w:vertAlign w:val="superscript"/>
              </w:rPr>
              <w:t>2</w:t>
            </w:r>
            <w:r>
              <w:rPr>
                <w:sz w:val="21"/>
                <w:szCs w:val="21"/>
              </w:rPr>
              <w:t>：2组×1.5×104m</w:t>
            </w:r>
            <w:r>
              <w:rPr>
                <w:sz w:val="21"/>
                <w:szCs w:val="21"/>
                <w:vertAlign w:val="superscript"/>
              </w:rPr>
              <w:t>3</w:t>
            </w:r>
            <w:r>
              <w:rPr>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Merge w:val="continue"/>
            <w:vAlign w:val="center"/>
          </w:tcPr>
          <w:p>
            <w:pPr>
              <w:spacing w:line="240" w:lineRule="auto"/>
              <w:ind w:firstLine="0" w:firstLineChars="0"/>
              <w:jc w:val="center"/>
              <w:rPr>
                <w:sz w:val="21"/>
                <w:szCs w:val="21"/>
              </w:rPr>
            </w:pPr>
          </w:p>
        </w:tc>
        <w:tc>
          <w:tcPr>
            <w:tcW w:w="1985" w:type="dxa"/>
            <w:vMerge w:val="continue"/>
            <w:vAlign w:val="center"/>
          </w:tcPr>
          <w:p>
            <w:pPr>
              <w:spacing w:line="240" w:lineRule="auto"/>
              <w:ind w:firstLine="0" w:firstLineChars="0"/>
              <w:jc w:val="center"/>
              <w:rPr>
                <w:sz w:val="21"/>
                <w:szCs w:val="21"/>
              </w:rPr>
            </w:pPr>
          </w:p>
        </w:tc>
        <w:tc>
          <w:tcPr>
            <w:tcW w:w="6037" w:type="dxa"/>
            <w:vAlign w:val="center"/>
          </w:tcPr>
          <w:p>
            <w:pPr>
              <w:spacing w:line="240" w:lineRule="auto"/>
              <w:ind w:firstLine="0" w:firstLineChars="0"/>
              <w:jc w:val="center"/>
              <w:rPr>
                <w:sz w:val="21"/>
                <w:szCs w:val="21"/>
              </w:rPr>
            </w:pPr>
            <w:r>
              <w:rPr>
                <w:sz w:val="21"/>
                <w:szCs w:val="21"/>
              </w:rPr>
              <w:t>中间提升泵站</w:t>
            </w:r>
            <w:r>
              <w:rPr>
                <w:rFonts w:hint="eastAsia"/>
                <w:sz w:val="21"/>
                <w:szCs w:val="21"/>
              </w:rPr>
              <w:t>232.5 m</w:t>
            </w:r>
            <w:r>
              <w:rPr>
                <w:rFonts w:hint="eastAsia"/>
                <w:sz w:val="21"/>
                <w:szCs w:val="21"/>
                <w:vertAlign w:val="superscript"/>
              </w:rPr>
              <w:t>2</w:t>
            </w:r>
            <w:r>
              <w:rPr>
                <w:sz w:val="21"/>
                <w:szCs w:val="21"/>
              </w:rPr>
              <w:t>：3.0×104m</w:t>
            </w:r>
            <w:r>
              <w:rPr>
                <w:sz w:val="21"/>
                <w:szCs w:val="21"/>
                <w:vertAlign w:val="superscript"/>
              </w:rPr>
              <w:t>3</w:t>
            </w:r>
            <w:r>
              <w:rPr>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Merge w:val="continue"/>
            <w:vAlign w:val="center"/>
          </w:tcPr>
          <w:p>
            <w:pPr>
              <w:spacing w:line="240" w:lineRule="auto"/>
              <w:ind w:firstLine="0" w:firstLineChars="0"/>
              <w:jc w:val="center"/>
              <w:rPr>
                <w:sz w:val="21"/>
                <w:szCs w:val="21"/>
              </w:rPr>
            </w:pPr>
          </w:p>
        </w:tc>
        <w:tc>
          <w:tcPr>
            <w:tcW w:w="1985" w:type="dxa"/>
            <w:vMerge w:val="continue"/>
            <w:vAlign w:val="center"/>
          </w:tcPr>
          <w:p>
            <w:pPr>
              <w:spacing w:line="240" w:lineRule="auto"/>
              <w:ind w:firstLine="0" w:firstLineChars="0"/>
              <w:jc w:val="center"/>
              <w:rPr>
                <w:sz w:val="21"/>
                <w:szCs w:val="21"/>
              </w:rPr>
            </w:pPr>
          </w:p>
        </w:tc>
        <w:tc>
          <w:tcPr>
            <w:tcW w:w="6037" w:type="dxa"/>
            <w:vAlign w:val="center"/>
          </w:tcPr>
          <w:p>
            <w:pPr>
              <w:spacing w:line="240" w:lineRule="auto"/>
              <w:ind w:firstLine="0" w:firstLineChars="0"/>
              <w:jc w:val="center"/>
              <w:rPr>
                <w:sz w:val="21"/>
                <w:szCs w:val="21"/>
              </w:rPr>
            </w:pPr>
            <w:r>
              <w:rPr>
                <w:sz w:val="21"/>
                <w:szCs w:val="21"/>
              </w:rPr>
              <w:t>高密度沉淀池</w:t>
            </w:r>
            <w:r>
              <w:rPr>
                <w:rFonts w:hint="eastAsia"/>
                <w:sz w:val="21"/>
                <w:szCs w:val="21"/>
              </w:rPr>
              <w:t>465m</w:t>
            </w:r>
            <w:r>
              <w:rPr>
                <w:rFonts w:hint="eastAsia"/>
                <w:sz w:val="21"/>
                <w:szCs w:val="21"/>
                <w:vertAlign w:val="superscript"/>
              </w:rPr>
              <w:t>2</w:t>
            </w:r>
            <w:r>
              <w:rPr>
                <w:sz w:val="21"/>
                <w:szCs w:val="21"/>
              </w:rPr>
              <w:t>：1组×3.0×104m</w:t>
            </w:r>
            <w:r>
              <w:rPr>
                <w:sz w:val="21"/>
                <w:szCs w:val="21"/>
                <w:vertAlign w:val="superscript"/>
              </w:rPr>
              <w:t>3</w:t>
            </w:r>
            <w:r>
              <w:rPr>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Merge w:val="continue"/>
            <w:vAlign w:val="center"/>
          </w:tcPr>
          <w:p>
            <w:pPr>
              <w:spacing w:line="240" w:lineRule="auto"/>
              <w:ind w:firstLine="0" w:firstLineChars="0"/>
              <w:jc w:val="center"/>
              <w:rPr>
                <w:sz w:val="21"/>
                <w:szCs w:val="21"/>
              </w:rPr>
            </w:pPr>
          </w:p>
        </w:tc>
        <w:tc>
          <w:tcPr>
            <w:tcW w:w="1985" w:type="dxa"/>
            <w:vMerge w:val="continue"/>
            <w:vAlign w:val="center"/>
          </w:tcPr>
          <w:p>
            <w:pPr>
              <w:spacing w:line="240" w:lineRule="auto"/>
              <w:ind w:firstLine="0" w:firstLineChars="0"/>
              <w:jc w:val="center"/>
              <w:rPr>
                <w:sz w:val="21"/>
                <w:szCs w:val="21"/>
              </w:rPr>
            </w:pPr>
          </w:p>
        </w:tc>
        <w:tc>
          <w:tcPr>
            <w:tcW w:w="6037" w:type="dxa"/>
            <w:vAlign w:val="center"/>
          </w:tcPr>
          <w:p>
            <w:pPr>
              <w:spacing w:line="240" w:lineRule="auto"/>
              <w:ind w:firstLine="0" w:firstLineChars="0"/>
              <w:jc w:val="center"/>
              <w:rPr>
                <w:sz w:val="21"/>
                <w:szCs w:val="21"/>
              </w:rPr>
            </w:pPr>
            <w:r>
              <w:rPr>
                <w:sz w:val="21"/>
                <w:szCs w:val="21"/>
              </w:rPr>
              <w:t>活性沙滤池</w:t>
            </w:r>
            <w:r>
              <w:rPr>
                <w:rFonts w:hint="eastAsia"/>
                <w:sz w:val="21"/>
                <w:szCs w:val="21"/>
              </w:rPr>
              <w:t>402.2m</w:t>
            </w:r>
            <w:r>
              <w:rPr>
                <w:rFonts w:hint="eastAsia"/>
                <w:sz w:val="21"/>
                <w:szCs w:val="21"/>
                <w:vertAlign w:val="superscript"/>
              </w:rPr>
              <w:t>2</w:t>
            </w:r>
            <w:r>
              <w:rPr>
                <w:sz w:val="21"/>
                <w:szCs w:val="21"/>
              </w:rPr>
              <w:t>：1组×3.0×104m</w:t>
            </w:r>
            <w:r>
              <w:rPr>
                <w:sz w:val="21"/>
                <w:szCs w:val="21"/>
                <w:vertAlign w:val="superscript"/>
              </w:rPr>
              <w:t>3</w:t>
            </w:r>
            <w:r>
              <w:rPr>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Merge w:val="continue"/>
            <w:vAlign w:val="center"/>
          </w:tcPr>
          <w:p>
            <w:pPr>
              <w:spacing w:line="240" w:lineRule="auto"/>
              <w:ind w:firstLine="0" w:firstLineChars="0"/>
              <w:jc w:val="center"/>
              <w:rPr>
                <w:sz w:val="21"/>
                <w:szCs w:val="21"/>
              </w:rPr>
            </w:pPr>
          </w:p>
        </w:tc>
        <w:tc>
          <w:tcPr>
            <w:tcW w:w="1985" w:type="dxa"/>
            <w:vMerge w:val="continue"/>
            <w:vAlign w:val="center"/>
          </w:tcPr>
          <w:p>
            <w:pPr>
              <w:spacing w:line="240" w:lineRule="auto"/>
              <w:ind w:firstLine="0" w:firstLineChars="0"/>
              <w:jc w:val="center"/>
              <w:rPr>
                <w:sz w:val="21"/>
                <w:szCs w:val="21"/>
              </w:rPr>
            </w:pPr>
          </w:p>
        </w:tc>
        <w:tc>
          <w:tcPr>
            <w:tcW w:w="6037" w:type="dxa"/>
            <w:vAlign w:val="center"/>
          </w:tcPr>
          <w:p>
            <w:pPr>
              <w:spacing w:line="240" w:lineRule="auto"/>
              <w:ind w:firstLine="0" w:firstLineChars="0"/>
              <w:jc w:val="center"/>
              <w:rPr>
                <w:sz w:val="21"/>
                <w:szCs w:val="21"/>
              </w:rPr>
            </w:pPr>
            <w:r>
              <w:rPr>
                <w:sz w:val="21"/>
                <w:szCs w:val="21"/>
              </w:rPr>
              <w:t>出水提升泵站</w:t>
            </w:r>
            <w:r>
              <w:rPr>
                <w:rFonts w:hint="eastAsia"/>
                <w:sz w:val="21"/>
                <w:szCs w:val="21"/>
              </w:rPr>
              <w:t>82.7m</w:t>
            </w:r>
            <w:r>
              <w:rPr>
                <w:rFonts w:hint="eastAsia"/>
                <w:sz w:val="21"/>
                <w:szCs w:val="21"/>
                <w:vertAlign w:val="superscript"/>
              </w:rPr>
              <w:t>2</w:t>
            </w:r>
            <w:r>
              <w:rPr>
                <w:sz w:val="21"/>
                <w:szCs w:val="21"/>
              </w:rPr>
              <w:t>：3.0×104m</w:t>
            </w:r>
            <w:r>
              <w:rPr>
                <w:sz w:val="21"/>
                <w:szCs w:val="21"/>
                <w:vertAlign w:val="superscript"/>
              </w:rPr>
              <w:t>3</w:t>
            </w:r>
            <w:r>
              <w:rPr>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Merge w:val="continue"/>
            <w:vAlign w:val="center"/>
          </w:tcPr>
          <w:p>
            <w:pPr>
              <w:spacing w:line="240" w:lineRule="auto"/>
              <w:ind w:firstLine="0" w:firstLineChars="0"/>
              <w:jc w:val="center"/>
              <w:rPr>
                <w:sz w:val="21"/>
                <w:szCs w:val="21"/>
              </w:rPr>
            </w:pPr>
          </w:p>
        </w:tc>
        <w:tc>
          <w:tcPr>
            <w:tcW w:w="1985" w:type="dxa"/>
            <w:vAlign w:val="center"/>
          </w:tcPr>
          <w:p>
            <w:pPr>
              <w:spacing w:line="240" w:lineRule="auto"/>
              <w:ind w:firstLine="0" w:firstLineChars="0"/>
              <w:jc w:val="center"/>
              <w:rPr>
                <w:sz w:val="21"/>
                <w:szCs w:val="21"/>
              </w:rPr>
            </w:pPr>
            <w:r>
              <w:rPr>
                <w:sz w:val="21"/>
                <w:szCs w:val="21"/>
              </w:rPr>
              <w:t>消毒池</w:t>
            </w:r>
          </w:p>
        </w:tc>
        <w:tc>
          <w:tcPr>
            <w:tcW w:w="6037" w:type="dxa"/>
            <w:vAlign w:val="center"/>
          </w:tcPr>
          <w:p>
            <w:pPr>
              <w:spacing w:line="240" w:lineRule="auto"/>
              <w:ind w:firstLine="0" w:firstLineChars="0"/>
              <w:jc w:val="center"/>
              <w:rPr>
                <w:sz w:val="21"/>
                <w:szCs w:val="21"/>
              </w:rPr>
            </w:pPr>
            <w:r>
              <w:rPr>
                <w:rFonts w:hint="eastAsia" w:hAnsi="宋体"/>
                <w:sz w:val="21"/>
                <w:szCs w:val="21"/>
              </w:rPr>
              <w:t>5套WTHI-30000-AHO消毒模块，每套模块组含有8根功率为320W的灯管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Merge w:val="continue"/>
            <w:vAlign w:val="center"/>
          </w:tcPr>
          <w:p>
            <w:pPr>
              <w:spacing w:line="240" w:lineRule="auto"/>
              <w:ind w:firstLine="0" w:firstLineChars="0"/>
              <w:jc w:val="center"/>
              <w:rPr>
                <w:sz w:val="21"/>
                <w:szCs w:val="21"/>
              </w:rPr>
            </w:pPr>
          </w:p>
        </w:tc>
        <w:tc>
          <w:tcPr>
            <w:tcW w:w="1985" w:type="dxa"/>
            <w:vMerge w:val="restart"/>
            <w:vAlign w:val="center"/>
          </w:tcPr>
          <w:p>
            <w:pPr>
              <w:spacing w:line="240" w:lineRule="auto"/>
              <w:ind w:firstLine="0" w:firstLineChars="0"/>
              <w:jc w:val="center"/>
              <w:rPr>
                <w:sz w:val="21"/>
                <w:szCs w:val="21"/>
              </w:rPr>
            </w:pPr>
            <w:r>
              <w:rPr>
                <w:sz w:val="21"/>
                <w:szCs w:val="21"/>
              </w:rPr>
              <w:t>淤泥处理用房</w:t>
            </w:r>
          </w:p>
        </w:tc>
        <w:tc>
          <w:tcPr>
            <w:tcW w:w="6037" w:type="dxa"/>
            <w:vAlign w:val="center"/>
          </w:tcPr>
          <w:p>
            <w:pPr>
              <w:spacing w:line="240" w:lineRule="auto"/>
              <w:ind w:firstLine="0" w:firstLineChars="0"/>
              <w:jc w:val="center"/>
              <w:rPr>
                <w:sz w:val="21"/>
                <w:szCs w:val="21"/>
              </w:rPr>
            </w:pPr>
            <w:r>
              <w:rPr>
                <w:sz w:val="21"/>
                <w:szCs w:val="21"/>
              </w:rPr>
              <w:t>剩余、回流污泥泵站</w:t>
            </w:r>
            <w:r>
              <w:rPr>
                <w:rFonts w:hint="eastAsia"/>
                <w:sz w:val="21"/>
                <w:szCs w:val="21"/>
              </w:rPr>
              <w:t>50m</w:t>
            </w:r>
            <w:r>
              <w:rPr>
                <w:rFonts w:hint="eastAsia"/>
                <w:sz w:val="21"/>
                <w:szCs w:val="21"/>
                <w:vertAlign w:val="superscript"/>
              </w:rPr>
              <w:t>2</w:t>
            </w:r>
            <w:r>
              <w:rPr>
                <w:sz w:val="21"/>
                <w:szCs w:val="21"/>
              </w:rPr>
              <w:t>：3.0×104m</w:t>
            </w:r>
            <w:r>
              <w:rPr>
                <w:sz w:val="21"/>
                <w:szCs w:val="21"/>
                <w:vertAlign w:val="superscript"/>
              </w:rPr>
              <w:t>3</w:t>
            </w:r>
            <w:r>
              <w:rPr>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Merge w:val="continue"/>
            <w:vAlign w:val="center"/>
          </w:tcPr>
          <w:p>
            <w:pPr>
              <w:spacing w:line="240" w:lineRule="auto"/>
              <w:ind w:firstLine="0" w:firstLineChars="0"/>
              <w:jc w:val="center"/>
              <w:rPr>
                <w:sz w:val="21"/>
                <w:szCs w:val="21"/>
              </w:rPr>
            </w:pPr>
          </w:p>
        </w:tc>
        <w:tc>
          <w:tcPr>
            <w:tcW w:w="1985" w:type="dxa"/>
            <w:vMerge w:val="continue"/>
            <w:vAlign w:val="center"/>
          </w:tcPr>
          <w:p>
            <w:pPr>
              <w:spacing w:line="240" w:lineRule="auto"/>
              <w:ind w:firstLine="0" w:firstLineChars="0"/>
              <w:jc w:val="center"/>
              <w:rPr>
                <w:sz w:val="21"/>
                <w:szCs w:val="21"/>
              </w:rPr>
            </w:pPr>
          </w:p>
        </w:tc>
        <w:tc>
          <w:tcPr>
            <w:tcW w:w="6037" w:type="dxa"/>
            <w:vAlign w:val="center"/>
          </w:tcPr>
          <w:p>
            <w:pPr>
              <w:spacing w:line="240" w:lineRule="auto"/>
              <w:ind w:firstLine="0" w:firstLineChars="0"/>
              <w:jc w:val="center"/>
              <w:rPr>
                <w:sz w:val="21"/>
                <w:szCs w:val="21"/>
              </w:rPr>
            </w:pPr>
            <w:r>
              <w:rPr>
                <w:rFonts w:hint="eastAsia"/>
                <w:sz w:val="21"/>
                <w:szCs w:val="21"/>
              </w:rPr>
              <w:t>贮泥池73.5m</w:t>
            </w:r>
            <w:r>
              <w:rPr>
                <w:rFonts w:hint="eastAsia"/>
                <w:sz w:val="21"/>
                <w:szCs w:val="21"/>
                <w:vertAlign w:val="superscript"/>
              </w:rPr>
              <w:t>2</w:t>
            </w:r>
            <w:r>
              <w:rPr>
                <w:rFonts w:hint="eastAsia"/>
                <w:sz w:val="21"/>
                <w:szCs w:val="21"/>
              </w:rPr>
              <w:t>：有效水深4.6m，有效容积331.2m</w:t>
            </w:r>
            <w:r>
              <w:rPr>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Merge w:val="continue"/>
            <w:vAlign w:val="center"/>
          </w:tcPr>
          <w:p>
            <w:pPr>
              <w:spacing w:line="240" w:lineRule="auto"/>
              <w:ind w:firstLine="0" w:firstLineChars="0"/>
              <w:jc w:val="center"/>
              <w:rPr>
                <w:sz w:val="21"/>
                <w:szCs w:val="21"/>
              </w:rPr>
            </w:pPr>
          </w:p>
        </w:tc>
        <w:tc>
          <w:tcPr>
            <w:tcW w:w="1985" w:type="dxa"/>
            <w:vMerge w:val="continue"/>
            <w:vAlign w:val="center"/>
          </w:tcPr>
          <w:p>
            <w:pPr>
              <w:spacing w:line="240" w:lineRule="auto"/>
              <w:ind w:firstLine="0" w:firstLineChars="0"/>
              <w:jc w:val="center"/>
              <w:rPr>
                <w:sz w:val="21"/>
                <w:szCs w:val="21"/>
              </w:rPr>
            </w:pPr>
          </w:p>
        </w:tc>
        <w:tc>
          <w:tcPr>
            <w:tcW w:w="6037" w:type="dxa"/>
            <w:vAlign w:val="center"/>
          </w:tcPr>
          <w:p>
            <w:pPr>
              <w:spacing w:line="240" w:lineRule="auto"/>
              <w:ind w:firstLine="0" w:firstLineChars="0"/>
              <w:jc w:val="center"/>
              <w:rPr>
                <w:sz w:val="21"/>
                <w:szCs w:val="21"/>
              </w:rPr>
            </w:pPr>
            <w:r>
              <w:rPr>
                <w:sz w:val="21"/>
                <w:szCs w:val="21"/>
              </w:rPr>
              <w:t>浓缩池</w:t>
            </w:r>
            <w:r>
              <w:rPr>
                <w:rFonts w:hint="eastAsia"/>
                <w:sz w:val="21"/>
                <w:szCs w:val="21"/>
              </w:rPr>
              <w:t>135.2m</w:t>
            </w:r>
            <w:r>
              <w:rPr>
                <w:rFonts w:hint="eastAsia"/>
                <w:sz w:val="21"/>
                <w:szCs w:val="21"/>
                <w:vertAlign w:val="superscript"/>
              </w:rPr>
              <w:t>2</w:t>
            </w:r>
            <w:r>
              <w:rPr>
                <w:sz w:val="21"/>
                <w:szCs w:val="21"/>
              </w:rPr>
              <w:t>：</w:t>
            </w:r>
            <w:r>
              <w:rPr>
                <w:rFonts w:hint="eastAsia"/>
                <w:sz w:val="21"/>
                <w:szCs w:val="21"/>
              </w:rPr>
              <w:t>1</w:t>
            </w:r>
            <w:r>
              <w:rPr>
                <w:sz w:val="21"/>
                <w:szCs w:val="21"/>
              </w:rPr>
              <w:t>组×3×104m</w:t>
            </w:r>
            <w:r>
              <w:rPr>
                <w:sz w:val="21"/>
                <w:szCs w:val="21"/>
                <w:vertAlign w:val="superscript"/>
              </w:rPr>
              <w:t>3</w:t>
            </w:r>
            <w:r>
              <w:rPr>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Merge w:val="continue"/>
            <w:vAlign w:val="center"/>
          </w:tcPr>
          <w:p>
            <w:pPr>
              <w:spacing w:line="240" w:lineRule="auto"/>
              <w:ind w:firstLine="0" w:firstLineChars="0"/>
              <w:jc w:val="center"/>
              <w:rPr>
                <w:sz w:val="21"/>
                <w:szCs w:val="21"/>
              </w:rPr>
            </w:pPr>
          </w:p>
        </w:tc>
        <w:tc>
          <w:tcPr>
            <w:tcW w:w="1985" w:type="dxa"/>
            <w:vMerge w:val="continue"/>
            <w:vAlign w:val="center"/>
          </w:tcPr>
          <w:p>
            <w:pPr>
              <w:spacing w:line="240" w:lineRule="auto"/>
              <w:ind w:firstLine="0" w:firstLineChars="0"/>
              <w:jc w:val="center"/>
              <w:rPr>
                <w:sz w:val="21"/>
                <w:szCs w:val="21"/>
              </w:rPr>
            </w:pPr>
          </w:p>
        </w:tc>
        <w:tc>
          <w:tcPr>
            <w:tcW w:w="6037" w:type="dxa"/>
            <w:vAlign w:val="center"/>
          </w:tcPr>
          <w:p>
            <w:pPr>
              <w:spacing w:line="240" w:lineRule="auto"/>
              <w:ind w:firstLine="0" w:firstLineChars="0"/>
              <w:jc w:val="center"/>
              <w:rPr>
                <w:sz w:val="21"/>
                <w:szCs w:val="21"/>
              </w:rPr>
            </w:pPr>
            <w:r>
              <w:rPr>
                <w:sz w:val="21"/>
                <w:szCs w:val="21"/>
              </w:rPr>
              <w:t>调理池</w:t>
            </w:r>
            <w:r>
              <w:rPr>
                <w:rFonts w:hint="eastAsia"/>
                <w:sz w:val="21"/>
                <w:szCs w:val="21"/>
              </w:rPr>
              <w:t>50m</w:t>
            </w:r>
            <w:r>
              <w:rPr>
                <w:rFonts w:hint="eastAsia"/>
                <w:sz w:val="21"/>
                <w:szCs w:val="21"/>
                <w:vertAlign w:val="superscript"/>
              </w:rPr>
              <w:t>2</w:t>
            </w:r>
            <w:r>
              <w:rPr>
                <w:sz w:val="21"/>
                <w:szCs w:val="21"/>
              </w:rPr>
              <w:t>：</w:t>
            </w:r>
            <w:r>
              <w:rPr>
                <w:rFonts w:hint="eastAsia"/>
                <w:sz w:val="21"/>
                <w:szCs w:val="21"/>
              </w:rPr>
              <w:t>3</w:t>
            </w:r>
            <w:r>
              <w:rPr>
                <w:sz w:val="21"/>
                <w:szCs w:val="21"/>
              </w:rPr>
              <w:t>.0×104m</w:t>
            </w:r>
            <w:r>
              <w:rPr>
                <w:sz w:val="21"/>
                <w:szCs w:val="21"/>
                <w:vertAlign w:val="superscript"/>
              </w:rPr>
              <w:t>3</w:t>
            </w:r>
            <w:r>
              <w:rPr>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Merge w:val="continue"/>
            <w:vAlign w:val="center"/>
          </w:tcPr>
          <w:p>
            <w:pPr>
              <w:spacing w:line="240" w:lineRule="auto"/>
              <w:ind w:firstLine="0" w:firstLineChars="0"/>
              <w:jc w:val="center"/>
              <w:rPr>
                <w:sz w:val="21"/>
                <w:szCs w:val="21"/>
              </w:rPr>
            </w:pPr>
          </w:p>
        </w:tc>
        <w:tc>
          <w:tcPr>
            <w:tcW w:w="1985" w:type="dxa"/>
            <w:vMerge w:val="continue"/>
            <w:vAlign w:val="center"/>
          </w:tcPr>
          <w:p>
            <w:pPr>
              <w:spacing w:line="240" w:lineRule="auto"/>
              <w:ind w:firstLine="0" w:firstLineChars="0"/>
              <w:jc w:val="center"/>
              <w:rPr>
                <w:sz w:val="21"/>
                <w:szCs w:val="21"/>
              </w:rPr>
            </w:pPr>
          </w:p>
        </w:tc>
        <w:tc>
          <w:tcPr>
            <w:tcW w:w="6037" w:type="dxa"/>
            <w:vAlign w:val="center"/>
          </w:tcPr>
          <w:p>
            <w:pPr>
              <w:spacing w:line="240" w:lineRule="auto"/>
              <w:ind w:firstLine="0" w:firstLineChars="0"/>
              <w:jc w:val="center"/>
              <w:rPr>
                <w:sz w:val="21"/>
                <w:szCs w:val="21"/>
              </w:rPr>
            </w:pPr>
            <w:r>
              <w:rPr>
                <w:rFonts w:hint="eastAsia"/>
                <w:sz w:val="21"/>
                <w:szCs w:val="21"/>
              </w:rPr>
              <w:t>污泥</w:t>
            </w:r>
            <w:r>
              <w:rPr>
                <w:sz w:val="21"/>
                <w:szCs w:val="21"/>
              </w:rPr>
              <w:t>脱水</w:t>
            </w:r>
            <w:r>
              <w:rPr>
                <w:rFonts w:hint="eastAsia"/>
                <w:sz w:val="21"/>
                <w:szCs w:val="21"/>
              </w:rPr>
              <w:t>机房289.8 m</w:t>
            </w:r>
            <w:r>
              <w:rPr>
                <w:rFonts w:hint="eastAsia"/>
                <w:sz w:val="21"/>
                <w:szCs w:val="21"/>
                <w:vertAlign w:val="superscript"/>
              </w:rPr>
              <w:t>2</w:t>
            </w:r>
            <w:r>
              <w:rPr>
                <w:sz w:val="21"/>
                <w:szCs w:val="21"/>
              </w:rPr>
              <w:t>：3.0×104m</w:t>
            </w:r>
            <w:r>
              <w:rPr>
                <w:sz w:val="21"/>
                <w:szCs w:val="21"/>
                <w:vertAlign w:val="superscript"/>
              </w:rPr>
              <w:t>3</w:t>
            </w:r>
            <w:r>
              <w:rPr>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Merge w:val="restart"/>
            <w:vAlign w:val="center"/>
          </w:tcPr>
          <w:p>
            <w:pPr>
              <w:spacing w:line="240" w:lineRule="auto"/>
              <w:ind w:firstLine="0" w:firstLineChars="0"/>
              <w:jc w:val="center"/>
              <w:rPr>
                <w:sz w:val="21"/>
                <w:szCs w:val="21"/>
              </w:rPr>
            </w:pPr>
            <w:r>
              <w:rPr>
                <w:rFonts w:hint="eastAsia"/>
                <w:sz w:val="21"/>
                <w:szCs w:val="21"/>
              </w:rPr>
              <w:t>配套工程</w:t>
            </w:r>
          </w:p>
        </w:tc>
        <w:tc>
          <w:tcPr>
            <w:tcW w:w="1985" w:type="dxa"/>
            <w:vAlign w:val="center"/>
          </w:tcPr>
          <w:p>
            <w:pPr>
              <w:spacing w:line="240" w:lineRule="auto"/>
              <w:ind w:firstLine="0" w:firstLineChars="0"/>
              <w:jc w:val="center"/>
              <w:rPr>
                <w:sz w:val="21"/>
                <w:szCs w:val="21"/>
              </w:rPr>
            </w:pPr>
            <w:r>
              <w:rPr>
                <w:sz w:val="21"/>
                <w:szCs w:val="21"/>
              </w:rPr>
              <w:t>配电间</w:t>
            </w:r>
          </w:p>
        </w:tc>
        <w:tc>
          <w:tcPr>
            <w:tcW w:w="6037" w:type="dxa"/>
            <w:shd w:val="clear" w:color="auto" w:fill="auto"/>
            <w:vAlign w:val="center"/>
          </w:tcPr>
          <w:p>
            <w:pPr>
              <w:spacing w:line="240" w:lineRule="auto"/>
              <w:ind w:firstLine="0" w:firstLineChars="0"/>
              <w:jc w:val="center"/>
              <w:rPr>
                <w:sz w:val="21"/>
                <w:szCs w:val="21"/>
              </w:rPr>
            </w:pPr>
            <w:r>
              <w:rPr>
                <w:sz w:val="21"/>
                <w:szCs w:val="21"/>
              </w:rPr>
              <w:t>189.6</w:t>
            </w:r>
            <w:r>
              <w:rPr>
                <w:rFonts w:hint="eastAsia"/>
                <w:sz w:val="21"/>
                <w:szCs w:val="21"/>
              </w:rPr>
              <w:t>m</w:t>
            </w:r>
            <w:r>
              <w:rPr>
                <w:rFonts w:hint="eastAsia"/>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Merge w:val="continue"/>
            <w:vAlign w:val="center"/>
          </w:tcPr>
          <w:p>
            <w:pPr>
              <w:spacing w:line="240" w:lineRule="auto"/>
              <w:ind w:firstLine="0" w:firstLineChars="0"/>
              <w:jc w:val="center"/>
              <w:rPr>
                <w:sz w:val="21"/>
                <w:szCs w:val="21"/>
              </w:rPr>
            </w:pPr>
          </w:p>
        </w:tc>
        <w:tc>
          <w:tcPr>
            <w:tcW w:w="1985" w:type="dxa"/>
            <w:vAlign w:val="center"/>
          </w:tcPr>
          <w:p>
            <w:pPr>
              <w:spacing w:line="240" w:lineRule="auto"/>
              <w:ind w:firstLine="0" w:firstLineChars="0"/>
              <w:jc w:val="center"/>
              <w:rPr>
                <w:sz w:val="21"/>
                <w:szCs w:val="21"/>
              </w:rPr>
            </w:pPr>
            <w:r>
              <w:rPr>
                <w:rFonts w:hint="eastAsia"/>
                <w:sz w:val="21"/>
                <w:szCs w:val="21"/>
              </w:rPr>
              <w:t>空压机房机修仓库</w:t>
            </w:r>
          </w:p>
        </w:tc>
        <w:tc>
          <w:tcPr>
            <w:tcW w:w="6037" w:type="dxa"/>
            <w:shd w:val="clear" w:color="auto" w:fill="auto"/>
            <w:vAlign w:val="center"/>
          </w:tcPr>
          <w:p>
            <w:pPr>
              <w:spacing w:line="240" w:lineRule="auto"/>
              <w:ind w:firstLine="0" w:firstLineChars="0"/>
              <w:jc w:val="center"/>
              <w:rPr>
                <w:sz w:val="21"/>
                <w:szCs w:val="21"/>
              </w:rPr>
            </w:pPr>
            <w:r>
              <w:rPr>
                <w:sz w:val="21"/>
                <w:szCs w:val="21"/>
              </w:rPr>
              <w:t>327.6</w:t>
            </w:r>
            <w:r>
              <w:rPr>
                <w:rFonts w:hint="eastAsia"/>
                <w:sz w:val="21"/>
                <w:szCs w:val="21"/>
              </w:rPr>
              <w:t xml:space="preserve"> m</w:t>
            </w:r>
            <w:r>
              <w:rPr>
                <w:rFonts w:hint="eastAsia"/>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Merge w:val="continue"/>
            <w:vAlign w:val="center"/>
          </w:tcPr>
          <w:p>
            <w:pPr>
              <w:spacing w:line="240" w:lineRule="auto"/>
              <w:ind w:firstLine="0" w:firstLineChars="0"/>
              <w:jc w:val="center"/>
              <w:rPr>
                <w:sz w:val="21"/>
                <w:szCs w:val="21"/>
              </w:rPr>
            </w:pPr>
          </w:p>
        </w:tc>
        <w:tc>
          <w:tcPr>
            <w:tcW w:w="1985" w:type="dxa"/>
            <w:vAlign w:val="center"/>
          </w:tcPr>
          <w:p>
            <w:pPr>
              <w:spacing w:line="240" w:lineRule="auto"/>
              <w:ind w:firstLine="0" w:firstLineChars="0"/>
              <w:jc w:val="center"/>
              <w:rPr>
                <w:sz w:val="21"/>
                <w:szCs w:val="21"/>
              </w:rPr>
            </w:pPr>
            <w:r>
              <w:rPr>
                <w:sz w:val="21"/>
                <w:szCs w:val="21"/>
              </w:rPr>
              <w:t>综合楼</w:t>
            </w:r>
          </w:p>
        </w:tc>
        <w:tc>
          <w:tcPr>
            <w:tcW w:w="6037" w:type="dxa"/>
            <w:shd w:val="clear" w:color="auto" w:fill="auto"/>
            <w:vAlign w:val="center"/>
          </w:tcPr>
          <w:p>
            <w:pPr>
              <w:spacing w:line="240" w:lineRule="auto"/>
              <w:ind w:firstLine="0" w:firstLineChars="0"/>
              <w:jc w:val="center"/>
              <w:rPr>
                <w:sz w:val="21"/>
                <w:szCs w:val="21"/>
              </w:rPr>
            </w:pPr>
            <w:r>
              <w:rPr>
                <w:sz w:val="21"/>
                <w:szCs w:val="21"/>
              </w:rPr>
              <w:t>715.2</w:t>
            </w:r>
            <w:r>
              <w:rPr>
                <w:rFonts w:hint="eastAsia"/>
                <w:sz w:val="21"/>
                <w:szCs w:val="21"/>
              </w:rPr>
              <w:t xml:space="preserve"> m</w:t>
            </w:r>
            <w:r>
              <w:rPr>
                <w:rFonts w:hint="eastAsia"/>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Merge w:val="restart"/>
            <w:vAlign w:val="center"/>
          </w:tcPr>
          <w:p>
            <w:pPr>
              <w:spacing w:line="240" w:lineRule="auto"/>
              <w:ind w:firstLine="0" w:firstLineChars="0"/>
              <w:jc w:val="center"/>
              <w:rPr>
                <w:sz w:val="21"/>
                <w:szCs w:val="21"/>
              </w:rPr>
            </w:pPr>
            <w:r>
              <w:rPr>
                <w:sz w:val="21"/>
                <w:szCs w:val="21"/>
              </w:rPr>
              <w:t>公用工程</w:t>
            </w:r>
          </w:p>
        </w:tc>
        <w:tc>
          <w:tcPr>
            <w:tcW w:w="1985" w:type="dxa"/>
            <w:vAlign w:val="center"/>
          </w:tcPr>
          <w:p>
            <w:pPr>
              <w:spacing w:line="240" w:lineRule="auto"/>
              <w:ind w:firstLine="0" w:firstLineChars="0"/>
              <w:jc w:val="center"/>
              <w:rPr>
                <w:sz w:val="21"/>
                <w:szCs w:val="21"/>
              </w:rPr>
            </w:pPr>
            <w:r>
              <w:rPr>
                <w:rFonts w:hint="eastAsia"/>
                <w:sz w:val="21"/>
                <w:szCs w:val="21"/>
              </w:rPr>
              <w:t>供电系统</w:t>
            </w:r>
          </w:p>
        </w:tc>
        <w:tc>
          <w:tcPr>
            <w:tcW w:w="6037" w:type="dxa"/>
            <w:vAlign w:val="center"/>
          </w:tcPr>
          <w:p>
            <w:pPr>
              <w:spacing w:line="240" w:lineRule="auto"/>
              <w:ind w:firstLine="0" w:firstLineChars="0"/>
              <w:jc w:val="center"/>
              <w:rPr>
                <w:sz w:val="21"/>
                <w:szCs w:val="21"/>
              </w:rPr>
            </w:pPr>
            <w:r>
              <w:rPr>
                <w:rFonts w:hint="eastAsia"/>
                <w:sz w:val="21"/>
                <w:szCs w:val="21"/>
              </w:rPr>
              <w:t>市政</w:t>
            </w:r>
            <w:r>
              <w:rPr>
                <w:sz w:val="21"/>
                <w:szCs w:val="21"/>
              </w:rPr>
              <w:t>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Merge w:val="continue"/>
            <w:vAlign w:val="center"/>
          </w:tcPr>
          <w:p>
            <w:pPr>
              <w:spacing w:line="240" w:lineRule="auto"/>
              <w:ind w:firstLine="0" w:firstLineChars="0"/>
              <w:jc w:val="center"/>
              <w:rPr>
                <w:sz w:val="21"/>
                <w:szCs w:val="21"/>
              </w:rPr>
            </w:pPr>
          </w:p>
        </w:tc>
        <w:tc>
          <w:tcPr>
            <w:tcW w:w="1985" w:type="dxa"/>
            <w:vAlign w:val="center"/>
          </w:tcPr>
          <w:p>
            <w:pPr>
              <w:spacing w:line="240" w:lineRule="auto"/>
              <w:ind w:firstLine="0" w:firstLineChars="0"/>
              <w:jc w:val="center"/>
              <w:rPr>
                <w:sz w:val="21"/>
                <w:szCs w:val="21"/>
              </w:rPr>
            </w:pPr>
            <w:r>
              <w:rPr>
                <w:rFonts w:hint="eastAsia"/>
                <w:sz w:val="21"/>
                <w:szCs w:val="21"/>
              </w:rPr>
              <w:t>供水系统</w:t>
            </w:r>
          </w:p>
        </w:tc>
        <w:tc>
          <w:tcPr>
            <w:tcW w:w="6037" w:type="dxa"/>
            <w:vAlign w:val="center"/>
          </w:tcPr>
          <w:p>
            <w:pPr>
              <w:spacing w:line="240" w:lineRule="auto"/>
              <w:ind w:firstLine="0" w:firstLineChars="0"/>
              <w:jc w:val="center"/>
              <w:rPr>
                <w:sz w:val="21"/>
                <w:szCs w:val="21"/>
              </w:rPr>
            </w:pPr>
            <w:r>
              <w:rPr>
                <w:rFonts w:hint="eastAsia"/>
                <w:sz w:val="21"/>
                <w:szCs w:val="21"/>
              </w:rPr>
              <w:t>市政</w:t>
            </w:r>
            <w:r>
              <w:rPr>
                <w:sz w:val="21"/>
                <w:szCs w:val="21"/>
              </w:rPr>
              <w:t>供</w:t>
            </w:r>
            <w:r>
              <w:rPr>
                <w:rFonts w:hint="eastAsia"/>
                <w:sz w:val="21"/>
                <w:szCs w:val="21"/>
              </w:rPr>
              <w:t>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Merge w:val="continue"/>
            <w:vAlign w:val="center"/>
          </w:tcPr>
          <w:p>
            <w:pPr>
              <w:spacing w:line="240" w:lineRule="auto"/>
              <w:ind w:firstLine="0" w:firstLineChars="0"/>
              <w:jc w:val="center"/>
              <w:rPr>
                <w:sz w:val="21"/>
                <w:szCs w:val="21"/>
              </w:rPr>
            </w:pPr>
          </w:p>
        </w:tc>
        <w:tc>
          <w:tcPr>
            <w:tcW w:w="1985" w:type="dxa"/>
            <w:vAlign w:val="center"/>
          </w:tcPr>
          <w:p>
            <w:pPr>
              <w:spacing w:line="240" w:lineRule="auto"/>
              <w:ind w:firstLine="0" w:firstLineChars="0"/>
              <w:jc w:val="center"/>
              <w:rPr>
                <w:sz w:val="21"/>
                <w:szCs w:val="21"/>
              </w:rPr>
            </w:pPr>
            <w:r>
              <w:rPr>
                <w:rFonts w:hint="eastAsia"/>
                <w:sz w:val="21"/>
                <w:szCs w:val="21"/>
              </w:rPr>
              <w:t>排水系统</w:t>
            </w:r>
          </w:p>
        </w:tc>
        <w:tc>
          <w:tcPr>
            <w:tcW w:w="6037" w:type="dxa"/>
            <w:vAlign w:val="center"/>
          </w:tcPr>
          <w:p>
            <w:pPr>
              <w:spacing w:line="240" w:lineRule="auto"/>
              <w:ind w:firstLine="0" w:firstLineChars="0"/>
              <w:jc w:val="center"/>
              <w:rPr>
                <w:sz w:val="21"/>
                <w:szCs w:val="21"/>
              </w:rPr>
            </w:pPr>
            <w:r>
              <w:rPr>
                <w:rFonts w:hint="eastAsia"/>
                <w:sz w:val="21"/>
                <w:szCs w:val="21"/>
              </w:rPr>
              <w:t>采用雨污分流的排水方式，雨水通过厂区雨水管道排入东侧沟渠；生产废水和生活污水由厂区内污水管道收集，输送至进水泵房前格栅站，与进厂污水混合一并处理，处理后排入东侧沟渠，澹水水位低于34m时，污水通过下游155m处农灌沟渠自流口排入澹水；澹水水位高于34m时，污水经农灌沟渠通过下游250m处东洲机埠电排排入澹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Merge w:val="restart"/>
            <w:tcBorders>
              <w:bottom w:val="single" w:color="auto" w:sz="4" w:space="0"/>
            </w:tcBorders>
            <w:vAlign w:val="center"/>
          </w:tcPr>
          <w:p>
            <w:pPr>
              <w:spacing w:line="240" w:lineRule="auto"/>
              <w:ind w:firstLine="0" w:firstLineChars="0"/>
              <w:jc w:val="center"/>
              <w:rPr>
                <w:sz w:val="21"/>
                <w:szCs w:val="21"/>
              </w:rPr>
            </w:pPr>
            <w:r>
              <w:rPr>
                <w:sz w:val="21"/>
                <w:szCs w:val="21"/>
              </w:rPr>
              <w:t>环保工程</w:t>
            </w:r>
          </w:p>
        </w:tc>
        <w:tc>
          <w:tcPr>
            <w:tcW w:w="1985" w:type="dxa"/>
            <w:tcBorders>
              <w:bottom w:val="single" w:color="auto" w:sz="4" w:space="0"/>
            </w:tcBorders>
            <w:vAlign w:val="center"/>
          </w:tcPr>
          <w:p>
            <w:pPr>
              <w:spacing w:line="240" w:lineRule="auto"/>
              <w:ind w:firstLine="0" w:firstLineChars="0"/>
              <w:jc w:val="center"/>
              <w:rPr>
                <w:sz w:val="21"/>
                <w:szCs w:val="21"/>
              </w:rPr>
            </w:pPr>
            <w:r>
              <w:rPr>
                <w:rFonts w:hint="eastAsia"/>
                <w:sz w:val="21"/>
                <w:szCs w:val="21"/>
              </w:rPr>
              <w:t>生物除臭</w:t>
            </w:r>
          </w:p>
        </w:tc>
        <w:tc>
          <w:tcPr>
            <w:tcW w:w="6037" w:type="dxa"/>
            <w:vAlign w:val="center"/>
          </w:tcPr>
          <w:p>
            <w:pPr>
              <w:tabs>
                <w:tab w:val="left" w:pos="1826"/>
              </w:tabs>
              <w:spacing w:line="240" w:lineRule="auto"/>
              <w:ind w:firstLine="0" w:firstLineChars="0"/>
              <w:jc w:val="center"/>
              <w:rPr>
                <w:sz w:val="21"/>
                <w:szCs w:val="21"/>
              </w:rPr>
            </w:pPr>
            <w:r>
              <w:rPr>
                <w:rFonts w:hint="eastAsia"/>
                <w:sz w:val="21"/>
                <w:szCs w:val="21"/>
              </w:rPr>
              <w:t>收集系统+生物滴滤塔+15m排气筒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Merge w:val="continue"/>
            <w:vAlign w:val="center"/>
          </w:tcPr>
          <w:p>
            <w:pPr>
              <w:spacing w:line="240" w:lineRule="auto"/>
              <w:ind w:firstLine="0" w:firstLineChars="0"/>
              <w:jc w:val="center"/>
              <w:rPr>
                <w:sz w:val="21"/>
                <w:szCs w:val="21"/>
              </w:rPr>
            </w:pPr>
          </w:p>
        </w:tc>
        <w:tc>
          <w:tcPr>
            <w:tcW w:w="1985" w:type="dxa"/>
            <w:vAlign w:val="center"/>
          </w:tcPr>
          <w:p>
            <w:pPr>
              <w:spacing w:line="240" w:lineRule="auto"/>
              <w:ind w:firstLine="0" w:firstLineChars="0"/>
              <w:jc w:val="center"/>
              <w:rPr>
                <w:sz w:val="21"/>
                <w:szCs w:val="21"/>
              </w:rPr>
            </w:pPr>
            <w:r>
              <w:rPr>
                <w:rFonts w:hint="eastAsia"/>
                <w:sz w:val="21"/>
                <w:szCs w:val="21"/>
              </w:rPr>
              <w:t>其他</w:t>
            </w:r>
          </w:p>
        </w:tc>
        <w:tc>
          <w:tcPr>
            <w:tcW w:w="6037" w:type="dxa"/>
            <w:vAlign w:val="center"/>
          </w:tcPr>
          <w:p>
            <w:pPr>
              <w:spacing w:line="240" w:lineRule="auto"/>
              <w:ind w:firstLine="0" w:firstLineChars="0"/>
              <w:jc w:val="center"/>
              <w:rPr>
                <w:sz w:val="21"/>
                <w:szCs w:val="21"/>
              </w:rPr>
            </w:pPr>
            <w:r>
              <w:rPr>
                <w:rFonts w:hint="eastAsia"/>
                <w:sz w:val="21"/>
                <w:szCs w:val="21"/>
              </w:rPr>
              <w:t>绿化</w:t>
            </w:r>
          </w:p>
        </w:tc>
      </w:tr>
    </w:tbl>
    <w:p>
      <w:pPr>
        <w:tabs>
          <w:tab w:val="left" w:pos="2548"/>
        </w:tabs>
        <w:spacing w:beforeLines="50"/>
        <w:ind w:firstLine="480"/>
        <w:rPr>
          <w:rFonts w:hAnsi="宋体"/>
          <w:szCs w:val="24"/>
        </w:rPr>
      </w:pPr>
      <w:r>
        <w:rPr>
          <w:rFonts w:hint="eastAsia" w:hAnsi="宋体"/>
          <w:szCs w:val="24"/>
        </w:rPr>
        <w:t>项目</w:t>
      </w:r>
      <w:r>
        <w:rPr>
          <w:rFonts w:hAnsi="宋体"/>
          <w:szCs w:val="24"/>
        </w:rPr>
        <w:t>主要生产设备见</w:t>
      </w:r>
      <w:r>
        <w:rPr>
          <w:rFonts w:hint="eastAsia" w:hAnsi="宋体"/>
          <w:szCs w:val="24"/>
        </w:rPr>
        <w:t>下表</w:t>
      </w:r>
      <w:r>
        <w:rPr>
          <w:rFonts w:hAnsi="宋体"/>
          <w:szCs w:val="24"/>
        </w:rPr>
        <w:t>：</w:t>
      </w:r>
    </w:p>
    <w:p>
      <w:pPr>
        <w:widowControl/>
        <w:autoSpaceDE w:val="0"/>
        <w:autoSpaceDN w:val="0"/>
        <w:ind w:firstLine="422"/>
        <w:jc w:val="center"/>
        <w:rPr>
          <w:kern w:val="0"/>
        </w:rPr>
      </w:pPr>
      <w:r>
        <w:rPr>
          <w:b/>
          <w:kern w:val="0"/>
          <w:sz w:val="21"/>
          <w:szCs w:val="21"/>
        </w:rPr>
        <w:t>表</w:t>
      </w:r>
      <w:r>
        <w:rPr>
          <w:rFonts w:hint="eastAsia"/>
          <w:b/>
          <w:kern w:val="0"/>
          <w:sz w:val="21"/>
          <w:szCs w:val="21"/>
        </w:rPr>
        <w:t>2-7</w:t>
      </w:r>
      <w:r>
        <w:rPr>
          <w:b/>
          <w:kern w:val="0"/>
          <w:sz w:val="21"/>
          <w:szCs w:val="21"/>
        </w:rPr>
        <w:t xml:space="preserve">  主要设备一览表</w:t>
      </w:r>
    </w:p>
    <w:tbl>
      <w:tblPr>
        <w:tblStyle w:val="41"/>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09"/>
        <w:gridCol w:w="4429"/>
        <w:gridCol w:w="2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240" w:lineRule="auto"/>
              <w:ind w:firstLine="0" w:firstLineChars="0"/>
              <w:jc w:val="center"/>
              <w:rPr>
                <w:rFonts w:eastAsiaTheme="minorEastAsia"/>
                <w:b/>
                <w:sz w:val="21"/>
                <w:szCs w:val="21"/>
              </w:rPr>
            </w:pPr>
            <w:r>
              <w:rPr>
                <w:rFonts w:hAnsiTheme="minorEastAsia" w:eastAsiaTheme="minorEastAsia"/>
                <w:b/>
                <w:sz w:val="21"/>
                <w:szCs w:val="21"/>
              </w:rPr>
              <w:t>序号</w:t>
            </w:r>
          </w:p>
        </w:tc>
        <w:tc>
          <w:tcPr>
            <w:tcW w:w="5138" w:type="dxa"/>
            <w:gridSpan w:val="2"/>
            <w:vAlign w:val="center"/>
          </w:tcPr>
          <w:p>
            <w:pPr>
              <w:spacing w:line="240" w:lineRule="auto"/>
              <w:ind w:firstLine="422"/>
              <w:jc w:val="center"/>
              <w:rPr>
                <w:rFonts w:eastAsiaTheme="minorEastAsia"/>
                <w:b/>
                <w:sz w:val="21"/>
                <w:szCs w:val="21"/>
              </w:rPr>
            </w:pPr>
            <w:r>
              <w:rPr>
                <w:rFonts w:hAnsiTheme="minorEastAsia" w:eastAsiaTheme="minorEastAsia"/>
                <w:b/>
                <w:sz w:val="21"/>
                <w:szCs w:val="21"/>
              </w:rPr>
              <w:t>构筑物名称</w:t>
            </w:r>
          </w:p>
        </w:tc>
        <w:tc>
          <w:tcPr>
            <w:tcW w:w="2919" w:type="dxa"/>
            <w:vAlign w:val="center"/>
          </w:tcPr>
          <w:p>
            <w:pPr>
              <w:spacing w:line="240" w:lineRule="auto"/>
              <w:ind w:firstLine="422"/>
              <w:jc w:val="center"/>
              <w:rPr>
                <w:rFonts w:eastAsiaTheme="minorEastAsia"/>
                <w:b/>
                <w:sz w:val="21"/>
                <w:szCs w:val="21"/>
              </w:rPr>
            </w:pPr>
            <w:r>
              <w:rPr>
                <w:rFonts w:hAnsiTheme="minorEastAsia" w:eastAsiaTheme="minorEastAsia"/>
                <w:b/>
                <w:sz w:val="21"/>
                <w:szCs w:val="21"/>
              </w:rPr>
              <w:t>主要设备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240" w:lineRule="auto"/>
              <w:ind w:firstLine="0" w:firstLineChars="0"/>
              <w:jc w:val="center"/>
              <w:rPr>
                <w:sz w:val="21"/>
                <w:szCs w:val="21"/>
              </w:rPr>
            </w:pPr>
            <w:r>
              <w:rPr>
                <w:sz w:val="21"/>
                <w:szCs w:val="21"/>
              </w:rPr>
              <w:t>1</w:t>
            </w:r>
          </w:p>
        </w:tc>
        <w:tc>
          <w:tcPr>
            <w:tcW w:w="709" w:type="dxa"/>
            <w:vAlign w:val="center"/>
          </w:tcPr>
          <w:p>
            <w:pPr>
              <w:tabs>
                <w:tab w:val="left" w:pos="720"/>
              </w:tabs>
              <w:spacing w:line="240" w:lineRule="auto"/>
              <w:ind w:firstLine="0" w:firstLineChars="0"/>
              <w:jc w:val="center"/>
              <w:rPr>
                <w:sz w:val="21"/>
                <w:szCs w:val="21"/>
              </w:rPr>
            </w:pPr>
            <w:r>
              <w:rPr>
                <w:sz w:val="21"/>
                <w:szCs w:val="21"/>
              </w:rPr>
              <w:t>粗格栅</w:t>
            </w:r>
          </w:p>
        </w:tc>
        <w:tc>
          <w:tcPr>
            <w:tcW w:w="4429" w:type="dxa"/>
            <w:vAlign w:val="center"/>
          </w:tcPr>
          <w:p>
            <w:pPr>
              <w:tabs>
                <w:tab w:val="left" w:pos="720"/>
              </w:tabs>
              <w:spacing w:line="240" w:lineRule="auto"/>
              <w:ind w:firstLine="0" w:firstLineChars="0"/>
              <w:jc w:val="center"/>
              <w:rPr>
                <w:sz w:val="21"/>
                <w:szCs w:val="21"/>
              </w:rPr>
            </w:pPr>
            <w:r>
              <w:rPr>
                <w:sz w:val="21"/>
                <w:szCs w:val="21"/>
              </w:rPr>
              <w:t>粗格栅设计能力为3万m</w:t>
            </w:r>
            <w:r>
              <w:rPr>
                <w:sz w:val="21"/>
                <w:szCs w:val="21"/>
                <w:vertAlign w:val="superscript"/>
              </w:rPr>
              <w:t>3</w:t>
            </w:r>
            <w:r>
              <w:rPr>
                <w:sz w:val="21"/>
                <w:szCs w:val="21"/>
              </w:rPr>
              <w:t>/d；栅前水深0.80m，栅槽宽1.10m，过栅流速0.88m/s，每格设一道回转式格栅除污机，格栅间隙20mm，安装角度α＝75º，N＝1.1kW</w:t>
            </w:r>
          </w:p>
        </w:tc>
        <w:tc>
          <w:tcPr>
            <w:tcW w:w="2919" w:type="dxa"/>
            <w:vAlign w:val="center"/>
          </w:tcPr>
          <w:p>
            <w:pPr>
              <w:tabs>
                <w:tab w:val="left" w:pos="720"/>
              </w:tabs>
              <w:spacing w:line="240" w:lineRule="auto"/>
              <w:ind w:firstLine="0" w:firstLineChars="0"/>
              <w:jc w:val="center"/>
              <w:rPr>
                <w:sz w:val="21"/>
                <w:szCs w:val="21"/>
              </w:rPr>
            </w:pPr>
            <w:r>
              <w:rPr>
                <w:sz w:val="21"/>
                <w:szCs w:val="21"/>
              </w:rPr>
              <w:t>回转式格栅机和配套栅渣输送系统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240" w:lineRule="auto"/>
              <w:ind w:firstLine="0" w:firstLineChars="0"/>
              <w:jc w:val="center"/>
              <w:rPr>
                <w:sz w:val="21"/>
                <w:szCs w:val="21"/>
              </w:rPr>
            </w:pPr>
            <w:r>
              <w:rPr>
                <w:sz w:val="21"/>
                <w:szCs w:val="21"/>
              </w:rPr>
              <w:t>2</w:t>
            </w:r>
          </w:p>
        </w:tc>
        <w:tc>
          <w:tcPr>
            <w:tcW w:w="709" w:type="dxa"/>
            <w:vAlign w:val="center"/>
          </w:tcPr>
          <w:p>
            <w:pPr>
              <w:tabs>
                <w:tab w:val="left" w:pos="720"/>
              </w:tabs>
              <w:spacing w:line="240" w:lineRule="auto"/>
              <w:ind w:firstLine="0" w:firstLineChars="0"/>
              <w:jc w:val="center"/>
              <w:rPr>
                <w:sz w:val="21"/>
                <w:szCs w:val="21"/>
              </w:rPr>
            </w:pPr>
            <w:r>
              <w:rPr>
                <w:sz w:val="21"/>
                <w:szCs w:val="21"/>
              </w:rPr>
              <w:t>细格栅</w:t>
            </w:r>
          </w:p>
        </w:tc>
        <w:tc>
          <w:tcPr>
            <w:tcW w:w="4429" w:type="dxa"/>
            <w:vAlign w:val="center"/>
          </w:tcPr>
          <w:p>
            <w:pPr>
              <w:tabs>
                <w:tab w:val="left" w:pos="720"/>
              </w:tabs>
              <w:spacing w:line="240" w:lineRule="auto"/>
              <w:ind w:firstLine="0" w:firstLineChars="0"/>
              <w:jc w:val="center"/>
              <w:rPr>
                <w:sz w:val="21"/>
                <w:szCs w:val="21"/>
              </w:rPr>
            </w:pPr>
            <w:r>
              <w:rPr>
                <w:sz w:val="21"/>
                <w:szCs w:val="21"/>
              </w:rPr>
              <w:t>格栅井设2格，并联运行，栅槽宽1.50m，栅前水深0.80m，过栅流速0.79m/s，每格设一道回转式细格栅，格栅间隙5mm，安装角度α＝75º，N＝2.2kW</w:t>
            </w:r>
          </w:p>
        </w:tc>
        <w:tc>
          <w:tcPr>
            <w:tcW w:w="2919" w:type="dxa"/>
            <w:vAlign w:val="center"/>
          </w:tcPr>
          <w:p>
            <w:pPr>
              <w:tabs>
                <w:tab w:val="left" w:pos="720"/>
              </w:tabs>
              <w:spacing w:line="240" w:lineRule="auto"/>
              <w:ind w:firstLine="0" w:firstLineChars="0"/>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240" w:lineRule="auto"/>
              <w:ind w:firstLine="0" w:firstLineChars="0"/>
              <w:jc w:val="center"/>
              <w:rPr>
                <w:sz w:val="21"/>
                <w:szCs w:val="21"/>
              </w:rPr>
            </w:pPr>
            <w:r>
              <w:rPr>
                <w:sz w:val="21"/>
                <w:szCs w:val="21"/>
              </w:rPr>
              <w:t>3</w:t>
            </w:r>
          </w:p>
        </w:tc>
        <w:tc>
          <w:tcPr>
            <w:tcW w:w="709" w:type="dxa"/>
            <w:vAlign w:val="center"/>
          </w:tcPr>
          <w:p>
            <w:pPr>
              <w:tabs>
                <w:tab w:val="left" w:pos="720"/>
              </w:tabs>
              <w:spacing w:line="240" w:lineRule="auto"/>
              <w:ind w:firstLine="0" w:firstLineChars="0"/>
              <w:jc w:val="center"/>
              <w:rPr>
                <w:sz w:val="21"/>
                <w:szCs w:val="21"/>
              </w:rPr>
            </w:pPr>
            <w:r>
              <w:rPr>
                <w:sz w:val="21"/>
                <w:szCs w:val="21"/>
              </w:rPr>
              <w:t>旋流沉砂池</w:t>
            </w:r>
          </w:p>
        </w:tc>
        <w:tc>
          <w:tcPr>
            <w:tcW w:w="4429" w:type="dxa"/>
            <w:vAlign w:val="center"/>
          </w:tcPr>
          <w:p>
            <w:pPr>
              <w:tabs>
                <w:tab w:val="left" w:pos="720"/>
              </w:tabs>
              <w:spacing w:line="240" w:lineRule="auto"/>
              <w:ind w:firstLine="0" w:firstLineChars="0"/>
              <w:jc w:val="center"/>
              <w:rPr>
                <w:sz w:val="21"/>
                <w:szCs w:val="21"/>
              </w:rPr>
            </w:pPr>
            <w:r>
              <w:rPr>
                <w:sz w:val="21"/>
                <w:szCs w:val="21"/>
              </w:rPr>
              <w:t>结构类型：半地下式钢混</w:t>
            </w:r>
          </w:p>
          <w:p>
            <w:pPr>
              <w:tabs>
                <w:tab w:val="left" w:pos="720"/>
              </w:tabs>
              <w:spacing w:line="240" w:lineRule="auto"/>
              <w:ind w:firstLine="0" w:firstLineChars="0"/>
              <w:jc w:val="center"/>
              <w:rPr>
                <w:sz w:val="21"/>
                <w:szCs w:val="21"/>
              </w:rPr>
            </w:pPr>
            <w:r>
              <w:rPr>
                <w:sz w:val="21"/>
                <w:szCs w:val="21"/>
              </w:rPr>
              <w:t>设计流量Qmax＝3400.00m3/h</w:t>
            </w:r>
          </w:p>
          <w:p>
            <w:pPr>
              <w:tabs>
                <w:tab w:val="left" w:pos="720"/>
              </w:tabs>
              <w:spacing w:line="240" w:lineRule="auto"/>
              <w:ind w:firstLine="0" w:firstLineChars="0"/>
              <w:jc w:val="center"/>
              <w:rPr>
                <w:sz w:val="21"/>
                <w:szCs w:val="21"/>
              </w:rPr>
            </w:pPr>
            <w:r>
              <w:rPr>
                <w:sz w:val="21"/>
                <w:szCs w:val="21"/>
              </w:rPr>
              <w:t>组数：1组</w:t>
            </w:r>
          </w:p>
          <w:p>
            <w:pPr>
              <w:tabs>
                <w:tab w:val="left" w:pos="720"/>
              </w:tabs>
              <w:spacing w:line="240" w:lineRule="auto"/>
              <w:ind w:firstLine="0" w:firstLineChars="0"/>
              <w:jc w:val="center"/>
              <w:rPr>
                <w:sz w:val="21"/>
                <w:szCs w:val="21"/>
              </w:rPr>
            </w:pPr>
            <w:r>
              <w:rPr>
                <w:sz w:val="21"/>
                <w:szCs w:val="21"/>
              </w:rPr>
              <w:t>停留时间：54.95s</w:t>
            </w:r>
          </w:p>
          <w:p>
            <w:pPr>
              <w:tabs>
                <w:tab w:val="left" w:pos="720"/>
              </w:tabs>
              <w:spacing w:line="240" w:lineRule="auto"/>
              <w:ind w:firstLine="0" w:firstLineChars="0"/>
              <w:jc w:val="center"/>
              <w:rPr>
                <w:sz w:val="21"/>
                <w:szCs w:val="21"/>
              </w:rPr>
            </w:pPr>
            <w:r>
              <w:rPr>
                <w:sz w:val="21"/>
                <w:szCs w:val="21"/>
              </w:rPr>
              <w:t>直径：3.65m</w:t>
            </w:r>
          </w:p>
          <w:p>
            <w:pPr>
              <w:tabs>
                <w:tab w:val="left" w:pos="720"/>
              </w:tabs>
              <w:spacing w:line="240" w:lineRule="auto"/>
              <w:ind w:firstLine="0" w:firstLineChars="0"/>
              <w:jc w:val="center"/>
              <w:rPr>
                <w:sz w:val="21"/>
                <w:szCs w:val="21"/>
              </w:rPr>
            </w:pPr>
            <w:r>
              <w:rPr>
                <w:sz w:val="21"/>
                <w:szCs w:val="21"/>
              </w:rPr>
              <w:t>表面负荷：162.46m</w:t>
            </w:r>
            <w:r>
              <w:rPr>
                <w:sz w:val="21"/>
                <w:szCs w:val="21"/>
                <w:vertAlign w:val="superscript"/>
              </w:rPr>
              <w:t>3</w:t>
            </w:r>
            <w:r>
              <w:rPr>
                <w:sz w:val="21"/>
                <w:szCs w:val="21"/>
              </w:rPr>
              <w:t>/（m2·h）</w:t>
            </w:r>
          </w:p>
          <w:p>
            <w:pPr>
              <w:tabs>
                <w:tab w:val="left" w:pos="720"/>
              </w:tabs>
              <w:spacing w:line="240" w:lineRule="auto"/>
              <w:ind w:firstLine="0" w:firstLineChars="0"/>
              <w:jc w:val="center"/>
              <w:rPr>
                <w:sz w:val="21"/>
                <w:szCs w:val="21"/>
              </w:rPr>
            </w:pPr>
            <w:r>
              <w:rPr>
                <w:sz w:val="21"/>
                <w:szCs w:val="21"/>
              </w:rPr>
              <w:t>沉砂机功率1.50kW，沉砂经提砂泵提升至设在沉砂池一侧的砂水分离器内进行砂水分离。砂水分离器处理量12L/s，电机功率0.37kW。</w:t>
            </w:r>
          </w:p>
        </w:tc>
        <w:tc>
          <w:tcPr>
            <w:tcW w:w="2919" w:type="dxa"/>
            <w:vAlign w:val="center"/>
          </w:tcPr>
          <w:p>
            <w:pPr>
              <w:tabs>
                <w:tab w:val="left" w:pos="720"/>
              </w:tabs>
              <w:spacing w:line="240" w:lineRule="auto"/>
              <w:ind w:firstLine="0" w:firstLineChars="0"/>
              <w:jc w:val="center"/>
              <w:rPr>
                <w:sz w:val="21"/>
                <w:szCs w:val="21"/>
              </w:rPr>
            </w:pPr>
            <w:r>
              <w:rPr>
                <w:sz w:val="21"/>
                <w:szCs w:val="21"/>
              </w:rPr>
              <w:t>XLC1980型旋流沉砂池除砂机</w:t>
            </w:r>
          </w:p>
          <w:p>
            <w:pPr>
              <w:tabs>
                <w:tab w:val="left" w:pos="720"/>
              </w:tabs>
              <w:spacing w:line="240" w:lineRule="auto"/>
              <w:ind w:firstLine="0" w:firstLineChars="0"/>
              <w:jc w:val="center"/>
              <w:rPr>
                <w:sz w:val="21"/>
                <w:szCs w:val="21"/>
              </w:rPr>
            </w:pPr>
            <w:r>
              <w:rPr>
                <w:sz w:val="21"/>
                <w:szCs w:val="21"/>
              </w:rPr>
              <w:t>数量：2台</w:t>
            </w:r>
          </w:p>
          <w:p>
            <w:pPr>
              <w:tabs>
                <w:tab w:val="left" w:pos="720"/>
              </w:tabs>
              <w:spacing w:line="240" w:lineRule="auto"/>
              <w:ind w:firstLine="0" w:firstLineChars="0"/>
              <w:jc w:val="center"/>
              <w:rPr>
                <w:sz w:val="21"/>
                <w:szCs w:val="21"/>
              </w:rPr>
            </w:pPr>
            <w:r>
              <w:rPr>
                <w:sz w:val="21"/>
                <w:szCs w:val="21"/>
              </w:rPr>
              <w:t>砂水排量40m</w:t>
            </w:r>
            <w:r>
              <w:rPr>
                <w:sz w:val="21"/>
                <w:szCs w:val="21"/>
                <w:vertAlign w:val="superscript"/>
              </w:rPr>
              <w:t>3</w:t>
            </w:r>
            <w:r>
              <w:rPr>
                <w:sz w:val="21"/>
                <w:szCs w:val="21"/>
              </w:rPr>
              <w:t>/h</w:t>
            </w:r>
          </w:p>
          <w:p>
            <w:pPr>
              <w:tabs>
                <w:tab w:val="left" w:pos="720"/>
              </w:tabs>
              <w:spacing w:line="240" w:lineRule="auto"/>
              <w:ind w:firstLine="0" w:firstLineChars="0"/>
              <w:jc w:val="center"/>
              <w:rPr>
                <w:sz w:val="21"/>
                <w:szCs w:val="21"/>
              </w:rPr>
            </w:pPr>
            <w:r>
              <w:rPr>
                <w:sz w:val="21"/>
                <w:szCs w:val="21"/>
              </w:rPr>
              <w:t>螺旋式砂水分离器</w:t>
            </w:r>
          </w:p>
          <w:p>
            <w:pPr>
              <w:tabs>
                <w:tab w:val="left" w:pos="720"/>
              </w:tabs>
              <w:spacing w:line="240" w:lineRule="auto"/>
              <w:ind w:firstLine="0" w:firstLineChars="0"/>
              <w:jc w:val="center"/>
              <w:rPr>
                <w:sz w:val="21"/>
                <w:szCs w:val="21"/>
              </w:rPr>
            </w:pPr>
            <w:r>
              <w:rPr>
                <w:sz w:val="21"/>
                <w:szCs w:val="21"/>
              </w:rPr>
              <w:t>数量：1台Q=18～43m</w:t>
            </w:r>
            <w:r>
              <w:rPr>
                <w:sz w:val="21"/>
                <w:szCs w:val="21"/>
                <w:vertAlign w:val="superscript"/>
              </w:rPr>
              <w:t>3</w:t>
            </w:r>
            <w:r>
              <w:rPr>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240" w:lineRule="auto"/>
              <w:ind w:firstLine="0" w:firstLineChars="0"/>
              <w:jc w:val="center"/>
              <w:rPr>
                <w:sz w:val="21"/>
                <w:szCs w:val="21"/>
              </w:rPr>
            </w:pPr>
            <w:r>
              <w:rPr>
                <w:sz w:val="21"/>
                <w:szCs w:val="21"/>
              </w:rPr>
              <w:t>4</w:t>
            </w:r>
          </w:p>
        </w:tc>
        <w:tc>
          <w:tcPr>
            <w:tcW w:w="709" w:type="dxa"/>
            <w:vAlign w:val="center"/>
          </w:tcPr>
          <w:p>
            <w:pPr>
              <w:tabs>
                <w:tab w:val="left" w:pos="720"/>
              </w:tabs>
              <w:spacing w:line="240" w:lineRule="auto"/>
              <w:ind w:firstLine="0" w:firstLineChars="0"/>
              <w:jc w:val="center"/>
              <w:rPr>
                <w:sz w:val="21"/>
                <w:szCs w:val="21"/>
              </w:rPr>
            </w:pPr>
            <w:r>
              <w:rPr>
                <w:sz w:val="21"/>
                <w:szCs w:val="21"/>
              </w:rPr>
              <w:t>污水提升泵站</w:t>
            </w:r>
          </w:p>
        </w:tc>
        <w:tc>
          <w:tcPr>
            <w:tcW w:w="4429" w:type="dxa"/>
            <w:vAlign w:val="center"/>
          </w:tcPr>
          <w:p>
            <w:pPr>
              <w:tabs>
                <w:tab w:val="left" w:pos="720"/>
              </w:tabs>
              <w:spacing w:line="240" w:lineRule="auto"/>
              <w:ind w:firstLine="0" w:firstLineChars="0"/>
              <w:jc w:val="center"/>
              <w:rPr>
                <w:sz w:val="21"/>
                <w:szCs w:val="21"/>
              </w:rPr>
            </w:pPr>
            <w:r>
              <w:rPr>
                <w:sz w:val="21"/>
                <w:szCs w:val="21"/>
              </w:rPr>
              <w:t>数量：1座</w:t>
            </w:r>
          </w:p>
          <w:p>
            <w:pPr>
              <w:tabs>
                <w:tab w:val="left" w:pos="720"/>
              </w:tabs>
              <w:spacing w:line="240" w:lineRule="auto"/>
              <w:ind w:firstLine="0" w:firstLineChars="0"/>
              <w:jc w:val="center"/>
              <w:rPr>
                <w:sz w:val="21"/>
                <w:szCs w:val="21"/>
              </w:rPr>
            </w:pPr>
            <w:r>
              <w:rPr>
                <w:sz w:val="21"/>
                <w:szCs w:val="21"/>
              </w:rPr>
              <w:t>设计规模：土建按30000m</w:t>
            </w:r>
            <w:r>
              <w:rPr>
                <w:sz w:val="21"/>
                <w:szCs w:val="21"/>
                <w:vertAlign w:val="superscript"/>
              </w:rPr>
              <w:t>3</w:t>
            </w:r>
            <w:r>
              <w:rPr>
                <w:sz w:val="21"/>
                <w:szCs w:val="21"/>
              </w:rPr>
              <w:t>/d施工，</w:t>
            </w:r>
          </w:p>
          <w:p>
            <w:pPr>
              <w:tabs>
                <w:tab w:val="left" w:pos="720"/>
              </w:tabs>
              <w:spacing w:line="240" w:lineRule="auto"/>
              <w:ind w:firstLine="0" w:firstLineChars="0"/>
              <w:jc w:val="center"/>
              <w:rPr>
                <w:sz w:val="21"/>
                <w:szCs w:val="21"/>
              </w:rPr>
            </w:pPr>
            <w:r>
              <w:rPr>
                <w:sz w:val="21"/>
                <w:szCs w:val="21"/>
              </w:rPr>
              <w:t>设备：Q=1000m</w:t>
            </w:r>
            <w:r>
              <w:rPr>
                <w:sz w:val="21"/>
                <w:szCs w:val="21"/>
                <w:vertAlign w:val="superscript"/>
              </w:rPr>
              <w:t>3</w:t>
            </w:r>
            <w:r>
              <w:rPr>
                <w:sz w:val="21"/>
                <w:szCs w:val="21"/>
              </w:rPr>
              <w:t>/h，H=13m，N=55kW</w:t>
            </w:r>
          </w:p>
          <w:p>
            <w:pPr>
              <w:tabs>
                <w:tab w:val="left" w:pos="720"/>
              </w:tabs>
              <w:spacing w:line="240" w:lineRule="auto"/>
              <w:ind w:firstLine="0" w:firstLineChars="0"/>
              <w:jc w:val="center"/>
              <w:rPr>
                <w:sz w:val="21"/>
                <w:szCs w:val="21"/>
              </w:rPr>
            </w:pPr>
          </w:p>
        </w:tc>
        <w:tc>
          <w:tcPr>
            <w:tcW w:w="2919" w:type="dxa"/>
            <w:vAlign w:val="center"/>
          </w:tcPr>
          <w:p>
            <w:pPr>
              <w:tabs>
                <w:tab w:val="left" w:pos="720"/>
              </w:tabs>
              <w:spacing w:line="240" w:lineRule="auto"/>
              <w:ind w:firstLine="0" w:firstLineChars="0"/>
              <w:jc w:val="center"/>
              <w:rPr>
                <w:sz w:val="21"/>
                <w:szCs w:val="21"/>
              </w:rPr>
            </w:pPr>
            <w:r>
              <w:rPr>
                <w:sz w:val="21"/>
                <w:szCs w:val="21"/>
              </w:rPr>
              <w:t>数量：2台，1台大泵1台小泵</w:t>
            </w:r>
          </w:p>
          <w:p>
            <w:pPr>
              <w:tabs>
                <w:tab w:val="left" w:pos="720"/>
              </w:tabs>
              <w:spacing w:line="240" w:lineRule="auto"/>
              <w:ind w:firstLine="0" w:firstLineChars="0"/>
              <w:jc w:val="center"/>
              <w:rPr>
                <w:sz w:val="21"/>
                <w:szCs w:val="21"/>
              </w:rPr>
            </w:pPr>
            <w:r>
              <w:rPr>
                <w:sz w:val="21"/>
                <w:szCs w:val="21"/>
              </w:rPr>
              <w:t>大泵的主要性能参数为：Q=1600m</w:t>
            </w:r>
            <w:r>
              <w:rPr>
                <w:sz w:val="21"/>
                <w:szCs w:val="21"/>
                <w:vertAlign w:val="superscript"/>
              </w:rPr>
              <w:t>3</w:t>
            </w:r>
            <w:r>
              <w:rPr>
                <w:sz w:val="21"/>
                <w:szCs w:val="21"/>
              </w:rPr>
              <w:t>/h，H=16m，N=110kW；</w:t>
            </w:r>
          </w:p>
          <w:p>
            <w:pPr>
              <w:tabs>
                <w:tab w:val="left" w:pos="720"/>
              </w:tabs>
              <w:spacing w:line="240" w:lineRule="auto"/>
              <w:ind w:firstLine="0" w:firstLineChars="0"/>
              <w:jc w:val="center"/>
              <w:rPr>
                <w:sz w:val="21"/>
                <w:szCs w:val="21"/>
              </w:rPr>
            </w:pPr>
            <w:r>
              <w:rPr>
                <w:sz w:val="21"/>
                <w:szCs w:val="21"/>
              </w:rPr>
              <w:t>小泵的主要性能参数为：Q=800m</w:t>
            </w:r>
            <w:r>
              <w:rPr>
                <w:sz w:val="21"/>
                <w:szCs w:val="21"/>
                <w:vertAlign w:val="superscript"/>
              </w:rPr>
              <w:t>3</w:t>
            </w:r>
            <w:r>
              <w:rPr>
                <w:sz w:val="21"/>
                <w:szCs w:val="21"/>
              </w:rPr>
              <w:t>/h，H=16m，N=55kW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240" w:lineRule="auto"/>
              <w:ind w:firstLine="0" w:firstLineChars="0"/>
              <w:jc w:val="center"/>
              <w:rPr>
                <w:sz w:val="21"/>
                <w:szCs w:val="21"/>
              </w:rPr>
            </w:pPr>
            <w:r>
              <w:rPr>
                <w:sz w:val="21"/>
                <w:szCs w:val="21"/>
              </w:rPr>
              <w:t>5</w:t>
            </w:r>
          </w:p>
        </w:tc>
        <w:tc>
          <w:tcPr>
            <w:tcW w:w="709" w:type="dxa"/>
            <w:vAlign w:val="center"/>
          </w:tcPr>
          <w:p>
            <w:pPr>
              <w:tabs>
                <w:tab w:val="left" w:pos="720"/>
              </w:tabs>
              <w:spacing w:line="240" w:lineRule="auto"/>
              <w:ind w:firstLine="0" w:firstLineChars="0"/>
              <w:jc w:val="center"/>
              <w:rPr>
                <w:sz w:val="21"/>
                <w:szCs w:val="21"/>
              </w:rPr>
            </w:pPr>
            <w:r>
              <w:rPr>
                <w:sz w:val="21"/>
                <w:szCs w:val="21"/>
              </w:rPr>
              <w:t>改良型氧化沟</w:t>
            </w:r>
          </w:p>
        </w:tc>
        <w:tc>
          <w:tcPr>
            <w:tcW w:w="4429" w:type="dxa"/>
            <w:vAlign w:val="center"/>
          </w:tcPr>
          <w:p>
            <w:pPr>
              <w:tabs>
                <w:tab w:val="left" w:pos="720"/>
              </w:tabs>
              <w:spacing w:line="240" w:lineRule="auto"/>
              <w:ind w:firstLine="0" w:firstLineChars="0"/>
              <w:jc w:val="center"/>
              <w:rPr>
                <w:sz w:val="21"/>
                <w:szCs w:val="21"/>
              </w:rPr>
            </w:pPr>
            <w:r>
              <w:rPr>
                <w:sz w:val="21"/>
                <w:szCs w:val="21"/>
              </w:rPr>
              <w:t>近期处理规模3.0万m</w:t>
            </w:r>
            <w:r>
              <w:rPr>
                <w:sz w:val="21"/>
                <w:szCs w:val="21"/>
                <w:vertAlign w:val="superscript"/>
              </w:rPr>
              <w:t>3</w:t>
            </w:r>
            <w:r>
              <w:rPr>
                <w:sz w:val="21"/>
                <w:szCs w:val="21"/>
              </w:rPr>
              <w:t>/d，设置改良型氧化沟2座，单座处理规模1.5万m</w:t>
            </w:r>
            <w:r>
              <w:rPr>
                <w:sz w:val="21"/>
                <w:szCs w:val="21"/>
                <w:vertAlign w:val="superscript"/>
              </w:rPr>
              <w:t>3</w:t>
            </w:r>
            <w:r>
              <w:rPr>
                <w:sz w:val="21"/>
                <w:szCs w:val="21"/>
              </w:rPr>
              <w:t>/d。</w:t>
            </w:r>
          </w:p>
          <w:p>
            <w:pPr>
              <w:tabs>
                <w:tab w:val="left" w:pos="720"/>
              </w:tabs>
              <w:spacing w:line="240" w:lineRule="auto"/>
              <w:ind w:firstLine="0" w:firstLineChars="0"/>
              <w:jc w:val="center"/>
              <w:rPr>
                <w:sz w:val="21"/>
                <w:szCs w:val="21"/>
              </w:rPr>
            </w:pPr>
            <w:r>
              <w:rPr>
                <w:sz w:val="21"/>
                <w:szCs w:val="21"/>
              </w:rPr>
              <w:t>主要设计参数如下：</w:t>
            </w:r>
          </w:p>
          <w:p>
            <w:pPr>
              <w:tabs>
                <w:tab w:val="left" w:pos="720"/>
              </w:tabs>
              <w:spacing w:line="240" w:lineRule="auto"/>
              <w:ind w:firstLine="0" w:firstLineChars="0"/>
              <w:jc w:val="center"/>
              <w:rPr>
                <w:sz w:val="21"/>
                <w:szCs w:val="21"/>
              </w:rPr>
            </w:pPr>
            <w:r>
              <w:rPr>
                <w:sz w:val="21"/>
                <w:szCs w:val="21"/>
              </w:rPr>
              <w:t>设计流量：3.0万m</w:t>
            </w:r>
            <w:r>
              <w:rPr>
                <w:sz w:val="21"/>
                <w:szCs w:val="21"/>
                <w:vertAlign w:val="superscript"/>
              </w:rPr>
              <w:t>3</w:t>
            </w:r>
            <w:r>
              <w:rPr>
                <w:sz w:val="21"/>
                <w:szCs w:val="21"/>
              </w:rPr>
              <w:t>/d</w:t>
            </w:r>
          </w:p>
          <w:p>
            <w:pPr>
              <w:tabs>
                <w:tab w:val="left" w:pos="720"/>
              </w:tabs>
              <w:spacing w:line="240" w:lineRule="auto"/>
              <w:ind w:firstLine="0" w:firstLineChars="0"/>
              <w:jc w:val="center"/>
              <w:rPr>
                <w:sz w:val="21"/>
                <w:szCs w:val="21"/>
              </w:rPr>
            </w:pPr>
            <w:r>
              <w:rPr>
                <w:sz w:val="21"/>
                <w:szCs w:val="21"/>
              </w:rPr>
              <w:t>氧化沟数量：2座</w:t>
            </w:r>
          </w:p>
          <w:p>
            <w:pPr>
              <w:tabs>
                <w:tab w:val="left" w:pos="720"/>
              </w:tabs>
              <w:spacing w:line="240" w:lineRule="auto"/>
              <w:ind w:firstLine="0" w:firstLineChars="0"/>
              <w:jc w:val="center"/>
              <w:rPr>
                <w:sz w:val="21"/>
                <w:szCs w:val="21"/>
              </w:rPr>
            </w:pPr>
            <w:r>
              <w:rPr>
                <w:sz w:val="21"/>
                <w:szCs w:val="21"/>
              </w:rPr>
              <w:t>单池设计流量：1.5万m</w:t>
            </w:r>
            <w:r>
              <w:rPr>
                <w:sz w:val="21"/>
                <w:szCs w:val="21"/>
                <w:vertAlign w:val="superscript"/>
              </w:rPr>
              <w:t>3</w:t>
            </w:r>
            <w:r>
              <w:rPr>
                <w:sz w:val="21"/>
                <w:szCs w:val="21"/>
              </w:rPr>
              <w:t>/d</w:t>
            </w:r>
          </w:p>
          <w:p>
            <w:pPr>
              <w:tabs>
                <w:tab w:val="left" w:pos="720"/>
              </w:tabs>
              <w:spacing w:line="240" w:lineRule="auto"/>
              <w:ind w:firstLine="0" w:firstLineChars="0"/>
              <w:jc w:val="center"/>
              <w:rPr>
                <w:sz w:val="21"/>
                <w:szCs w:val="21"/>
              </w:rPr>
            </w:pPr>
            <w:r>
              <w:rPr>
                <w:sz w:val="21"/>
                <w:szCs w:val="21"/>
              </w:rPr>
              <w:t>单池有效容积：7603m</w:t>
            </w:r>
            <w:r>
              <w:rPr>
                <w:sz w:val="21"/>
                <w:szCs w:val="21"/>
                <w:vertAlign w:val="superscript"/>
              </w:rPr>
              <w:t>3</w:t>
            </w:r>
          </w:p>
          <w:p>
            <w:pPr>
              <w:tabs>
                <w:tab w:val="left" w:pos="720"/>
              </w:tabs>
              <w:spacing w:line="240" w:lineRule="auto"/>
              <w:ind w:firstLine="0" w:firstLineChars="0"/>
              <w:jc w:val="center"/>
              <w:rPr>
                <w:sz w:val="21"/>
                <w:szCs w:val="21"/>
              </w:rPr>
            </w:pPr>
            <w:r>
              <w:rPr>
                <w:sz w:val="21"/>
                <w:szCs w:val="21"/>
              </w:rPr>
              <w:t>污泥龄：15.45d</w:t>
            </w:r>
          </w:p>
          <w:p>
            <w:pPr>
              <w:tabs>
                <w:tab w:val="left" w:pos="720"/>
              </w:tabs>
              <w:spacing w:line="240" w:lineRule="auto"/>
              <w:ind w:firstLine="0" w:firstLineChars="0"/>
              <w:jc w:val="center"/>
              <w:rPr>
                <w:sz w:val="21"/>
                <w:szCs w:val="21"/>
              </w:rPr>
            </w:pPr>
            <w:r>
              <w:rPr>
                <w:sz w:val="21"/>
                <w:szCs w:val="21"/>
              </w:rPr>
              <w:t>悬浮固体浓度：MLSS＝3500mg/l</w:t>
            </w:r>
          </w:p>
          <w:p>
            <w:pPr>
              <w:tabs>
                <w:tab w:val="left" w:pos="720"/>
              </w:tabs>
              <w:spacing w:line="240" w:lineRule="auto"/>
              <w:ind w:firstLine="0" w:firstLineChars="0"/>
              <w:jc w:val="center"/>
              <w:rPr>
                <w:sz w:val="21"/>
                <w:szCs w:val="21"/>
              </w:rPr>
            </w:pPr>
            <w:r>
              <w:rPr>
                <w:sz w:val="21"/>
                <w:szCs w:val="21"/>
              </w:rPr>
              <w:t>污泥回流比：50~100%</w:t>
            </w:r>
          </w:p>
          <w:p>
            <w:pPr>
              <w:tabs>
                <w:tab w:val="left" w:pos="720"/>
              </w:tabs>
              <w:spacing w:line="240" w:lineRule="auto"/>
              <w:ind w:firstLine="0" w:firstLineChars="0"/>
              <w:jc w:val="center"/>
              <w:rPr>
                <w:sz w:val="21"/>
                <w:szCs w:val="21"/>
              </w:rPr>
            </w:pPr>
            <w:r>
              <w:rPr>
                <w:sz w:val="21"/>
                <w:szCs w:val="21"/>
              </w:rPr>
              <w:t>水力停留时间：12.16h</w:t>
            </w:r>
          </w:p>
          <w:p>
            <w:pPr>
              <w:tabs>
                <w:tab w:val="left" w:pos="720"/>
              </w:tabs>
              <w:spacing w:line="240" w:lineRule="auto"/>
              <w:ind w:firstLine="0" w:firstLineChars="0"/>
              <w:jc w:val="center"/>
              <w:rPr>
                <w:sz w:val="21"/>
                <w:szCs w:val="21"/>
              </w:rPr>
            </w:pPr>
            <w:r>
              <w:rPr>
                <w:sz w:val="21"/>
                <w:szCs w:val="21"/>
              </w:rPr>
              <w:t>污泥负荷：0.079kgBOD5/（kgMLSS·d）</w:t>
            </w:r>
          </w:p>
        </w:tc>
        <w:tc>
          <w:tcPr>
            <w:tcW w:w="2919" w:type="dxa"/>
            <w:vAlign w:val="center"/>
          </w:tcPr>
          <w:p>
            <w:pPr>
              <w:tabs>
                <w:tab w:val="left" w:pos="720"/>
              </w:tabs>
              <w:spacing w:line="240" w:lineRule="auto"/>
              <w:ind w:firstLine="0" w:firstLineChars="0"/>
              <w:jc w:val="center"/>
              <w:rPr>
                <w:sz w:val="21"/>
                <w:szCs w:val="21"/>
              </w:rPr>
            </w:pPr>
            <w:r>
              <w:rPr>
                <w:sz w:val="21"/>
                <w:szCs w:val="21"/>
              </w:rPr>
              <w:t>倒伞表曝机</w:t>
            </w:r>
          </w:p>
          <w:p>
            <w:pPr>
              <w:tabs>
                <w:tab w:val="left" w:pos="720"/>
              </w:tabs>
              <w:spacing w:line="240" w:lineRule="auto"/>
              <w:ind w:firstLine="0" w:firstLineChars="0"/>
              <w:jc w:val="center"/>
              <w:rPr>
                <w:sz w:val="21"/>
                <w:szCs w:val="21"/>
              </w:rPr>
            </w:pPr>
            <w:r>
              <w:rPr>
                <w:sz w:val="21"/>
                <w:szCs w:val="21"/>
              </w:rPr>
              <w:t>数量：6台</w:t>
            </w:r>
          </w:p>
          <w:p>
            <w:pPr>
              <w:tabs>
                <w:tab w:val="left" w:pos="720"/>
              </w:tabs>
              <w:spacing w:line="240" w:lineRule="auto"/>
              <w:ind w:firstLine="0" w:firstLineChars="0"/>
              <w:jc w:val="center"/>
              <w:rPr>
                <w:sz w:val="21"/>
                <w:szCs w:val="21"/>
              </w:rPr>
            </w:pPr>
            <w:r>
              <w:rPr>
                <w:sz w:val="21"/>
                <w:szCs w:val="21"/>
              </w:rPr>
              <w:t>功率：N=55kW/台</w:t>
            </w:r>
          </w:p>
          <w:p>
            <w:pPr>
              <w:tabs>
                <w:tab w:val="left" w:pos="720"/>
              </w:tabs>
              <w:spacing w:line="240" w:lineRule="auto"/>
              <w:ind w:firstLine="0" w:firstLineChars="0"/>
              <w:jc w:val="center"/>
              <w:rPr>
                <w:sz w:val="21"/>
                <w:szCs w:val="21"/>
              </w:rPr>
            </w:pPr>
            <w:r>
              <w:rPr>
                <w:sz w:val="21"/>
                <w:szCs w:val="21"/>
              </w:rPr>
              <w:t>推流器：QDT040×1800，P=4.0kw，单组6台</w:t>
            </w:r>
          </w:p>
          <w:p>
            <w:pPr>
              <w:tabs>
                <w:tab w:val="left" w:pos="720"/>
              </w:tabs>
              <w:spacing w:line="240" w:lineRule="auto"/>
              <w:ind w:firstLine="0" w:firstLineChars="0"/>
              <w:jc w:val="center"/>
              <w:rPr>
                <w:sz w:val="21"/>
                <w:szCs w:val="21"/>
              </w:rPr>
            </w:pPr>
            <w:r>
              <w:rPr>
                <w:sz w:val="21"/>
                <w:szCs w:val="21"/>
              </w:rPr>
              <w:t>搅拌器：GQT022×Φ325，P=2.2kw，单组3台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240" w:lineRule="auto"/>
              <w:ind w:firstLine="0" w:firstLineChars="0"/>
              <w:jc w:val="center"/>
              <w:rPr>
                <w:sz w:val="21"/>
                <w:szCs w:val="21"/>
              </w:rPr>
            </w:pPr>
            <w:r>
              <w:rPr>
                <w:sz w:val="21"/>
                <w:szCs w:val="21"/>
              </w:rPr>
              <w:t>6</w:t>
            </w:r>
          </w:p>
        </w:tc>
        <w:tc>
          <w:tcPr>
            <w:tcW w:w="709" w:type="dxa"/>
            <w:vAlign w:val="center"/>
          </w:tcPr>
          <w:p>
            <w:pPr>
              <w:tabs>
                <w:tab w:val="left" w:pos="720"/>
              </w:tabs>
              <w:spacing w:line="240" w:lineRule="auto"/>
              <w:ind w:firstLine="0" w:firstLineChars="0"/>
              <w:jc w:val="center"/>
              <w:rPr>
                <w:sz w:val="21"/>
                <w:szCs w:val="21"/>
              </w:rPr>
            </w:pPr>
            <w:r>
              <w:rPr>
                <w:sz w:val="21"/>
                <w:szCs w:val="21"/>
              </w:rPr>
              <w:t>二沉池</w:t>
            </w:r>
          </w:p>
        </w:tc>
        <w:tc>
          <w:tcPr>
            <w:tcW w:w="4429" w:type="dxa"/>
            <w:vAlign w:val="center"/>
          </w:tcPr>
          <w:p>
            <w:pPr>
              <w:tabs>
                <w:tab w:val="left" w:pos="720"/>
              </w:tabs>
              <w:spacing w:line="240" w:lineRule="auto"/>
              <w:ind w:firstLine="0" w:firstLineChars="0"/>
              <w:jc w:val="center"/>
              <w:rPr>
                <w:sz w:val="21"/>
                <w:szCs w:val="21"/>
              </w:rPr>
            </w:pPr>
            <w:r>
              <w:rPr>
                <w:sz w:val="21"/>
                <w:szCs w:val="21"/>
              </w:rPr>
              <w:t>二沉池处理规模3.0万m</w:t>
            </w:r>
            <w:r>
              <w:rPr>
                <w:sz w:val="21"/>
                <w:szCs w:val="21"/>
                <w:vertAlign w:val="superscript"/>
              </w:rPr>
              <w:t>3</w:t>
            </w:r>
            <w:r>
              <w:rPr>
                <w:sz w:val="21"/>
                <w:szCs w:val="21"/>
              </w:rPr>
              <w:t>/d，设置二沉池2座，单座处理规模1.5万m</w:t>
            </w:r>
            <w:r>
              <w:rPr>
                <w:sz w:val="21"/>
                <w:szCs w:val="21"/>
                <w:vertAlign w:val="superscript"/>
              </w:rPr>
              <w:t>3</w:t>
            </w:r>
            <w:r>
              <w:rPr>
                <w:sz w:val="21"/>
                <w:szCs w:val="21"/>
              </w:rPr>
              <w:t>/d。采用周边进水、周边出水沉淀池，出水采用双面三角形2齿形堰的矩形集水槽，用中心传动单管吸泥机排泥。主要设计参数如下：</w:t>
            </w:r>
          </w:p>
          <w:p>
            <w:pPr>
              <w:tabs>
                <w:tab w:val="left" w:pos="720"/>
              </w:tabs>
              <w:spacing w:line="240" w:lineRule="auto"/>
              <w:ind w:firstLine="0" w:firstLineChars="0"/>
              <w:jc w:val="center"/>
              <w:rPr>
                <w:sz w:val="21"/>
                <w:szCs w:val="21"/>
              </w:rPr>
            </w:pPr>
            <w:r>
              <w:rPr>
                <w:sz w:val="21"/>
                <w:szCs w:val="21"/>
              </w:rPr>
              <w:t>池数：2座</w:t>
            </w:r>
          </w:p>
          <w:p>
            <w:pPr>
              <w:tabs>
                <w:tab w:val="left" w:pos="720"/>
              </w:tabs>
              <w:spacing w:line="240" w:lineRule="auto"/>
              <w:ind w:firstLine="0" w:firstLineChars="0"/>
              <w:jc w:val="center"/>
              <w:rPr>
                <w:sz w:val="21"/>
                <w:szCs w:val="21"/>
              </w:rPr>
            </w:pPr>
            <w:r>
              <w:rPr>
                <w:sz w:val="21"/>
                <w:szCs w:val="21"/>
              </w:rPr>
              <w:t>单池设计流量：1.5万m</w:t>
            </w:r>
            <w:r>
              <w:rPr>
                <w:sz w:val="21"/>
                <w:szCs w:val="21"/>
                <w:vertAlign w:val="superscript"/>
              </w:rPr>
              <w:t>3</w:t>
            </w:r>
            <w:r>
              <w:rPr>
                <w:sz w:val="21"/>
                <w:szCs w:val="21"/>
              </w:rPr>
              <w:t>/d</w:t>
            </w:r>
          </w:p>
          <w:p>
            <w:pPr>
              <w:tabs>
                <w:tab w:val="left" w:pos="720"/>
              </w:tabs>
              <w:spacing w:line="240" w:lineRule="auto"/>
              <w:ind w:firstLine="0" w:firstLineChars="0"/>
              <w:jc w:val="center"/>
              <w:rPr>
                <w:sz w:val="21"/>
                <w:szCs w:val="21"/>
              </w:rPr>
            </w:pPr>
            <w:r>
              <w:rPr>
                <w:sz w:val="21"/>
                <w:szCs w:val="21"/>
              </w:rPr>
              <w:t>表面负荷：0.78m</w:t>
            </w:r>
            <w:r>
              <w:rPr>
                <w:sz w:val="21"/>
                <w:szCs w:val="21"/>
                <w:vertAlign w:val="superscript"/>
              </w:rPr>
              <w:t>3</w:t>
            </w:r>
            <w:r>
              <w:rPr>
                <w:sz w:val="21"/>
                <w:szCs w:val="21"/>
              </w:rPr>
              <w:t>/（m</w:t>
            </w:r>
            <w:r>
              <w:rPr>
                <w:sz w:val="21"/>
                <w:szCs w:val="21"/>
                <w:vertAlign w:val="superscript"/>
              </w:rPr>
              <w:t>2</w:t>
            </w:r>
            <w:r>
              <w:rPr>
                <w:sz w:val="21"/>
                <w:szCs w:val="21"/>
              </w:rPr>
              <w:t>·h）</w:t>
            </w:r>
          </w:p>
          <w:p>
            <w:pPr>
              <w:tabs>
                <w:tab w:val="left" w:pos="720"/>
              </w:tabs>
              <w:spacing w:line="240" w:lineRule="auto"/>
              <w:ind w:firstLine="0" w:firstLineChars="0"/>
              <w:jc w:val="center"/>
              <w:rPr>
                <w:sz w:val="21"/>
                <w:szCs w:val="21"/>
              </w:rPr>
            </w:pPr>
            <w:r>
              <w:rPr>
                <w:sz w:val="21"/>
                <w:szCs w:val="21"/>
              </w:rPr>
              <w:t>直径：32m</w:t>
            </w:r>
          </w:p>
          <w:p>
            <w:pPr>
              <w:tabs>
                <w:tab w:val="left" w:pos="720"/>
              </w:tabs>
              <w:spacing w:line="240" w:lineRule="auto"/>
              <w:ind w:firstLine="0" w:firstLineChars="0"/>
              <w:jc w:val="center"/>
              <w:rPr>
                <w:sz w:val="21"/>
                <w:szCs w:val="21"/>
              </w:rPr>
            </w:pPr>
            <w:r>
              <w:rPr>
                <w:sz w:val="21"/>
                <w:szCs w:val="21"/>
              </w:rPr>
              <w:t>池总深：5.0m</w:t>
            </w:r>
          </w:p>
          <w:p>
            <w:pPr>
              <w:tabs>
                <w:tab w:val="left" w:pos="720"/>
              </w:tabs>
              <w:spacing w:line="240" w:lineRule="auto"/>
              <w:ind w:firstLine="0" w:firstLineChars="0"/>
              <w:jc w:val="center"/>
              <w:rPr>
                <w:sz w:val="21"/>
                <w:szCs w:val="21"/>
              </w:rPr>
            </w:pPr>
            <w:r>
              <w:rPr>
                <w:sz w:val="21"/>
                <w:szCs w:val="21"/>
              </w:rPr>
              <w:t>池水深：4.5m</w:t>
            </w:r>
          </w:p>
          <w:p>
            <w:pPr>
              <w:tabs>
                <w:tab w:val="left" w:pos="720"/>
              </w:tabs>
              <w:spacing w:line="240" w:lineRule="auto"/>
              <w:ind w:firstLine="0" w:firstLineChars="0"/>
              <w:jc w:val="center"/>
              <w:rPr>
                <w:sz w:val="21"/>
                <w:szCs w:val="21"/>
              </w:rPr>
            </w:pPr>
            <w:r>
              <w:rPr>
                <w:sz w:val="21"/>
                <w:szCs w:val="21"/>
              </w:rPr>
              <w:t>水力停留时间：3.34h</w:t>
            </w:r>
          </w:p>
          <w:p>
            <w:pPr>
              <w:tabs>
                <w:tab w:val="left" w:pos="720"/>
              </w:tabs>
              <w:spacing w:line="240" w:lineRule="auto"/>
              <w:ind w:firstLine="0" w:firstLineChars="0"/>
              <w:jc w:val="center"/>
              <w:rPr>
                <w:sz w:val="21"/>
                <w:szCs w:val="21"/>
              </w:rPr>
            </w:pPr>
            <w:r>
              <w:rPr>
                <w:sz w:val="21"/>
                <w:szCs w:val="21"/>
              </w:rPr>
              <w:t>固体负荷：130.60kg（m</w:t>
            </w:r>
            <w:r>
              <w:rPr>
                <w:sz w:val="21"/>
                <w:szCs w:val="21"/>
                <w:vertAlign w:val="superscript"/>
              </w:rPr>
              <w:t>2</w:t>
            </w:r>
            <w:r>
              <w:rPr>
                <w:sz w:val="21"/>
                <w:szCs w:val="21"/>
              </w:rPr>
              <w:t>·d）</w:t>
            </w:r>
          </w:p>
        </w:tc>
        <w:tc>
          <w:tcPr>
            <w:tcW w:w="2919" w:type="dxa"/>
            <w:vAlign w:val="center"/>
          </w:tcPr>
          <w:p>
            <w:pPr>
              <w:tabs>
                <w:tab w:val="left" w:pos="720"/>
              </w:tabs>
              <w:spacing w:line="240" w:lineRule="auto"/>
              <w:ind w:firstLine="0" w:firstLineChars="0"/>
              <w:jc w:val="center"/>
              <w:rPr>
                <w:sz w:val="21"/>
                <w:szCs w:val="21"/>
              </w:rPr>
            </w:pPr>
            <w:r>
              <w:rPr>
                <w:sz w:val="21"/>
                <w:szCs w:val="21"/>
              </w:rPr>
              <w:t>ZXJ-32型单管中心传动吸刮泥机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240" w:lineRule="auto"/>
              <w:ind w:firstLine="0" w:firstLineChars="0"/>
              <w:jc w:val="center"/>
              <w:rPr>
                <w:sz w:val="21"/>
                <w:szCs w:val="21"/>
              </w:rPr>
            </w:pPr>
            <w:r>
              <w:rPr>
                <w:sz w:val="21"/>
                <w:szCs w:val="21"/>
              </w:rPr>
              <w:t>7</w:t>
            </w:r>
          </w:p>
        </w:tc>
        <w:tc>
          <w:tcPr>
            <w:tcW w:w="709" w:type="dxa"/>
            <w:vAlign w:val="center"/>
          </w:tcPr>
          <w:p>
            <w:pPr>
              <w:tabs>
                <w:tab w:val="left" w:pos="720"/>
              </w:tabs>
              <w:spacing w:line="240" w:lineRule="auto"/>
              <w:ind w:firstLine="0" w:firstLineChars="0"/>
              <w:jc w:val="center"/>
              <w:rPr>
                <w:sz w:val="21"/>
                <w:szCs w:val="21"/>
              </w:rPr>
            </w:pPr>
            <w:r>
              <w:rPr>
                <w:sz w:val="21"/>
                <w:szCs w:val="21"/>
              </w:rPr>
              <w:t>高效沉淀池</w:t>
            </w:r>
          </w:p>
        </w:tc>
        <w:tc>
          <w:tcPr>
            <w:tcW w:w="4429" w:type="dxa"/>
            <w:vAlign w:val="center"/>
          </w:tcPr>
          <w:p>
            <w:pPr>
              <w:pStyle w:val="4"/>
              <w:spacing w:line="240" w:lineRule="auto"/>
              <w:jc w:val="center"/>
              <w:rPr>
                <w:b w:val="0"/>
                <w:bCs w:val="0"/>
                <w:sz w:val="21"/>
                <w:szCs w:val="21"/>
              </w:rPr>
            </w:pPr>
            <w:r>
              <w:rPr>
                <w:b w:val="0"/>
                <w:bCs w:val="0"/>
                <w:sz w:val="21"/>
                <w:szCs w:val="21"/>
              </w:rPr>
              <w:t>/</w:t>
            </w:r>
          </w:p>
        </w:tc>
        <w:tc>
          <w:tcPr>
            <w:tcW w:w="2919" w:type="dxa"/>
            <w:vAlign w:val="center"/>
          </w:tcPr>
          <w:p>
            <w:pPr>
              <w:tabs>
                <w:tab w:val="left" w:pos="720"/>
              </w:tabs>
              <w:spacing w:line="240" w:lineRule="auto"/>
              <w:ind w:firstLine="0" w:firstLineChars="0"/>
              <w:jc w:val="center"/>
              <w:rPr>
                <w:sz w:val="21"/>
                <w:szCs w:val="21"/>
              </w:rPr>
            </w:pPr>
            <w:r>
              <w:rPr>
                <w:sz w:val="21"/>
                <w:szCs w:val="21"/>
              </w:rPr>
              <w:t>混合反应池搅拌机</w:t>
            </w:r>
          </w:p>
          <w:p>
            <w:pPr>
              <w:tabs>
                <w:tab w:val="left" w:pos="720"/>
              </w:tabs>
              <w:spacing w:line="240" w:lineRule="auto"/>
              <w:ind w:firstLine="0" w:firstLineChars="0"/>
              <w:jc w:val="center"/>
              <w:rPr>
                <w:sz w:val="21"/>
                <w:szCs w:val="21"/>
              </w:rPr>
            </w:pPr>
            <w:r>
              <w:rPr>
                <w:sz w:val="21"/>
                <w:szCs w:val="21"/>
              </w:rPr>
              <w:t>数量：2台</w:t>
            </w:r>
          </w:p>
          <w:p>
            <w:pPr>
              <w:tabs>
                <w:tab w:val="left" w:pos="720"/>
              </w:tabs>
              <w:spacing w:line="240" w:lineRule="auto"/>
              <w:ind w:firstLine="0" w:firstLineChars="0"/>
              <w:jc w:val="center"/>
              <w:rPr>
                <w:sz w:val="21"/>
                <w:szCs w:val="21"/>
              </w:rPr>
            </w:pPr>
            <w:r>
              <w:rPr>
                <w:sz w:val="21"/>
                <w:szCs w:val="21"/>
              </w:rPr>
              <w:t>功率：N=2.2kW/台</w:t>
            </w:r>
          </w:p>
          <w:p>
            <w:pPr>
              <w:tabs>
                <w:tab w:val="left" w:pos="720"/>
              </w:tabs>
              <w:spacing w:line="240" w:lineRule="auto"/>
              <w:ind w:firstLine="0" w:firstLineChars="0"/>
              <w:jc w:val="center"/>
              <w:rPr>
                <w:sz w:val="21"/>
                <w:szCs w:val="21"/>
              </w:rPr>
            </w:pPr>
            <w:r>
              <w:rPr>
                <w:sz w:val="21"/>
                <w:szCs w:val="21"/>
              </w:rPr>
              <w:t>絮凝反应池搅拌机</w:t>
            </w:r>
          </w:p>
          <w:p>
            <w:pPr>
              <w:tabs>
                <w:tab w:val="left" w:pos="720"/>
              </w:tabs>
              <w:spacing w:line="240" w:lineRule="auto"/>
              <w:ind w:firstLine="0" w:firstLineChars="0"/>
              <w:jc w:val="center"/>
              <w:rPr>
                <w:sz w:val="21"/>
                <w:szCs w:val="21"/>
              </w:rPr>
            </w:pPr>
            <w:r>
              <w:rPr>
                <w:sz w:val="21"/>
                <w:szCs w:val="21"/>
              </w:rPr>
              <w:t>数量：2台</w:t>
            </w:r>
          </w:p>
          <w:p>
            <w:pPr>
              <w:tabs>
                <w:tab w:val="left" w:pos="720"/>
              </w:tabs>
              <w:spacing w:line="240" w:lineRule="auto"/>
              <w:ind w:firstLine="0" w:firstLineChars="0"/>
              <w:jc w:val="center"/>
              <w:rPr>
                <w:sz w:val="21"/>
                <w:szCs w:val="21"/>
              </w:rPr>
            </w:pPr>
            <w:r>
              <w:rPr>
                <w:sz w:val="21"/>
                <w:szCs w:val="21"/>
              </w:rPr>
              <w:t>功率：N=11kW/台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240" w:lineRule="auto"/>
              <w:ind w:firstLine="0" w:firstLineChars="0"/>
              <w:jc w:val="center"/>
              <w:rPr>
                <w:sz w:val="21"/>
                <w:szCs w:val="21"/>
              </w:rPr>
            </w:pPr>
            <w:r>
              <w:rPr>
                <w:sz w:val="21"/>
                <w:szCs w:val="21"/>
              </w:rPr>
              <w:t>8</w:t>
            </w:r>
          </w:p>
        </w:tc>
        <w:tc>
          <w:tcPr>
            <w:tcW w:w="709" w:type="dxa"/>
            <w:vAlign w:val="center"/>
          </w:tcPr>
          <w:p>
            <w:pPr>
              <w:tabs>
                <w:tab w:val="left" w:pos="720"/>
              </w:tabs>
              <w:spacing w:line="240" w:lineRule="auto"/>
              <w:ind w:firstLine="0" w:firstLineChars="0"/>
              <w:jc w:val="center"/>
              <w:rPr>
                <w:sz w:val="21"/>
                <w:szCs w:val="21"/>
              </w:rPr>
            </w:pPr>
            <w:r>
              <w:rPr>
                <w:sz w:val="21"/>
                <w:szCs w:val="21"/>
              </w:rPr>
              <w:t>活性砂滤池</w:t>
            </w:r>
          </w:p>
        </w:tc>
        <w:tc>
          <w:tcPr>
            <w:tcW w:w="4429" w:type="dxa"/>
            <w:vAlign w:val="center"/>
          </w:tcPr>
          <w:p>
            <w:pPr>
              <w:tabs>
                <w:tab w:val="left" w:pos="720"/>
              </w:tabs>
              <w:spacing w:line="240" w:lineRule="auto"/>
              <w:ind w:firstLine="0" w:firstLineChars="0"/>
              <w:jc w:val="center"/>
              <w:rPr>
                <w:sz w:val="21"/>
                <w:szCs w:val="21"/>
              </w:rPr>
            </w:pPr>
            <w:r>
              <w:rPr>
                <w:sz w:val="21"/>
                <w:szCs w:val="21"/>
              </w:rPr>
              <w:t>砂滤进水管：DN300/250/200，L=9591</w:t>
            </w:r>
          </w:p>
          <w:p>
            <w:pPr>
              <w:tabs>
                <w:tab w:val="left" w:pos="720"/>
              </w:tabs>
              <w:spacing w:line="240" w:lineRule="auto"/>
              <w:ind w:firstLine="0" w:firstLineChars="0"/>
              <w:jc w:val="center"/>
              <w:rPr>
                <w:sz w:val="21"/>
                <w:szCs w:val="21"/>
              </w:rPr>
            </w:pPr>
            <w:r>
              <w:rPr>
                <w:sz w:val="21"/>
                <w:szCs w:val="21"/>
              </w:rPr>
              <w:t>砂滤反冲洗水支管：DN100/150，L=9591</w:t>
            </w:r>
          </w:p>
          <w:p>
            <w:pPr>
              <w:tabs>
                <w:tab w:val="left" w:pos="720"/>
              </w:tabs>
              <w:spacing w:line="240" w:lineRule="auto"/>
              <w:ind w:firstLine="0" w:firstLineChars="0"/>
              <w:jc w:val="center"/>
              <w:rPr>
                <w:sz w:val="21"/>
                <w:szCs w:val="21"/>
              </w:rPr>
            </w:pPr>
            <w:r>
              <w:rPr>
                <w:sz w:val="21"/>
                <w:szCs w:val="21"/>
              </w:rPr>
              <w:t>砂滤反冲洗水总管：DN250，L=18940</w:t>
            </w:r>
          </w:p>
        </w:tc>
        <w:tc>
          <w:tcPr>
            <w:tcW w:w="2919" w:type="dxa"/>
            <w:vAlign w:val="center"/>
          </w:tcPr>
          <w:p>
            <w:pPr>
              <w:tabs>
                <w:tab w:val="left" w:pos="720"/>
              </w:tabs>
              <w:spacing w:line="240" w:lineRule="auto"/>
              <w:ind w:firstLine="0" w:firstLineChars="0"/>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240" w:lineRule="auto"/>
              <w:ind w:firstLine="0" w:firstLineChars="0"/>
              <w:jc w:val="center"/>
              <w:rPr>
                <w:sz w:val="21"/>
                <w:szCs w:val="21"/>
              </w:rPr>
            </w:pPr>
            <w:r>
              <w:rPr>
                <w:sz w:val="21"/>
                <w:szCs w:val="21"/>
              </w:rPr>
              <w:t>9</w:t>
            </w:r>
          </w:p>
        </w:tc>
        <w:tc>
          <w:tcPr>
            <w:tcW w:w="709" w:type="dxa"/>
            <w:vAlign w:val="center"/>
          </w:tcPr>
          <w:p>
            <w:pPr>
              <w:tabs>
                <w:tab w:val="left" w:pos="720"/>
              </w:tabs>
              <w:spacing w:line="240" w:lineRule="auto"/>
              <w:ind w:firstLine="0" w:firstLineChars="0"/>
              <w:jc w:val="center"/>
              <w:rPr>
                <w:sz w:val="21"/>
                <w:szCs w:val="21"/>
              </w:rPr>
            </w:pPr>
            <w:r>
              <w:rPr>
                <w:sz w:val="21"/>
                <w:szCs w:val="21"/>
              </w:rPr>
              <w:t>污泥泵站</w:t>
            </w:r>
          </w:p>
          <w:p>
            <w:pPr>
              <w:tabs>
                <w:tab w:val="left" w:pos="720"/>
              </w:tabs>
              <w:spacing w:line="240" w:lineRule="auto"/>
              <w:ind w:firstLine="0" w:firstLineChars="0"/>
              <w:jc w:val="center"/>
              <w:rPr>
                <w:sz w:val="21"/>
                <w:szCs w:val="21"/>
              </w:rPr>
            </w:pPr>
          </w:p>
        </w:tc>
        <w:tc>
          <w:tcPr>
            <w:tcW w:w="4429" w:type="dxa"/>
            <w:vAlign w:val="center"/>
          </w:tcPr>
          <w:p>
            <w:pPr>
              <w:tabs>
                <w:tab w:val="left" w:pos="720"/>
              </w:tabs>
              <w:spacing w:line="240" w:lineRule="auto"/>
              <w:ind w:firstLine="0" w:firstLineChars="0"/>
              <w:jc w:val="center"/>
              <w:rPr>
                <w:sz w:val="21"/>
                <w:szCs w:val="21"/>
              </w:rPr>
            </w:pPr>
            <w:r>
              <w:rPr>
                <w:sz w:val="21"/>
                <w:szCs w:val="21"/>
              </w:rPr>
              <w:t>污泥泵站包括剩余污泥泵站与回流污泥泵站，共用一个泵井，地下部分为钢筋混凝土结构，地上部分为砖混结构。主要设计参数如下：</w:t>
            </w:r>
          </w:p>
          <w:p>
            <w:pPr>
              <w:tabs>
                <w:tab w:val="left" w:pos="720"/>
              </w:tabs>
              <w:spacing w:line="240" w:lineRule="auto"/>
              <w:ind w:firstLine="0" w:firstLineChars="0"/>
              <w:jc w:val="center"/>
              <w:rPr>
                <w:sz w:val="21"/>
                <w:szCs w:val="21"/>
              </w:rPr>
            </w:pPr>
            <w:r>
              <w:rPr>
                <w:sz w:val="21"/>
                <w:szCs w:val="21"/>
              </w:rPr>
              <w:t>数量：1座</w:t>
            </w:r>
          </w:p>
          <w:p>
            <w:pPr>
              <w:tabs>
                <w:tab w:val="left" w:pos="720"/>
              </w:tabs>
              <w:spacing w:line="240" w:lineRule="auto"/>
              <w:ind w:firstLine="0" w:firstLineChars="0"/>
              <w:jc w:val="center"/>
              <w:rPr>
                <w:sz w:val="21"/>
                <w:szCs w:val="21"/>
              </w:rPr>
            </w:pPr>
            <w:r>
              <w:rPr>
                <w:sz w:val="21"/>
                <w:szCs w:val="21"/>
              </w:rPr>
              <w:t>每座设计参数：</w:t>
            </w:r>
          </w:p>
          <w:p>
            <w:pPr>
              <w:tabs>
                <w:tab w:val="left" w:pos="720"/>
              </w:tabs>
              <w:spacing w:line="240" w:lineRule="auto"/>
              <w:ind w:firstLine="0" w:firstLineChars="0"/>
              <w:jc w:val="center"/>
              <w:rPr>
                <w:sz w:val="21"/>
                <w:szCs w:val="21"/>
              </w:rPr>
            </w:pPr>
            <w:r>
              <w:rPr>
                <w:sz w:val="21"/>
                <w:szCs w:val="21"/>
              </w:rPr>
              <w:t>设计流量：3万m</w:t>
            </w:r>
            <w:r>
              <w:rPr>
                <w:sz w:val="21"/>
                <w:szCs w:val="21"/>
                <w:vertAlign w:val="superscript"/>
              </w:rPr>
              <w:t>3</w:t>
            </w:r>
            <w:r>
              <w:rPr>
                <w:sz w:val="21"/>
                <w:szCs w:val="21"/>
              </w:rPr>
              <w:t>/d</w:t>
            </w:r>
          </w:p>
        </w:tc>
        <w:tc>
          <w:tcPr>
            <w:tcW w:w="2919" w:type="dxa"/>
            <w:vAlign w:val="center"/>
          </w:tcPr>
          <w:p>
            <w:pPr>
              <w:tabs>
                <w:tab w:val="left" w:pos="720"/>
              </w:tabs>
              <w:spacing w:line="240" w:lineRule="auto"/>
              <w:ind w:firstLine="0" w:firstLineChars="0"/>
              <w:jc w:val="center"/>
              <w:rPr>
                <w:sz w:val="21"/>
                <w:szCs w:val="21"/>
              </w:rPr>
            </w:pPr>
            <w:r>
              <w:rPr>
                <w:sz w:val="21"/>
                <w:szCs w:val="21"/>
              </w:rPr>
              <w:t>设备型号：350ZQB-70D(α=0°)型潜水轴流泵</w:t>
            </w:r>
          </w:p>
          <w:p>
            <w:pPr>
              <w:tabs>
                <w:tab w:val="left" w:pos="720"/>
              </w:tabs>
              <w:spacing w:line="240" w:lineRule="auto"/>
              <w:ind w:firstLine="0" w:firstLineChars="0"/>
              <w:jc w:val="center"/>
              <w:rPr>
                <w:sz w:val="21"/>
                <w:szCs w:val="21"/>
              </w:rPr>
            </w:pPr>
            <w:r>
              <w:rPr>
                <w:sz w:val="21"/>
                <w:szCs w:val="21"/>
              </w:rPr>
              <w:t>数量：3台（2用1备）</w:t>
            </w:r>
          </w:p>
          <w:p>
            <w:pPr>
              <w:tabs>
                <w:tab w:val="left" w:pos="720"/>
              </w:tabs>
              <w:spacing w:line="240" w:lineRule="auto"/>
              <w:ind w:firstLine="0" w:firstLineChars="0"/>
              <w:jc w:val="center"/>
              <w:rPr>
                <w:sz w:val="21"/>
                <w:szCs w:val="21"/>
              </w:rPr>
            </w:pPr>
            <w:r>
              <w:rPr>
                <w:sz w:val="21"/>
                <w:szCs w:val="21"/>
              </w:rPr>
              <w:t>流量：Q=515~648~784m</w:t>
            </w:r>
            <w:r>
              <w:rPr>
                <w:sz w:val="21"/>
                <w:szCs w:val="21"/>
                <w:vertAlign w:val="superscript"/>
              </w:rPr>
              <w:t>3</w:t>
            </w:r>
            <w:r>
              <w:rPr>
                <w:sz w:val="21"/>
                <w:szCs w:val="21"/>
              </w:rPr>
              <w:t>/h</w:t>
            </w:r>
          </w:p>
          <w:p>
            <w:pPr>
              <w:tabs>
                <w:tab w:val="left" w:pos="720"/>
              </w:tabs>
              <w:spacing w:line="240" w:lineRule="auto"/>
              <w:ind w:firstLine="0" w:firstLineChars="0"/>
              <w:jc w:val="center"/>
              <w:rPr>
                <w:sz w:val="21"/>
                <w:szCs w:val="21"/>
              </w:rPr>
            </w:pPr>
            <w:r>
              <w:rPr>
                <w:sz w:val="21"/>
                <w:szCs w:val="21"/>
              </w:rPr>
              <w:t>扬程：H=3.94~2.84~1.64m</w:t>
            </w:r>
          </w:p>
          <w:p>
            <w:pPr>
              <w:tabs>
                <w:tab w:val="left" w:pos="720"/>
              </w:tabs>
              <w:spacing w:line="240" w:lineRule="auto"/>
              <w:ind w:firstLine="0" w:firstLineChars="0"/>
              <w:jc w:val="center"/>
              <w:rPr>
                <w:sz w:val="21"/>
                <w:szCs w:val="21"/>
              </w:rPr>
            </w:pPr>
            <w:r>
              <w:rPr>
                <w:sz w:val="21"/>
                <w:szCs w:val="21"/>
              </w:rPr>
              <w:t>功率：N=11kW</w:t>
            </w:r>
          </w:p>
          <w:p>
            <w:pPr>
              <w:tabs>
                <w:tab w:val="left" w:pos="720"/>
              </w:tabs>
              <w:spacing w:line="240" w:lineRule="auto"/>
              <w:ind w:firstLine="0" w:firstLineChars="0"/>
              <w:jc w:val="center"/>
              <w:rPr>
                <w:sz w:val="21"/>
                <w:szCs w:val="21"/>
              </w:rPr>
            </w:pPr>
            <w:r>
              <w:rPr>
                <w:sz w:val="21"/>
                <w:szCs w:val="21"/>
              </w:rPr>
              <w:t>剩余污泥泵</w:t>
            </w:r>
          </w:p>
          <w:p>
            <w:pPr>
              <w:tabs>
                <w:tab w:val="left" w:pos="720"/>
              </w:tabs>
              <w:spacing w:line="240" w:lineRule="auto"/>
              <w:ind w:firstLine="0" w:firstLineChars="0"/>
              <w:jc w:val="center"/>
              <w:rPr>
                <w:sz w:val="21"/>
                <w:szCs w:val="21"/>
              </w:rPr>
            </w:pPr>
            <w:r>
              <w:rPr>
                <w:sz w:val="21"/>
                <w:szCs w:val="21"/>
              </w:rPr>
              <w:t>设备型号：WQ100-12-7.5型潜水泵</w:t>
            </w:r>
          </w:p>
          <w:p>
            <w:pPr>
              <w:tabs>
                <w:tab w:val="left" w:pos="720"/>
              </w:tabs>
              <w:spacing w:line="240" w:lineRule="auto"/>
              <w:ind w:firstLine="0" w:firstLineChars="0"/>
              <w:jc w:val="center"/>
              <w:rPr>
                <w:sz w:val="21"/>
                <w:szCs w:val="21"/>
              </w:rPr>
            </w:pPr>
            <w:r>
              <w:rPr>
                <w:sz w:val="21"/>
                <w:szCs w:val="21"/>
              </w:rPr>
              <w:t>数量：2台（1用1备）</w:t>
            </w:r>
          </w:p>
          <w:p>
            <w:pPr>
              <w:tabs>
                <w:tab w:val="left" w:pos="720"/>
              </w:tabs>
              <w:spacing w:line="240" w:lineRule="auto"/>
              <w:ind w:firstLine="0" w:firstLineChars="0"/>
              <w:jc w:val="center"/>
              <w:rPr>
                <w:sz w:val="21"/>
                <w:szCs w:val="21"/>
              </w:rPr>
            </w:pPr>
            <w:r>
              <w:rPr>
                <w:sz w:val="21"/>
                <w:szCs w:val="21"/>
              </w:rPr>
              <w:t>流量：Q=100m</w:t>
            </w:r>
            <w:r>
              <w:rPr>
                <w:sz w:val="21"/>
                <w:szCs w:val="21"/>
                <w:vertAlign w:val="superscript"/>
              </w:rPr>
              <w:t>3</w:t>
            </w:r>
            <w:r>
              <w:rPr>
                <w:sz w:val="21"/>
                <w:szCs w:val="21"/>
              </w:rPr>
              <w:t>/h</w:t>
            </w:r>
          </w:p>
          <w:p>
            <w:pPr>
              <w:tabs>
                <w:tab w:val="left" w:pos="720"/>
              </w:tabs>
              <w:spacing w:line="240" w:lineRule="auto"/>
              <w:ind w:firstLine="0" w:firstLineChars="0"/>
              <w:jc w:val="center"/>
              <w:rPr>
                <w:sz w:val="21"/>
                <w:szCs w:val="21"/>
              </w:rPr>
            </w:pPr>
            <w:r>
              <w:rPr>
                <w:sz w:val="21"/>
                <w:szCs w:val="21"/>
              </w:rPr>
              <w:t>扬程：H=12m</w:t>
            </w:r>
          </w:p>
          <w:p>
            <w:pPr>
              <w:tabs>
                <w:tab w:val="left" w:pos="720"/>
              </w:tabs>
              <w:spacing w:line="240" w:lineRule="auto"/>
              <w:ind w:firstLine="0" w:firstLineChars="0"/>
              <w:jc w:val="center"/>
              <w:rPr>
                <w:sz w:val="21"/>
                <w:szCs w:val="21"/>
              </w:rPr>
            </w:pPr>
            <w:r>
              <w:rPr>
                <w:sz w:val="21"/>
                <w:szCs w:val="21"/>
              </w:rPr>
              <w:t>功率：N=7.5kW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240" w:lineRule="auto"/>
              <w:ind w:firstLine="0" w:firstLineChars="0"/>
              <w:jc w:val="center"/>
              <w:rPr>
                <w:sz w:val="21"/>
                <w:szCs w:val="21"/>
              </w:rPr>
            </w:pPr>
            <w:r>
              <w:rPr>
                <w:sz w:val="21"/>
                <w:szCs w:val="21"/>
              </w:rPr>
              <w:t>10</w:t>
            </w:r>
          </w:p>
        </w:tc>
        <w:tc>
          <w:tcPr>
            <w:tcW w:w="709" w:type="dxa"/>
            <w:vAlign w:val="center"/>
          </w:tcPr>
          <w:p>
            <w:pPr>
              <w:tabs>
                <w:tab w:val="left" w:pos="720"/>
              </w:tabs>
              <w:spacing w:line="240" w:lineRule="auto"/>
              <w:ind w:firstLine="0" w:firstLineChars="0"/>
              <w:jc w:val="center"/>
              <w:rPr>
                <w:sz w:val="21"/>
                <w:szCs w:val="21"/>
              </w:rPr>
            </w:pPr>
            <w:r>
              <w:rPr>
                <w:sz w:val="21"/>
                <w:szCs w:val="21"/>
              </w:rPr>
              <w:t>消毒池</w:t>
            </w:r>
          </w:p>
        </w:tc>
        <w:tc>
          <w:tcPr>
            <w:tcW w:w="4429" w:type="dxa"/>
            <w:vAlign w:val="center"/>
          </w:tcPr>
          <w:p>
            <w:pPr>
              <w:tabs>
                <w:tab w:val="left" w:pos="720"/>
              </w:tabs>
              <w:spacing w:line="240" w:lineRule="auto"/>
              <w:ind w:firstLine="0" w:firstLineChars="0"/>
              <w:jc w:val="center"/>
              <w:rPr>
                <w:sz w:val="21"/>
                <w:szCs w:val="21"/>
              </w:rPr>
            </w:pPr>
            <w:r>
              <w:rPr>
                <w:sz w:val="21"/>
                <w:szCs w:val="21"/>
              </w:rPr>
              <w:t>消毒池的土建设计规模为3万m</w:t>
            </w:r>
            <w:r>
              <w:rPr>
                <w:sz w:val="21"/>
                <w:szCs w:val="21"/>
                <w:vertAlign w:val="superscript"/>
              </w:rPr>
              <w:t>3</w:t>
            </w:r>
            <w:r>
              <w:rPr>
                <w:sz w:val="21"/>
                <w:szCs w:val="21"/>
              </w:rPr>
              <w:t>/d，设备按3.0万m3/d安装，单格规模为3万m</w:t>
            </w:r>
            <w:r>
              <w:rPr>
                <w:sz w:val="21"/>
                <w:szCs w:val="21"/>
                <w:vertAlign w:val="superscript"/>
              </w:rPr>
              <w:t>3</w:t>
            </w:r>
            <w:r>
              <w:rPr>
                <w:sz w:val="21"/>
                <w:szCs w:val="21"/>
              </w:rPr>
              <w:t>/d（Kz=1.36）。性能参数为Q＝20m</w:t>
            </w:r>
            <w:r>
              <w:rPr>
                <w:sz w:val="21"/>
                <w:szCs w:val="21"/>
                <w:vertAlign w:val="superscript"/>
              </w:rPr>
              <w:t>3</w:t>
            </w:r>
            <w:r>
              <w:rPr>
                <w:sz w:val="21"/>
                <w:szCs w:val="21"/>
              </w:rPr>
              <w:t>/h，H＝62m，N＝7.5kW。</w:t>
            </w:r>
          </w:p>
          <w:p>
            <w:pPr>
              <w:tabs>
                <w:tab w:val="left" w:pos="720"/>
              </w:tabs>
              <w:spacing w:line="240" w:lineRule="auto"/>
              <w:ind w:firstLine="0" w:firstLineChars="0"/>
              <w:jc w:val="center"/>
              <w:rPr>
                <w:sz w:val="21"/>
                <w:szCs w:val="21"/>
              </w:rPr>
            </w:pPr>
            <w:r>
              <w:rPr>
                <w:sz w:val="21"/>
                <w:szCs w:val="21"/>
              </w:rPr>
              <w:t>主要设计参数如下：</w:t>
            </w:r>
          </w:p>
          <w:p>
            <w:pPr>
              <w:tabs>
                <w:tab w:val="left" w:pos="720"/>
              </w:tabs>
              <w:spacing w:line="240" w:lineRule="auto"/>
              <w:ind w:firstLine="0" w:firstLineChars="0"/>
              <w:jc w:val="center"/>
              <w:rPr>
                <w:sz w:val="21"/>
                <w:szCs w:val="21"/>
              </w:rPr>
            </w:pPr>
            <w:r>
              <w:rPr>
                <w:sz w:val="21"/>
                <w:szCs w:val="21"/>
              </w:rPr>
              <w:t>结构类型：半地下式钢筋混凝土矩形渠道</w:t>
            </w:r>
          </w:p>
          <w:p>
            <w:pPr>
              <w:tabs>
                <w:tab w:val="left" w:pos="720"/>
              </w:tabs>
              <w:spacing w:line="240" w:lineRule="auto"/>
              <w:ind w:firstLine="0" w:firstLineChars="0"/>
              <w:jc w:val="center"/>
              <w:rPr>
                <w:sz w:val="21"/>
                <w:szCs w:val="21"/>
              </w:rPr>
            </w:pPr>
            <w:r>
              <w:rPr>
                <w:sz w:val="21"/>
                <w:szCs w:val="21"/>
              </w:rPr>
              <w:t>设计参数：</w:t>
            </w:r>
          </w:p>
          <w:p>
            <w:pPr>
              <w:tabs>
                <w:tab w:val="left" w:pos="720"/>
              </w:tabs>
              <w:spacing w:line="240" w:lineRule="auto"/>
              <w:ind w:firstLine="0" w:firstLineChars="0"/>
              <w:jc w:val="center"/>
              <w:rPr>
                <w:sz w:val="21"/>
                <w:szCs w:val="21"/>
              </w:rPr>
            </w:pPr>
            <w:r>
              <w:rPr>
                <w:sz w:val="21"/>
                <w:szCs w:val="21"/>
              </w:rPr>
              <w:t>设计流量Qmax＝1700m</w:t>
            </w:r>
            <w:r>
              <w:rPr>
                <w:sz w:val="21"/>
                <w:szCs w:val="21"/>
                <w:vertAlign w:val="superscript"/>
              </w:rPr>
              <w:t>3</w:t>
            </w:r>
            <w:r>
              <w:rPr>
                <w:sz w:val="21"/>
                <w:szCs w:val="21"/>
              </w:rPr>
              <w:t>/h（单格）</w:t>
            </w:r>
          </w:p>
          <w:p>
            <w:pPr>
              <w:tabs>
                <w:tab w:val="left" w:pos="720"/>
              </w:tabs>
              <w:spacing w:line="240" w:lineRule="auto"/>
              <w:ind w:firstLine="0" w:firstLineChars="0"/>
              <w:jc w:val="center"/>
              <w:rPr>
                <w:sz w:val="21"/>
                <w:szCs w:val="21"/>
              </w:rPr>
            </w:pPr>
            <w:r>
              <w:rPr>
                <w:sz w:val="21"/>
                <w:szCs w:val="21"/>
              </w:rPr>
              <w:t>渠道宽度B＝1.60m</w:t>
            </w:r>
          </w:p>
          <w:p>
            <w:pPr>
              <w:tabs>
                <w:tab w:val="left" w:pos="720"/>
              </w:tabs>
              <w:spacing w:line="240" w:lineRule="auto"/>
              <w:ind w:firstLine="0" w:firstLineChars="0"/>
              <w:jc w:val="center"/>
              <w:rPr>
                <w:sz w:val="21"/>
                <w:szCs w:val="21"/>
              </w:rPr>
            </w:pPr>
            <w:r>
              <w:rPr>
                <w:sz w:val="21"/>
                <w:szCs w:val="21"/>
              </w:rPr>
              <w:t>渠数：2道</w:t>
            </w:r>
          </w:p>
        </w:tc>
        <w:tc>
          <w:tcPr>
            <w:tcW w:w="2919" w:type="dxa"/>
            <w:vAlign w:val="center"/>
          </w:tcPr>
          <w:p>
            <w:pPr>
              <w:tabs>
                <w:tab w:val="left" w:pos="720"/>
              </w:tabs>
              <w:spacing w:line="240" w:lineRule="auto"/>
              <w:ind w:firstLine="0" w:firstLineChars="0"/>
              <w:jc w:val="center"/>
              <w:rPr>
                <w:sz w:val="21"/>
                <w:szCs w:val="21"/>
              </w:rPr>
            </w:pPr>
            <w:r>
              <w:rPr>
                <w:sz w:val="21"/>
                <w:szCs w:val="21"/>
              </w:rPr>
              <w:t>回用水泵2台，1用1备，水泵采用深井泵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240" w:lineRule="auto"/>
              <w:ind w:firstLine="0" w:firstLineChars="0"/>
              <w:jc w:val="center"/>
              <w:rPr>
                <w:sz w:val="21"/>
                <w:szCs w:val="21"/>
              </w:rPr>
            </w:pPr>
            <w:r>
              <w:rPr>
                <w:sz w:val="21"/>
                <w:szCs w:val="21"/>
              </w:rPr>
              <w:t>11</w:t>
            </w:r>
          </w:p>
        </w:tc>
        <w:tc>
          <w:tcPr>
            <w:tcW w:w="709" w:type="dxa"/>
            <w:vAlign w:val="center"/>
          </w:tcPr>
          <w:p>
            <w:pPr>
              <w:spacing w:line="240" w:lineRule="auto"/>
              <w:ind w:firstLine="0" w:firstLineChars="0"/>
              <w:jc w:val="center"/>
              <w:rPr>
                <w:sz w:val="21"/>
                <w:szCs w:val="21"/>
              </w:rPr>
            </w:pPr>
            <w:r>
              <w:rPr>
                <w:sz w:val="21"/>
                <w:szCs w:val="21"/>
              </w:rPr>
              <w:t>污泥浓缩池</w:t>
            </w:r>
          </w:p>
        </w:tc>
        <w:tc>
          <w:tcPr>
            <w:tcW w:w="4429" w:type="dxa"/>
            <w:vAlign w:val="center"/>
          </w:tcPr>
          <w:p>
            <w:pPr>
              <w:spacing w:line="240" w:lineRule="auto"/>
              <w:ind w:firstLine="0" w:firstLineChars="0"/>
              <w:jc w:val="center"/>
              <w:rPr>
                <w:sz w:val="21"/>
                <w:szCs w:val="21"/>
              </w:rPr>
            </w:pPr>
            <w:r>
              <w:rPr>
                <w:sz w:val="21"/>
                <w:szCs w:val="21"/>
              </w:rPr>
              <w:t>采用中间进水、周边出水浓缩池。主要设计参数如下：</w:t>
            </w:r>
          </w:p>
          <w:p>
            <w:pPr>
              <w:spacing w:line="240" w:lineRule="auto"/>
              <w:ind w:firstLine="0" w:firstLineChars="0"/>
              <w:jc w:val="center"/>
              <w:rPr>
                <w:sz w:val="21"/>
                <w:szCs w:val="21"/>
              </w:rPr>
            </w:pPr>
            <w:r>
              <w:rPr>
                <w:sz w:val="21"/>
                <w:szCs w:val="21"/>
              </w:rPr>
              <w:t>池数：1座</w:t>
            </w:r>
          </w:p>
          <w:p>
            <w:pPr>
              <w:spacing w:line="240" w:lineRule="auto"/>
              <w:ind w:firstLine="0" w:firstLineChars="0"/>
              <w:jc w:val="center"/>
              <w:rPr>
                <w:sz w:val="21"/>
                <w:szCs w:val="21"/>
              </w:rPr>
            </w:pPr>
            <w:r>
              <w:rPr>
                <w:sz w:val="21"/>
                <w:szCs w:val="21"/>
              </w:rPr>
              <w:t>单池设计流量：3×104m</w:t>
            </w:r>
            <w:r>
              <w:rPr>
                <w:sz w:val="21"/>
                <w:szCs w:val="21"/>
                <w:vertAlign w:val="superscript"/>
              </w:rPr>
              <w:t>3</w:t>
            </w:r>
            <w:r>
              <w:rPr>
                <w:sz w:val="21"/>
                <w:szCs w:val="21"/>
              </w:rPr>
              <w:t>/d</w:t>
            </w:r>
          </w:p>
          <w:p>
            <w:pPr>
              <w:spacing w:line="240" w:lineRule="auto"/>
              <w:ind w:firstLine="0" w:firstLineChars="0"/>
              <w:jc w:val="center"/>
              <w:rPr>
                <w:sz w:val="21"/>
                <w:szCs w:val="21"/>
              </w:rPr>
            </w:pPr>
            <w:r>
              <w:rPr>
                <w:sz w:val="21"/>
                <w:szCs w:val="21"/>
              </w:rPr>
              <w:t>直径：9m</w:t>
            </w:r>
          </w:p>
          <w:p>
            <w:pPr>
              <w:spacing w:line="240" w:lineRule="auto"/>
              <w:ind w:firstLine="0" w:firstLineChars="0"/>
              <w:jc w:val="center"/>
              <w:rPr>
                <w:sz w:val="21"/>
                <w:szCs w:val="21"/>
              </w:rPr>
            </w:pPr>
            <w:r>
              <w:rPr>
                <w:sz w:val="21"/>
                <w:szCs w:val="21"/>
              </w:rPr>
              <w:t>池总深：4.5m</w:t>
            </w:r>
          </w:p>
          <w:p>
            <w:pPr>
              <w:spacing w:line="240" w:lineRule="auto"/>
              <w:ind w:firstLine="0" w:firstLineChars="0"/>
              <w:jc w:val="center"/>
              <w:rPr>
                <w:sz w:val="21"/>
                <w:szCs w:val="21"/>
              </w:rPr>
            </w:pPr>
            <w:r>
              <w:rPr>
                <w:sz w:val="21"/>
                <w:szCs w:val="21"/>
              </w:rPr>
              <w:t>池水深：4.0m</w:t>
            </w:r>
          </w:p>
          <w:p>
            <w:pPr>
              <w:spacing w:line="240" w:lineRule="auto"/>
              <w:ind w:firstLine="0" w:firstLineChars="0"/>
              <w:jc w:val="center"/>
              <w:rPr>
                <w:sz w:val="21"/>
                <w:szCs w:val="21"/>
              </w:rPr>
            </w:pPr>
            <w:r>
              <w:rPr>
                <w:sz w:val="21"/>
                <w:szCs w:val="21"/>
              </w:rPr>
              <w:t>水力停留时间：13.3h</w:t>
            </w:r>
          </w:p>
        </w:tc>
        <w:tc>
          <w:tcPr>
            <w:tcW w:w="2919" w:type="dxa"/>
            <w:vAlign w:val="center"/>
          </w:tcPr>
          <w:p>
            <w:pPr>
              <w:spacing w:line="240" w:lineRule="auto"/>
              <w:ind w:firstLine="0" w:firstLineChars="0"/>
              <w:jc w:val="center"/>
              <w:rPr>
                <w:sz w:val="21"/>
                <w:szCs w:val="21"/>
              </w:rPr>
            </w:pPr>
            <w:r>
              <w:rPr>
                <w:sz w:val="21"/>
                <w:szCs w:val="21"/>
              </w:rPr>
              <w:t>叠罗螺式污泥浓缩机</w:t>
            </w:r>
          </w:p>
          <w:p>
            <w:pPr>
              <w:tabs>
                <w:tab w:val="left" w:pos="720"/>
              </w:tabs>
              <w:spacing w:line="240" w:lineRule="auto"/>
              <w:ind w:firstLine="0" w:firstLineChars="0"/>
              <w:jc w:val="center"/>
              <w:rPr>
                <w:sz w:val="21"/>
                <w:szCs w:val="21"/>
              </w:rPr>
            </w:pPr>
            <w:r>
              <w:rPr>
                <w:sz w:val="21"/>
                <w:szCs w:val="21"/>
              </w:rPr>
              <w:t>数量：2台，1用1备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240" w:lineRule="auto"/>
              <w:ind w:firstLine="0" w:firstLineChars="0"/>
              <w:jc w:val="center"/>
              <w:rPr>
                <w:sz w:val="21"/>
                <w:szCs w:val="21"/>
              </w:rPr>
            </w:pPr>
            <w:r>
              <w:rPr>
                <w:sz w:val="21"/>
                <w:szCs w:val="21"/>
              </w:rPr>
              <w:t>12</w:t>
            </w:r>
          </w:p>
        </w:tc>
        <w:tc>
          <w:tcPr>
            <w:tcW w:w="709" w:type="dxa"/>
            <w:vAlign w:val="center"/>
          </w:tcPr>
          <w:p>
            <w:pPr>
              <w:spacing w:line="240" w:lineRule="auto"/>
              <w:ind w:firstLine="0" w:firstLineChars="0"/>
              <w:jc w:val="center"/>
              <w:rPr>
                <w:sz w:val="21"/>
                <w:szCs w:val="21"/>
              </w:rPr>
            </w:pPr>
            <w:r>
              <w:rPr>
                <w:sz w:val="21"/>
                <w:szCs w:val="21"/>
              </w:rPr>
              <w:t>污泥调理池</w:t>
            </w:r>
          </w:p>
        </w:tc>
        <w:tc>
          <w:tcPr>
            <w:tcW w:w="4429" w:type="dxa"/>
            <w:vAlign w:val="center"/>
          </w:tcPr>
          <w:p>
            <w:pPr>
              <w:spacing w:line="240" w:lineRule="auto"/>
              <w:ind w:firstLine="0" w:firstLineChars="0"/>
              <w:jc w:val="center"/>
              <w:rPr>
                <w:sz w:val="21"/>
                <w:szCs w:val="21"/>
              </w:rPr>
            </w:pPr>
            <w:r>
              <w:rPr>
                <w:sz w:val="21"/>
                <w:szCs w:val="21"/>
              </w:rPr>
              <w:t>池数：1座两格</w:t>
            </w:r>
          </w:p>
          <w:p>
            <w:pPr>
              <w:spacing w:line="240" w:lineRule="auto"/>
              <w:ind w:firstLine="0" w:firstLineChars="0"/>
              <w:jc w:val="center"/>
              <w:rPr>
                <w:sz w:val="21"/>
                <w:szCs w:val="21"/>
              </w:rPr>
            </w:pPr>
            <w:r>
              <w:rPr>
                <w:sz w:val="21"/>
                <w:szCs w:val="21"/>
              </w:rPr>
              <w:t>单格尺寸：L×B×h=5.0m×5.0m×4.0m</w:t>
            </w:r>
          </w:p>
          <w:p>
            <w:pPr>
              <w:spacing w:line="240" w:lineRule="auto"/>
              <w:ind w:firstLine="0" w:firstLineChars="0"/>
              <w:jc w:val="center"/>
              <w:rPr>
                <w:sz w:val="21"/>
                <w:szCs w:val="21"/>
              </w:rPr>
            </w:pPr>
            <w:r>
              <w:rPr>
                <w:sz w:val="21"/>
                <w:szCs w:val="21"/>
              </w:rPr>
              <w:t>池总深：4.5m</w:t>
            </w:r>
          </w:p>
          <w:p>
            <w:pPr>
              <w:spacing w:line="240" w:lineRule="auto"/>
              <w:ind w:firstLine="0" w:firstLineChars="0"/>
              <w:jc w:val="center"/>
              <w:rPr>
                <w:sz w:val="21"/>
                <w:szCs w:val="21"/>
              </w:rPr>
            </w:pPr>
            <w:r>
              <w:rPr>
                <w:sz w:val="21"/>
                <w:szCs w:val="21"/>
              </w:rPr>
              <w:t>池水深：4.0m</w:t>
            </w:r>
          </w:p>
        </w:tc>
        <w:tc>
          <w:tcPr>
            <w:tcW w:w="2919" w:type="dxa"/>
            <w:vAlign w:val="center"/>
          </w:tcPr>
          <w:p>
            <w:pPr>
              <w:spacing w:line="240" w:lineRule="auto"/>
              <w:ind w:firstLine="0" w:firstLineChars="0"/>
              <w:jc w:val="center"/>
              <w:rPr>
                <w:sz w:val="21"/>
                <w:szCs w:val="21"/>
              </w:rPr>
            </w:pPr>
            <w:r>
              <w:rPr>
                <w:sz w:val="21"/>
                <w:szCs w:val="21"/>
              </w:rPr>
              <w:t>污泥调理反应装置</w:t>
            </w:r>
          </w:p>
          <w:p>
            <w:pPr>
              <w:spacing w:line="240" w:lineRule="auto"/>
              <w:ind w:firstLine="0" w:firstLineChars="0"/>
              <w:jc w:val="center"/>
              <w:rPr>
                <w:sz w:val="21"/>
                <w:szCs w:val="21"/>
              </w:rPr>
            </w:pPr>
            <w:r>
              <w:rPr>
                <w:sz w:val="21"/>
                <w:szCs w:val="21"/>
              </w:rPr>
              <w:t>数量：2套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240" w:lineRule="auto"/>
              <w:ind w:firstLine="0" w:firstLineChars="0"/>
              <w:jc w:val="center"/>
              <w:rPr>
                <w:sz w:val="21"/>
                <w:szCs w:val="21"/>
              </w:rPr>
            </w:pPr>
            <w:r>
              <w:rPr>
                <w:sz w:val="21"/>
                <w:szCs w:val="21"/>
              </w:rPr>
              <w:t>13</w:t>
            </w:r>
          </w:p>
        </w:tc>
        <w:tc>
          <w:tcPr>
            <w:tcW w:w="709" w:type="dxa"/>
            <w:vAlign w:val="center"/>
          </w:tcPr>
          <w:p>
            <w:pPr>
              <w:tabs>
                <w:tab w:val="left" w:pos="720"/>
              </w:tabs>
              <w:spacing w:line="240" w:lineRule="auto"/>
              <w:ind w:firstLine="0" w:firstLineChars="0"/>
              <w:jc w:val="center"/>
              <w:rPr>
                <w:sz w:val="21"/>
                <w:szCs w:val="21"/>
              </w:rPr>
            </w:pPr>
            <w:r>
              <w:rPr>
                <w:sz w:val="21"/>
                <w:szCs w:val="21"/>
              </w:rPr>
              <w:t>贮泥池</w:t>
            </w:r>
          </w:p>
        </w:tc>
        <w:tc>
          <w:tcPr>
            <w:tcW w:w="4429" w:type="dxa"/>
            <w:vAlign w:val="center"/>
          </w:tcPr>
          <w:p>
            <w:pPr>
              <w:tabs>
                <w:tab w:val="left" w:pos="720"/>
              </w:tabs>
              <w:spacing w:line="240" w:lineRule="auto"/>
              <w:ind w:firstLine="0" w:firstLineChars="0"/>
              <w:jc w:val="center"/>
              <w:rPr>
                <w:sz w:val="21"/>
                <w:szCs w:val="21"/>
              </w:rPr>
            </w:pPr>
            <w:r>
              <w:rPr>
                <w:sz w:val="21"/>
                <w:szCs w:val="21"/>
              </w:rPr>
              <w:t>按3万m</w:t>
            </w:r>
            <w:r>
              <w:rPr>
                <w:sz w:val="21"/>
                <w:szCs w:val="21"/>
                <w:vertAlign w:val="superscript"/>
              </w:rPr>
              <w:t>3</w:t>
            </w:r>
            <w:r>
              <w:rPr>
                <w:sz w:val="21"/>
                <w:szCs w:val="21"/>
              </w:rPr>
              <w:t>/d建设</w:t>
            </w:r>
          </w:p>
        </w:tc>
        <w:tc>
          <w:tcPr>
            <w:tcW w:w="2919" w:type="dxa"/>
            <w:vAlign w:val="center"/>
          </w:tcPr>
          <w:p>
            <w:pPr>
              <w:tabs>
                <w:tab w:val="left" w:pos="720"/>
              </w:tabs>
              <w:spacing w:line="240" w:lineRule="auto"/>
              <w:ind w:firstLine="0" w:firstLineChars="0"/>
              <w:jc w:val="center"/>
              <w:rPr>
                <w:sz w:val="21"/>
                <w:szCs w:val="21"/>
              </w:rPr>
            </w:pPr>
            <w:r>
              <w:rPr>
                <w:sz w:val="21"/>
                <w:szCs w:val="21"/>
              </w:rPr>
              <w:t>潜水搅拌机</w:t>
            </w:r>
          </w:p>
          <w:p>
            <w:pPr>
              <w:tabs>
                <w:tab w:val="left" w:pos="720"/>
              </w:tabs>
              <w:spacing w:line="240" w:lineRule="auto"/>
              <w:ind w:firstLine="0" w:firstLineChars="0"/>
              <w:jc w:val="center"/>
              <w:rPr>
                <w:sz w:val="21"/>
                <w:szCs w:val="21"/>
              </w:rPr>
            </w:pPr>
            <w:r>
              <w:rPr>
                <w:sz w:val="21"/>
                <w:szCs w:val="21"/>
              </w:rPr>
              <w:t>数量：2台</w:t>
            </w:r>
          </w:p>
          <w:p>
            <w:pPr>
              <w:tabs>
                <w:tab w:val="left" w:pos="720"/>
              </w:tabs>
              <w:spacing w:line="240" w:lineRule="auto"/>
              <w:ind w:firstLine="0" w:firstLineChars="0"/>
              <w:jc w:val="center"/>
              <w:rPr>
                <w:sz w:val="21"/>
                <w:szCs w:val="21"/>
              </w:rPr>
            </w:pPr>
            <w:r>
              <w:rPr>
                <w:sz w:val="21"/>
                <w:szCs w:val="21"/>
              </w:rPr>
              <w:t>叶轮转速n=740r/min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vAlign w:val="center"/>
          </w:tcPr>
          <w:p>
            <w:pPr>
              <w:spacing w:line="240" w:lineRule="auto"/>
              <w:ind w:firstLine="0" w:firstLineChars="0"/>
              <w:jc w:val="center"/>
              <w:rPr>
                <w:sz w:val="21"/>
                <w:szCs w:val="21"/>
              </w:rPr>
            </w:pPr>
            <w:r>
              <w:rPr>
                <w:sz w:val="21"/>
                <w:szCs w:val="21"/>
              </w:rPr>
              <w:t>14</w:t>
            </w:r>
          </w:p>
        </w:tc>
        <w:tc>
          <w:tcPr>
            <w:tcW w:w="709" w:type="dxa"/>
            <w:vMerge w:val="restart"/>
            <w:vAlign w:val="center"/>
          </w:tcPr>
          <w:p>
            <w:pPr>
              <w:tabs>
                <w:tab w:val="left" w:pos="720"/>
              </w:tabs>
              <w:spacing w:line="240" w:lineRule="auto"/>
              <w:ind w:firstLine="0" w:firstLineChars="0"/>
              <w:jc w:val="center"/>
              <w:rPr>
                <w:sz w:val="21"/>
                <w:szCs w:val="21"/>
              </w:rPr>
            </w:pPr>
            <w:r>
              <w:rPr>
                <w:sz w:val="21"/>
                <w:szCs w:val="21"/>
              </w:rPr>
              <w:t>污泥脱水机房</w:t>
            </w:r>
          </w:p>
        </w:tc>
        <w:tc>
          <w:tcPr>
            <w:tcW w:w="4429" w:type="dxa"/>
            <w:vAlign w:val="center"/>
          </w:tcPr>
          <w:p>
            <w:pPr>
              <w:tabs>
                <w:tab w:val="left" w:pos="720"/>
              </w:tabs>
              <w:spacing w:line="240" w:lineRule="auto"/>
              <w:ind w:firstLine="0" w:firstLineChars="0"/>
              <w:jc w:val="center"/>
              <w:rPr>
                <w:sz w:val="21"/>
                <w:szCs w:val="21"/>
              </w:rPr>
            </w:pPr>
            <w:r>
              <w:rPr>
                <w:sz w:val="21"/>
                <w:szCs w:val="21"/>
              </w:rPr>
              <w:t>脱水间</w:t>
            </w:r>
          </w:p>
          <w:p>
            <w:pPr>
              <w:tabs>
                <w:tab w:val="left" w:pos="720"/>
              </w:tabs>
              <w:spacing w:line="240" w:lineRule="auto"/>
              <w:ind w:firstLine="0" w:firstLineChars="0"/>
              <w:jc w:val="center"/>
              <w:rPr>
                <w:sz w:val="21"/>
                <w:szCs w:val="21"/>
              </w:rPr>
            </w:pPr>
            <w:r>
              <w:rPr>
                <w:sz w:val="21"/>
                <w:szCs w:val="21"/>
              </w:rPr>
              <w:t>剩余污泥量：4.5t/d（干污泥）</w:t>
            </w:r>
          </w:p>
          <w:p>
            <w:pPr>
              <w:tabs>
                <w:tab w:val="left" w:pos="720"/>
              </w:tabs>
              <w:spacing w:line="240" w:lineRule="auto"/>
              <w:ind w:firstLine="0" w:firstLineChars="0"/>
              <w:jc w:val="center"/>
              <w:rPr>
                <w:sz w:val="21"/>
                <w:szCs w:val="21"/>
              </w:rPr>
            </w:pPr>
            <w:r>
              <w:rPr>
                <w:sz w:val="21"/>
                <w:szCs w:val="21"/>
              </w:rPr>
              <w:t>进泥含水率：97~98%</w:t>
            </w:r>
          </w:p>
          <w:p>
            <w:pPr>
              <w:tabs>
                <w:tab w:val="left" w:pos="720"/>
              </w:tabs>
              <w:spacing w:line="240" w:lineRule="auto"/>
              <w:ind w:firstLine="0" w:firstLineChars="0"/>
              <w:jc w:val="center"/>
              <w:rPr>
                <w:sz w:val="21"/>
                <w:szCs w:val="21"/>
              </w:rPr>
            </w:pPr>
            <w:r>
              <w:rPr>
                <w:sz w:val="21"/>
                <w:szCs w:val="21"/>
              </w:rPr>
              <w:t>泥饼体积：10.4m</w:t>
            </w:r>
            <w:r>
              <w:rPr>
                <w:sz w:val="21"/>
                <w:szCs w:val="21"/>
                <w:vertAlign w:val="superscript"/>
              </w:rPr>
              <w:t>3</w:t>
            </w:r>
            <w:r>
              <w:rPr>
                <w:sz w:val="21"/>
                <w:szCs w:val="21"/>
              </w:rPr>
              <w:t>/d（含水率约60%）</w:t>
            </w:r>
          </w:p>
        </w:tc>
        <w:tc>
          <w:tcPr>
            <w:tcW w:w="2919" w:type="dxa"/>
            <w:vAlign w:val="center"/>
          </w:tcPr>
          <w:p>
            <w:pPr>
              <w:tabs>
                <w:tab w:val="left" w:pos="720"/>
              </w:tabs>
              <w:spacing w:line="240" w:lineRule="auto"/>
              <w:ind w:firstLine="0" w:firstLineChars="0"/>
              <w:jc w:val="center"/>
              <w:rPr>
                <w:sz w:val="21"/>
                <w:szCs w:val="21"/>
              </w:rPr>
            </w:pPr>
            <w:r>
              <w:rPr>
                <w:sz w:val="21"/>
                <w:szCs w:val="21"/>
              </w:rPr>
              <w:t>设备类型：板框压滤机，过滤面积350m</w:t>
            </w:r>
            <w:r>
              <w:rPr>
                <w:sz w:val="21"/>
                <w:szCs w:val="21"/>
                <w:vertAlign w:val="superscript"/>
              </w:rPr>
              <w:t>2</w:t>
            </w:r>
          </w:p>
          <w:p>
            <w:pPr>
              <w:tabs>
                <w:tab w:val="left" w:pos="720"/>
              </w:tabs>
              <w:spacing w:line="240" w:lineRule="auto"/>
              <w:ind w:firstLine="0" w:firstLineChars="0"/>
              <w:jc w:val="center"/>
              <w:rPr>
                <w:sz w:val="21"/>
                <w:szCs w:val="21"/>
              </w:rPr>
            </w:pPr>
            <w:r>
              <w:rPr>
                <w:sz w:val="21"/>
                <w:szCs w:val="21"/>
              </w:rPr>
              <w:t>数量：2台</w:t>
            </w:r>
          </w:p>
          <w:p>
            <w:pPr>
              <w:tabs>
                <w:tab w:val="left" w:pos="720"/>
              </w:tabs>
              <w:spacing w:line="240" w:lineRule="auto"/>
              <w:ind w:firstLine="0" w:firstLineChars="0"/>
              <w:jc w:val="center"/>
              <w:rPr>
                <w:sz w:val="21"/>
                <w:szCs w:val="21"/>
              </w:rPr>
            </w:pPr>
            <w:r>
              <w:rPr>
                <w:sz w:val="21"/>
                <w:szCs w:val="21"/>
              </w:rPr>
              <w:t>工作周期与时间：1个周期，4~5小时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spacing w:line="240" w:lineRule="auto"/>
              <w:ind w:firstLine="0" w:firstLineChars="0"/>
              <w:jc w:val="center"/>
              <w:rPr>
                <w:sz w:val="21"/>
                <w:szCs w:val="21"/>
              </w:rPr>
            </w:pPr>
          </w:p>
        </w:tc>
        <w:tc>
          <w:tcPr>
            <w:tcW w:w="709" w:type="dxa"/>
            <w:vMerge w:val="continue"/>
            <w:vAlign w:val="center"/>
          </w:tcPr>
          <w:p>
            <w:pPr>
              <w:tabs>
                <w:tab w:val="left" w:pos="720"/>
              </w:tabs>
              <w:spacing w:line="240" w:lineRule="auto"/>
              <w:ind w:firstLine="0" w:firstLineChars="0"/>
              <w:jc w:val="center"/>
              <w:rPr>
                <w:sz w:val="21"/>
                <w:szCs w:val="21"/>
              </w:rPr>
            </w:pPr>
          </w:p>
        </w:tc>
        <w:tc>
          <w:tcPr>
            <w:tcW w:w="4429" w:type="dxa"/>
            <w:vAlign w:val="center"/>
          </w:tcPr>
          <w:p>
            <w:pPr>
              <w:tabs>
                <w:tab w:val="left" w:pos="720"/>
              </w:tabs>
              <w:spacing w:line="240" w:lineRule="auto"/>
              <w:ind w:firstLine="0" w:firstLineChars="0"/>
              <w:jc w:val="center"/>
              <w:rPr>
                <w:sz w:val="21"/>
                <w:szCs w:val="21"/>
              </w:rPr>
            </w:pPr>
            <w:r>
              <w:rPr>
                <w:sz w:val="21"/>
                <w:szCs w:val="21"/>
              </w:rPr>
              <w:t>加药间主要进行PAC的投加，包括PAC存储平台、溶解罐、溶液池和计量泵等投加系统。主要设计参数如下：</w:t>
            </w:r>
          </w:p>
          <w:p>
            <w:pPr>
              <w:tabs>
                <w:tab w:val="left" w:pos="720"/>
              </w:tabs>
              <w:spacing w:line="240" w:lineRule="auto"/>
              <w:ind w:firstLine="0" w:firstLineChars="0"/>
              <w:jc w:val="center"/>
              <w:rPr>
                <w:sz w:val="21"/>
                <w:szCs w:val="21"/>
              </w:rPr>
            </w:pPr>
            <w:r>
              <w:rPr>
                <w:sz w:val="21"/>
                <w:szCs w:val="21"/>
              </w:rPr>
              <w:t>药剂存储时间：20d</w:t>
            </w:r>
          </w:p>
          <w:p>
            <w:pPr>
              <w:tabs>
                <w:tab w:val="left" w:pos="720"/>
              </w:tabs>
              <w:spacing w:line="240" w:lineRule="auto"/>
              <w:ind w:firstLine="0" w:firstLineChars="0"/>
              <w:jc w:val="center"/>
              <w:rPr>
                <w:sz w:val="21"/>
                <w:szCs w:val="21"/>
              </w:rPr>
            </w:pPr>
            <w:r>
              <w:rPr>
                <w:sz w:val="21"/>
                <w:szCs w:val="21"/>
              </w:rPr>
              <w:t>投加浓度：6%</w:t>
            </w:r>
          </w:p>
        </w:tc>
        <w:tc>
          <w:tcPr>
            <w:tcW w:w="2919" w:type="dxa"/>
            <w:vAlign w:val="center"/>
          </w:tcPr>
          <w:p>
            <w:pPr>
              <w:tabs>
                <w:tab w:val="left" w:pos="720"/>
              </w:tabs>
              <w:spacing w:line="240" w:lineRule="auto"/>
              <w:ind w:firstLine="0" w:firstLineChars="0"/>
              <w:jc w:val="center"/>
              <w:rPr>
                <w:sz w:val="21"/>
                <w:szCs w:val="21"/>
              </w:rPr>
            </w:pPr>
            <w:r>
              <w:rPr>
                <w:sz w:val="21"/>
                <w:szCs w:val="21"/>
              </w:rPr>
              <w:t>机械隔膜计量泵</w:t>
            </w:r>
          </w:p>
          <w:p>
            <w:pPr>
              <w:tabs>
                <w:tab w:val="left" w:pos="720"/>
              </w:tabs>
              <w:spacing w:line="240" w:lineRule="auto"/>
              <w:ind w:firstLine="0" w:firstLineChars="0"/>
              <w:jc w:val="center"/>
              <w:rPr>
                <w:sz w:val="21"/>
                <w:szCs w:val="21"/>
              </w:rPr>
            </w:pPr>
            <w:r>
              <w:rPr>
                <w:sz w:val="21"/>
                <w:szCs w:val="21"/>
              </w:rPr>
              <w:t>数量：3台，2用1备</w:t>
            </w:r>
          </w:p>
          <w:p>
            <w:pPr>
              <w:tabs>
                <w:tab w:val="left" w:pos="720"/>
              </w:tabs>
              <w:spacing w:line="240" w:lineRule="auto"/>
              <w:ind w:firstLine="0" w:firstLineChars="0"/>
              <w:jc w:val="center"/>
              <w:rPr>
                <w:sz w:val="21"/>
                <w:szCs w:val="21"/>
              </w:rPr>
            </w:pPr>
            <w:r>
              <w:rPr>
                <w:sz w:val="21"/>
                <w:szCs w:val="21"/>
              </w:rPr>
              <w:t>单台流量2.0m3/h，压力0.5MPa，功率4kW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240" w:lineRule="auto"/>
              <w:ind w:firstLine="0" w:firstLineChars="0"/>
              <w:jc w:val="center"/>
              <w:rPr>
                <w:sz w:val="21"/>
                <w:szCs w:val="21"/>
              </w:rPr>
            </w:pPr>
            <w:r>
              <w:rPr>
                <w:sz w:val="21"/>
                <w:szCs w:val="21"/>
              </w:rPr>
              <w:t>15</w:t>
            </w:r>
          </w:p>
        </w:tc>
        <w:tc>
          <w:tcPr>
            <w:tcW w:w="709" w:type="dxa"/>
            <w:vAlign w:val="center"/>
          </w:tcPr>
          <w:p>
            <w:pPr>
              <w:tabs>
                <w:tab w:val="left" w:pos="720"/>
              </w:tabs>
              <w:spacing w:line="240" w:lineRule="auto"/>
              <w:ind w:firstLine="0" w:firstLineChars="0"/>
              <w:jc w:val="center"/>
              <w:rPr>
                <w:sz w:val="21"/>
                <w:szCs w:val="21"/>
              </w:rPr>
            </w:pPr>
            <w:r>
              <w:rPr>
                <w:sz w:val="21"/>
                <w:szCs w:val="21"/>
              </w:rPr>
              <w:t>出水提升泵站</w:t>
            </w:r>
          </w:p>
        </w:tc>
        <w:tc>
          <w:tcPr>
            <w:tcW w:w="4429" w:type="dxa"/>
            <w:vAlign w:val="center"/>
          </w:tcPr>
          <w:p>
            <w:pPr>
              <w:tabs>
                <w:tab w:val="left" w:pos="720"/>
              </w:tabs>
              <w:spacing w:line="240" w:lineRule="auto"/>
              <w:ind w:firstLine="0" w:firstLineChars="0"/>
              <w:jc w:val="center"/>
              <w:rPr>
                <w:sz w:val="21"/>
                <w:szCs w:val="21"/>
              </w:rPr>
            </w:pPr>
            <w:r>
              <w:rPr>
                <w:sz w:val="21"/>
                <w:szCs w:val="21"/>
              </w:rPr>
              <w:t>土建按3万m</w:t>
            </w:r>
            <w:r>
              <w:rPr>
                <w:sz w:val="21"/>
                <w:szCs w:val="21"/>
                <w:vertAlign w:val="superscript"/>
              </w:rPr>
              <w:t>3</w:t>
            </w:r>
            <w:r>
              <w:rPr>
                <w:sz w:val="21"/>
                <w:szCs w:val="21"/>
              </w:rPr>
              <w:t>/d，设备按3万m</w:t>
            </w:r>
            <w:r>
              <w:rPr>
                <w:sz w:val="21"/>
                <w:szCs w:val="21"/>
                <w:vertAlign w:val="superscript"/>
              </w:rPr>
              <w:t>3</w:t>
            </w:r>
            <w:r>
              <w:rPr>
                <w:sz w:val="21"/>
                <w:szCs w:val="21"/>
              </w:rPr>
              <w:t>/d配套</w:t>
            </w:r>
          </w:p>
        </w:tc>
        <w:tc>
          <w:tcPr>
            <w:tcW w:w="2919" w:type="dxa"/>
            <w:vAlign w:val="center"/>
          </w:tcPr>
          <w:p>
            <w:pPr>
              <w:tabs>
                <w:tab w:val="left" w:pos="720"/>
              </w:tabs>
              <w:spacing w:line="240" w:lineRule="auto"/>
              <w:ind w:firstLine="0" w:firstLineChars="0"/>
              <w:jc w:val="center"/>
              <w:rPr>
                <w:sz w:val="21"/>
                <w:szCs w:val="21"/>
              </w:rPr>
            </w:pPr>
            <w:r>
              <w:rPr>
                <w:sz w:val="21"/>
                <w:szCs w:val="21"/>
              </w:rPr>
              <w:t>潜水排污泵</w:t>
            </w:r>
          </w:p>
          <w:p>
            <w:pPr>
              <w:tabs>
                <w:tab w:val="left" w:pos="720"/>
              </w:tabs>
              <w:spacing w:line="240" w:lineRule="auto"/>
              <w:ind w:firstLine="0" w:firstLineChars="0"/>
              <w:jc w:val="center"/>
              <w:rPr>
                <w:sz w:val="21"/>
                <w:szCs w:val="21"/>
              </w:rPr>
            </w:pPr>
            <w:r>
              <w:rPr>
                <w:sz w:val="21"/>
                <w:szCs w:val="21"/>
              </w:rPr>
              <w:t>数量：4台，三用一备</w:t>
            </w:r>
          </w:p>
          <w:p>
            <w:pPr>
              <w:tabs>
                <w:tab w:val="left" w:pos="720"/>
              </w:tabs>
              <w:spacing w:line="240" w:lineRule="auto"/>
              <w:ind w:firstLine="0" w:firstLineChars="0"/>
              <w:jc w:val="center"/>
              <w:rPr>
                <w:sz w:val="21"/>
                <w:szCs w:val="21"/>
              </w:rPr>
            </w:pPr>
            <w:r>
              <w:rPr>
                <w:sz w:val="21"/>
                <w:szCs w:val="21"/>
              </w:rPr>
              <w:t>泵主要性能参数：Q=900m</w:t>
            </w:r>
            <w:r>
              <w:rPr>
                <w:sz w:val="21"/>
                <w:szCs w:val="21"/>
                <w:vertAlign w:val="superscript"/>
              </w:rPr>
              <w:t>3</w:t>
            </w:r>
            <w:r>
              <w:rPr>
                <w:sz w:val="21"/>
                <w:szCs w:val="21"/>
              </w:rPr>
              <w:t>/h，H=8.0m，N=37kW；</w:t>
            </w:r>
          </w:p>
          <w:p>
            <w:pPr>
              <w:tabs>
                <w:tab w:val="left" w:pos="720"/>
              </w:tabs>
              <w:spacing w:line="240" w:lineRule="auto"/>
              <w:ind w:firstLine="0" w:firstLineChars="0"/>
              <w:jc w:val="center"/>
              <w:rPr>
                <w:sz w:val="21"/>
                <w:szCs w:val="21"/>
              </w:rPr>
            </w:pPr>
            <w:r>
              <w:rPr>
                <w:sz w:val="21"/>
                <w:szCs w:val="21"/>
              </w:rPr>
              <w:t>同时污水提升泵站也考虑厂区雨水不能自流排放时提升泵站，设置有潜水泵1台，潜水泵主要性能参数为：</w:t>
            </w:r>
          </w:p>
          <w:p>
            <w:pPr>
              <w:tabs>
                <w:tab w:val="left" w:pos="720"/>
              </w:tabs>
              <w:spacing w:line="240" w:lineRule="auto"/>
              <w:ind w:firstLine="0" w:firstLineChars="0"/>
              <w:jc w:val="center"/>
              <w:rPr>
                <w:sz w:val="21"/>
                <w:szCs w:val="21"/>
              </w:rPr>
            </w:pPr>
            <w:r>
              <w:rPr>
                <w:sz w:val="21"/>
                <w:szCs w:val="21"/>
              </w:rPr>
              <w:t>Q=1500m</w:t>
            </w:r>
            <w:r>
              <w:rPr>
                <w:sz w:val="21"/>
                <w:szCs w:val="21"/>
                <w:vertAlign w:val="superscript"/>
              </w:rPr>
              <w:t>3</w:t>
            </w:r>
            <w:r>
              <w:rPr>
                <w:sz w:val="21"/>
                <w:szCs w:val="21"/>
              </w:rPr>
              <w:t>/h，H=10.0m，N=75kW。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240" w:lineRule="auto"/>
              <w:ind w:firstLine="0" w:firstLineChars="0"/>
              <w:jc w:val="center"/>
              <w:rPr>
                <w:sz w:val="21"/>
                <w:szCs w:val="21"/>
              </w:rPr>
            </w:pPr>
            <w:r>
              <w:rPr>
                <w:sz w:val="21"/>
                <w:szCs w:val="21"/>
              </w:rPr>
              <w:t>16</w:t>
            </w:r>
          </w:p>
        </w:tc>
        <w:tc>
          <w:tcPr>
            <w:tcW w:w="709" w:type="dxa"/>
            <w:vAlign w:val="center"/>
          </w:tcPr>
          <w:p>
            <w:pPr>
              <w:tabs>
                <w:tab w:val="left" w:pos="720"/>
              </w:tabs>
              <w:spacing w:line="240" w:lineRule="auto"/>
              <w:ind w:firstLine="0" w:firstLineChars="0"/>
              <w:jc w:val="center"/>
              <w:rPr>
                <w:sz w:val="21"/>
                <w:szCs w:val="21"/>
              </w:rPr>
            </w:pPr>
            <w:r>
              <w:rPr>
                <w:sz w:val="21"/>
                <w:szCs w:val="21"/>
              </w:rPr>
              <w:t>自动监测</w:t>
            </w:r>
          </w:p>
        </w:tc>
        <w:tc>
          <w:tcPr>
            <w:tcW w:w="4429" w:type="dxa"/>
            <w:vAlign w:val="center"/>
          </w:tcPr>
          <w:p>
            <w:pPr>
              <w:tabs>
                <w:tab w:val="left" w:pos="720"/>
              </w:tabs>
              <w:spacing w:line="240" w:lineRule="auto"/>
              <w:ind w:firstLine="0" w:firstLineChars="0"/>
              <w:jc w:val="center"/>
              <w:rPr>
                <w:sz w:val="21"/>
                <w:szCs w:val="21"/>
              </w:rPr>
            </w:pPr>
            <w:r>
              <w:rPr>
                <w:sz w:val="21"/>
                <w:szCs w:val="21"/>
              </w:rPr>
              <w:t>水质水量在线自动监测系统</w:t>
            </w:r>
          </w:p>
        </w:tc>
        <w:tc>
          <w:tcPr>
            <w:tcW w:w="2919" w:type="dxa"/>
            <w:vAlign w:val="center"/>
          </w:tcPr>
          <w:p>
            <w:pPr>
              <w:tabs>
                <w:tab w:val="left" w:pos="720"/>
              </w:tabs>
              <w:spacing w:line="240" w:lineRule="auto"/>
              <w:ind w:firstLine="0" w:firstLineChars="0"/>
              <w:jc w:val="center"/>
              <w:rPr>
                <w:sz w:val="21"/>
                <w:szCs w:val="21"/>
              </w:rPr>
            </w:pPr>
            <w:r>
              <w:rPr>
                <w:sz w:val="21"/>
                <w:szCs w:val="21"/>
              </w:rPr>
              <w:t>在线自动监测仪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240" w:lineRule="auto"/>
              <w:ind w:firstLine="0" w:firstLineChars="0"/>
              <w:jc w:val="center"/>
              <w:rPr>
                <w:sz w:val="21"/>
                <w:szCs w:val="21"/>
              </w:rPr>
            </w:pPr>
            <w:r>
              <w:rPr>
                <w:sz w:val="21"/>
                <w:szCs w:val="21"/>
              </w:rPr>
              <w:t>17</w:t>
            </w:r>
          </w:p>
        </w:tc>
        <w:tc>
          <w:tcPr>
            <w:tcW w:w="709" w:type="dxa"/>
            <w:vAlign w:val="center"/>
          </w:tcPr>
          <w:p>
            <w:pPr>
              <w:tabs>
                <w:tab w:val="left" w:pos="720"/>
              </w:tabs>
              <w:spacing w:line="240" w:lineRule="auto"/>
              <w:ind w:firstLine="0" w:firstLineChars="0"/>
              <w:jc w:val="center"/>
              <w:rPr>
                <w:sz w:val="21"/>
                <w:szCs w:val="21"/>
              </w:rPr>
            </w:pPr>
            <w:r>
              <w:rPr>
                <w:sz w:val="21"/>
                <w:szCs w:val="21"/>
              </w:rPr>
              <w:t>配电所</w:t>
            </w:r>
          </w:p>
        </w:tc>
        <w:tc>
          <w:tcPr>
            <w:tcW w:w="4429" w:type="dxa"/>
            <w:vAlign w:val="center"/>
          </w:tcPr>
          <w:p>
            <w:pPr>
              <w:tabs>
                <w:tab w:val="left" w:pos="720"/>
              </w:tabs>
              <w:spacing w:line="240" w:lineRule="auto"/>
              <w:ind w:firstLine="0" w:firstLineChars="0"/>
              <w:jc w:val="center"/>
              <w:rPr>
                <w:sz w:val="21"/>
                <w:szCs w:val="21"/>
              </w:rPr>
            </w:pPr>
            <w:r>
              <w:rPr>
                <w:sz w:val="21"/>
                <w:szCs w:val="21"/>
              </w:rPr>
              <w:t>/</w:t>
            </w:r>
          </w:p>
        </w:tc>
        <w:tc>
          <w:tcPr>
            <w:tcW w:w="2919" w:type="dxa"/>
            <w:vAlign w:val="center"/>
          </w:tcPr>
          <w:p>
            <w:pPr>
              <w:tabs>
                <w:tab w:val="left" w:pos="720"/>
              </w:tabs>
              <w:spacing w:line="240" w:lineRule="auto"/>
              <w:ind w:firstLine="0" w:firstLineChars="0"/>
              <w:jc w:val="center"/>
              <w:rPr>
                <w:sz w:val="21"/>
                <w:szCs w:val="21"/>
              </w:rPr>
            </w:pPr>
            <w:r>
              <w:rPr>
                <w:sz w:val="21"/>
                <w:szCs w:val="21"/>
              </w:rPr>
              <w:t>两台干式变压器，变压器容量为630kVA</w:t>
            </w:r>
          </w:p>
        </w:tc>
      </w:tr>
    </w:tbl>
    <w:p>
      <w:pPr>
        <w:pStyle w:val="3"/>
        <w:spacing w:beforeLines="50"/>
      </w:pPr>
      <w:bookmarkStart w:id="18" w:name="_Toc166145932"/>
      <w:r>
        <w:rPr>
          <w:rFonts w:hint="eastAsia"/>
        </w:rPr>
        <w:t>2.3 项目所在区域概况</w:t>
      </w:r>
      <w:bookmarkEnd w:id="18"/>
    </w:p>
    <w:p>
      <w:pPr>
        <w:pStyle w:val="4"/>
      </w:pPr>
      <w:r>
        <w:rPr>
          <w:rFonts w:hint="eastAsia"/>
        </w:rPr>
        <w:t>2.3.1 地理位置</w:t>
      </w:r>
    </w:p>
    <w:p>
      <w:pPr>
        <w:ind w:firstLine="480"/>
        <w:jc w:val="left"/>
      </w:pPr>
      <w:r>
        <w:rPr>
          <w:rFonts w:hint="eastAsia"/>
        </w:rPr>
        <w:t>澧县地处东经</w:t>
      </w:r>
      <w:r>
        <w:t xml:space="preserve"> 111°12′—112°04′，北纬 29°16′—29°57′。位于湖南省常德市北部，澧水下游，东邻安乡县，南接津市市、临澧县，西界石门县，北与湖北省公安县、松滋市交界，因澧水得名。县境东西最大距离 83.3km，南北最大距离 59.3km，总面积 2107km</w:t>
      </w:r>
      <w:r>
        <w:rPr>
          <w:vertAlign w:val="superscript"/>
        </w:rPr>
        <w:t>2</w:t>
      </w:r>
      <w:r>
        <w:t xml:space="preserve"> 。</w:t>
      </w:r>
    </w:p>
    <w:p>
      <w:pPr>
        <w:ind w:firstLine="480"/>
        <w:jc w:val="left"/>
      </w:pPr>
      <w:r>
        <w:rPr>
          <w:rFonts w:hint="eastAsia"/>
        </w:rPr>
        <w:t>开发区老区现位于澧县县城规划区的西侧，规划四至范围为：即东至澧县澹阳居委会、护城居委会、关心居委会、新河居委会、黄泥村，南至澧水河北大堤，西至回水渠，北至四马村、黄泥村。开发区通过 302 省道与西面 20 公里处的金罗火车站相连，通过城市道路与穿过城区东部的二广高速相接。</w:t>
      </w:r>
    </w:p>
    <w:p>
      <w:pPr>
        <w:ind w:firstLine="480"/>
        <w:jc w:val="left"/>
      </w:pPr>
      <w:r>
        <w:rPr>
          <w:rFonts w:hint="eastAsia"/>
        </w:rPr>
        <w:t>开发区新区区域位于县城规划区东侧，对外交通联系便捷，302 省道横跨开发区东西，西临常荆高速。新区南面为澧水航道，澧水航道现通航能力为 350 万吨，经由澧水航道可入洞庭三江。规划范围内地势平坦、开阔，有利于经济开发区的建设，尤其河流水域丰富，为经济开发区提供了优越的基础开发条件。</w:t>
      </w:r>
    </w:p>
    <w:p>
      <w:pPr>
        <w:pStyle w:val="75"/>
        <w:spacing w:line="360" w:lineRule="auto"/>
        <w:ind w:firstLine="480" w:firstLineChars="200"/>
        <w:jc w:val="both"/>
      </w:pPr>
      <w:r>
        <w:t>本项目选址于</w:t>
      </w:r>
      <w:r>
        <w:rPr>
          <w:rFonts w:hint="eastAsia"/>
        </w:rPr>
        <w:t>澧县澧澹街道东洲村</w:t>
      </w:r>
      <w:r>
        <w:t>，</w:t>
      </w:r>
      <w:r>
        <w:rPr>
          <w:rFonts w:hAnsi="宋体"/>
        </w:rPr>
        <w:t>位置坐标为：</w:t>
      </w:r>
      <w:r>
        <w:t>E111°51′49.73949″，N29°38′43.90949″</w:t>
      </w:r>
      <w:r>
        <w:rPr>
          <w:rFonts w:hint="eastAsia"/>
        </w:rPr>
        <w:t>。</w:t>
      </w:r>
    </w:p>
    <w:p>
      <w:pPr>
        <w:pStyle w:val="4"/>
      </w:pPr>
      <w:r>
        <w:rPr>
          <w:rFonts w:hint="eastAsia"/>
        </w:rPr>
        <w:t>2.3.2 地形地貌</w:t>
      </w:r>
    </w:p>
    <w:p>
      <w:pPr>
        <w:ind w:firstLine="480"/>
      </w:pPr>
      <w:r>
        <w:rPr>
          <w:rFonts w:hint="eastAsia"/>
        </w:rPr>
        <w:t>澧县地处武陵山余脉向洞庭湖盆地过渡的地带，呈以平原和岗地为主体的地貌特征，平原和岗地面积占全县总面积的 76.41%，山丘面积仅占 15.84%。地势西北高，东南低，由西北向东南倾斜，最高点西北部太青山主峰鸭母尖，海拔 1019.5米，最低点九垸乡永和村，海拔 28.2 米。西北部为低山丘陵，北部是岗地，中东部为平原湖区。境内有澧、涔、澹、道、淞滋五水流经全县。中部澧阳平原系全省较大平原之一，平展坦荡。澧县地貌按其成因可划分为四种地貌单元，即：堆积平原、剥蚀构造丘陵、侵蚀剥蚀构造丘陵、溶蚀构造低山。开发区所处的澧阳平原地带地势平坦，土地肥沃，素有湘北粮仓之称。区内海拔高程为 43.00~39.85m，高差 3.15，总的地势相对较平坦。</w:t>
      </w:r>
    </w:p>
    <w:p>
      <w:pPr>
        <w:ind w:firstLine="480"/>
      </w:pPr>
      <w:r>
        <w:rPr>
          <w:rFonts w:hint="eastAsia"/>
        </w:rPr>
        <w:t>根据岩土工程初期勘察报告，项目所在区地层属第四系全新统（Q4）和第四系更新统（Q3）各土层的特征如下：（1）耕地、填土和淤泥层：由粘性土和粉土组成，含少量粉砂及砖块、瓦片、砾石和腐渣等有机质，厚度分别为 0.5—1.4m、1.1—2.2 米 0.6—4.4m。（2）粉质粘土：主要成份为粘粒，含粉土团块，干强度和韧性中等—高，厚度 0.6—3.2m，呈可塑—硬塑状，承载力较高，中等压缩性。（3）粉土：中密状为主，局部松散—稍密，以粉土质为主，干强度和韧性中等—低，0.6—0.8m，承载力较强，中高压缩性。（4）、卵石：稍密—密实，砾石主要成份为硅质岩、砂岩石英等，级配好，厚度最大为 14.7m，承载力高。</w:t>
      </w:r>
    </w:p>
    <w:p>
      <w:pPr>
        <w:pStyle w:val="75"/>
        <w:spacing w:line="360" w:lineRule="auto"/>
        <w:ind w:firstLine="480" w:firstLineChars="200"/>
        <w:jc w:val="both"/>
      </w:pPr>
      <w:r>
        <w:rPr>
          <w:rFonts w:hint="eastAsia"/>
        </w:rPr>
        <w:t>根据国家地震局烈度划分资料，本区属中强度地震区，地震基本烈度为七度。湖南省历年来最大一次地震（1631 年）发生在常德——澧县一带，震中位置大致处于澧县城关东侧，震级 6.7 级；1972 年湖南建立地震观测台以来，较大的一次3.8 级地震（1979 年 3 月 8 日）亦发生在澧县一带，据记载，历年 1~2 级小震不断。</w:t>
      </w:r>
    </w:p>
    <w:p>
      <w:pPr>
        <w:pStyle w:val="4"/>
      </w:pPr>
      <w:r>
        <w:rPr>
          <w:rFonts w:hint="eastAsia"/>
        </w:rPr>
        <w:t>2.3.3 气候气象</w:t>
      </w:r>
    </w:p>
    <w:p>
      <w:pPr>
        <w:ind w:firstLine="480"/>
      </w:pPr>
      <w:r>
        <w:rPr>
          <w:rFonts w:hint="eastAsia"/>
        </w:rPr>
        <w:t>本项目评价区所在澧县平原，属亚热带季风湿润气候区。四季分明，春多寒</w:t>
      </w:r>
    </w:p>
    <w:p>
      <w:pPr>
        <w:ind w:firstLine="480"/>
      </w:pPr>
      <w:r>
        <w:rPr>
          <w:rFonts w:hint="eastAsia"/>
        </w:rPr>
        <w:t>潮、阴雨、夏多暴雨、高温、秋伏易早。</w:t>
      </w:r>
    </w:p>
    <w:p>
      <w:pPr>
        <w:ind w:firstLine="480"/>
      </w:pPr>
      <w:r>
        <w:rPr>
          <w:rFonts w:hint="eastAsia"/>
        </w:rPr>
        <w:t>年均气温 16.5℃</w:t>
      </w:r>
    </w:p>
    <w:p>
      <w:pPr>
        <w:ind w:firstLine="480"/>
      </w:pPr>
      <w:r>
        <w:rPr>
          <w:rFonts w:hint="eastAsia"/>
        </w:rPr>
        <w:t>极端最高气温 40.5℃（1972.8.27）</w:t>
      </w:r>
    </w:p>
    <w:p>
      <w:pPr>
        <w:ind w:firstLine="480"/>
      </w:pPr>
      <w:r>
        <w:rPr>
          <w:rFonts w:hint="eastAsia"/>
        </w:rPr>
        <w:t>极端最低气温 -13.45℃（1977.1.30）</w:t>
      </w:r>
    </w:p>
    <w:p>
      <w:pPr>
        <w:ind w:firstLine="480"/>
      </w:pPr>
      <w:r>
        <w:rPr>
          <w:rFonts w:hint="eastAsia"/>
        </w:rPr>
        <w:t>年均降雨量 1377.9mm</w:t>
      </w:r>
    </w:p>
    <w:p>
      <w:pPr>
        <w:ind w:firstLine="480"/>
      </w:pPr>
      <w:r>
        <w:rPr>
          <w:rFonts w:hint="eastAsia"/>
        </w:rPr>
        <w:t>日最大降雨量 232.9mm</w:t>
      </w:r>
    </w:p>
    <w:p>
      <w:pPr>
        <w:ind w:firstLine="480"/>
      </w:pPr>
      <w:r>
        <w:rPr>
          <w:rFonts w:hint="eastAsia"/>
        </w:rPr>
        <w:t>最大积雪厚度 20.0cm</w:t>
      </w:r>
    </w:p>
    <w:p>
      <w:pPr>
        <w:ind w:firstLine="480"/>
      </w:pPr>
      <w:r>
        <w:rPr>
          <w:rFonts w:hint="eastAsia"/>
        </w:rPr>
        <w:t>年均相对湿度 80％</w:t>
      </w:r>
    </w:p>
    <w:p>
      <w:pPr>
        <w:ind w:firstLine="480"/>
      </w:pPr>
      <w:r>
        <w:rPr>
          <w:rFonts w:hint="eastAsia"/>
        </w:rPr>
        <w:t>年均风速 2.1m/s</w:t>
      </w:r>
    </w:p>
    <w:p>
      <w:pPr>
        <w:ind w:firstLine="480"/>
      </w:pPr>
      <w:r>
        <w:rPr>
          <w:rFonts w:hint="eastAsia"/>
        </w:rPr>
        <w:t>最大风速 21.7m/s</w:t>
      </w:r>
    </w:p>
    <w:p>
      <w:pPr>
        <w:ind w:firstLine="480"/>
      </w:pPr>
      <w:r>
        <w:rPr>
          <w:rFonts w:hint="eastAsia"/>
        </w:rPr>
        <w:t>主导风向 北北东风，次为南风</w:t>
      </w:r>
    </w:p>
    <w:p>
      <w:pPr>
        <w:ind w:firstLine="480"/>
      </w:pPr>
      <w:r>
        <w:rPr>
          <w:rFonts w:hint="eastAsia"/>
        </w:rPr>
        <w:t>年日照时数 1771 小时</w:t>
      </w:r>
    </w:p>
    <w:p>
      <w:pPr>
        <w:pStyle w:val="75"/>
        <w:spacing w:line="360" w:lineRule="auto"/>
        <w:ind w:firstLine="480" w:firstLineChars="200"/>
        <w:jc w:val="both"/>
      </w:pPr>
      <w:r>
        <w:rPr>
          <w:rFonts w:hint="eastAsia"/>
        </w:rPr>
        <w:t>霜期 265 天。</w:t>
      </w:r>
    </w:p>
    <w:p>
      <w:pPr>
        <w:pStyle w:val="4"/>
      </w:pPr>
      <w:r>
        <w:rPr>
          <w:rFonts w:hint="eastAsia"/>
        </w:rPr>
        <w:t>2.3.4 水文特征</w:t>
      </w:r>
    </w:p>
    <w:p>
      <w:pPr>
        <w:widowControl/>
        <w:ind w:firstLine="480"/>
        <w:rPr>
          <w:b/>
          <w:bCs/>
        </w:rPr>
      </w:pPr>
      <w:r>
        <w:rPr>
          <w:rFonts w:hint="eastAsia"/>
        </w:rPr>
        <w:t>1、</w:t>
      </w:r>
      <w:r>
        <w:rPr>
          <w:rFonts w:hint="eastAsia"/>
          <w:b/>
          <w:bCs/>
        </w:rPr>
        <w:t>地表水</w:t>
      </w:r>
    </w:p>
    <w:p>
      <w:pPr>
        <w:pStyle w:val="74"/>
      </w:pPr>
      <w:r>
        <w:rPr>
          <w:rFonts w:hint="eastAsia"/>
        </w:rPr>
        <w:t>澧县水资源丰富，主要水系为澧水及其支流水系，其中澧水为湖南四大河流之一，发源于桑植山木界。境内河网纵横，有大小河流 56 条，大小湖泊 30 多个，河网密度 0.126km/ km</w:t>
      </w:r>
      <w:r>
        <w:rPr>
          <w:rFonts w:hint="eastAsia"/>
          <w:vertAlign w:val="superscript"/>
        </w:rPr>
        <w:t>2</w:t>
      </w:r>
      <w:r>
        <w:rPr>
          <w:rFonts w:hint="eastAsia"/>
        </w:rPr>
        <w:t>，总蓄水量约 20 亿立方米。</w:t>
      </w:r>
    </w:p>
    <w:p>
      <w:pPr>
        <w:pStyle w:val="74"/>
        <w:jc w:val="left"/>
      </w:pPr>
      <w:r>
        <w:rPr>
          <w:rFonts w:hint="eastAsia"/>
        </w:rPr>
        <w:t>澧县东部新区污水处理厂纳污水体澹水河，全长约20km（澧县境内长15.93km），宽约20～50m，平水期月平均流量为10m</w:t>
      </w:r>
      <w:r>
        <w:rPr>
          <w:rFonts w:hint="eastAsia"/>
          <w:vertAlign w:val="superscript"/>
        </w:rPr>
        <w:t>3</w:t>
      </w:r>
      <w:r>
        <w:rPr>
          <w:rFonts w:hint="eastAsia"/>
        </w:rPr>
        <w:t>/s，于下游电排闸流入涔水。涔水再向南于津市小渡口处流入澧水。澹水原与其西南面的栗河同为一条河流，称曰栗澹，穿越澧县县城，但随着县城建设，栗澹被人为截为两段，原“下游”段则为澹水，其起始处已设澧县城市管网排口，接纳澧阳镇 70％的生活污水，占其流量的 60％以上。排口下游 2000m 段以下目前主用于灌溉及渔业。</w:t>
      </w:r>
    </w:p>
    <w:p>
      <w:pPr>
        <w:widowControl/>
        <w:ind w:firstLine="480"/>
        <w:rPr>
          <w:b/>
          <w:bCs/>
        </w:rPr>
      </w:pPr>
      <w:r>
        <w:rPr>
          <w:rFonts w:hint="eastAsia"/>
        </w:rPr>
        <w:t>2、</w:t>
      </w:r>
      <w:r>
        <w:rPr>
          <w:rFonts w:hint="eastAsia"/>
          <w:b/>
          <w:bCs/>
        </w:rPr>
        <w:t>地下水</w:t>
      </w:r>
    </w:p>
    <w:p>
      <w:pPr>
        <w:ind w:firstLine="480"/>
      </w:pPr>
      <w:r>
        <w:rPr>
          <w:rFonts w:hint="eastAsia"/>
        </w:rPr>
        <w:t>a区域构造</w:t>
      </w:r>
    </w:p>
    <w:p>
      <w:pPr>
        <w:ind w:firstLine="480"/>
      </w:pPr>
      <w:r>
        <w:rPr>
          <w:rFonts w:hint="eastAsia"/>
        </w:rPr>
        <w:t>项目位于洞庭湖区西缘，其构造特征受洞庭湖构造运动的控制。洞庭湖区内经历了武陵期、雪峰期、加里东期、海西期、印支期、燕山期及喜马拉雅期构造运动，形成了以盆地-山岭构造为特色的构造格局。</w:t>
      </w:r>
    </w:p>
    <w:p>
      <w:pPr>
        <w:ind w:firstLine="480"/>
      </w:pPr>
      <w:r>
        <w:rPr>
          <w:rFonts w:hint="eastAsia"/>
        </w:rPr>
        <w:t>断裂构造主要发育有南北向断裂、东西向断裂、北东和北北东向断裂、北西向和北西西向断裂，共6组。这些断裂构造，其形成时期各不相同。早期形成的断裂构造，在很大程度上限制着后期构造的发育，并在一定程度上限制着后期的沉积分布。而后期形成的构造，又是在迁就、利用和改造早期形成之断裂构造的基础上发育而成，在长期的构造应力作用下，最终形成现今之构造格架。</w:t>
      </w:r>
    </w:p>
    <w:p>
      <w:pPr>
        <w:ind w:firstLine="480"/>
      </w:pPr>
      <w:r>
        <w:rPr>
          <w:rFonts w:hint="eastAsia"/>
        </w:rPr>
        <w:t>南北向断裂：主要有松滋—临澧—河伏断裂、洪湖—岳阳—湘阴断裂、监利-漉湖断裂、赤山东西侧断裂</w:t>
      </w:r>
    </w:p>
    <w:p>
      <w:pPr>
        <w:ind w:firstLine="480"/>
      </w:pPr>
      <w:r>
        <w:rPr>
          <w:rFonts w:hint="eastAsia"/>
        </w:rPr>
        <w:t>东西向断裂：主要发育有澧县-广兴洲断裂带和常德-桃林断裂带。</w:t>
      </w:r>
    </w:p>
    <w:p>
      <w:pPr>
        <w:ind w:firstLine="480"/>
      </w:pPr>
      <w:r>
        <w:rPr>
          <w:rFonts w:hint="eastAsia"/>
        </w:rPr>
        <w:t>北东、北北东向断裂：主要有常德-周家店-渡口断裂、津市-石首—监利大断裂。</w:t>
      </w:r>
    </w:p>
    <w:p>
      <w:pPr>
        <w:ind w:firstLine="480"/>
      </w:pPr>
      <w:r>
        <w:rPr>
          <w:rFonts w:hint="eastAsia"/>
        </w:rPr>
        <w:t>北西、北西西向断裂：主要发育有长阳-监利-路口断裂带、南县-明头山断裂带、新洲镇-霞凝镇断裂带、靖港-益阳-常德断裂带。</w:t>
      </w:r>
    </w:p>
    <w:p>
      <w:pPr>
        <w:ind w:firstLine="480"/>
      </w:pPr>
      <w:r>
        <w:rPr>
          <w:rFonts w:hint="eastAsia"/>
        </w:rPr>
        <w:t>洞庭湖盆地是扬子地台上的断陷盆地，形成于中生代。盆地形成之前，经受了武陵、雪峰、加里东、海西、印支期构造运动的改造、迭加，为盆地的形成奠定了基础。盆地形成的同时，在其四周形成了隆起带，东面为幕阜山隆起，西面为武陵隆起、北面为华容隆起，南西为雪峰山隆起。早白垩纪是盆地形成的初期阶段，早期燕山运动形成了桃源山间盆地，后扩展至石门一带，其它广大地区仍处于隆起剥蚀中。中晚白垩纪是盆地发展扩大阶段，燕山运动使四周上升，湖盆下降形成东起汨罗、西至澧县、南起益阳、北抵南县的浩瀚大湖。不均衡的上升和下降，在盆地内形成了北东向的凸起和凹陷，凸起和凹陷间断裂构造发育。从西至东有澧县凹陷、太阳山凹陷、常桃凹陷、目平湖凹陷、沅江—湘阴凹陷，凹陷内沉积了一套逾6000米的红色砾、砂、泥岩多韵律组合；凸起区由元古界和古生界地层组成。至这个时期，洞庭湖拗陷盆地基本形成。第三纪喜马拉雅运动早期表现为凸起扩大，凹陷缩小，盆地萎缩，盆地周边隆起带继续上升，至第三纪末整个盆地隆起成陆。洞庭湖盆地从白垩纪拗陷成湖至第三纪末隆起成陆，标志着第一个构造旋回结束。第四纪时期，受新构造运动作用，盆地周边间歇性抬升，内部凹陷，形成以洞庭湖为中心，湘、资、沅、澧四水为主体的碟形盆地。沉积厚度逾300米。</w:t>
      </w:r>
    </w:p>
    <w:p>
      <w:pPr>
        <w:ind w:firstLine="480"/>
      </w:pPr>
      <w:r>
        <w:rPr>
          <w:rFonts w:hint="eastAsia"/>
        </w:rPr>
        <w:t>洞庭湖盆地由四条北东、北西向断裂所围限，相对于周边隆起而言，总体属于沉降区。盆地内部断裂发育，将盆地分成若干个地块，在第四纪新构造运动作用下，各地块形成差异性升降。根据遥感解译成果，洞庭湖盆地分为安乡-白马寺-东洞庭湖沉降区、官垸-华容上升区、太阳山-赤山上升区、岳阳-湘阴上升区和澧县-监利沉降区共五个一级升降区。</w:t>
      </w:r>
    </w:p>
    <w:p>
      <w:pPr>
        <w:ind w:firstLine="480"/>
      </w:pPr>
      <w:r>
        <w:rPr>
          <w:rFonts w:hint="eastAsia"/>
        </w:rPr>
        <w:t>b区域地层</w:t>
      </w:r>
    </w:p>
    <w:p>
      <w:pPr>
        <w:ind w:firstLine="480"/>
      </w:pPr>
      <w:r>
        <w:rPr>
          <w:rFonts w:hint="eastAsia"/>
        </w:rPr>
        <w:t>以津市——保和堤一线，沿松澧洪道为界，分为东北部和西南部，东北部地区为冲积平原，地表出露全新世砂质粘土、砂层及部分中更新统网纹状砂质粘土、砂砾石层，第四纪沉积发育从下更新统至全新统世基本齐全，沉积厚度可达200m（图9-3）。西南、西北部则主要为阶地区与低山丘岗区，阶地区主要出露为下更新世汩罗组的网纹状红土及砂砾石层，而低山丘岗区则为下更新统华田组网纹红土和砂砾石层，低山和丘岗中弧山主要出露地层为白垩系红色砂砾及砂质泥岩、元古界砂质板岩、砂岩（。</w:t>
      </w:r>
    </w:p>
    <w:p>
      <w:pPr>
        <w:ind w:firstLine="480"/>
      </w:pPr>
      <w:r>
        <w:rPr>
          <w:rFonts w:hint="eastAsia"/>
        </w:rPr>
        <w:t>①洞庭湖组湖泊相沉积（Qhd L）</w:t>
      </w:r>
    </w:p>
    <w:p>
      <w:pPr>
        <w:ind w:firstLine="480"/>
      </w:pPr>
      <w:r>
        <w:rPr>
          <w:rFonts w:hint="eastAsia"/>
        </w:rPr>
        <w:t>岩性为湖泊相沉积的灰色、灰褐色砂质粘土、含钙质粉砂质粘土、淤泥。主要分布于澧水河以东区域。</w:t>
      </w:r>
    </w:p>
    <w:p>
      <w:pPr>
        <w:ind w:firstLine="480"/>
      </w:pPr>
      <w:r>
        <w:rPr>
          <w:rFonts w:hint="eastAsia"/>
        </w:rPr>
        <w:t>②洞庭湖组河湖相沉积（QhdaL）</w:t>
      </w:r>
    </w:p>
    <w:p>
      <w:pPr>
        <w:ind w:firstLine="480"/>
      </w:pPr>
      <w:r>
        <w:rPr>
          <w:rFonts w:hint="eastAsia"/>
        </w:rPr>
        <w:t>岩性为河湖相沉积灰黑色、灰褐色、棕褐色砂质粘土、细砂粘土，底部偶见含细砾。主要分布于洞庭湖腹地平原的新安镇—黄茅洲镇、沧港镇—酉港镇—大南湖、中洲—壕河镇—益阳市一带。分布面积约为5482km2。</w:t>
      </w:r>
    </w:p>
    <w:p>
      <w:pPr>
        <w:ind w:firstLine="480"/>
      </w:pPr>
      <w:r>
        <w:rPr>
          <w:rFonts w:hint="eastAsia"/>
        </w:rPr>
        <w:t>③橘子洲组（Qhj）</w:t>
      </w:r>
    </w:p>
    <w:p>
      <w:pPr>
        <w:ind w:firstLine="480"/>
      </w:pPr>
      <w:r>
        <w:rPr>
          <w:rFonts w:hint="eastAsia"/>
        </w:rPr>
        <w:t>岩性上部为灰色砂质粘土，下部为砾石砂砾层。主要分布于洞庭湖盆区周边的沟谷低洼地带。</w:t>
      </w:r>
    </w:p>
    <w:p>
      <w:pPr>
        <w:ind w:firstLine="480"/>
      </w:pPr>
      <w:r>
        <w:rPr>
          <w:rFonts w:hint="eastAsia"/>
        </w:rPr>
        <w:t>④下蜀组（Qp3xs）</w:t>
      </w:r>
    </w:p>
    <w:p>
      <w:pPr>
        <w:ind w:firstLine="480"/>
      </w:pPr>
      <w:r>
        <w:rPr>
          <w:rFonts w:hint="eastAsia"/>
        </w:rPr>
        <w:t>岩性为黄褐色、棕黄色、灰黄色含铁锰质结核和薄膜的砂质粘土、粉砂质粘土、粘土及粉砂，局部含淤泥和炭化物残骸，底部偶见细砂层。主要分布于洞庭湖区西北部的石门县北东、澧县以北、柳叶湖西、北边、黄山岗、鲇鱼须镇与铁角咀、团头湖以北以及东南部等地带。分布面积较小，约为349km2。</w:t>
      </w:r>
    </w:p>
    <w:p>
      <w:pPr>
        <w:ind w:firstLine="480"/>
      </w:pPr>
      <w:r>
        <w:rPr>
          <w:rFonts w:hint="eastAsia"/>
        </w:rPr>
        <w:t>⑤白水江组（Qp3bs）</w:t>
      </w:r>
    </w:p>
    <w:p>
      <w:pPr>
        <w:ind w:firstLine="240" w:firstLineChars="100"/>
      </w:pPr>
      <w:r>
        <w:rPr>
          <w:rFonts w:hint="eastAsia"/>
        </w:rPr>
        <w:t xml:space="preserve"> 岩性为黑褐色锰质结核、局部具知网纹的粘土堆积，冲积成因，具有砾粘二元结构。</w:t>
      </w:r>
    </w:p>
    <w:p>
      <w:pPr>
        <w:ind w:firstLine="480"/>
      </w:pPr>
      <w:r>
        <w:rPr>
          <w:rFonts w:hint="eastAsia"/>
        </w:rPr>
        <w:t>⑥白沙井组（Qp2b）</w:t>
      </w:r>
    </w:p>
    <w:p>
      <w:pPr>
        <w:ind w:firstLine="480"/>
      </w:pPr>
      <w:r>
        <w:rPr>
          <w:rFonts w:hint="eastAsia"/>
        </w:rPr>
        <w:t>岩性为棕黄色、棕红色砾石层、砂层及粘土层。具砾粘二元结构。分布于洞庭湖盆区周边的丘陵、东湖与目平湖等地。</w:t>
      </w:r>
    </w:p>
    <w:p>
      <w:pPr>
        <w:ind w:firstLine="480"/>
      </w:pPr>
      <w:r>
        <w:rPr>
          <w:rFonts w:hint="eastAsia"/>
        </w:rPr>
        <w:t>⑦新开铺组（Qp2）</w:t>
      </w:r>
    </w:p>
    <w:p>
      <w:pPr>
        <w:ind w:firstLine="480"/>
      </w:pPr>
      <w:r>
        <w:rPr>
          <w:rFonts w:hint="eastAsia"/>
        </w:rPr>
        <w:t>岩性为棕黄色、棕红色砾层、砂层及粘土层。主要分布于研究区南部沅江市、黄沙街镇、湘江沿崖一带。分布面积较小，约为713km2。</w:t>
      </w:r>
    </w:p>
    <w:p>
      <w:pPr>
        <w:ind w:firstLine="480"/>
      </w:pPr>
      <w:r>
        <w:rPr>
          <w:rFonts w:hint="eastAsia"/>
        </w:rPr>
        <w:t>⑧汩罗组（Qplm）</w:t>
      </w:r>
    </w:p>
    <w:p>
      <w:pPr>
        <w:ind w:firstLine="480"/>
      </w:pPr>
      <w:r>
        <w:rPr>
          <w:rFonts w:hint="eastAsia"/>
        </w:rPr>
        <w:t>岩性为河湖相沉积的深棕红色、灰褐色砂层、砂砾层夹砂质粘土和粉质粘土。</w:t>
      </w:r>
    </w:p>
    <w:p>
      <w:pPr>
        <w:ind w:firstLine="480"/>
      </w:pPr>
      <w:r>
        <w:rPr>
          <w:rFonts w:hint="eastAsia"/>
        </w:rPr>
        <w:t>c区域水文地质条件</w:t>
      </w:r>
    </w:p>
    <w:p>
      <w:pPr>
        <w:ind w:firstLine="480"/>
      </w:pPr>
      <w:r>
        <w:rPr>
          <w:rFonts w:hint="eastAsia"/>
        </w:rPr>
        <w:t>根据含水岩组的赋存条件，水理性质和水力特征，可将区内地下水分为：基岩裂隙水、红层碎屑岩裂隙孔隙水和松散岩类孔隙水。</w:t>
      </w:r>
    </w:p>
    <w:p>
      <w:pPr>
        <w:ind w:firstLine="480"/>
      </w:pPr>
      <w:r>
        <w:rPr>
          <w:rFonts w:hint="eastAsia"/>
        </w:rPr>
        <w:t>1.基岩裂隙水富水特征</w:t>
      </w:r>
    </w:p>
    <w:p>
      <w:pPr>
        <w:ind w:firstLine="480"/>
      </w:pPr>
      <w:r>
        <w:rPr>
          <w:rFonts w:hint="eastAsia"/>
        </w:rPr>
        <w:t>主要分布在西毛里湖西部的基岩山区，岩性主要为前寒武系的浅变质岩和震旦系的砂岩、板岩。浅部风化裂隙发育，风化带深一般为10-14米，局部可达172.04米；面裂隙率为0.1-6.167%，局部最大达20.22%。较普遍含风化裂隙水，泉水流量一般为0.014-0.967L/s，个别达2.70L/s；地下水径流一般为0.054-2.89L/s·km</w:t>
      </w:r>
      <w:r>
        <w:rPr>
          <w:rFonts w:hint="eastAsia"/>
          <w:vertAlign w:val="superscript"/>
        </w:rPr>
        <w:t>2</w:t>
      </w:r>
      <w:r>
        <w:rPr>
          <w:rFonts w:hint="eastAsia"/>
        </w:rPr>
        <w:t>，局部达5.43 L/s·km</w:t>
      </w:r>
      <w:r>
        <w:rPr>
          <w:rFonts w:hint="eastAsia"/>
          <w:vertAlign w:val="superscript"/>
        </w:rPr>
        <w:t>2</w:t>
      </w:r>
      <w:r>
        <w:rPr>
          <w:rFonts w:hint="eastAsia"/>
        </w:rPr>
        <w:t>。故其富水程度多为贫乏至中等。</w:t>
      </w:r>
    </w:p>
    <w:p>
      <w:pPr>
        <w:ind w:firstLine="480"/>
      </w:pPr>
      <w:r>
        <w:rPr>
          <w:rFonts w:hint="eastAsia"/>
        </w:rPr>
        <w:t>2. 红层碎屑岩裂隙孔隙水</w:t>
      </w:r>
    </w:p>
    <w:p>
      <w:pPr>
        <w:ind w:firstLine="480"/>
      </w:pPr>
      <w:r>
        <w:rPr>
          <w:rFonts w:hint="eastAsia"/>
        </w:rPr>
        <w:t>红层指白垩系、古近系地层，在研究区西部的山岗区有露头，同时在湖区松散层下部也广泛分布。岩性为一套典型的陆相碎屑岩，区内总厚最大可达1900余米。红层中地下水赋存特征基本分为四种状态：（1）风化裂隙孔隙潜水。分布较普遍，风化裂隙含水，水量多贫乏，泉水流量一般为0.01-0.1 L/s，枯季径流模数为0.04-0.657升/秒·平方公里。（2）钙质泥岩、钙质粉砂岩溶孔水。岩层中发育溶蚀孔洞，含溶孔水。见于衡阳盆地和常桃盆地一带，含水层总厚60-100米，埋深10-63.5米。含水贫乏至中等，泉水流量0.01-0.48 L/s，单井涌水量一般为100-800m3/d，最大达3663.4 m3/d。水位一般高出溶孔带顶板，故具承压性质。溶蚀溶孔带具多层发育特征，一般5-10层，多者达12层以上，单层厚1-15米，最厚30余米。溶蚀溶孔带发育受岩性、地貌、构造等控制，岩石含钙质高是前提。（3）砂岩构造裂隙层间承压水，各地不同程度存在，衡阳盆地一带埋深一般在20-103米，含水段总厚3-93.8米。含水贫乏—中等，泉水流量为0.01-0.34 L/s，单井涌水量一般在100 m3/d以下，个别最大达524.5 m3/d。（4）灰质砾岩裂隙溶洞水。主要见于衡阳、湘潭、茶永、石门等红层盆地边缘地带。由于多覆于弱透水的泥岩，含砾砂岩层之下，构成层间承压水，局部水头高出地表。已知含水带厚20-70米，最大埋深280米。泉水流量最大可达35 L/s，单井最大涌水量可达41934.7 m3/d。</w:t>
      </w:r>
    </w:p>
    <w:p>
      <w:pPr>
        <w:ind w:firstLine="480"/>
      </w:pPr>
      <w:r>
        <w:rPr>
          <w:rFonts w:hint="eastAsia"/>
        </w:rPr>
        <w:t>3. 松散岩类孔隙水</w:t>
      </w:r>
    </w:p>
    <w:p>
      <w:pPr>
        <w:ind w:firstLine="480"/>
      </w:pPr>
      <w:r>
        <w:rPr>
          <w:rFonts w:hint="eastAsia"/>
        </w:rPr>
        <w:t>主要分布于湖区及河流沿岸。按水力性质分为潜水和承压水两个亚类：</w:t>
      </w:r>
    </w:p>
    <w:p>
      <w:pPr>
        <w:ind w:firstLine="480"/>
      </w:pPr>
      <w:r>
        <w:rPr>
          <w:rFonts w:hint="eastAsia"/>
        </w:rPr>
        <w:t>A、孔隙潜水</w:t>
      </w:r>
    </w:p>
    <w:p>
      <w:pPr>
        <w:ind w:firstLine="480"/>
      </w:pPr>
      <w:r>
        <w:rPr>
          <w:rFonts w:hint="eastAsia"/>
        </w:rPr>
        <w:t>主要分布于湖区浅部、河流两岸阶地。含水层为冲积、冲湖积等形成的砂、砂砾石、砂卵石、含粘土砂砾石层及粉砂土等。岩层一般多呈二元结构，上部为粘土、砂质粘土等。总厚数米至几十米。含贫乏—中等孔隙潜水，泉水流量一般少于1 L/s，水位埋深一般在3米以上。</w:t>
      </w:r>
    </w:p>
    <w:p>
      <w:pPr>
        <w:ind w:firstLine="480"/>
      </w:pPr>
      <w:r>
        <w:rPr>
          <w:rFonts w:hint="eastAsia"/>
        </w:rPr>
        <w:t>B、孔隙承压水</w:t>
      </w:r>
    </w:p>
    <w:p>
      <w:pPr>
        <w:ind w:firstLine="480"/>
      </w:pPr>
      <w:r>
        <w:rPr>
          <w:rFonts w:hint="eastAsia"/>
        </w:rPr>
        <w:t>分布在湖区中央部分。其上部及浅部孔隙潜水层间有较厚的粘土，砂质粘土层相隔，因而形成承压含水层。含水层为多层性冲湖积和湖积砂、砂卵石层。岩层富水性较好，富水程度为中等—丰富，单井涌水量最大可达29715 m3/d。据含水层的岩性结构及展布情况可将承压含水岩层划分为两个相对独立的含水岩组。上含水岩组包括中、上更新统地层，下含水岩组为由下更新统地层组成。其间大部地段有数米至30余米的弱透水的粘土、砂质粘土层相隔，故两含水岩组间基本无水力联系。但局部地段可能由于弱透水层缺失以及越流而发生水力联系。</w:t>
      </w:r>
    </w:p>
    <w:p>
      <w:pPr>
        <w:ind w:firstLine="480"/>
      </w:pPr>
      <w:r>
        <w:rPr>
          <w:rFonts w:hint="eastAsia"/>
        </w:rPr>
        <w:t>d地下水开发利用现状</w:t>
      </w:r>
    </w:p>
    <w:p>
      <w:pPr>
        <w:ind w:firstLine="480"/>
      </w:pPr>
      <w:r>
        <w:rPr>
          <w:rFonts w:hint="eastAsia"/>
        </w:rPr>
        <w:t>区内没有集中式的地下水水源地，主要以居民宽口井取水为主，现已有乡镇自来水供水，居民水井基本弃用，地下水开发利用程度较低。</w:t>
      </w:r>
    </w:p>
    <w:p>
      <w:pPr>
        <w:ind w:firstLine="480"/>
      </w:pPr>
      <w:r>
        <w:rPr>
          <w:rFonts w:hint="eastAsia"/>
        </w:rPr>
        <w:t>e场区地质条件</w:t>
      </w:r>
    </w:p>
    <w:p>
      <w:pPr>
        <w:ind w:firstLine="480"/>
      </w:pPr>
      <w:r>
        <w:rPr>
          <w:rFonts w:hint="eastAsia"/>
        </w:rPr>
        <w:t>在勘探深度范围内，场地内的岩土为第四系全新统（Q4）种植土及中更新统(Q2)粉质粘土，其特征至上而下分述如下：</w:t>
      </w:r>
    </w:p>
    <w:p>
      <w:pPr>
        <w:ind w:firstLine="480"/>
      </w:pPr>
      <w:r>
        <w:rPr>
          <w:rFonts w:hint="eastAsia"/>
        </w:rPr>
        <w:t>1. 种植土①（Q4ml）：黄褐色，稍湿，松散状，以粘性土为主，表层含植物根茎，夹为砖渣、圆砾，土质不均匀，据调查了解，堆填时间小于十年，未完成自重固结。该层厚度0.90～1.50 m，层底标高37.98～44.34m。</w:t>
      </w:r>
    </w:p>
    <w:p>
      <w:pPr>
        <w:ind w:firstLine="480"/>
      </w:pPr>
      <w:r>
        <w:rPr>
          <w:rFonts w:hint="eastAsia"/>
        </w:rPr>
        <w:t>2. 粉质粘土②（Q2el）：黄褐色，坚硬状，以粘粒为主，含高岭土条带，夹铁锰质结核，切面较光滑，干强度及韧性中等，摇震无反应。　</w:t>
      </w:r>
    </w:p>
    <w:p>
      <w:pPr>
        <w:ind w:firstLine="480"/>
      </w:pPr>
      <w:r>
        <w:rPr>
          <w:rFonts w:hint="eastAsia"/>
        </w:rPr>
        <w:t>该层未钻穿，本次勘察揭露最大厚度15.50m，未见软弱夹层。</w:t>
      </w:r>
    </w:p>
    <w:p>
      <w:pPr>
        <w:ind w:firstLine="480"/>
      </w:pPr>
      <w:r>
        <w:rPr>
          <w:rFonts w:hint="eastAsia"/>
        </w:rPr>
        <w:t>自上世纪50年代以来，湖南省地矿部门对洞庭湖区地层进行了长期的地质勘查和研究工作，包括各类水文地质、工程地质勘查、物探、遥感、地质环境监测、地质灾害勘察、地下水现状调查及专题研究等，获得了大量成果。其中以湖南省地矿局水文地质工程地质二队1989年完成的《湖南省洞庭湖盆地第四纪研究报告》结果最为翔实，其对区内326个钻孔总进尺90608.61米进行了深入分析。根据该研究的结果，场区所在区域Q2的沉积厚度在40米左右，其中上层粘土层厚约20米，砂砾层厚度也为20米左右（即含水层埋深在20米左右，这与本次调查结果基本吻合）。区内基地基岩为前寒武系的浅变质岩。</w:t>
      </w:r>
    </w:p>
    <w:p>
      <w:pPr>
        <w:ind w:firstLine="480"/>
      </w:pPr>
      <w:r>
        <w:rPr>
          <w:rFonts w:hint="eastAsia"/>
        </w:rPr>
        <w:t>f场区水文地质条件</w:t>
      </w:r>
    </w:p>
    <w:p>
      <w:pPr>
        <w:ind w:firstLine="480"/>
      </w:pPr>
      <w:r>
        <w:rPr>
          <w:rFonts w:hint="eastAsia"/>
        </w:rPr>
        <w:t>场区及周边表层覆盖约20m厚的粘土，渗透系数约为9.50×10-6cm/s，赋水性和透水性均很差。调查周边居民井可知，粘土层下的砂砾石含水层为承压含水层，承压水位稳定水位埋深在0.5~3.6m不等，承压水位标高在42.4m~48.7m，平均标高为45.9m。</w:t>
      </w:r>
    </w:p>
    <w:p>
      <w:pPr>
        <w:ind w:firstLine="480"/>
      </w:pPr>
      <w:r>
        <w:rPr>
          <w:rFonts w:hint="eastAsia"/>
        </w:rPr>
        <w:t>本地区除地表覆盖人工回填土外，向下有厚度20m左右的粘土，然后是砂砾石、中粗细砂等含水层。粘土层厚且透水性差，因此区内地下水接受的大气降雨入渗补给很少，主要为侧向径流补给；该含水层的主要排泄方式是侧向径流排泄至洞庭湖中心区域，人工开采也是该含水层的重要排泄方式。</w:t>
      </w:r>
    </w:p>
    <w:p>
      <w:pPr>
        <w:ind w:firstLine="480"/>
      </w:pPr>
      <w:r>
        <w:rPr>
          <w:rFonts w:hint="eastAsia"/>
        </w:rPr>
        <w:t>区内含水层为承压含水层，地下水动态受季节变化的影响相对较小，该含水层水位变幅不大，在5~1</w:t>
      </w:r>
      <w:r>
        <w:t>0</w:t>
      </w:r>
      <w:r>
        <w:rPr>
          <w:rFonts w:hint="eastAsia"/>
        </w:rPr>
        <w:t>m左右。地下水大致流向为西向东。由于含水层为承压水，其年内动态变化相对较小，年内变化幅度在1m到2m左右。</w:t>
      </w:r>
    </w:p>
    <w:p>
      <w:pPr>
        <w:pStyle w:val="4"/>
      </w:pPr>
      <w:r>
        <w:rPr>
          <w:rFonts w:hint="eastAsia"/>
        </w:rPr>
        <w:t>2.3.5常规监测断面设置情况</w:t>
      </w:r>
    </w:p>
    <w:p>
      <w:pPr>
        <w:ind w:firstLine="480"/>
      </w:pPr>
      <w:r>
        <w:rPr>
          <w:rFonts w:hint="eastAsia"/>
          <w:szCs w:val="21"/>
        </w:rPr>
        <w:t>澧县澹水东洲段设置市控（县界）考核</w:t>
      </w:r>
      <w:r>
        <w:rPr>
          <w:szCs w:val="21"/>
        </w:rPr>
        <w:t>断面，</w:t>
      </w:r>
      <w:r>
        <w:rPr>
          <w:rFonts w:hint="eastAsia"/>
        </w:rPr>
        <w:t>位于</w:t>
      </w:r>
      <w:r>
        <w:rPr>
          <w:rFonts w:hint="eastAsia" w:hAnsi="宋体"/>
          <w:szCs w:val="21"/>
        </w:rPr>
        <w:t>东洲机埠电排</w:t>
      </w:r>
      <w:r>
        <w:rPr>
          <w:rFonts w:hint="eastAsia"/>
        </w:rPr>
        <w:t>入澹水处下游约600m处，</w:t>
      </w:r>
      <w:r>
        <w:rPr>
          <w:szCs w:val="21"/>
        </w:rPr>
        <w:t>坐标为</w:t>
      </w:r>
      <w:r>
        <w:t>E111.872555°</w:t>
      </w:r>
      <w:r>
        <w:rPr>
          <w:rFonts w:hint="eastAsia"/>
        </w:rPr>
        <w:t>，</w:t>
      </w:r>
      <w:r>
        <w:t>N29.641993°</w:t>
      </w:r>
      <w:r>
        <w:rPr>
          <w:rFonts w:hint="eastAsia"/>
        </w:rPr>
        <w:t>。</w:t>
      </w:r>
      <w:r>
        <w:rPr>
          <w:szCs w:val="21"/>
        </w:rPr>
        <w:t>根据常德市生态环境局发布的</w:t>
      </w:r>
      <w:r>
        <w:rPr>
          <w:rFonts w:hint="eastAsia"/>
          <w:szCs w:val="21"/>
        </w:rPr>
        <w:t>全市环境质量状况的通报</w:t>
      </w:r>
      <w:r>
        <w:t>，</w:t>
      </w:r>
      <w:r>
        <w:rPr>
          <w:rFonts w:hint="eastAsia"/>
        </w:rPr>
        <w:t>澧县澹水</w:t>
      </w:r>
      <w:r>
        <w:rPr>
          <w:rFonts w:hint="eastAsia"/>
          <w:szCs w:val="21"/>
        </w:rPr>
        <w:t>东洲</w:t>
      </w:r>
      <w:r>
        <w:t>断面</w:t>
      </w:r>
      <w:r>
        <w:rPr>
          <w:szCs w:val="21"/>
        </w:rPr>
        <w:t>20</w:t>
      </w:r>
      <w:r>
        <w:rPr>
          <w:rFonts w:hint="eastAsia"/>
          <w:szCs w:val="21"/>
        </w:rPr>
        <w:t>23</w:t>
      </w:r>
      <w:r>
        <w:rPr>
          <w:szCs w:val="21"/>
        </w:rPr>
        <w:t>年</w:t>
      </w:r>
      <w:r>
        <w:rPr>
          <w:rFonts w:hint="eastAsia"/>
          <w:szCs w:val="21"/>
        </w:rPr>
        <w:t>1月</w:t>
      </w:r>
      <w:r>
        <w:rPr>
          <w:szCs w:val="21"/>
        </w:rPr>
        <w:t>至</w:t>
      </w:r>
      <w:r>
        <w:rPr>
          <w:rFonts w:hint="eastAsia"/>
          <w:szCs w:val="21"/>
        </w:rPr>
        <w:t>12月</w:t>
      </w:r>
      <w:r>
        <w:t>水质类别为</w:t>
      </w:r>
      <w:r>
        <w:rPr>
          <w:rFonts w:hint="eastAsia" w:ascii="宋体" w:hAnsi="宋体" w:cs="宋体"/>
        </w:rPr>
        <w:t>Ⅱ</w:t>
      </w:r>
      <w:r>
        <w:t>类</w:t>
      </w:r>
      <w:r>
        <w:rPr>
          <w:rFonts w:hint="eastAsia"/>
        </w:rPr>
        <w:t>～劣Ⅴ类</w:t>
      </w:r>
      <w:r>
        <w:t>。</w:t>
      </w:r>
    </w:p>
    <w:p>
      <w:pPr>
        <w:ind w:firstLine="480"/>
        <w:rPr>
          <w:szCs w:val="21"/>
        </w:rPr>
        <w:sectPr>
          <w:pgSz w:w="11906" w:h="16838"/>
          <w:pgMar w:top="1418" w:right="1588" w:bottom="1418" w:left="1588" w:header="851" w:footer="992" w:gutter="0"/>
          <w:pgNumType w:fmt="numberInDash"/>
          <w:cols w:space="425" w:num="1"/>
          <w:docGrid w:type="lines" w:linePitch="326" w:charSpace="0"/>
        </w:sectPr>
      </w:pPr>
    </w:p>
    <w:p>
      <w:pPr>
        <w:pStyle w:val="2"/>
      </w:pPr>
      <w:bookmarkStart w:id="19" w:name="_Toc166145933"/>
      <w:r>
        <w:rPr>
          <w:rFonts w:hint="eastAsia"/>
        </w:rPr>
        <w:t>3. 水功能区管理要求和现有取排水情况</w:t>
      </w:r>
      <w:bookmarkEnd w:id="19"/>
    </w:p>
    <w:p>
      <w:pPr>
        <w:pStyle w:val="3"/>
      </w:pPr>
      <w:bookmarkStart w:id="20" w:name="_Toc166145934"/>
      <w:r>
        <w:rPr>
          <w:rFonts w:hint="eastAsia"/>
        </w:rPr>
        <w:t>3.1 澧县水功能区划</w:t>
      </w:r>
      <w:bookmarkEnd w:id="20"/>
    </w:p>
    <w:p>
      <w:pPr>
        <w:ind w:firstLine="480"/>
      </w:pPr>
      <w:r>
        <w:rPr>
          <w:rFonts w:hint="eastAsia"/>
          <w:szCs w:val="24"/>
        </w:rPr>
        <w:t>《澧县水功能区划》</w:t>
      </w:r>
      <w:r>
        <w:rPr>
          <w:szCs w:val="24"/>
        </w:rPr>
        <w:t>一级水功能区划</w:t>
      </w:r>
      <w:r>
        <w:rPr>
          <w:rFonts w:hint="eastAsia"/>
          <w:szCs w:val="24"/>
        </w:rPr>
        <w:t>（截图）</w:t>
      </w:r>
    </w:p>
    <w:p>
      <w:pPr>
        <w:ind w:firstLine="480"/>
        <w:rPr>
          <w:szCs w:val="24"/>
        </w:rPr>
      </w:pPr>
      <w:r>
        <w:drawing>
          <wp:anchor distT="0" distB="0" distL="114300" distR="114300" simplePos="0" relativeHeight="251660288" behindDoc="0" locked="0" layoutInCell="1" allowOverlap="1">
            <wp:simplePos x="0" y="0"/>
            <wp:positionH relativeFrom="margin">
              <wp:align>center</wp:align>
            </wp:positionH>
            <wp:positionV relativeFrom="paragraph">
              <wp:posOffset>79375</wp:posOffset>
            </wp:positionV>
            <wp:extent cx="5543550" cy="4815840"/>
            <wp:effectExtent l="19050" t="0" r="0" b="0"/>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18"/>
                    <a:srcRect/>
                    <a:stretch>
                      <a:fillRect/>
                    </a:stretch>
                  </pic:blipFill>
                  <pic:spPr>
                    <a:xfrm>
                      <a:off x="0" y="0"/>
                      <a:ext cx="5543550" cy="4815840"/>
                    </a:xfrm>
                    <a:prstGeom prst="rect">
                      <a:avLst/>
                    </a:prstGeom>
                    <a:noFill/>
                    <a:ln w="9525">
                      <a:noFill/>
                      <a:miter lim="800000"/>
                      <a:headEnd/>
                      <a:tailEnd/>
                    </a:ln>
                  </pic:spPr>
                </pic:pic>
              </a:graphicData>
            </a:graphic>
          </wp:anchor>
        </w:drawing>
      </w:r>
      <w:r>
        <w:rPr>
          <w:rFonts w:hint="eastAsia"/>
          <w:szCs w:val="24"/>
        </w:rPr>
        <w:t>《澧县水功能区划》二</w:t>
      </w:r>
      <w:r>
        <w:rPr>
          <w:szCs w:val="24"/>
        </w:rPr>
        <w:t>级水功能区划</w:t>
      </w:r>
      <w:r>
        <w:rPr>
          <w:rFonts w:hint="eastAsia"/>
          <w:szCs w:val="24"/>
        </w:rPr>
        <w:t>（截图）</w:t>
      </w:r>
    </w:p>
    <w:p>
      <w:pPr>
        <w:ind w:firstLine="480"/>
      </w:pPr>
      <w:r>
        <w:rPr>
          <w:rFonts w:hint="eastAsia"/>
        </w:rPr>
        <w:drawing>
          <wp:anchor distT="0" distB="0" distL="114300" distR="114300" simplePos="0" relativeHeight="251661312" behindDoc="0" locked="0" layoutInCell="1" allowOverlap="1">
            <wp:simplePos x="0" y="0"/>
            <wp:positionH relativeFrom="margin">
              <wp:align>center</wp:align>
            </wp:positionH>
            <wp:positionV relativeFrom="paragraph">
              <wp:posOffset>93345</wp:posOffset>
            </wp:positionV>
            <wp:extent cx="5543550" cy="1676400"/>
            <wp:effectExtent l="1905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a:srcRect/>
                    <a:stretch>
                      <a:fillRect/>
                    </a:stretch>
                  </pic:blipFill>
                  <pic:spPr>
                    <a:xfrm>
                      <a:off x="0" y="0"/>
                      <a:ext cx="5543550" cy="1676400"/>
                    </a:xfrm>
                    <a:prstGeom prst="rect">
                      <a:avLst/>
                    </a:prstGeom>
                    <a:noFill/>
                    <a:ln w="9525">
                      <a:noFill/>
                      <a:miter lim="800000"/>
                      <a:headEnd/>
                      <a:tailEnd/>
                    </a:ln>
                  </pic:spPr>
                </pic:pic>
              </a:graphicData>
            </a:graphic>
          </wp:anchor>
        </w:drawing>
      </w:r>
    </w:p>
    <w:p>
      <w:pPr>
        <w:ind w:firstLine="480"/>
      </w:pPr>
    </w:p>
    <w:p>
      <w:pPr>
        <w:pStyle w:val="3"/>
      </w:pPr>
      <w:bookmarkStart w:id="21" w:name="_Toc166145935"/>
      <w:r>
        <w:rPr>
          <w:rFonts w:hint="eastAsia"/>
        </w:rPr>
        <w:t>3.2 水功能区保护水质管理目标与要求</w:t>
      </w:r>
      <w:bookmarkEnd w:id="21"/>
    </w:p>
    <w:p>
      <w:pPr>
        <w:ind w:firstLine="480"/>
        <w:rPr>
          <w:szCs w:val="24"/>
        </w:rPr>
      </w:pPr>
      <w:r>
        <w:rPr>
          <w:rFonts w:hint="eastAsia"/>
          <w:szCs w:val="24"/>
        </w:rPr>
        <w:t>水功能区划采用两级分区体系，即一级区划和二级区划。一级区划主要解决地区之间的用水矛盾，二级区划主要解决部门之间的用水矛盾。</w:t>
      </w:r>
    </w:p>
    <w:p>
      <w:pPr>
        <w:ind w:firstLine="480"/>
        <w:rPr>
          <w:szCs w:val="24"/>
        </w:rPr>
      </w:pPr>
      <w:r>
        <w:rPr>
          <w:rFonts w:hint="eastAsia"/>
          <w:szCs w:val="24"/>
        </w:rPr>
        <w:t>一级功能区划分对二级功能区划分具有宏观指导作用。一级区划分为保护区、保留区、开发利用区和缓冲区四类；二级区划是在一级区划中开发利用区的基础上划分为饮用水源区、工业用水区、农业用水区、渔业用水区、景观娱乐用水区、过渡区和排污控制区七类。</w:t>
      </w:r>
    </w:p>
    <w:p>
      <w:pPr>
        <w:ind w:firstLine="480"/>
        <w:rPr>
          <w:szCs w:val="24"/>
        </w:rPr>
      </w:pPr>
      <w:r>
        <w:rPr>
          <w:rFonts w:hint="eastAsia"/>
          <w:szCs w:val="24"/>
        </w:rPr>
        <w:t>1、根据《澧县水功能区划》划分</w:t>
      </w:r>
    </w:p>
    <w:p>
      <w:pPr>
        <w:ind w:firstLine="480"/>
        <w:rPr>
          <w:szCs w:val="24"/>
        </w:rPr>
      </w:pPr>
      <w:r>
        <w:rPr>
          <w:szCs w:val="24"/>
        </w:rPr>
        <w:t>根据</w:t>
      </w:r>
      <w:r>
        <w:rPr>
          <w:rFonts w:hint="eastAsia"/>
          <w:szCs w:val="24"/>
        </w:rPr>
        <w:t>《澧县水功能区划》</w:t>
      </w:r>
      <w:r>
        <w:rPr>
          <w:szCs w:val="24"/>
        </w:rPr>
        <w:t>一级水功能区划</w:t>
      </w:r>
      <w:r>
        <w:rPr>
          <w:rFonts w:hint="eastAsia"/>
          <w:szCs w:val="24"/>
        </w:rPr>
        <w:t>，澹水河（澧县境内）全长15.93km，</w:t>
      </w:r>
      <w:r>
        <w:rPr>
          <w:szCs w:val="24"/>
        </w:rPr>
        <w:t>共划分有</w:t>
      </w:r>
      <w:r>
        <w:rPr>
          <w:rFonts w:hint="eastAsia"/>
          <w:szCs w:val="24"/>
        </w:rPr>
        <w:t>1</w:t>
      </w:r>
      <w:r>
        <w:rPr>
          <w:szCs w:val="24"/>
        </w:rPr>
        <w:t>个</w:t>
      </w:r>
      <w:r>
        <w:rPr>
          <w:rFonts w:hint="eastAsia"/>
          <w:szCs w:val="24"/>
        </w:rPr>
        <w:t>开发利用区</w:t>
      </w:r>
      <w:r>
        <w:rPr>
          <w:szCs w:val="24"/>
        </w:rPr>
        <w:t>，未划</w:t>
      </w:r>
      <w:r>
        <w:rPr>
          <w:rFonts w:hint="eastAsia"/>
          <w:szCs w:val="24"/>
        </w:rPr>
        <w:t>缓冲区、保护区和保留区</w:t>
      </w:r>
      <w:r>
        <w:rPr>
          <w:szCs w:val="24"/>
        </w:rPr>
        <w:t>。</w:t>
      </w:r>
    </w:p>
    <w:p>
      <w:pPr>
        <w:ind w:firstLine="480"/>
        <w:rPr>
          <w:szCs w:val="24"/>
        </w:rPr>
      </w:pPr>
      <w:r>
        <w:rPr>
          <w:rFonts w:hint="eastAsia"/>
          <w:szCs w:val="24"/>
        </w:rPr>
        <w:t>（1）保护区</w:t>
      </w:r>
    </w:p>
    <w:p>
      <w:pPr>
        <w:ind w:firstLine="480"/>
        <w:rPr>
          <w:szCs w:val="24"/>
        </w:rPr>
      </w:pPr>
      <w:r>
        <w:rPr>
          <w:rFonts w:hint="eastAsia"/>
          <w:szCs w:val="24"/>
        </w:rPr>
        <w:t>本区域未划分保护区。</w:t>
      </w:r>
    </w:p>
    <w:p>
      <w:pPr>
        <w:ind w:firstLine="480"/>
        <w:rPr>
          <w:szCs w:val="24"/>
        </w:rPr>
      </w:pPr>
      <w:r>
        <w:rPr>
          <w:rFonts w:hint="eastAsia"/>
          <w:szCs w:val="24"/>
        </w:rPr>
        <w:t>（2）缓冲区</w:t>
      </w:r>
    </w:p>
    <w:p>
      <w:pPr>
        <w:ind w:firstLine="480"/>
        <w:rPr>
          <w:szCs w:val="24"/>
        </w:rPr>
      </w:pPr>
      <w:r>
        <w:rPr>
          <w:rFonts w:hint="eastAsia"/>
          <w:szCs w:val="24"/>
        </w:rPr>
        <w:t>本区域未划分缓冲区。</w:t>
      </w:r>
    </w:p>
    <w:p>
      <w:pPr>
        <w:ind w:firstLine="480"/>
        <w:rPr>
          <w:szCs w:val="24"/>
        </w:rPr>
      </w:pPr>
      <w:r>
        <w:rPr>
          <w:rFonts w:hint="eastAsia"/>
          <w:szCs w:val="24"/>
        </w:rPr>
        <w:t>（3）开发利用区</w:t>
      </w:r>
    </w:p>
    <w:p>
      <w:pPr>
        <w:ind w:firstLine="480"/>
        <w:rPr>
          <w:szCs w:val="24"/>
        </w:rPr>
      </w:pPr>
      <w:r>
        <w:rPr>
          <w:rFonts w:hint="eastAsia"/>
          <w:szCs w:val="24"/>
        </w:rPr>
        <w:t>澹水开发利用区</w:t>
      </w:r>
      <w:r>
        <w:rPr>
          <w:szCs w:val="24"/>
        </w:rPr>
        <w:t>：</w:t>
      </w:r>
      <w:r>
        <w:rPr>
          <w:rFonts w:hint="eastAsia"/>
        </w:rPr>
        <w:t>起于澧县澧澹街道任家港，止于澧澹街道东洲，全长15.93km</w:t>
      </w:r>
      <w:r>
        <w:rPr>
          <w:szCs w:val="24"/>
        </w:rPr>
        <w:t>。</w:t>
      </w:r>
    </w:p>
    <w:p>
      <w:pPr>
        <w:ind w:firstLine="480"/>
        <w:rPr>
          <w:szCs w:val="24"/>
        </w:rPr>
      </w:pPr>
      <w:r>
        <w:rPr>
          <w:rFonts w:hint="eastAsia"/>
          <w:szCs w:val="24"/>
        </w:rPr>
        <w:t>（4）保留区</w:t>
      </w:r>
    </w:p>
    <w:p>
      <w:pPr>
        <w:ind w:firstLine="480"/>
        <w:rPr>
          <w:szCs w:val="24"/>
        </w:rPr>
      </w:pPr>
      <w:r>
        <w:rPr>
          <w:rFonts w:hint="eastAsia"/>
          <w:szCs w:val="24"/>
        </w:rPr>
        <w:t>本区域未划分保留区。</w:t>
      </w:r>
    </w:p>
    <w:p>
      <w:pPr>
        <w:ind w:firstLine="480"/>
        <w:rPr>
          <w:szCs w:val="21"/>
          <w:u w:val="single"/>
        </w:rPr>
      </w:pPr>
      <w:r>
        <w:rPr>
          <w:szCs w:val="21"/>
          <w:u w:val="single"/>
        </w:rPr>
        <w:t>根据常德市生态环境局发布的</w:t>
      </w:r>
      <w:r>
        <w:rPr>
          <w:rFonts w:hint="eastAsia"/>
          <w:szCs w:val="21"/>
          <w:u w:val="single"/>
        </w:rPr>
        <w:t>全市环境质量状况的通报</w:t>
      </w:r>
      <w:r>
        <w:rPr>
          <w:szCs w:val="21"/>
          <w:u w:val="single"/>
        </w:rPr>
        <w:t>，</w:t>
      </w:r>
      <w:r>
        <w:rPr>
          <w:rFonts w:hint="eastAsia"/>
          <w:szCs w:val="21"/>
          <w:u w:val="single"/>
        </w:rPr>
        <w:t>澹水东洲</w:t>
      </w:r>
      <w:r>
        <w:rPr>
          <w:szCs w:val="21"/>
          <w:u w:val="single"/>
        </w:rPr>
        <w:t>断面20</w:t>
      </w:r>
      <w:r>
        <w:rPr>
          <w:rFonts w:hint="eastAsia"/>
          <w:szCs w:val="21"/>
          <w:u w:val="single"/>
        </w:rPr>
        <w:t>23</w:t>
      </w:r>
      <w:r>
        <w:rPr>
          <w:szCs w:val="21"/>
          <w:u w:val="single"/>
        </w:rPr>
        <w:t>年</w:t>
      </w:r>
      <w:r>
        <w:rPr>
          <w:rFonts w:hint="eastAsia"/>
          <w:szCs w:val="21"/>
          <w:u w:val="single"/>
        </w:rPr>
        <w:t>1月</w:t>
      </w:r>
      <w:r>
        <w:rPr>
          <w:szCs w:val="21"/>
          <w:u w:val="single"/>
        </w:rPr>
        <w:t>至</w:t>
      </w:r>
      <w:r>
        <w:rPr>
          <w:rFonts w:hint="eastAsia"/>
          <w:szCs w:val="21"/>
          <w:u w:val="single"/>
        </w:rPr>
        <w:t>12月</w:t>
      </w:r>
      <w:r>
        <w:rPr>
          <w:szCs w:val="21"/>
          <w:u w:val="single"/>
        </w:rPr>
        <w:t>水质类别为</w:t>
      </w:r>
      <w:r>
        <w:rPr>
          <w:rFonts w:hint="eastAsia"/>
          <w:szCs w:val="21"/>
          <w:u w:val="single"/>
        </w:rPr>
        <w:t>Ⅱ</w:t>
      </w:r>
      <w:r>
        <w:rPr>
          <w:szCs w:val="21"/>
          <w:u w:val="single"/>
        </w:rPr>
        <w:t>类</w:t>
      </w:r>
      <w:r>
        <w:rPr>
          <w:rFonts w:hint="eastAsia"/>
          <w:szCs w:val="21"/>
          <w:u w:val="single"/>
        </w:rPr>
        <w:t>～劣Ⅴ类；另根据《澧县水功能区划》二级水功能区划，澹水2015年到2018年水质管理目标为</w:t>
      </w:r>
      <w:r>
        <w:rPr>
          <w:szCs w:val="21"/>
          <w:u w:val="single"/>
        </w:rPr>
        <w:t>Ⅲ～Ⅳ</w:t>
      </w:r>
      <w:r>
        <w:rPr>
          <w:rFonts w:hint="eastAsia"/>
          <w:szCs w:val="21"/>
          <w:u w:val="single"/>
        </w:rPr>
        <w:t>类。</w:t>
      </w:r>
    </w:p>
    <w:p>
      <w:pPr>
        <w:ind w:firstLine="480"/>
        <w:rPr>
          <w:szCs w:val="21"/>
          <w:u w:val="single"/>
        </w:rPr>
      </w:pPr>
      <w:r>
        <w:rPr>
          <w:rFonts w:hint="eastAsia"/>
          <w:szCs w:val="21"/>
          <w:u w:val="single"/>
        </w:rPr>
        <w:t>东洲断面下游至澹水与涔水交汇处，该段河流长度为5km，未划分水功能区。</w:t>
      </w:r>
      <w:r>
        <w:rPr>
          <w:rFonts w:hint="eastAsia"/>
          <w:spacing w:val="-1"/>
          <w:szCs w:val="24"/>
          <w:u w:val="single"/>
        </w:rPr>
        <w:t>根据《入河排污口设置论证基本要求（试行）》，未划分水功能区的水域，入河排污口排污影响范围内的水域都应为论证范围。</w:t>
      </w:r>
      <w:r>
        <w:rPr>
          <w:rFonts w:hint="eastAsia"/>
          <w:szCs w:val="21"/>
          <w:u w:val="single"/>
        </w:rPr>
        <w:t>根据《常德市水功能区划（2014年2月）》，下游涔水河段属于涔水大堰垱镇至小渡口保留区（起于澧县大堰垱镇张家河头，止于小渡口，全长</w:t>
      </w:r>
      <w:r>
        <w:rPr>
          <w:szCs w:val="21"/>
          <w:u w:val="single"/>
        </w:rPr>
        <w:t>52.79km</w:t>
      </w:r>
      <w:r>
        <w:rPr>
          <w:rFonts w:hint="eastAsia"/>
          <w:szCs w:val="21"/>
          <w:u w:val="single"/>
        </w:rPr>
        <w:t>），该段为开发利用程度不高河段，现状水质为</w:t>
      </w:r>
      <w:r>
        <w:rPr>
          <w:szCs w:val="21"/>
          <w:u w:val="single"/>
        </w:rPr>
        <w:t xml:space="preserve">III </w:t>
      </w:r>
      <w:r>
        <w:rPr>
          <w:rFonts w:hint="eastAsia"/>
          <w:szCs w:val="21"/>
          <w:u w:val="single"/>
        </w:rPr>
        <w:t>类，</w:t>
      </w:r>
      <w:r>
        <w:rPr>
          <w:szCs w:val="21"/>
          <w:u w:val="single"/>
        </w:rPr>
        <w:t xml:space="preserve">2015 </w:t>
      </w:r>
      <w:r>
        <w:rPr>
          <w:rFonts w:hint="eastAsia"/>
          <w:szCs w:val="21"/>
          <w:u w:val="single"/>
        </w:rPr>
        <w:t>年和</w:t>
      </w:r>
      <w:r>
        <w:rPr>
          <w:szCs w:val="21"/>
          <w:u w:val="single"/>
        </w:rPr>
        <w:t>2020</w:t>
      </w:r>
      <w:r>
        <w:rPr>
          <w:rFonts w:hint="eastAsia"/>
          <w:szCs w:val="21"/>
          <w:u w:val="single"/>
        </w:rPr>
        <w:t>年水质管理目标均为</w:t>
      </w:r>
      <w:r>
        <w:rPr>
          <w:szCs w:val="21"/>
          <w:u w:val="single"/>
        </w:rPr>
        <w:t xml:space="preserve">III </w:t>
      </w:r>
      <w:r>
        <w:rPr>
          <w:rFonts w:hint="eastAsia"/>
          <w:szCs w:val="21"/>
          <w:u w:val="single"/>
        </w:rPr>
        <w:t>类。</w:t>
      </w:r>
    </w:p>
    <w:p>
      <w:pPr>
        <w:ind w:firstLine="480"/>
        <w:rPr>
          <w:u w:val="single"/>
        </w:rPr>
      </w:pPr>
      <w:r>
        <w:rPr>
          <w:rFonts w:hint="eastAsia"/>
          <w:szCs w:val="24"/>
          <w:u w:val="single"/>
        </w:rPr>
        <w:t>综上，本次</w:t>
      </w:r>
      <w:r>
        <w:rPr>
          <w:rFonts w:hint="eastAsia"/>
          <w:u w:val="single"/>
        </w:rPr>
        <w:t>论证范围澹水</w:t>
      </w:r>
      <w:r>
        <w:rPr>
          <w:rFonts w:hint="eastAsia"/>
          <w:b/>
          <w:u w:val="single"/>
        </w:rPr>
        <w:t>水质管理目标按</w:t>
      </w:r>
      <w:r>
        <w:rPr>
          <w:rFonts w:hint="eastAsia" w:ascii="宋体" w:hAnsi="宋体" w:cs="宋体"/>
          <w:b/>
          <w:u w:val="single"/>
        </w:rPr>
        <w:t>Ⅲ</w:t>
      </w:r>
      <w:r>
        <w:rPr>
          <w:rFonts w:hint="eastAsia"/>
          <w:b/>
          <w:u w:val="single"/>
        </w:rPr>
        <w:t>类</w:t>
      </w:r>
      <w:r>
        <w:rPr>
          <w:rFonts w:hint="eastAsia"/>
          <w:u w:val="single"/>
        </w:rPr>
        <w:t>。</w:t>
      </w:r>
    </w:p>
    <w:p>
      <w:pPr>
        <w:pStyle w:val="3"/>
      </w:pPr>
      <w:bookmarkStart w:id="22" w:name="_Toc166145936"/>
      <w:r>
        <w:rPr>
          <w:rFonts w:hint="eastAsia"/>
        </w:rPr>
        <w:t>3.3 水功能区纳污能力及限制排放总量</w:t>
      </w:r>
      <w:bookmarkEnd w:id="22"/>
    </w:p>
    <w:p>
      <w:pPr>
        <w:ind w:firstLine="480"/>
      </w:pPr>
      <w:r>
        <w:rPr>
          <w:rFonts w:hint="eastAsia"/>
        </w:rPr>
        <w:t>水功能区纳污能力的计算，是制定水域污染物排放总量控制方案的依据。水域纳污能力是指在一定设计水文条件下，满足水功能区水质目标要求，功能区水域所能容纳污染物的最大数量。其大小与水体特征、水质目标及污染物特性有关，通常以单位时间内水体所能承受的污染物总量表示。同一水功能区在不同设计水文条件下，所能容纳的污染物的最大数量也不相同。</w:t>
      </w:r>
    </w:p>
    <w:p>
      <w:pPr>
        <w:ind w:firstLine="480"/>
        <w:rPr>
          <w:szCs w:val="24"/>
          <w:u w:val="single"/>
        </w:rPr>
      </w:pPr>
      <w:r>
        <w:rPr>
          <w:color w:val="000000"/>
          <w:szCs w:val="24"/>
        </w:rPr>
        <w:t>根据《水域纳污能力计算规程》（GB/T251</w:t>
      </w:r>
      <w:r>
        <w:rPr>
          <w:rFonts w:hint="eastAsia"/>
          <w:color w:val="000000"/>
          <w:szCs w:val="24"/>
        </w:rPr>
        <w:t>73</w:t>
      </w:r>
      <w:r>
        <w:rPr>
          <w:color w:val="000000"/>
          <w:szCs w:val="24"/>
        </w:rPr>
        <w:t>-2010），选取河流纳污能力数学模型计算法计算项目排污口论证范围的水域纳污能力。</w:t>
      </w:r>
      <w:r>
        <w:rPr>
          <w:rFonts w:hint="eastAsia"/>
          <w:color w:val="000000"/>
          <w:szCs w:val="24"/>
          <w:u w:val="single"/>
        </w:rPr>
        <w:t>本项目论证范围澹水河段5.6km（农灌渠自流口至澹水与涔水交汇处）的水域纳污能力如下</w:t>
      </w:r>
      <w:r>
        <w:rPr>
          <w:rFonts w:hint="eastAsia"/>
          <w:szCs w:val="24"/>
          <w:u w:val="single"/>
        </w:rPr>
        <w:t xml:space="preserve">： </w:t>
      </w:r>
    </w:p>
    <w:p>
      <w:pPr>
        <w:ind w:firstLine="0" w:firstLineChars="0"/>
        <w:jc w:val="center"/>
        <w:rPr>
          <w:szCs w:val="24"/>
          <w:u w:val="single"/>
        </w:rPr>
      </w:pPr>
      <w:r>
        <w:rPr>
          <w:rFonts w:hint="eastAsia"/>
          <w:szCs w:val="24"/>
          <w:u w:val="single"/>
        </w:rPr>
        <w:t>M</w:t>
      </w:r>
      <w:r>
        <w:rPr>
          <w:szCs w:val="24"/>
          <w:u w:val="single"/>
        </w:rPr>
        <w:t>=</w:t>
      </w:r>
      <w:r>
        <w:rPr>
          <w:rFonts w:hint="eastAsia"/>
          <w:szCs w:val="24"/>
          <w:u w:val="single"/>
        </w:rPr>
        <w:t>（C</w:t>
      </w:r>
      <w:r>
        <w:rPr>
          <w:szCs w:val="24"/>
          <w:u w:val="single"/>
          <w:vertAlign w:val="subscript"/>
        </w:rPr>
        <w:t>s</w:t>
      </w:r>
      <w:r>
        <w:rPr>
          <w:szCs w:val="24"/>
          <w:u w:val="single"/>
        </w:rPr>
        <w:t>-C</w:t>
      </w:r>
      <w:r>
        <w:rPr>
          <w:szCs w:val="24"/>
          <w:u w:val="single"/>
          <w:vertAlign w:val="subscript"/>
        </w:rPr>
        <w:t>x</w:t>
      </w:r>
      <w:r>
        <w:rPr>
          <w:rFonts w:hint="eastAsia"/>
          <w:szCs w:val="24"/>
          <w:u w:val="single"/>
        </w:rPr>
        <w:t>）（Q</w:t>
      </w:r>
      <w:r>
        <w:rPr>
          <w:szCs w:val="24"/>
          <w:u w:val="single"/>
        </w:rPr>
        <w:t>+Q</w:t>
      </w:r>
      <w:r>
        <w:rPr>
          <w:szCs w:val="24"/>
          <w:u w:val="single"/>
          <w:vertAlign w:val="subscript"/>
        </w:rPr>
        <w:t>p</w:t>
      </w:r>
      <w:r>
        <w:rPr>
          <w:rFonts w:hint="eastAsia"/>
          <w:szCs w:val="24"/>
          <w:u w:val="single"/>
        </w:rPr>
        <w:t>）</w:t>
      </w:r>
    </w:p>
    <w:p>
      <w:pPr>
        <w:ind w:firstLine="600" w:firstLineChars="250"/>
        <w:rPr>
          <w:szCs w:val="24"/>
          <w:u w:val="single"/>
        </w:rPr>
      </w:pPr>
      <w:r>
        <w:rPr>
          <w:szCs w:val="24"/>
          <w:u w:val="single"/>
        </w:rPr>
        <w:t>M——水域纳污能力，g/s；</w:t>
      </w:r>
    </w:p>
    <w:p>
      <w:pPr>
        <w:ind w:firstLine="600" w:firstLineChars="250"/>
        <w:rPr>
          <w:szCs w:val="24"/>
          <w:u w:val="single"/>
        </w:rPr>
      </w:pPr>
      <w:r>
        <w:rPr>
          <w:szCs w:val="24"/>
          <w:u w:val="single"/>
        </w:rPr>
        <w:t>Cs——水质目标浓度值</w:t>
      </w:r>
      <w:r>
        <w:rPr>
          <w:color w:val="000000"/>
          <w:szCs w:val="24"/>
          <w:u w:val="single"/>
        </w:rPr>
        <w:t>，mg/L</w:t>
      </w:r>
      <w:r>
        <w:rPr>
          <w:szCs w:val="24"/>
          <w:u w:val="single"/>
        </w:rPr>
        <w:t>；</w:t>
      </w:r>
    </w:p>
    <w:p>
      <w:pPr>
        <w:ind w:firstLine="600" w:firstLineChars="250"/>
        <w:rPr>
          <w:szCs w:val="24"/>
          <w:u w:val="single"/>
        </w:rPr>
      </w:pPr>
      <w:r>
        <w:rPr>
          <w:szCs w:val="21"/>
          <w:u w:val="single"/>
        </w:rPr>
        <w:t>C</w:t>
      </w:r>
      <w:r>
        <w:rPr>
          <w:szCs w:val="21"/>
          <w:u w:val="single"/>
          <w:vertAlign w:val="subscript"/>
        </w:rPr>
        <w:t>x</w:t>
      </w:r>
      <w:r>
        <w:rPr>
          <w:szCs w:val="21"/>
          <w:u w:val="single"/>
        </w:rPr>
        <w:t>——流经x距离后的污染物浓度，mg/L；</w:t>
      </w:r>
    </w:p>
    <w:p>
      <w:pPr>
        <w:ind w:firstLine="600" w:firstLineChars="250"/>
        <w:rPr>
          <w:szCs w:val="24"/>
          <w:u w:val="single"/>
        </w:rPr>
      </w:pPr>
      <w:r>
        <w:rPr>
          <w:szCs w:val="24"/>
          <w:u w:val="single"/>
        </w:rPr>
        <w:t>Q</w:t>
      </w:r>
      <w:r>
        <w:rPr>
          <w:szCs w:val="21"/>
          <w:u w:val="single"/>
        </w:rPr>
        <w:t>——河流流量</w:t>
      </w:r>
      <w:r>
        <w:rPr>
          <w:szCs w:val="24"/>
          <w:u w:val="single"/>
        </w:rPr>
        <w:t>，m</w:t>
      </w:r>
      <w:r>
        <w:rPr>
          <w:szCs w:val="24"/>
          <w:u w:val="single"/>
          <w:vertAlign w:val="superscript"/>
        </w:rPr>
        <w:t>3</w:t>
      </w:r>
      <w:r>
        <w:rPr>
          <w:szCs w:val="24"/>
          <w:u w:val="single"/>
        </w:rPr>
        <w:t>/s；</w:t>
      </w:r>
    </w:p>
    <w:p>
      <w:pPr>
        <w:ind w:firstLine="600" w:firstLineChars="250"/>
        <w:rPr>
          <w:szCs w:val="24"/>
          <w:u w:val="single"/>
        </w:rPr>
      </w:pPr>
      <w:r>
        <w:rPr>
          <w:szCs w:val="24"/>
          <w:u w:val="single"/>
        </w:rPr>
        <w:t>Q</w:t>
      </w:r>
      <w:r>
        <w:rPr>
          <w:szCs w:val="24"/>
          <w:u w:val="single"/>
          <w:vertAlign w:val="subscript"/>
        </w:rPr>
        <w:t>p</w:t>
      </w:r>
      <w:r>
        <w:rPr>
          <w:szCs w:val="24"/>
          <w:u w:val="single"/>
        </w:rPr>
        <w:t>——废污水排放流量，m</w:t>
      </w:r>
      <w:r>
        <w:rPr>
          <w:szCs w:val="24"/>
          <w:u w:val="single"/>
          <w:vertAlign w:val="superscript"/>
        </w:rPr>
        <w:t>3</w:t>
      </w:r>
      <w:r>
        <w:rPr>
          <w:szCs w:val="24"/>
          <w:u w:val="single"/>
        </w:rPr>
        <w:t>/s。</w:t>
      </w:r>
    </w:p>
    <w:p>
      <w:pPr>
        <w:ind w:firstLine="0" w:firstLineChars="0"/>
        <w:jc w:val="center"/>
        <w:textAlignment w:val="center"/>
        <w:rPr>
          <w:b/>
          <w:bCs/>
          <w:color w:val="000000"/>
          <w:sz w:val="21"/>
          <w:szCs w:val="21"/>
          <w:u w:val="single"/>
        </w:rPr>
      </w:pPr>
      <w:r>
        <w:rPr>
          <w:rFonts w:hint="eastAsia"/>
          <w:b/>
          <w:bCs/>
          <w:color w:val="000000"/>
          <w:sz w:val="21"/>
          <w:szCs w:val="21"/>
          <w:u w:val="single"/>
        </w:rPr>
        <w:t>表3-</w:t>
      </w:r>
      <w:r>
        <w:rPr>
          <w:b/>
          <w:bCs/>
          <w:color w:val="000000"/>
          <w:sz w:val="21"/>
          <w:szCs w:val="21"/>
          <w:u w:val="single"/>
        </w:rPr>
        <w:t xml:space="preserve">1 </w:t>
      </w:r>
      <w:r>
        <w:rPr>
          <w:rFonts w:hint="eastAsia"/>
          <w:b/>
          <w:bCs/>
          <w:color w:val="000000"/>
          <w:sz w:val="21"/>
          <w:szCs w:val="21"/>
          <w:u w:val="single"/>
        </w:rPr>
        <w:t xml:space="preserve"> </w:t>
      </w:r>
      <w:r>
        <w:rPr>
          <w:b/>
          <w:bCs/>
          <w:color w:val="000000"/>
          <w:sz w:val="21"/>
          <w:szCs w:val="21"/>
          <w:u w:val="single"/>
        </w:rPr>
        <w:t>澹水</w:t>
      </w:r>
      <w:r>
        <w:rPr>
          <w:rFonts w:hint="eastAsia"/>
          <w:b/>
          <w:bCs/>
          <w:color w:val="000000"/>
          <w:sz w:val="21"/>
          <w:szCs w:val="21"/>
          <w:u w:val="single"/>
        </w:rPr>
        <w:t>水文参数表</w:t>
      </w:r>
    </w:p>
    <w:tbl>
      <w:tblPr>
        <w:tblStyle w:val="41"/>
        <w:tblW w:w="873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02"/>
        <w:gridCol w:w="994"/>
        <w:gridCol w:w="1133"/>
        <w:gridCol w:w="1050"/>
        <w:gridCol w:w="1249"/>
        <w:gridCol w:w="1313"/>
        <w:gridCol w:w="12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43" w:type="pct"/>
            <w:gridSpan w:val="2"/>
            <w:vAlign w:val="center"/>
          </w:tcPr>
          <w:p>
            <w:pPr>
              <w:spacing w:line="240" w:lineRule="auto"/>
              <w:ind w:firstLine="0" w:firstLineChars="0"/>
              <w:jc w:val="center"/>
              <w:rPr>
                <w:b/>
                <w:color w:val="000000"/>
                <w:sz w:val="21"/>
                <w:szCs w:val="21"/>
              </w:rPr>
            </w:pPr>
            <w:r>
              <w:rPr>
                <w:b/>
                <w:color w:val="000000"/>
                <w:sz w:val="21"/>
                <w:szCs w:val="21"/>
              </w:rPr>
              <w:t>参数选取</w:t>
            </w:r>
          </w:p>
        </w:tc>
        <w:tc>
          <w:tcPr>
            <w:tcW w:w="649" w:type="pct"/>
            <w:vAlign w:val="center"/>
          </w:tcPr>
          <w:p>
            <w:pPr>
              <w:spacing w:line="240" w:lineRule="auto"/>
              <w:ind w:firstLine="0" w:firstLineChars="0"/>
              <w:jc w:val="center"/>
              <w:rPr>
                <w:b/>
                <w:color w:val="000000"/>
                <w:sz w:val="21"/>
                <w:szCs w:val="21"/>
              </w:rPr>
            </w:pPr>
            <w:r>
              <w:rPr>
                <w:b/>
                <w:color w:val="000000"/>
                <w:sz w:val="21"/>
                <w:szCs w:val="21"/>
              </w:rPr>
              <w:t>Q (m</w:t>
            </w:r>
            <w:r>
              <w:rPr>
                <w:b/>
                <w:color w:val="000000"/>
                <w:sz w:val="21"/>
                <w:szCs w:val="21"/>
                <w:vertAlign w:val="superscript"/>
              </w:rPr>
              <w:t>3</w:t>
            </w:r>
            <w:r>
              <w:rPr>
                <w:b/>
                <w:color w:val="000000"/>
                <w:sz w:val="21"/>
                <w:szCs w:val="21"/>
              </w:rPr>
              <w:t>/s)</w:t>
            </w:r>
          </w:p>
        </w:tc>
        <w:tc>
          <w:tcPr>
            <w:tcW w:w="601" w:type="pct"/>
            <w:vAlign w:val="center"/>
          </w:tcPr>
          <w:p>
            <w:pPr>
              <w:spacing w:line="240" w:lineRule="auto"/>
              <w:ind w:firstLine="0" w:firstLineChars="0"/>
              <w:jc w:val="center"/>
              <w:rPr>
                <w:b/>
                <w:color w:val="000000"/>
                <w:sz w:val="21"/>
                <w:szCs w:val="21"/>
              </w:rPr>
            </w:pPr>
            <w:r>
              <w:rPr>
                <w:b/>
                <w:color w:val="000000"/>
                <w:sz w:val="21"/>
                <w:szCs w:val="21"/>
              </w:rPr>
              <w:t>x（m）</w:t>
            </w:r>
          </w:p>
        </w:tc>
        <w:tc>
          <w:tcPr>
            <w:tcW w:w="715" w:type="pct"/>
            <w:vAlign w:val="center"/>
          </w:tcPr>
          <w:p>
            <w:pPr>
              <w:spacing w:line="240" w:lineRule="auto"/>
              <w:ind w:firstLine="0" w:firstLineChars="0"/>
              <w:jc w:val="center"/>
              <w:rPr>
                <w:b/>
                <w:color w:val="000000"/>
                <w:sz w:val="21"/>
                <w:szCs w:val="21"/>
              </w:rPr>
            </w:pPr>
            <w:r>
              <w:rPr>
                <w:b/>
                <w:color w:val="000000"/>
                <w:sz w:val="21"/>
                <w:szCs w:val="21"/>
              </w:rPr>
              <w:t>C</w:t>
            </w:r>
            <w:r>
              <w:rPr>
                <w:b/>
                <w:color w:val="000000"/>
                <w:sz w:val="21"/>
                <w:szCs w:val="21"/>
                <w:vertAlign w:val="subscript"/>
              </w:rPr>
              <w:t>x</w:t>
            </w:r>
            <w:r>
              <w:rPr>
                <w:b/>
                <w:color w:val="000000"/>
                <w:sz w:val="21"/>
                <w:szCs w:val="21"/>
              </w:rPr>
              <w:t xml:space="preserve"> (mg/L)</w:t>
            </w:r>
          </w:p>
        </w:tc>
        <w:tc>
          <w:tcPr>
            <w:tcW w:w="752" w:type="pct"/>
            <w:vAlign w:val="center"/>
          </w:tcPr>
          <w:p>
            <w:pPr>
              <w:spacing w:line="240" w:lineRule="auto"/>
              <w:ind w:firstLine="0" w:firstLineChars="0"/>
              <w:jc w:val="center"/>
              <w:rPr>
                <w:b/>
                <w:color w:val="000000"/>
                <w:sz w:val="21"/>
                <w:szCs w:val="21"/>
              </w:rPr>
            </w:pPr>
            <w:r>
              <w:rPr>
                <w:b/>
                <w:color w:val="000000"/>
                <w:sz w:val="21"/>
                <w:szCs w:val="21"/>
              </w:rPr>
              <w:t>Cs (mg/L)</w:t>
            </w:r>
          </w:p>
        </w:tc>
        <w:tc>
          <w:tcPr>
            <w:tcW w:w="739" w:type="pct"/>
            <w:vAlign w:val="center"/>
          </w:tcPr>
          <w:p>
            <w:pPr>
              <w:spacing w:line="240" w:lineRule="auto"/>
              <w:ind w:firstLine="0" w:firstLineChars="0"/>
              <w:jc w:val="center"/>
              <w:rPr>
                <w:b/>
                <w:color w:val="000000"/>
                <w:sz w:val="21"/>
                <w:szCs w:val="21"/>
              </w:rPr>
            </w:pPr>
            <w:r>
              <w:rPr>
                <w:b/>
                <w:color w:val="000000"/>
                <w:sz w:val="21"/>
                <w:szCs w:val="21"/>
              </w:rPr>
              <w:t>Q</w:t>
            </w:r>
            <w:r>
              <w:rPr>
                <w:b/>
                <w:color w:val="000000"/>
                <w:sz w:val="21"/>
                <w:szCs w:val="21"/>
                <w:vertAlign w:val="subscript"/>
              </w:rPr>
              <w:t>p</w:t>
            </w:r>
            <w:r>
              <w:rPr>
                <w:b/>
                <w:color w:val="000000"/>
                <w:sz w:val="21"/>
                <w:szCs w:val="21"/>
              </w:rPr>
              <w:t>（m</w:t>
            </w:r>
            <w:r>
              <w:rPr>
                <w:b/>
                <w:color w:val="000000"/>
                <w:sz w:val="21"/>
                <w:szCs w:val="21"/>
                <w:vertAlign w:val="superscript"/>
              </w:rPr>
              <w:t>3</w:t>
            </w:r>
            <w:r>
              <w:rPr>
                <w:b/>
                <w:color w:val="000000"/>
                <w:sz w:val="21"/>
                <w:szCs w:val="21"/>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75" w:type="pct"/>
            <w:vMerge w:val="restart"/>
            <w:vAlign w:val="center"/>
          </w:tcPr>
          <w:p>
            <w:pPr>
              <w:spacing w:line="240" w:lineRule="auto"/>
              <w:ind w:firstLine="0" w:firstLineChars="0"/>
              <w:jc w:val="center"/>
              <w:rPr>
                <w:color w:val="000000"/>
                <w:sz w:val="21"/>
                <w:szCs w:val="21"/>
              </w:rPr>
            </w:pPr>
            <w:r>
              <w:rPr>
                <w:rFonts w:hint="eastAsia"/>
                <w:color w:val="000000"/>
                <w:sz w:val="21"/>
                <w:szCs w:val="21"/>
              </w:rPr>
              <w:t>枯水期（12月至次年3月）</w:t>
            </w:r>
          </w:p>
        </w:tc>
        <w:tc>
          <w:tcPr>
            <w:tcW w:w="569" w:type="pct"/>
            <w:vAlign w:val="center"/>
          </w:tcPr>
          <w:p>
            <w:pPr>
              <w:spacing w:line="240" w:lineRule="auto"/>
              <w:ind w:firstLine="0" w:firstLineChars="0"/>
              <w:jc w:val="center"/>
              <w:rPr>
                <w:color w:val="000000"/>
                <w:sz w:val="21"/>
                <w:szCs w:val="21"/>
              </w:rPr>
            </w:pPr>
            <w:r>
              <w:rPr>
                <w:color w:val="000000"/>
                <w:sz w:val="21"/>
                <w:szCs w:val="21"/>
              </w:rPr>
              <w:t>COD</w:t>
            </w:r>
          </w:p>
        </w:tc>
        <w:tc>
          <w:tcPr>
            <w:tcW w:w="649" w:type="pct"/>
            <w:vAlign w:val="center"/>
          </w:tcPr>
          <w:p>
            <w:pPr>
              <w:spacing w:line="240" w:lineRule="auto"/>
              <w:ind w:firstLine="0" w:firstLineChars="0"/>
              <w:jc w:val="center"/>
              <w:rPr>
                <w:color w:val="000000"/>
                <w:sz w:val="21"/>
                <w:szCs w:val="21"/>
              </w:rPr>
            </w:pPr>
            <w:r>
              <w:rPr>
                <w:rFonts w:hint="eastAsia"/>
                <w:color w:val="000000"/>
                <w:sz w:val="21"/>
                <w:szCs w:val="21"/>
              </w:rPr>
              <w:t>8.06</w:t>
            </w:r>
          </w:p>
        </w:tc>
        <w:tc>
          <w:tcPr>
            <w:tcW w:w="601" w:type="pct"/>
            <w:vAlign w:val="center"/>
          </w:tcPr>
          <w:p>
            <w:pPr>
              <w:spacing w:line="240" w:lineRule="auto"/>
              <w:ind w:firstLine="0" w:firstLineChars="0"/>
              <w:jc w:val="center"/>
              <w:rPr>
                <w:color w:val="000000"/>
                <w:sz w:val="21"/>
                <w:szCs w:val="21"/>
              </w:rPr>
            </w:pPr>
            <w:r>
              <w:rPr>
                <w:color w:val="000000"/>
                <w:sz w:val="21"/>
                <w:szCs w:val="21"/>
              </w:rPr>
              <w:t>5600</w:t>
            </w:r>
          </w:p>
        </w:tc>
        <w:tc>
          <w:tcPr>
            <w:tcW w:w="715" w:type="pct"/>
            <w:vAlign w:val="center"/>
          </w:tcPr>
          <w:p>
            <w:pPr>
              <w:spacing w:line="240" w:lineRule="auto"/>
              <w:ind w:firstLine="0" w:firstLineChars="0"/>
              <w:jc w:val="center"/>
              <w:rPr>
                <w:color w:val="000000"/>
                <w:sz w:val="21"/>
                <w:szCs w:val="21"/>
              </w:rPr>
            </w:pPr>
            <w:r>
              <w:rPr>
                <w:rFonts w:hint="eastAsia"/>
                <w:color w:val="000000"/>
                <w:sz w:val="21"/>
                <w:szCs w:val="21"/>
              </w:rPr>
              <w:t>31.96</w:t>
            </w:r>
          </w:p>
        </w:tc>
        <w:tc>
          <w:tcPr>
            <w:tcW w:w="752" w:type="pct"/>
            <w:vAlign w:val="center"/>
          </w:tcPr>
          <w:p>
            <w:pPr>
              <w:spacing w:line="240" w:lineRule="auto"/>
              <w:ind w:firstLine="0" w:firstLineChars="0"/>
              <w:jc w:val="center"/>
              <w:rPr>
                <w:color w:val="000000"/>
                <w:sz w:val="21"/>
                <w:szCs w:val="21"/>
              </w:rPr>
            </w:pPr>
            <w:r>
              <w:rPr>
                <w:rFonts w:hint="eastAsia"/>
                <w:color w:val="000000"/>
                <w:sz w:val="21"/>
                <w:szCs w:val="21"/>
              </w:rPr>
              <w:t>20</w:t>
            </w:r>
          </w:p>
        </w:tc>
        <w:tc>
          <w:tcPr>
            <w:tcW w:w="739" w:type="pct"/>
            <w:vAlign w:val="center"/>
          </w:tcPr>
          <w:p>
            <w:pPr>
              <w:spacing w:line="240" w:lineRule="auto"/>
              <w:ind w:firstLine="0" w:firstLineChars="0"/>
              <w:jc w:val="center"/>
              <w:rPr>
                <w:color w:val="000000"/>
                <w:sz w:val="21"/>
                <w:szCs w:val="21"/>
              </w:rPr>
            </w:pPr>
            <w:r>
              <w:rPr>
                <w:color w:val="000000"/>
                <w:sz w:val="21"/>
                <w:szCs w:val="21"/>
              </w:rPr>
              <w:t>0.347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75" w:type="pct"/>
            <w:vMerge w:val="continue"/>
            <w:vAlign w:val="center"/>
          </w:tcPr>
          <w:p>
            <w:pPr>
              <w:spacing w:line="240" w:lineRule="auto"/>
              <w:ind w:firstLine="0" w:firstLineChars="0"/>
              <w:jc w:val="center"/>
              <w:rPr>
                <w:color w:val="000000"/>
                <w:sz w:val="21"/>
                <w:szCs w:val="21"/>
              </w:rPr>
            </w:pPr>
          </w:p>
        </w:tc>
        <w:tc>
          <w:tcPr>
            <w:tcW w:w="569" w:type="pct"/>
            <w:vAlign w:val="center"/>
          </w:tcPr>
          <w:p>
            <w:pPr>
              <w:spacing w:line="240" w:lineRule="auto"/>
              <w:ind w:firstLine="0" w:firstLineChars="0"/>
              <w:jc w:val="center"/>
              <w:rPr>
                <w:color w:val="000000"/>
                <w:sz w:val="21"/>
                <w:szCs w:val="21"/>
              </w:rPr>
            </w:pPr>
            <w:r>
              <w:rPr>
                <w:color w:val="000000"/>
                <w:sz w:val="21"/>
                <w:szCs w:val="21"/>
              </w:rPr>
              <w:t>氨氮</w:t>
            </w:r>
          </w:p>
        </w:tc>
        <w:tc>
          <w:tcPr>
            <w:tcW w:w="649" w:type="pct"/>
            <w:vAlign w:val="center"/>
          </w:tcPr>
          <w:p>
            <w:pPr>
              <w:spacing w:line="240" w:lineRule="auto"/>
              <w:ind w:firstLine="0" w:firstLineChars="0"/>
              <w:jc w:val="center"/>
              <w:rPr>
                <w:color w:val="000000"/>
                <w:sz w:val="21"/>
                <w:szCs w:val="21"/>
              </w:rPr>
            </w:pPr>
            <w:r>
              <w:rPr>
                <w:rFonts w:hint="eastAsia"/>
                <w:color w:val="000000"/>
                <w:sz w:val="21"/>
                <w:szCs w:val="21"/>
              </w:rPr>
              <w:t>8.06</w:t>
            </w:r>
          </w:p>
        </w:tc>
        <w:tc>
          <w:tcPr>
            <w:tcW w:w="601" w:type="pct"/>
            <w:vAlign w:val="center"/>
          </w:tcPr>
          <w:p>
            <w:pPr>
              <w:spacing w:line="240" w:lineRule="auto"/>
              <w:ind w:firstLine="0" w:firstLineChars="0"/>
              <w:jc w:val="center"/>
              <w:rPr>
                <w:color w:val="000000"/>
                <w:sz w:val="21"/>
                <w:szCs w:val="21"/>
              </w:rPr>
            </w:pPr>
            <w:r>
              <w:rPr>
                <w:color w:val="000000"/>
                <w:sz w:val="21"/>
                <w:szCs w:val="21"/>
              </w:rPr>
              <w:t>5600</w:t>
            </w:r>
          </w:p>
        </w:tc>
        <w:tc>
          <w:tcPr>
            <w:tcW w:w="715" w:type="pct"/>
            <w:vAlign w:val="center"/>
          </w:tcPr>
          <w:p>
            <w:pPr>
              <w:spacing w:line="240" w:lineRule="auto"/>
              <w:ind w:firstLine="0" w:firstLineChars="0"/>
              <w:jc w:val="center"/>
              <w:rPr>
                <w:color w:val="000000"/>
                <w:sz w:val="21"/>
                <w:szCs w:val="21"/>
              </w:rPr>
            </w:pPr>
            <w:r>
              <w:rPr>
                <w:rFonts w:hint="eastAsia"/>
                <w:color w:val="000000"/>
                <w:sz w:val="21"/>
                <w:szCs w:val="21"/>
              </w:rPr>
              <w:t>1.357</w:t>
            </w:r>
          </w:p>
        </w:tc>
        <w:tc>
          <w:tcPr>
            <w:tcW w:w="752" w:type="pct"/>
            <w:vAlign w:val="center"/>
          </w:tcPr>
          <w:p>
            <w:pPr>
              <w:spacing w:line="240" w:lineRule="auto"/>
              <w:ind w:firstLine="0" w:firstLineChars="0"/>
              <w:jc w:val="center"/>
              <w:rPr>
                <w:color w:val="000000"/>
                <w:sz w:val="21"/>
                <w:szCs w:val="21"/>
              </w:rPr>
            </w:pPr>
            <w:r>
              <w:rPr>
                <w:rFonts w:hint="eastAsia"/>
                <w:color w:val="000000"/>
                <w:sz w:val="21"/>
                <w:szCs w:val="21"/>
              </w:rPr>
              <w:t>1.0</w:t>
            </w:r>
          </w:p>
        </w:tc>
        <w:tc>
          <w:tcPr>
            <w:tcW w:w="739" w:type="pct"/>
            <w:vAlign w:val="center"/>
          </w:tcPr>
          <w:p>
            <w:pPr>
              <w:spacing w:line="240" w:lineRule="auto"/>
              <w:ind w:firstLine="0" w:firstLineChars="0"/>
              <w:jc w:val="center"/>
              <w:rPr>
                <w:color w:val="000000"/>
                <w:sz w:val="21"/>
                <w:szCs w:val="21"/>
              </w:rPr>
            </w:pPr>
            <w:r>
              <w:rPr>
                <w:color w:val="000000"/>
                <w:sz w:val="21"/>
                <w:szCs w:val="21"/>
              </w:rPr>
              <w:t>0.347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75" w:type="pct"/>
            <w:vMerge w:val="continue"/>
            <w:vAlign w:val="center"/>
          </w:tcPr>
          <w:p>
            <w:pPr>
              <w:spacing w:line="240" w:lineRule="auto"/>
              <w:ind w:firstLine="0" w:firstLineChars="0"/>
              <w:jc w:val="center"/>
              <w:rPr>
                <w:color w:val="000000"/>
                <w:sz w:val="21"/>
                <w:szCs w:val="21"/>
              </w:rPr>
            </w:pPr>
          </w:p>
        </w:tc>
        <w:tc>
          <w:tcPr>
            <w:tcW w:w="569" w:type="pct"/>
            <w:vAlign w:val="center"/>
          </w:tcPr>
          <w:p>
            <w:pPr>
              <w:spacing w:line="240" w:lineRule="auto"/>
              <w:ind w:firstLine="0" w:firstLineChars="0"/>
              <w:jc w:val="center"/>
              <w:rPr>
                <w:color w:val="000000"/>
                <w:sz w:val="21"/>
                <w:szCs w:val="21"/>
              </w:rPr>
            </w:pPr>
            <w:r>
              <w:rPr>
                <w:color w:val="000000"/>
                <w:sz w:val="21"/>
                <w:szCs w:val="21"/>
              </w:rPr>
              <w:t>总磷</w:t>
            </w:r>
          </w:p>
        </w:tc>
        <w:tc>
          <w:tcPr>
            <w:tcW w:w="649" w:type="pct"/>
            <w:vAlign w:val="center"/>
          </w:tcPr>
          <w:p>
            <w:pPr>
              <w:spacing w:line="240" w:lineRule="auto"/>
              <w:ind w:firstLine="0" w:firstLineChars="0"/>
              <w:jc w:val="center"/>
              <w:rPr>
                <w:color w:val="000000"/>
                <w:sz w:val="21"/>
                <w:szCs w:val="21"/>
              </w:rPr>
            </w:pPr>
            <w:r>
              <w:rPr>
                <w:rFonts w:hint="eastAsia"/>
                <w:color w:val="000000"/>
                <w:sz w:val="21"/>
                <w:szCs w:val="21"/>
              </w:rPr>
              <w:t>8.06</w:t>
            </w:r>
          </w:p>
        </w:tc>
        <w:tc>
          <w:tcPr>
            <w:tcW w:w="601" w:type="pct"/>
            <w:vAlign w:val="center"/>
          </w:tcPr>
          <w:p>
            <w:pPr>
              <w:spacing w:line="240" w:lineRule="auto"/>
              <w:ind w:firstLine="0" w:firstLineChars="0"/>
              <w:jc w:val="center"/>
              <w:rPr>
                <w:color w:val="000000"/>
                <w:sz w:val="21"/>
                <w:szCs w:val="21"/>
              </w:rPr>
            </w:pPr>
            <w:r>
              <w:rPr>
                <w:color w:val="000000"/>
                <w:sz w:val="21"/>
                <w:szCs w:val="21"/>
              </w:rPr>
              <w:t>5600</w:t>
            </w:r>
          </w:p>
        </w:tc>
        <w:tc>
          <w:tcPr>
            <w:tcW w:w="715" w:type="pct"/>
            <w:vAlign w:val="center"/>
          </w:tcPr>
          <w:p>
            <w:pPr>
              <w:spacing w:line="240" w:lineRule="auto"/>
              <w:ind w:firstLine="0" w:firstLineChars="0"/>
              <w:jc w:val="center"/>
              <w:rPr>
                <w:color w:val="000000"/>
                <w:sz w:val="21"/>
                <w:szCs w:val="21"/>
              </w:rPr>
            </w:pPr>
            <w:r>
              <w:rPr>
                <w:rFonts w:hint="eastAsia"/>
                <w:color w:val="000000"/>
                <w:sz w:val="21"/>
                <w:szCs w:val="21"/>
              </w:rPr>
              <w:t>0.302</w:t>
            </w:r>
          </w:p>
        </w:tc>
        <w:tc>
          <w:tcPr>
            <w:tcW w:w="752" w:type="pct"/>
            <w:vAlign w:val="center"/>
          </w:tcPr>
          <w:p>
            <w:pPr>
              <w:spacing w:line="240" w:lineRule="auto"/>
              <w:ind w:firstLine="0" w:firstLineChars="0"/>
              <w:jc w:val="center"/>
              <w:rPr>
                <w:color w:val="000000"/>
                <w:sz w:val="21"/>
                <w:szCs w:val="21"/>
              </w:rPr>
            </w:pPr>
            <w:r>
              <w:rPr>
                <w:rFonts w:hint="eastAsia"/>
                <w:color w:val="000000"/>
                <w:sz w:val="21"/>
                <w:szCs w:val="21"/>
              </w:rPr>
              <w:t>0.2</w:t>
            </w:r>
          </w:p>
        </w:tc>
        <w:tc>
          <w:tcPr>
            <w:tcW w:w="739" w:type="pct"/>
            <w:vAlign w:val="center"/>
          </w:tcPr>
          <w:p>
            <w:pPr>
              <w:spacing w:line="240" w:lineRule="auto"/>
              <w:ind w:firstLine="0" w:firstLineChars="0"/>
              <w:jc w:val="center"/>
              <w:rPr>
                <w:color w:val="000000"/>
                <w:sz w:val="21"/>
                <w:szCs w:val="21"/>
              </w:rPr>
            </w:pPr>
            <w:r>
              <w:rPr>
                <w:color w:val="000000"/>
                <w:sz w:val="21"/>
                <w:szCs w:val="21"/>
              </w:rPr>
              <w:t>0.347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75" w:type="pct"/>
            <w:vMerge w:val="restart"/>
            <w:vAlign w:val="center"/>
          </w:tcPr>
          <w:p>
            <w:pPr>
              <w:spacing w:line="240" w:lineRule="auto"/>
              <w:ind w:firstLine="0" w:firstLineChars="0"/>
              <w:jc w:val="center"/>
              <w:rPr>
                <w:color w:val="000000"/>
                <w:sz w:val="21"/>
                <w:szCs w:val="21"/>
              </w:rPr>
            </w:pPr>
            <w:r>
              <w:rPr>
                <w:rFonts w:hint="eastAsia"/>
                <w:color w:val="000000"/>
                <w:sz w:val="21"/>
                <w:szCs w:val="21"/>
              </w:rPr>
              <w:t>平水期、丰水期（4月至11月）</w:t>
            </w:r>
          </w:p>
        </w:tc>
        <w:tc>
          <w:tcPr>
            <w:tcW w:w="569" w:type="pct"/>
            <w:vAlign w:val="center"/>
          </w:tcPr>
          <w:p>
            <w:pPr>
              <w:spacing w:line="240" w:lineRule="auto"/>
              <w:ind w:firstLine="0" w:firstLineChars="0"/>
              <w:jc w:val="center"/>
              <w:rPr>
                <w:color w:val="000000"/>
                <w:sz w:val="21"/>
                <w:szCs w:val="21"/>
              </w:rPr>
            </w:pPr>
            <w:r>
              <w:rPr>
                <w:color w:val="000000"/>
                <w:sz w:val="21"/>
                <w:szCs w:val="21"/>
              </w:rPr>
              <w:t>COD</w:t>
            </w:r>
          </w:p>
        </w:tc>
        <w:tc>
          <w:tcPr>
            <w:tcW w:w="649" w:type="pct"/>
            <w:vAlign w:val="center"/>
          </w:tcPr>
          <w:p>
            <w:pPr>
              <w:spacing w:line="240" w:lineRule="auto"/>
              <w:ind w:firstLine="0" w:firstLineChars="0"/>
              <w:jc w:val="center"/>
              <w:rPr>
                <w:color w:val="000000"/>
                <w:sz w:val="21"/>
                <w:szCs w:val="21"/>
              </w:rPr>
            </w:pPr>
            <w:r>
              <w:rPr>
                <w:rFonts w:hint="eastAsia"/>
                <w:color w:val="000000"/>
                <w:sz w:val="21"/>
                <w:szCs w:val="21"/>
              </w:rPr>
              <w:t>10</w:t>
            </w:r>
          </w:p>
        </w:tc>
        <w:tc>
          <w:tcPr>
            <w:tcW w:w="601" w:type="pct"/>
            <w:vAlign w:val="center"/>
          </w:tcPr>
          <w:p>
            <w:pPr>
              <w:spacing w:line="240" w:lineRule="auto"/>
              <w:ind w:firstLine="0" w:firstLineChars="0"/>
              <w:jc w:val="center"/>
              <w:rPr>
                <w:color w:val="000000"/>
                <w:sz w:val="21"/>
                <w:szCs w:val="21"/>
              </w:rPr>
            </w:pPr>
            <w:r>
              <w:rPr>
                <w:color w:val="000000"/>
                <w:sz w:val="21"/>
                <w:szCs w:val="21"/>
              </w:rPr>
              <w:t>5600</w:t>
            </w:r>
          </w:p>
        </w:tc>
        <w:tc>
          <w:tcPr>
            <w:tcW w:w="715" w:type="pct"/>
            <w:vAlign w:val="center"/>
          </w:tcPr>
          <w:p>
            <w:pPr>
              <w:spacing w:line="240" w:lineRule="auto"/>
              <w:ind w:firstLine="0" w:firstLineChars="0"/>
              <w:jc w:val="center"/>
              <w:rPr>
                <w:color w:val="000000"/>
                <w:sz w:val="21"/>
                <w:szCs w:val="21"/>
              </w:rPr>
            </w:pPr>
            <w:r>
              <w:rPr>
                <w:rFonts w:hint="eastAsia"/>
                <w:color w:val="000000"/>
                <w:sz w:val="21"/>
                <w:szCs w:val="21"/>
              </w:rPr>
              <w:t>12</w:t>
            </w:r>
          </w:p>
        </w:tc>
        <w:tc>
          <w:tcPr>
            <w:tcW w:w="752" w:type="pct"/>
            <w:vAlign w:val="center"/>
          </w:tcPr>
          <w:p>
            <w:pPr>
              <w:spacing w:line="240" w:lineRule="auto"/>
              <w:ind w:firstLine="0" w:firstLineChars="0"/>
              <w:jc w:val="center"/>
              <w:rPr>
                <w:color w:val="000000"/>
                <w:sz w:val="21"/>
                <w:szCs w:val="21"/>
              </w:rPr>
            </w:pPr>
            <w:r>
              <w:rPr>
                <w:rFonts w:hint="eastAsia"/>
                <w:color w:val="000000"/>
                <w:sz w:val="21"/>
                <w:szCs w:val="21"/>
              </w:rPr>
              <w:t>20</w:t>
            </w:r>
          </w:p>
        </w:tc>
        <w:tc>
          <w:tcPr>
            <w:tcW w:w="739" w:type="pct"/>
            <w:vAlign w:val="center"/>
          </w:tcPr>
          <w:p>
            <w:pPr>
              <w:spacing w:line="240" w:lineRule="auto"/>
              <w:ind w:firstLine="0" w:firstLineChars="0"/>
              <w:jc w:val="center"/>
              <w:rPr>
                <w:color w:val="000000"/>
                <w:sz w:val="21"/>
                <w:szCs w:val="21"/>
              </w:rPr>
            </w:pPr>
            <w:r>
              <w:rPr>
                <w:color w:val="000000"/>
                <w:sz w:val="21"/>
                <w:szCs w:val="21"/>
              </w:rPr>
              <w:t>0.347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75" w:type="pct"/>
            <w:vMerge w:val="continue"/>
            <w:vAlign w:val="center"/>
          </w:tcPr>
          <w:p>
            <w:pPr>
              <w:spacing w:line="240" w:lineRule="auto"/>
              <w:ind w:firstLine="0" w:firstLineChars="0"/>
              <w:jc w:val="center"/>
              <w:rPr>
                <w:color w:val="000000"/>
                <w:sz w:val="21"/>
                <w:szCs w:val="21"/>
              </w:rPr>
            </w:pPr>
          </w:p>
        </w:tc>
        <w:tc>
          <w:tcPr>
            <w:tcW w:w="569" w:type="pct"/>
            <w:vAlign w:val="center"/>
          </w:tcPr>
          <w:p>
            <w:pPr>
              <w:spacing w:line="240" w:lineRule="auto"/>
              <w:ind w:firstLine="0" w:firstLineChars="0"/>
              <w:jc w:val="center"/>
              <w:rPr>
                <w:color w:val="000000"/>
                <w:sz w:val="21"/>
                <w:szCs w:val="21"/>
              </w:rPr>
            </w:pPr>
            <w:r>
              <w:rPr>
                <w:color w:val="000000"/>
                <w:sz w:val="21"/>
                <w:szCs w:val="21"/>
              </w:rPr>
              <w:t>氨氮</w:t>
            </w:r>
          </w:p>
        </w:tc>
        <w:tc>
          <w:tcPr>
            <w:tcW w:w="649" w:type="pct"/>
            <w:vAlign w:val="center"/>
          </w:tcPr>
          <w:p>
            <w:pPr>
              <w:spacing w:line="240" w:lineRule="auto"/>
              <w:ind w:firstLine="0" w:firstLineChars="0"/>
              <w:jc w:val="center"/>
              <w:rPr>
                <w:color w:val="000000"/>
                <w:sz w:val="21"/>
                <w:szCs w:val="21"/>
              </w:rPr>
            </w:pPr>
            <w:r>
              <w:rPr>
                <w:rFonts w:hint="eastAsia"/>
                <w:color w:val="000000"/>
                <w:sz w:val="21"/>
                <w:szCs w:val="21"/>
              </w:rPr>
              <w:t>10</w:t>
            </w:r>
          </w:p>
        </w:tc>
        <w:tc>
          <w:tcPr>
            <w:tcW w:w="601" w:type="pct"/>
            <w:vAlign w:val="center"/>
          </w:tcPr>
          <w:p>
            <w:pPr>
              <w:spacing w:line="240" w:lineRule="auto"/>
              <w:ind w:firstLine="0" w:firstLineChars="0"/>
              <w:jc w:val="center"/>
              <w:rPr>
                <w:color w:val="000000"/>
                <w:sz w:val="21"/>
                <w:szCs w:val="21"/>
              </w:rPr>
            </w:pPr>
            <w:r>
              <w:rPr>
                <w:color w:val="000000"/>
                <w:sz w:val="21"/>
                <w:szCs w:val="21"/>
              </w:rPr>
              <w:t>5600</w:t>
            </w:r>
          </w:p>
        </w:tc>
        <w:tc>
          <w:tcPr>
            <w:tcW w:w="715" w:type="pct"/>
            <w:vAlign w:val="center"/>
          </w:tcPr>
          <w:p>
            <w:pPr>
              <w:spacing w:line="240" w:lineRule="auto"/>
              <w:ind w:firstLine="0" w:firstLineChars="0"/>
              <w:jc w:val="center"/>
              <w:rPr>
                <w:color w:val="000000"/>
                <w:sz w:val="21"/>
                <w:szCs w:val="21"/>
              </w:rPr>
            </w:pPr>
            <w:r>
              <w:rPr>
                <w:rFonts w:hint="eastAsia"/>
                <w:color w:val="000000"/>
                <w:sz w:val="21"/>
                <w:szCs w:val="21"/>
              </w:rPr>
              <w:t>0.258</w:t>
            </w:r>
          </w:p>
        </w:tc>
        <w:tc>
          <w:tcPr>
            <w:tcW w:w="752" w:type="pct"/>
            <w:vAlign w:val="center"/>
          </w:tcPr>
          <w:p>
            <w:pPr>
              <w:spacing w:line="240" w:lineRule="auto"/>
              <w:ind w:firstLine="0" w:firstLineChars="0"/>
              <w:jc w:val="center"/>
              <w:rPr>
                <w:color w:val="000000"/>
                <w:sz w:val="21"/>
                <w:szCs w:val="21"/>
              </w:rPr>
            </w:pPr>
            <w:r>
              <w:rPr>
                <w:rFonts w:hint="eastAsia"/>
                <w:color w:val="000000"/>
                <w:sz w:val="21"/>
                <w:szCs w:val="21"/>
              </w:rPr>
              <w:t>1.0</w:t>
            </w:r>
          </w:p>
        </w:tc>
        <w:tc>
          <w:tcPr>
            <w:tcW w:w="739" w:type="pct"/>
            <w:vAlign w:val="center"/>
          </w:tcPr>
          <w:p>
            <w:pPr>
              <w:spacing w:line="240" w:lineRule="auto"/>
              <w:ind w:firstLine="0" w:firstLineChars="0"/>
              <w:jc w:val="center"/>
              <w:rPr>
                <w:color w:val="000000"/>
                <w:sz w:val="21"/>
                <w:szCs w:val="21"/>
              </w:rPr>
            </w:pPr>
            <w:r>
              <w:rPr>
                <w:color w:val="000000"/>
                <w:sz w:val="21"/>
                <w:szCs w:val="21"/>
              </w:rPr>
              <w:t>0.347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75" w:type="pct"/>
            <w:vMerge w:val="continue"/>
            <w:vAlign w:val="center"/>
          </w:tcPr>
          <w:p>
            <w:pPr>
              <w:spacing w:line="240" w:lineRule="auto"/>
              <w:ind w:firstLine="0" w:firstLineChars="0"/>
              <w:jc w:val="center"/>
              <w:rPr>
                <w:color w:val="000000"/>
                <w:sz w:val="21"/>
                <w:szCs w:val="21"/>
              </w:rPr>
            </w:pPr>
          </w:p>
        </w:tc>
        <w:tc>
          <w:tcPr>
            <w:tcW w:w="569" w:type="pct"/>
            <w:vAlign w:val="center"/>
          </w:tcPr>
          <w:p>
            <w:pPr>
              <w:spacing w:line="240" w:lineRule="auto"/>
              <w:ind w:firstLine="0" w:firstLineChars="0"/>
              <w:jc w:val="center"/>
              <w:rPr>
                <w:color w:val="000000"/>
                <w:sz w:val="21"/>
                <w:szCs w:val="21"/>
              </w:rPr>
            </w:pPr>
            <w:r>
              <w:rPr>
                <w:color w:val="000000"/>
                <w:sz w:val="21"/>
                <w:szCs w:val="21"/>
              </w:rPr>
              <w:t>总磷</w:t>
            </w:r>
          </w:p>
        </w:tc>
        <w:tc>
          <w:tcPr>
            <w:tcW w:w="649" w:type="pct"/>
            <w:vAlign w:val="center"/>
          </w:tcPr>
          <w:p>
            <w:pPr>
              <w:spacing w:line="240" w:lineRule="auto"/>
              <w:ind w:firstLine="0" w:firstLineChars="0"/>
              <w:jc w:val="center"/>
              <w:rPr>
                <w:color w:val="000000"/>
                <w:sz w:val="21"/>
                <w:szCs w:val="21"/>
              </w:rPr>
            </w:pPr>
            <w:r>
              <w:rPr>
                <w:rFonts w:hint="eastAsia"/>
                <w:color w:val="000000"/>
                <w:sz w:val="21"/>
                <w:szCs w:val="21"/>
              </w:rPr>
              <w:t>10</w:t>
            </w:r>
          </w:p>
        </w:tc>
        <w:tc>
          <w:tcPr>
            <w:tcW w:w="601" w:type="pct"/>
            <w:vAlign w:val="center"/>
          </w:tcPr>
          <w:p>
            <w:pPr>
              <w:spacing w:line="240" w:lineRule="auto"/>
              <w:ind w:firstLine="0" w:firstLineChars="0"/>
              <w:jc w:val="center"/>
              <w:rPr>
                <w:color w:val="000000"/>
                <w:sz w:val="21"/>
                <w:szCs w:val="21"/>
              </w:rPr>
            </w:pPr>
            <w:r>
              <w:rPr>
                <w:color w:val="000000"/>
                <w:sz w:val="21"/>
                <w:szCs w:val="21"/>
              </w:rPr>
              <w:t>5600</w:t>
            </w:r>
          </w:p>
        </w:tc>
        <w:tc>
          <w:tcPr>
            <w:tcW w:w="715" w:type="pct"/>
            <w:vAlign w:val="center"/>
          </w:tcPr>
          <w:p>
            <w:pPr>
              <w:spacing w:line="240" w:lineRule="auto"/>
              <w:ind w:firstLine="0" w:firstLineChars="0"/>
              <w:jc w:val="center"/>
              <w:rPr>
                <w:color w:val="000000"/>
                <w:sz w:val="21"/>
                <w:szCs w:val="21"/>
              </w:rPr>
            </w:pPr>
            <w:r>
              <w:rPr>
                <w:rFonts w:hint="eastAsia"/>
                <w:color w:val="000000"/>
                <w:sz w:val="21"/>
                <w:szCs w:val="21"/>
              </w:rPr>
              <w:t>0.135</w:t>
            </w:r>
          </w:p>
        </w:tc>
        <w:tc>
          <w:tcPr>
            <w:tcW w:w="752" w:type="pct"/>
            <w:vAlign w:val="center"/>
          </w:tcPr>
          <w:p>
            <w:pPr>
              <w:spacing w:line="240" w:lineRule="auto"/>
              <w:ind w:firstLine="0" w:firstLineChars="0"/>
              <w:jc w:val="center"/>
              <w:rPr>
                <w:color w:val="000000"/>
                <w:sz w:val="21"/>
                <w:szCs w:val="21"/>
              </w:rPr>
            </w:pPr>
            <w:r>
              <w:rPr>
                <w:rFonts w:hint="eastAsia"/>
                <w:color w:val="000000"/>
                <w:sz w:val="21"/>
                <w:szCs w:val="21"/>
              </w:rPr>
              <w:t>0.2</w:t>
            </w:r>
          </w:p>
        </w:tc>
        <w:tc>
          <w:tcPr>
            <w:tcW w:w="739" w:type="pct"/>
            <w:vAlign w:val="center"/>
          </w:tcPr>
          <w:p>
            <w:pPr>
              <w:spacing w:line="240" w:lineRule="auto"/>
              <w:ind w:firstLine="0" w:firstLineChars="0"/>
              <w:jc w:val="center"/>
              <w:rPr>
                <w:color w:val="000000"/>
                <w:sz w:val="21"/>
                <w:szCs w:val="21"/>
              </w:rPr>
            </w:pPr>
            <w:r>
              <w:rPr>
                <w:color w:val="000000"/>
                <w:sz w:val="21"/>
                <w:szCs w:val="21"/>
              </w:rPr>
              <w:t>0.347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7"/>
            <w:vAlign w:val="center"/>
          </w:tcPr>
          <w:p>
            <w:pPr>
              <w:spacing w:line="240" w:lineRule="auto"/>
              <w:ind w:firstLine="0" w:firstLineChars="0"/>
              <w:rPr>
                <w:color w:val="000000"/>
                <w:sz w:val="21"/>
                <w:szCs w:val="21"/>
              </w:rPr>
            </w:pPr>
            <w:r>
              <w:rPr>
                <w:color w:val="000000"/>
                <w:sz w:val="21"/>
                <w:szCs w:val="21"/>
              </w:rPr>
              <w:t>注：</w:t>
            </w:r>
            <w:r>
              <w:rPr>
                <w:rFonts w:hint="eastAsia"/>
                <w:color w:val="000000"/>
                <w:sz w:val="21"/>
                <w:szCs w:val="21"/>
              </w:rPr>
              <w:t>1、</w:t>
            </w:r>
            <w:r>
              <w:rPr>
                <w:color w:val="000000"/>
                <w:sz w:val="21"/>
                <w:szCs w:val="21"/>
              </w:rPr>
              <w:t>Cs——水质目标浓度值</w:t>
            </w:r>
            <w:r>
              <w:rPr>
                <w:rFonts w:hint="eastAsia"/>
                <w:color w:val="000000"/>
                <w:sz w:val="21"/>
                <w:szCs w:val="21"/>
              </w:rPr>
              <w:t>为Ⅲ</w:t>
            </w:r>
            <w:r>
              <w:rPr>
                <w:color w:val="000000"/>
                <w:sz w:val="21"/>
                <w:szCs w:val="21"/>
              </w:rPr>
              <w:t>类；</w:t>
            </w:r>
            <w:r>
              <w:rPr>
                <w:rFonts w:hint="eastAsia"/>
                <w:color w:val="000000"/>
                <w:sz w:val="21"/>
                <w:szCs w:val="21"/>
              </w:rPr>
              <w:t>枯水期</w:t>
            </w:r>
            <w:r>
              <w:rPr>
                <w:color w:val="000000"/>
                <w:sz w:val="21"/>
                <w:szCs w:val="21"/>
              </w:rPr>
              <w:t>C</w:t>
            </w:r>
            <w:r>
              <w:rPr>
                <w:color w:val="000000"/>
                <w:sz w:val="21"/>
                <w:szCs w:val="21"/>
                <w:vertAlign w:val="subscript"/>
              </w:rPr>
              <w:t>x</w:t>
            </w:r>
            <w:r>
              <w:rPr>
                <w:color w:val="000000"/>
                <w:sz w:val="21"/>
                <w:szCs w:val="21"/>
              </w:rPr>
              <w:t>值</w:t>
            </w:r>
            <w:r>
              <w:rPr>
                <w:rFonts w:hint="eastAsia"/>
                <w:color w:val="000000"/>
                <w:sz w:val="21"/>
                <w:szCs w:val="21"/>
              </w:rPr>
              <w:t>参考预测值，平水期、丰水期</w:t>
            </w:r>
            <w:r>
              <w:rPr>
                <w:color w:val="000000"/>
                <w:sz w:val="21"/>
                <w:szCs w:val="21"/>
              </w:rPr>
              <w:t>C</w:t>
            </w:r>
            <w:r>
              <w:rPr>
                <w:color w:val="000000"/>
                <w:sz w:val="21"/>
                <w:szCs w:val="21"/>
                <w:vertAlign w:val="subscript"/>
              </w:rPr>
              <w:t>x</w:t>
            </w:r>
            <w:r>
              <w:rPr>
                <w:color w:val="000000"/>
                <w:sz w:val="21"/>
                <w:szCs w:val="21"/>
              </w:rPr>
              <w:t>值参考</w:t>
            </w:r>
            <w:r>
              <w:rPr>
                <w:rFonts w:hint="eastAsia"/>
                <w:color w:val="000000"/>
                <w:sz w:val="21"/>
                <w:szCs w:val="21"/>
              </w:rPr>
              <w:t>补充监测断面W3（澹水与涔水交汇处）监测数据平均值；</w:t>
            </w:r>
          </w:p>
          <w:p>
            <w:pPr>
              <w:spacing w:line="240" w:lineRule="auto"/>
              <w:ind w:firstLine="0" w:firstLineChars="0"/>
              <w:rPr>
                <w:color w:val="000000"/>
                <w:sz w:val="21"/>
                <w:szCs w:val="21"/>
              </w:rPr>
            </w:pPr>
            <w:r>
              <w:rPr>
                <w:rFonts w:hint="eastAsia"/>
                <w:bCs/>
                <w:color w:val="000000"/>
                <w:sz w:val="21"/>
                <w:szCs w:val="21"/>
              </w:rPr>
              <w:t xml:space="preserve">    2、一期工程设计处理规模为60000m</w:t>
            </w:r>
            <w:r>
              <w:rPr>
                <w:rFonts w:hint="eastAsia"/>
                <w:bCs/>
                <w:color w:val="000000"/>
                <w:sz w:val="21"/>
                <w:szCs w:val="21"/>
                <w:vertAlign w:val="superscript"/>
              </w:rPr>
              <w:t>3</w:t>
            </w:r>
            <w:r>
              <w:rPr>
                <w:rFonts w:hint="eastAsia"/>
                <w:bCs/>
                <w:color w:val="000000"/>
                <w:sz w:val="21"/>
                <w:szCs w:val="21"/>
              </w:rPr>
              <w:t>/d，Cx污染物浓度为已建成规模30000m</w:t>
            </w:r>
            <w:r>
              <w:rPr>
                <w:rFonts w:hint="eastAsia"/>
                <w:bCs/>
                <w:color w:val="000000"/>
                <w:sz w:val="21"/>
                <w:szCs w:val="21"/>
                <w:vertAlign w:val="superscript"/>
              </w:rPr>
              <w:t>3</w:t>
            </w:r>
            <w:r>
              <w:rPr>
                <w:rFonts w:hint="eastAsia"/>
                <w:bCs/>
                <w:color w:val="000000"/>
                <w:sz w:val="21"/>
                <w:szCs w:val="21"/>
              </w:rPr>
              <w:t>/d废水排入澹水后的浓度值，则废水排放流量按未建30000m</w:t>
            </w:r>
            <w:r>
              <w:rPr>
                <w:rFonts w:hint="eastAsia"/>
                <w:bCs/>
                <w:color w:val="000000"/>
                <w:sz w:val="21"/>
                <w:szCs w:val="21"/>
                <w:vertAlign w:val="superscript"/>
              </w:rPr>
              <w:t>3</w:t>
            </w:r>
            <w:r>
              <w:rPr>
                <w:rFonts w:hint="eastAsia"/>
                <w:bCs/>
                <w:color w:val="000000"/>
                <w:sz w:val="21"/>
                <w:szCs w:val="21"/>
              </w:rPr>
              <w:t>/d排放量计算。</w:t>
            </w:r>
          </w:p>
        </w:tc>
      </w:tr>
    </w:tbl>
    <w:p>
      <w:pPr>
        <w:ind w:firstLine="480"/>
        <w:rPr>
          <w:color w:val="000000"/>
          <w:szCs w:val="24"/>
          <w:u w:val="single"/>
        </w:rPr>
      </w:pPr>
      <w:r>
        <w:rPr>
          <w:color w:val="000000"/>
          <w:szCs w:val="24"/>
          <w:u w:val="single"/>
        </w:rPr>
        <w:t>根据上式可以</w:t>
      </w:r>
      <w:r>
        <w:rPr>
          <w:rFonts w:hint="eastAsia"/>
          <w:color w:val="000000"/>
          <w:szCs w:val="24"/>
          <w:u w:val="single"/>
        </w:rPr>
        <w:t>得</w:t>
      </w:r>
      <w:r>
        <w:rPr>
          <w:color w:val="000000"/>
          <w:szCs w:val="24"/>
          <w:u w:val="single"/>
        </w:rPr>
        <w:t>：</w:t>
      </w:r>
      <w:r>
        <w:rPr>
          <w:rFonts w:hint="eastAsia"/>
          <w:color w:val="000000"/>
          <w:szCs w:val="24"/>
          <w:u w:val="single"/>
        </w:rPr>
        <w:t>枯水期（12月至次年3月）</w:t>
      </w:r>
      <w:r>
        <w:rPr>
          <w:color w:val="000000"/>
          <w:szCs w:val="24"/>
          <w:u w:val="single"/>
        </w:rPr>
        <w:t>COD</w:t>
      </w:r>
      <w:r>
        <w:rPr>
          <w:rFonts w:hint="eastAsia"/>
          <w:color w:val="000000"/>
          <w:szCs w:val="24"/>
          <w:u w:val="single"/>
        </w:rPr>
        <w:t>、氨氮、总磷均无纳污能力；平水期、丰水期（4月至11月）</w:t>
      </w:r>
      <w:r>
        <w:rPr>
          <w:color w:val="000000"/>
          <w:szCs w:val="24"/>
          <w:u w:val="single"/>
        </w:rPr>
        <w:t>M</w:t>
      </w:r>
      <w:r>
        <w:rPr>
          <w:color w:val="000000"/>
          <w:szCs w:val="24"/>
          <w:u w:val="single"/>
          <w:vertAlign w:val="subscript"/>
        </w:rPr>
        <w:t>COD</w:t>
      </w:r>
      <w:r>
        <w:rPr>
          <w:color w:val="000000"/>
          <w:szCs w:val="24"/>
          <w:u w:val="single"/>
        </w:rPr>
        <w:t>=</w:t>
      </w:r>
      <w:r>
        <w:rPr>
          <w:rFonts w:hint="eastAsia"/>
          <w:color w:val="000000"/>
          <w:szCs w:val="24"/>
          <w:u w:val="single"/>
        </w:rPr>
        <w:t>82.776</w:t>
      </w:r>
      <w:r>
        <w:rPr>
          <w:color w:val="000000"/>
          <w:szCs w:val="24"/>
          <w:u w:val="single"/>
        </w:rPr>
        <w:t>g/s=</w:t>
      </w:r>
      <w:r>
        <w:rPr>
          <w:rFonts w:hint="eastAsia"/>
          <w:color w:val="000000"/>
          <w:szCs w:val="24"/>
          <w:u w:val="single"/>
        </w:rPr>
        <w:t>1745.05</w:t>
      </w:r>
      <w:r>
        <w:rPr>
          <w:color w:val="000000"/>
          <w:szCs w:val="24"/>
          <w:u w:val="single"/>
        </w:rPr>
        <w:t>t/a，即论证范围水域纳污能力CODCr为</w:t>
      </w:r>
      <w:r>
        <w:rPr>
          <w:rFonts w:hint="eastAsia"/>
          <w:color w:val="000000"/>
          <w:szCs w:val="24"/>
          <w:u w:val="single"/>
        </w:rPr>
        <w:t>1745.05</w:t>
      </w:r>
      <w:r>
        <w:rPr>
          <w:color w:val="000000"/>
          <w:szCs w:val="24"/>
          <w:u w:val="single"/>
        </w:rPr>
        <w:t>t/a</w:t>
      </w:r>
      <w:r>
        <w:rPr>
          <w:rFonts w:hint="eastAsia"/>
          <w:color w:val="000000"/>
          <w:szCs w:val="24"/>
          <w:u w:val="single"/>
        </w:rPr>
        <w:t>；</w:t>
      </w:r>
      <w:r>
        <w:rPr>
          <w:color w:val="000000"/>
          <w:szCs w:val="24"/>
          <w:u w:val="single"/>
        </w:rPr>
        <w:t>同理可计算得出水域纳污能力</w:t>
      </w:r>
      <w:r>
        <w:rPr>
          <w:szCs w:val="21"/>
          <w:u w:val="single"/>
        </w:rPr>
        <w:t>M</w:t>
      </w:r>
      <w:r>
        <w:rPr>
          <w:rFonts w:hint="eastAsia"/>
          <w:szCs w:val="21"/>
          <w:u w:val="single"/>
          <w:vertAlign w:val="subscript"/>
        </w:rPr>
        <w:t>氨氮</w:t>
      </w:r>
      <w:r>
        <w:rPr>
          <w:szCs w:val="21"/>
          <w:u w:val="single"/>
        </w:rPr>
        <w:t>=</w:t>
      </w:r>
      <w:r>
        <w:rPr>
          <w:rFonts w:hint="eastAsia"/>
          <w:szCs w:val="21"/>
          <w:u w:val="single"/>
        </w:rPr>
        <w:t>7.677</w:t>
      </w:r>
      <w:r>
        <w:rPr>
          <w:szCs w:val="21"/>
          <w:u w:val="single"/>
        </w:rPr>
        <w:t>g/s=</w:t>
      </w:r>
      <w:r>
        <w:rPr>
          <w:rFonts w:hint="eastAsia"/>
          <w:szCs w:val="21"/>
          <w:u w:val="single"/>
        </w:rPr>
        <w:t>161.85</w:t>
      </w:r>
      <w:r>
        <w:rPr>
          <w:szCs w:val="21"/>
          <w:u w:val="single"/>
        </w:rPr>
        <w:t>t/a</w:t>
      </w:r>
      <w:r>
        <w:rPr>
          <w:rFonts w:hint="eastAsia"/>
          <w:szCs w:val="24"/>
          <w:u w:val="single"/>
        </w:rPr>
        <w:t>；M</w:t>
      </w:r>
      <w:r>
        <w:rPr>
          <w:rFonts w:hint="eastAsia"/>
          <w:szCs w:val="24"/>
          <w:u w:val="single"/>
          <w:vertAlign w:val="subscript"/>
        </w:rPr>
        <w:t>总磷</w:t>
      </w:r>
      <w:r>
        <w:rPr>
          <w:rFonts w:hint="eastAsia"/>
          <w:szCs w:val="24"/>
          <w:u w:val="single"/>
        </w:rPr>
        <w:t>=0.673g/s=14.18t/a。</w:t>
      </w:r>
    </w:p>
    <w:p>
      <w:pPr>
        <w:pStyle w:val="3"/>
      </w:pPr>
      <w:bookmarkStart w:id="23" w:name="_Toc166145937"/>
      <w:r>
        <w:rPr>
          <w:rFonts w:hint="eastAsia"/>
        </w:rPr>
        <w:t>3.4 论证水功能区现有取排水状况</w:t>
      </w:r>
      <w:bookmarkEnd w:id="23"/>
    </w:p>
    <w:p>
      <w:pPr>
        <w:pStyle w:val="4"/>
      </w:pPr>
      <w:r>
        <w:rPr>
          <w:rFonts w:hint="eastAsia"/>
        </w:rPr>
        <w:t>3.4.1取水现状</w:t>
      </w:r>
    </w:p>
    <w:p>
      <w:pPr>
        <w:ind w:firstLine="480"/>
        <w:rPr>
          <w:u w:val="single"/>
        </w:rPr>
      </w:pPr>
      <w:r>
        <w:rPr>
          <w:rFonts w:hint="eastAsia"/>
          <w:u w:val="single"/>
        </w:rPr>
        <w:t>（1）</w:t>
      </w:r>
      <w:r>
        <w:rPr>
          <w:u w:val="single"/>
        </w:rPr>
        <w:t>农业取水口</w:t>
      </w:r>
    </w:p>
    <w:p>
      <w:pPr>
        <w:ind w:firstLine="480"/>
        <w:rPr>
          <w:u w:val="single"/>
        </w:rPr>
      </w:pPr>
      <w:r>
        <w:rPr>
          <w:u w:val="single"/>
        </w:rPr>
        <w:t>项目所在区域属于传统的农业地区，</w:t>
      </w:r>
      <w:r>
        <w:rPr>
          <w:rFonts w:hint="eastAsia"/>
          <w:u w:val="single"/>
        </w:rPr>
        <w:t>澹水</w:t>
      </w:r>
      <w:r>
        <w:rPr>
          <w:u w:val="single"/>
        </w:rPr>
        <w:t>沿线分布有较大面积农田。传统种植业主要有谷物和蔬菜。论证范围内涉及的取水口主要为农业取水口，</w:t>
      </w:r>
      <w:r>
        <w:rPr>
          <w:szCs w:val="24"/>
          <w:u w:val="single"/>
        </w:rPr>
        <w:t>东洲机埠电排</w:t>
      </w:r>
      <w:r>
        <w:rPr>
          <w:rFonts w:hint="eastAsia"/>
          <w:szCs w:val="24"/>
          <w:u w:val="single"/>
        </w:rPr>
        <w:t>下游85m处设置有羊湖口节制闸</w:t>
      </w:r>
      <w:r>
        <w:rPr>
          <w:u w:val="single"/>
        </w:rPr>
        <w:t xml:space="preserve">。 </w:t>
      </w:r>
    </w:p>
    <w:p>
      <w:pPr>
        <w:ind w:firstLine="480"/>
        <w:rPr>
          <w:u w:val="single"/>
        </w:rPr>
      </w:pPr>
      <w:r>
        <w:rPr>
          <w:rFonts w:hint="eastAsia"/>
          <w:u w:val="single"/>
        </w:rPr>
        <w:t>（2）</w:t>
      </w:r>
      <w:r>
        <w:rPr>
          <w:u w:val="single"/>
        </w:rPr>
        <w:t>工业取水口</w:t>
      </w:r>
    </w:p>
    <w:p>
      <w:pPr>
        <w:ind w:firstLine="480"/>
        <w:rPr>
          <w:u w:val="single"/>
        </w:rPr>
      </w:pPr>
      <w:r>
        <w:rPr>
          <w:u w:val="single"/>
        </w:rPr>
        <w:t>经</w:t>
      </w:r>
      <w:r>
        <w:rPr>
          <w:rFonts w:hint="eastAsia"/>
          <w:u w:val="single"/>
        </w:rPr>
        <w:t>现场</w:t>
      </w:r>
      <w:r>
        <w:rPr>
          <w:u w:val="single"/>
        </w:rPr>
        <w:t xml:space="preserve">调查，论证范围内无经批准获得取水许可的工业企业取水口，无工业园取水口。 </w:t>
      </w:r>
    </w:p>
    <w:p>
      <w:pPr>
        <w:ind w:firstLine="480"/>
        <w:rPr>
          <w:u w:val="single"/>
        </w:rPr>
      </w:pPr>
      <w:r>
        <w:rPr>
          <w:rFonts w:hint="eastAsia"/>
          <w:u w:val="single"/>
        </w:rPr>
        <w:t>（3）</w:t>
      </w:r>
      <w:r>
        <w:rPr>
          <w:u w:val="single"/>
        </w:rPr>
        <w:t>集中式生活饮用水取水口</w:t>
      </w:r>
    </w:p>
    <w:p>
      <w:pPr>
        <w:ind w:firstLine="480"/>
        <w:rPr>
          <w:u w:val="single"/>
        </w:rPr>
      </w:pPr>
      <w:r>
        <w:rPr>
          <w:u w:val="single"/>
        </w:rPr>
        <w:t xml:space="preserve">根据调查，本项目排污口所在水域下游论证范围内无利用其河水的集中式或分散式的饮用水源，居民饮水以乡镇自来水管网供水为主。项目论证范围内无集中饮用水取水口。 </w:t>
      </w:r>
    </w:p>
    <w:p>
      <w:pPr>
        <w:ind w:firstLine="480"/>
        <w:rPr>
          <w:u w:val="single"/>
        </w:rPr>
      </w:pPr>
      <w:r>
        <w:rPr>
          <w:rFonts w:hint="eastAsia"/>
          <w:u w:val="single"/>
        </w:rPr>
        <w:t>（4）</w:t>
      </w:r>
      <w:r>
        <w:rPr>
          <w:u w:val="single"/>
        </w:rPr>
        <w:t>渔业养殖用水</w:t>
      </w:r>
    </w:p>
    <w:p>
      <w:pPr>
        <w:ind w:firstLine="480"/>
        <w:rPr>
          <w:u w:val="single"/>
        </w:rPr>
      </w:pPr>
      <w:r>
        <w:rPr>
          <w:u w:val="single"/>
        </w:rPr>
        <w:t>根据调查，论证河段不涉及利用</w:t>
      </w:r>
      <w:r>
        <w:rPr>
          <w:rFonts w:hint="eastAsia"/>
          <w:u w:val="single"/>
        </w:rPr>
        <w:t>澹水</w:t>
      </w:r>
      <w:r>
        <w:rPr>
          <w:u w:val="single"/>
        </w:rPr>
        <w:t>进行天然水体养殖的企业单位。</w:t>
      </w:r>
    </w:p>
    <w:p>
      <w:pPr>
        <w:pStyle w:val="4"/>
      </w:pPr>
      <w:r>
        <w:rPr>
          <w:rFonts w:hint="eastAsia"/>
        </w:rPr>
        <w:t>3.4.2排水现状</w:t>
      </w:r>
    </w:p>
    <w:p>
      <w:pPr>
        <w:ind w:firstLine="480"/>
        <w:rPr>
          <w:u w:val="single"/>
        </w:rPr>
      </w:pPr>
      <w:r>
        <w:rPr>
          <w:rFonts w:hint="eastAsia"/>
          <w:u w:val="single"/>
        </w:rPr>
        <w:t>（1）农灌渠自流口</w:t>
      </w:r>
    </w:p>
    <w:p>
      <w:pPr>
        <w:ind w:firstLine="480"/>
        <w:rPr>
          <w:u w:val="single"/>
        </w:rPr>
      </w:pPr>
      <w:r>
        <w:rPr>
          <w:rFonts w:hint="eastAsia"/>
          <w:u w:val="single"/>
        </w:rPr>
        <w:t>澧县东部新区污水处理厂污水处理后</w:t>
      </w:r>
      <w:r>
        <w:rPr>
          <w:rFonts w:hint="eastAsia" w:hAnsi="宋体"/>
          <w:szCs w:val="21"/>
          <w:u w:val="single"/>
        </w:rPr>
        <w:t>通过废水总排口（DW001）排入项目东侧农灌沟渠</w:t>
      </w:r>
      <w:r>
        <w:rPr>
          <w:rFonts w:hint="eastAsia"/>
          <w:szCs w:val="24"/>
          <w:u w:val="single"/>
        </w:rPr>
        <w:t>，</w:t>
      </w:r>
      <w:r>
        <w:rPr>
          <w:rFonts w:hint="eastAsia"/>
          <w:color w:val="000000"/>
          <w:szCs w:val="24"/>
          <w:u w:val="single"/>
        </w:rPr>
        <w:t>澹水水位低于34m时，污水通过下游155m处农灌沟渠自流口排入澹水。</w:t>
      </w:r>
    </w:p>
    <w:p>
      <w:pPr>
        <w:ind w:firstLine="480"/>
        <w:rPr>
          <w:szCs w:val="24"/>
          <w:u w:val="single"/>
        </w:rPr>
      </w:pPr>
      <w:r>
        <w:rPr>
          <w:rFonts w:hint="eastAsia"/>
          <w:u w:val="single"/>
        </w:rPr>
        <w:t>（2）</w:t>
      </w:r>
      <w:r>
        <w:rPr>
          <w:szCs w:val="24"/>
          <w:u w:val="single"/>
        </w:rPr>
        <w:t>东洲机埠电排</w:t>
      </w:r>
    </w:p>
    <w:p>
      <w:pPr>
        <w:ind w:firstLine="480"/>
        <w:rPr>
          <w:u w:val="single"/>
        </w:rPr>
      </w:pPr>
      <w:r>
        <w:rPr>
          <w:rFonts w:hint="eastAsia"/>
          <w:color w:val="000000"/>
          <w:szCs w:val="24"/>
          <w:u w:val="single"/>
        </w:rPr>
        <w:t>澹水水位高于34m时，污水经农灌沟渠通过下游250m处东洲机埠电排排入澹水</w:t>
      </w:r>
      <w:r>
        <w:rPr>
          <w:rFonts w:hint="eastAsia"/>
          <w:szCs w:val="24"/>
          <w:u w:val="single"/>
        </w:rPr>
        <w:t>。</w:t>
      </w:r>
      <w:r>
        <w:rPr>
          <w:szCs w:val="24"/>
          <w:u w:val="single"/>
        </w:rPr>
        <w:t>东洲机埠电排主要功能为农村</w:t>
      </w:r>
      <w:r>
        <w:rPr>
          <w:rFonts w:hint="eastAsia"/>
          <w:szCs w:val="24"/>
          <w:u w:val="single"/>
        </w:rPr>
        <w:t>排水</w:t>
      </w:r>
      <w:r>
        <w:rPr>
          <w:szCs w:val="24"/>
          <w:u w:val="single"/>
        </w:rPr>
        <w:t>泵站</w:t>
      </w:r>
      <w:r>
        <w:rPr>
          <w:rFonts w:hint="eastAsia"/>
          <w:szCs w:val="24"/>
          <w:u w:val="single"/>
        </w:rPr>
        <w:t>，</w:t>
      </w:r>
      <w:r>
        <w:rPr>
          <w:u w:val="single"/>
        </w:rPr>
        <w:t>设计流量为</w:t>
      </w:r>
      <w:r>
        <w:rPr>
          <w:rFonts w:hint="eastAsia"/>
          <w:u w:val="single"/>
        </w:rPr>
        <w:t>4.5</w:t>
      </w:r>
      <w:r>
        <w:rPr>
          <w:u w:val="single"/>
        </w:rPr>
        <w:t>m</w:t>
      </w:r>
      <w:r>
        <w:rPr>
          <w:u w:val="single"/>
          <w:vertAlign w:val="superscript"/>
        </w:rPr>
        <w:t>3</w:t>
      </w:r>
      <w:r>
        <w:rPr>
          <w:u w:val="single"/>
        </w:rPr>
        <w:t>/s。</w:t>
      </w:r>
    </w:p>
    <w:p>
      <w:pPr>
        <w:ind w:firstLine="480"/>
        <w:rPr>
          <w:u w:val="single"/>
        </w:rPr>
      </w:pPr>
      <w:r>
        <w:rPr>
          <w:rFonts w:hint="eastAsia"/>
          <w:u w:val="single"/>
        </w:rPr>
        <w:t>（3）护市垸自排闸</w:t>
      </w:r>
    </w:p>
    <w:p>
      <w:pPr>
        <w:ind w:firstLine="480"/>
        <w:rPr>
          <w:u w:val="single"/>
        </w:rPr>
      </w:pPr>
      <w:r>
        <w:rPr>
          <w:rFonts w:hint="eastAsia"/>
          <w:u w:val="single"/>
        </w:rPr>
        <w:t>护市垸自排闸位于</w:t>
      </w:r>
      <w:r>
        <w:rPr>
          <w:u w:val="single"/>
        </w:rPr>
        <w:t>东洲机埠电排</w:t>
      </w:r>
      <w:r>
        <w:rPr>
          <w:rFonts w:hint="eastAsia"/>
          <w:u w:val="single"/>
        </w:rPr>
        <w:t>下游约1.8km处，主要功能为城乡结合处居民生活污水排放口。</w:t>
      </w:r>
    </w:p>
    <w:p>
      <w:pPr>
        <w:ind w:firstLine="480"/>
        <w:rPr>
          <w:u w:val="single"/>
        </w:rPr>
      </w:pPr>
      <w:r>
        <w:rPr>
          <w:rFonts w:hint="eastAsia"/>
          <w:u w:val="single"/>
        </w:rPr>
        <w:t>（4）津市监狱电排站</w:t>
      </w:r>
    </w:p>
    <w:p>
      <w:pPr>
        <w:ind w:firstLine="480"/>
      </w:pPr>
      <w:r>
        <w:rPr>
          <w:rFonts w:hint="eastAsia"/>
          <w:u w:val="single"/>
        </w:rPr>
        <w:t>津市监狱电排站位于</w:t>
      </w:r>
      <w:r>
        <w:rPr>
          <w:u w:val="single"/>
        </w:rPr>
        <w:t>东洲机埠电排</w:t>
      </w:r>
      <w:r>
        <w:rPr>
          <w:rFonts w:hint="eastAsia"/>
          <w:u w:val="single"/>
        </w:rPr>
        <w:t>下游约3.3km处，主要</w:t>
      </w:r>
      <w:r>
        <w:rPr>
          <w:szCs w:val="24"/>
          <w:u w:val="single"/>
        </w:rPr>
        <w:t>功能为</w:t>
      </w:r>
      <w:r>
        <w:rPr>
          <w:rFonts w:hint="eastAsia"/>
          <w:szCs w:val="24"/>
          <w:u w:val="single"/>
        </w:rPr>
        <w:t>农场排水</w:t>
      </w:r>
      <w:r>
        <w:rPr>
          <w:szCs w:val="24"/>
          <w:u w:val="single"/>
        </w:rPr>
        <w:t>泵站</w:t>
      </w:r>
      <w:r>
        <w:rPr>
          <w:rFonts w:hint="eastAsia"/>
          <w:u w:val="single"/>
        </w:rPr>
        <w:t>。</w:t>
      </w:r>
    </w:p>
    <w:p>
      <w:pPr>
        <w:ind w:firstLine="480"/>
        <w:sectPr>
          <w:pgSz w:w="11906" w:h="16838"/>
          <w:pgMar w:top="1418" w:right="1588" w:bottom="1418" w:left="1588" w:header="851" w:footer="992" w:gutter="0"/>
          <w:pgNumType w:fmt="numberInDash"/>
          <w:cols w:space="425" w:num="1"/>
          <w:docGrid w:type="lines" w:linePitch="326" w:charSpace="0"/>
        </w:sectPr>
      </w:pPr>
    </w:p>
    <w:p>
      <w:pPr>
        <w:pStyle w:val="2"/>
      </w:pPr>
      <w:bookmarkStart w:id="24" w:name="_Toc166145938"/>
      <w:r>
        <w:rPr>
          <w:rFonts w:hint="eastAsia"/>
        </w:rPr>
        <w:t>4、入河排污口设置可行性分析论证及入河排污口设置方案</w:t>
      </w:r>
      <w:bookmarkEnd w:id="24"/>
    </w:p>
    <w:p>
      <w:pPr>
        <w:pStyle w:val="3"/>
      </w:pPr>
      <w:bookmarkStart w:id="25" w:name="_Toc166145939"/>
      <w:bookmarkStart w:id="26" w:name="_Toc17076"/>
      <w:r>
        <w:rPr>
          <w:rFonts w:hint="eastAsia"/>
        </w:rPr>
        <w:t>4.1 入河排污口设置方案</w:t>
      </w:r>
      <w:bookmarkEnd w:id="25"/>
    </w:p>
    <w:p>
      <w:pPr>
        <w:pStyle w:val="4"/>
      </w:pPr>
      <w:bookmarkStart w:id="27" w:name="3.1.1排污口位置"/>
      <w:bookmarkEnd w:id="27"/>
      <w:bookmarkStart w:id="28" w:name="bookmark34"/>
      <w:bookmarkEnd w:id="28"/>
      <w:bookmarkStart w:id="29" w:name="_Toc31160"/>
      <w:r>
        <w:rPr>
          <w:rFonts w:hint="eastAsia"/>
        </w:rPr>
        <w:t>4</w:t>
      </w:r>
      <w:r>
        <w:t>.</w:t>
      </w:r>
      <w:r>
        <w:rPr>
          <w:rFonts w:hint="eastAsia"/>
        </w:rPr>
        <w:t>1</w:t>
      </w:r>
      <w:r>
        <w:t>.1排污口位置</w:t>
      </w:r>
      <w:bookmarkEnd w:id="29"/>
    </w:p>
    <w:p>
      <w:pPr>
        <w:ind w:firstLine="480"/>
      </w:pPr>
      <w:r>
        <w:t>澧县东部新区污水处理厂建设项目2018年3月取得了澧县环境保护局《关于澧县东部新区污水处理厂建设项目环境影响报告书的批复》（澧环审[2018]15号），位于澧县澧澹街道东洲村，一期占地面积57518.47m</w:t>
      </w:r>
      <w:r>
        <w:rPr>
          <w:vertAlign w:val="superscript"/>
        </w:rPr>
        <w:t>2</w:t>
      </w:r>
      <w:r>
        <w:t>，构筑物占地面积8900.9 m</w:t>
      </w:r>
      <w:r>
        <w:rPr>
          <w:vertAlign w:val="superscript"/>
        </w:rPr>
        <w:t>2</w:t>
      </w:r>
      <w:r>
        <w:rPr>
          <w:rFonts w:hint="eastAsia"/>
        </w:rPr>
        <w:t>。一期工程设计</w:t>
      </w:r>
      <w:r>
        <w:t>污水处理规模为</w:t>
      </w:r>
      <w:r>
        <w:rPr>
          <w:rFonts w:hint="eastAsia"/>
        </w:rPr>
        <w:t>6</w:t>
      </w:r>
      <w:r>
        <w:t>.0万m</w:t>
      </w:r>
      <w:r>
        <w:rPr>
          <w:vertAlign w:val="superscript"/>
        </w:rPr>
        <w:t>3</w:t>
      </w:r>
      <w:r>
        <w:t>/d，采用氧化沟工艺。</w:t>
      </w:r>
    </w:p>
    <w:p>
      <w:pPr>
        <w:ind w:firstLine="480"/>
      </w:pPr>
      <w:r>
        <w:t>污水处理后通过废水总排口（DW001）排入项目东侧农灌沟渠，</w:t>
      </w:r>
      <w:r>
        <w:rPr>
          <w:rFonts w:hint="eastAsia"/>
          <w:color w:val="000000"/>
          <w:szCs w:val="24"/>
        </w:rPr>
        <w:t>入农灌沟</w:t>
      </w:r>
      <w:r>
        <w:rPr>
          <w:color w:val="000000"/>
          <w:szCs w:val="24"/>
        </w:rPr>
        <w:t>渠排放口坐标为E 111°51′53.58781″，N 29°38′49.76332″；澹水水位低于34m时（一般为10月至次年3月），污水通过下游155m处农灌沟渠自流口排入澹水，入河排放口（自流口）位于澹水右岸，入河坐标E111°51′58.38470″，N 29°38′45.95730″；澹水水位高于34m时（一般为4月至9月），农灌渠自流口闸门通过人工关闭，污水通过下游250m处的东洲机埠电排排入澹水河，入河排放口（东洲机埠电排）位于澹水右岸，入河坐标E 111°52′00.30279″，N 29°38′43.66977″。</w:t>
      </w:r>
    </w:p>
    <w:p>
      <w:pPr>
        <w:pStyle w:val="4"/>
      </w:pPr>
      <w:bookmarkStart w:id="30" w:name="bookmark35"/>
      <w:bookmarkEnd w:id="30"/>
      <w:bookmarkStart w:id="31" w:name="3.1.2排污口坐标"/>
      <w:bookmarkEnd w:id="31"/>
      <w:bookmarkStart w:id="32" w:name="_Toc32756"/>
      <w:r>
        <w:rPr>
          <w:rFonts w:hint="eastAsia"/>
        </w:rPr>
        <w:t>4</w:t>
      </w:r>
      <w:r>
        <w:t>.</w:t>
      </w:r>
      <w:r>
        <w:rPr>
          <w:rFonts w:hint="eastAsia"/>
        </w:rPr>
        <w:t>1</w:t>
      </w:r>
      <w:r>
        <w:t>.2排污口坐标</w:t>
      </w:r>
      <w:bookmarkEnd w:id="32"/>
    </w:p>
    <w:p>
      <w:pPr>
        <w:pStyle w:val="75"/>
        <w:spacing w:line="360" w:lineRule="auto"/>
        <w:ind w:firstLine="480" w:firstLineChars="200"/>
        <w:jc w:val="both"/>
      </w:pPr>
      <w:r>
        <w:t>总排口</w:t>
      </w:r>
      <w:r>
        <w:rPr>
          <w:rFonts w:hint="eastAsia"/>
        </w:rPr>
        <w:t>坐标：</w:t>
      </w:r>
      <w:r>
        <w:t>E 111°51′53.58781″，N 29°38′49.76332″</w:t>
      </w:r>
    </w:p>
    <w:p>
      <w:pPr>
        <w:pStyle w:val="75"/>
        <w:spacing w:line="360" w:lineRule="auto"/>
        <w:ind w:firstLine="480" w:firstLineChars="200"/>
        <w:jc w:val="both"/>
        <w:rPr>
          <w:u w:val="single"/>
        </w:rPr>
      </w:pPr>
      <w:r>
        <w:rPr>
          <w:rFonts w:hint="eastAsia"/>
          <w:u w:val="single"/>
        </w:rPr>
        <w:t>入河口</w:t>
      </w:r>
      <w:r>
        <w:rPr>
          <w:u w:val="single"/>
        </w:rPr>
        <w:t>坐标：</w:t>
      </w:r>
      <w:bookmarkStart w:id="33" w:name="3.1.3排污口类型"/>
      <w:bookmarkEnd w:id="33"/>
      <w:bookmarkStart w:id="34" w:name="bookmark36"/>
      <w:bookmarkEnd w:id="34"/>
    </w:p>
    <w:p>
      <w:pPr>
        <w:pStyle w:val="75"/>
        <w:spacing w:line="360" w:lineRule="auto"/>
        <w:ind w:firstLine="480" w:firstLineChars="200"/>
        <w:jc w:val="both"/>
        <w:rPr>
          <w:u w:val="single"/>
        </w:rPr>
      </w:pPr>
      <w:r>
        <w:rPr>
          <w:rFonts w:hint="eastAsia"/>
          <w:u w:val="single"/>
        </w:rPr>
        <w:t xml:space="preserve">①农灌沟渠自流口 </w:t>
      </w:r>
      <w:r>
        <w:rPr>
          <w:u w:val="single"/>
        </w:rPr>
        <w:t>E111°5</w:t>
      </w:r>
      <w:r>
        <w:rPr>
          <w:rFonts w:hint="eastAsia"/>
          <w:u w:val="single"/>
        </w:rPr>
        <w:t>1</w:t>
      </w:r>
      <w:r>
        <w:rPr>
          <w:u w:val="single"/>
        </w:rPr>
        <w:t>′</w:t>
      </w:r>
      <w:r>
        <w:rPr>
          <w:rFonts w:hint="eastAsia"/>
          <w:u w:val="single"/>
        </w:rPr>
        <w:t>58.38470</w:t>
      </w:r>
      <w:r>
        <w:rPr>
          <w:u w:val="single"/>
        </w:rPr>
        <w:t>″</w:t>
      </w:r>
      <w:r>
        <w:rPr>
          <w:rFonts w:hint="eastAsia"/>
          <w:u w:val="single"/>
        </w:rPr>
        <w:t>、</w:t>
      </w:r>
      <w:r>
        <w:rPr>
          <w:u w:val="single"/>
        </w:rPr>
        <w:t>N 29°38′</w:t>
      </w:r>
      <w:r>
        <w:rPr>
          <w:rFonts w:hint="eastAsia"/>
          <w:u w:val="single"/>
        </w:rPr>
        <w:t>45.95730</w:t>
      </w:r>
      <w:r>
        <w:rPr>
          <w:u w:val="single"/>
        </w:rPr>
        <w:t>″</w:t>
      </w:r>
      <w:r>
        <w:rPr>
          <w:rFonts w:hint="eastAsia"/>
          <w:u w:val="single"/>
        </w:rPr>
        <w:t>，自流口底板高程为32.7m、孔径约1.5m</w:t>
      </w:r>
    </w:p>
    <w:p>
      <w:pPr>
        <w:pStyle w:val="75"/>
        <w:spacing w:line="360" w:lineRule="auto"/>
        <w:ind w:firstLine="480" w:firstLineChars="200"/>
        <w:jc w:val="both"/>
      </w:pPr>
      <w:r>
        <w:rPr>
          <w:rFonts w:hint="eastAsia" w:ascii="宋体" w:hAnsi="宋体" w:cs="宋体"/>
        </w:rPr>
        <w:t>②</w:t>
      </w:r>
      <w:r>
        <w:t>东洲机埠电排</w:t>
      </w:r>
      <w:r>
        <w:rPr>
          <w:rFonts w:hint="eastAsia"/>
        </w:rPr>
        <w:t xml:space="preserve"> </w:t>
      </w:r>
      <w:r>
        <w:t>E 111°52′00.30279″</w:t>
      </w:r>
      <w:r>
        <w:rPr>
          <w:rFonts w:hint="eastAsia"/>
        </w:rPr>
        <w:t>、</w:t>
      </w:r>
      <w:r>
        <w:t>N 29°38′43.66977″</w:t>
      </w:r>
    </w:p>
    <w:p>
      <w:pPr>
        <w:pStyle w:val="4"/>
      </w:pPr>
      <w:bookmarkStart w:id="35" w:name="_Toc18268"/>
      <w:r>
        <w:rPr>
          <w:rFonts w:hint="eastAsia"/>
        </w:rPr>
        <w:t>4</w:t>
      </w:r>
      <w:r>
        <w:t>.</w:t>
      </w:r>
      <w:r>
        <w:rPr>
          <w:rFonts w:hint="eastAsia"/>
        </w:rPr>
        <w:t>1</w:t>
      </w:r>
      <w:r>
        <w:t>.3排污口类型</w:t>
      </w:r>
      <w:bookmarkEnd w:id="35"/>
    </w:p>
    <w:p>
      <w:pPr>
        <w:pStyle w:val="75"/>
        <w:spacing w:line="360" w:lineRule="auto"/>
        <w:ind w:firstLine="480" w:firstLineChars="200"/>
        <w:jc w:val="both"/>
      </w:pPr>
      <w:r>
        <w:t>新建</w:t>
      </w:r>
      <w:r>
        <w:rPr>
          <w:rFonts w:hint="eastAsia"/>
        </w:rPr>
        <w:t>（补办完善手续）</w:t>
      </w:r>
    </w:p>
    <w:p>
      <w:pPr>
        <w:pStyle w:val="4"/>
      </w:pPr>
      <w:bookmarkStart w:id="36" w:name="3.1.4排污口分类"/>
      <w:bookmarkEnd w:id="36"/>
      <w:bookmarkStart w:id="37" w:name="bookmark37"/>
      <w:bookmarkEnd w:id="37"/>
      <w:bookmarkStart w:id="38" w:name="_Toc3836"/>
      <w:r>
        <w:rPr>
          <w:rFonts w:hint="eastAsia"/>
        </w:rPr>
        <w:t>4</w:t>
      </w:r>
      <w:r>
        <w:t>.</w:t>
      </w:r>
      <w:r>
        <w:rPr>
          <w:rFonts w:hint="eastAsia"/>
        </w:rPr>
        <w:t>1</w:t>
      </w:r>
      <w:r>
        <w:t>.4排污口分类</w:t>
      </w:r>
      <w:bookmarkEnd w:id="38"/>
    </w:p>
    <w:p>
      <w:pPr>
        <w:pStyle w:val="75"/>
        <w:spacing w:line="360" w:lineRule="auto"/>
        <w:ind w:firstLine="480" w:firstLineChars="200"/>
        <w:jc w:val="both"/>
        <w:rPr>
          <w:rFonts w:hAnsi="宋体"/>
        </w:rPr>
      </w:pPr>
      <w:r>
        <w:rPr>
          <w:rFonts w:hint="eastAsia" w:hAnsi="宋体"/>
        </w:rPr>
        <w:t>根据澧县人民政府澧澹街道办事处出具的证明材料，</w:t>
      </w:r>
      <w:r>
        <w:rPr>
          <w:rFonts w:hint="eastAsia"/>
        </w:rPr>
        <w:t>澧县东部新区污水处理厂功能配套按日处理6万吨，已建成污水处理</w:t>
      </w:r>
      <w:r>
        <w:rPr>
          <w:rFonts w:hint="eastAsia" w:hAnsi="宋体"/>
        </w:rPr>
        <w:t>规模</w:t>
      </w:r>
      <w:r>
        <w:t>3.0</w:t>
      </w:r>
      <w:r>
        <w:rPr>
          <w:rFonts w:hAnsi="宋体"/>
        </w:rPr>
        <w:t>万</w:t>
      </w:r>
      <w:r>
        <w:t>m</w:t>
      </w:r>
      <w:r>
        <w:rPr>
          <w:vertAlign w:val="superscript"/>
        </w:rPr>
        <w:t>3</w:t>
      </w:r>
      <w:r>
        <w:t>/d</w:t>
      </w:r>
      <w:r>
        <w:rPr>
          <w:rFonts w:hint="eastAsia"/>
        </w:rPr>
        <w:t>，本</w:t>
      </w:r>
      <w:r>
        <w:t>项目服务范围为</w:t>
      </w:r>
      <w:r>
        <w:rPr>
          <w:rFonts w:hint="eastAsia"/>
        </w:rPr>
        <w:t>澧县东部新区，东至东部新区污水处理厂，西至经二十路，南至纬七路，北至发展大道（东洲社区），共22平方公里的区域，处理澧县东部新区生活污水及及澧县创新创业园工业排水。</w:t>
      </w:r>
    </w:p>
    <w:p>
      <w:pPr>
        <w:pStyle w:val="75"/>
        <w:spacing w:line="360" w:lineRule="auto"/>
        <w:ind w:firstLine="480" w:firstLineChars="200"/>
        <w:jc w:val="both"/>
        <w:rPr>
          <w:u w:val="single"/>
        </w:rPr>
      </w:pPr>
      <w:r>
        <w:rPr>
          <w:rFonts w:hint="eastAsia" w:hAnsi="宋体"/>
          <w:u w:val="single"/>
        </w:rPr>
        <w:t>根据《入河入海排污口监督管理技术指南 排污口分类》（HJ 1312-2023）中“4.2</w:t>
      </w:r>
      <w:r>
        <w:rPr>
          <w:rFonts w:hint="eastAsia" w:hAnsi="宋体"/>
          <w:kern w:val="2"/>
          <w:u w:val="single"/>
        </w:rPr>
        <w:t>污水混合排放的入河入海排污口，可参考排水量占比、主要水污染物排放量占比、重金属及有毒有害物质排放情况等确定入河入海排污口类型。</w:t>
      </w:r>
      <w:r>
        <w:rPr>
          <w:rFonts w:hint="eastAsia" w:hAnsi="宋体"/>
          <w:u w:val="single"/>
        </w:rPr>
        <w:t>”本项目</w:t>
      </w:r>
      <w:r>
        <w:rPr>
          <w:rFonts w:hint="eastAsia"/>
          <w:szCs w:val="22"/>
          <w:u w:val="single"/>
        </w:rPr>
        <w:t>接纳的生活污水与工业废水水量占比</w:t>
      </w:r>
      <w:r>
        <w:rPr>
          <w:rFonts w:hint="eastAsia"/>
          <w:u w:val="single"/>
        </w:rPr>
        <w:t>分别为75.8%和24.2%，且</w:t>
      </w:r>
      <w:r>
        <w:rPr>
          <w:rFonts w:hint="eastAsia"/>
          <w:szCs w:val="22"/>
          <w:u w:val="single"/>
        </w:rPr>
        <w:t>不含重金属及有毒有害物质</w:t>
      </w:r>
      <w:r>
        <w:rPr>
          <w:rFonts w:hint="eastAsia"/>
          <w:u w:val="single"/>
        </w:rPr>
        <w:t>，因此</w:t>
      </w:r>
      <w:r>
        <w:rPr>
          <w:szCs w:val="22"/>
          <w:u w:val="single"/>
        </w:rPr>
        <w:t>澧县东部新区污水处理厂</w:t>
      </w:r>
      <w:r>
        <w:rPr>
          <w:rFonts w:hint="eastAsia"/>
          <w:u w:val="single"/>
        </w:rPr>
        <w:t>入河排污口分类为</w:t>
      </w:r>
      <w:r>
        <w:rPr>
          <w:rFonts w:hint="eastAsia"/>
          <w:b/>
          <w:kern w:val="2"/>
          <w:szCs w:val="22"/>
          <w:u w:val="single"/>
        </w:rPr>
        <w:t>城镇污水处理厂排污口</w:t>
      </w:r>
      <w:r>
        <w:rPr>
          <w:rFonts w:hint="eastAsia"/>
          <w:kern w:val="2"/>
          <w:szCs w:val="22"/>
          <w:u w:val="single"/>
        </w:rPr>
        <w:t>。</w:t>
      </w:r>
    </w:p>
    <w:p>
      <w:pPr>
        <w:pStyle w:val="75"/>
        <w:spacing w:line="360" w:lineRule="auto"/>
        <w:ind w:firstLine="480" w:firstLineChars="200"/>
        <w:jc w:val="both"/>
        <w:rPr>
          <w:u w:val="single"/>
        </w:rPr>
      </w:pPr>
      <w:r>
        <w:rPr>
          <w:u w:val="single"/>
        </w:rPr>
        <w:t>根据</w:t>
      </w:r>
      <w:r>
        <w:rPr>
          <w:rFonts w:hint="eastAsia"/>
          <w:u w:val="single"/>
        </w:rPr>
        <w:t>澧县住房和城乡建设局出具的《关于澧县东部新区污水处理厂纳污情况及性质的说明》（详见附件7），澧县东部新区污水处理厂规划纳污范围为澧浦路以东，桃花滩路以南，二广高速以西，澧水大堤以北共22平方公里的区域，主要接纳城乡居民生活废水与澧县高新技术产业开发区新区不含有毒有害物质的工业废水，其污水处理厂性质为</w:t>
      </w:r>
      <w:r>
        <w:rPr>
          <w:rFonts w:hint="eastAsia"/>
          <w:b/>
          <w:u w:val="single"/>
        </w:rPr>
        <w:t>城镇污水处理厂</w:t>
      </w:r>
      <w:r>
        <w:rPr>
          <w:rFonts w:hint="eastAsia"/>
          <w:u w:val="single"/>
        </w:rPr>
        <w:t>。</w:t>
      </w:r>
    </w:p>
    <w:p>
      <w:pPr>
        <w:pStyle w:val="75"/>
        <w:spacing w:line="360" w:lineRule="auto"/>
        <w:ind w:firstLine="480" w:firstLineChars="200"/>
        <w:jc w:val="both"/>
        <w:rPr>
          <w:u w:val="single"/>
        </w:rPr>
      </w:pPr>
      <w:r>
        <w:rPr>
          <w:rFonts w:hint="eastAsia"/>
          <w:u w:val="single"/>
        </w:rPr>
        <w:drawing>
          <wp:anchor distT="0" distB="0" distL="114300" distR="114300" simplePos="0" relativeHeight="251662336" behindDoc="0" locked="0" layoutInCell="1" allowOverlap="1">
            <wp:simplePos x="0" y="0"/>
            <wp:positionH relativeFrom="margin">
              <wp:align>center</wp:align>
            </wp:positionH>
            <wp:positionV relativeFrom="paragraph">
              <wp:posOffset>648970</wp:posOffset>
            </wp:positionV>
            <wp:extent cx="5652135" cy="2901950"/>
            <wp:effectExtent l="19050" t="0" r="5715"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a:srcRect/>
                    <a:stretch>
                      <a:fillRect/>
                    </a:stretch>
                  </pic:blipFill>
                  <pic:spPr>
                    <a:xfrm>
                      <a:off x="0" y="0"/>
                      <a:ext cx="5652135" cy="2901950"/>
                    </a:xfrm>
                    <a:prstGeom prst="rect">
                      <a:avLst/>
                    </a:prstGeom>
                    <a:noFill/>
                    <a:ln w="9525">
                      <a:noFill/>
                      <a:miter lim="800000"/>
                      <a:headEnd/>
                      <a:tailEnd/>
                    </a:ln>
                  </pic:spPr>
                </pic:pic>
              </a:graphicData>
            </a:graphic>
          </wp:anchor>
        </w:drawing>
      </w:r>
      <w:r>
        <w:rPr>
          <w:rFonts w:hint="eastAsia"/>
          <w:u w:val="single"/>
        </w:rPr>
        <w:t>另根据常德市生态环境局对全市排污口的排查信息《澧县-常德市入河排污口“一口一策”整治清单》，澧县东部新区污水处理厂排口分类为</w:t>
      </w:r>
      <w:r>
        <w:rPr>
          <w:rFonts w:hint="eastAsia"/>
          <w:b/>
          <w:kern w:val="2"/>
          <w:szCs w:val="22"/>
          <w:u w:val="single"/>
        </w:rPr>
        <w:t>城镇污水处理厂排污口。</w:t>
      </w:r>
    </w:p>
    <w:p>
      <w:pPr>
        <w:widowControl/>
        <w:autoSpaceDE w:val="0"/>
        <w:autoSpaceDN w:val="0"/>
        <w:ind w:firstLine="422"/>
        <w:jc w:val="center"/>
        <w:rPr>
          <w:b/>
          <w:kern w:val="0"/>
          <w:sz w:val="21"/>
          <w:szCs w:val="21"/>
        </w:rPr>
      </w:pPr>
      <w:r>
        <w:rPr>
          <w:rFonts w:hint="eastAsia"/>
          <w:b/>
          <w:kern w:val="0"/>
          <w:sz w:val="21"/>
          <w:szCs w:val="21"/>
        </w:rPr>
        <w:t>图4-1  《澧县-常德市入河排污口“一口一策”整治清单》截图</w:t>
      </w:r>
    </w:p>
    <w:p>
      <w:pPr>
        <w:pStyle w:val="75"/>
        <w:spacing w:line="360" w:lineRule="auto"/>
        <w:ind w:firstLine="480" w:firstLineChars="200"/>
        <w:jc w:val="both"/>
        <w:rPr>
          <w:u w:val="single"/>
        </w:rPr>
      </w:pPr>
      <w:r>
        <w:rPr>
          <w:rFonts w:hint="eastAsia"/>
          <w:u w:val="single"/>
        </w:rPr>
        <w:t>综上，确定本项目</w:t>
      </w:r>
      <w:r>
        <w:rPr>
          <w:u w:val="single"/>
        </w:rPr>
        <w:t>排污口</w:t>
      </w:r>
      <w:r>
        <w:rPr>
          <w:rFonts w:hint="eastAsia"/>
          <w:u w:val="single"/>
        </w:rPr>
        <w:t>类型</w:t>
      </w:r>
      <w:r>
        <w:rPr>
          <w:u w:val="single"/>
        </w:rPr>
        <w:t>为</w:t>
      </w:r>
      <w:r>
        <w:rPr>
          <w:rFonts w:hint="eastAsia"/>
          <w:u w:val="single"/>
        </w:rPr>
        <w:t>城镇</w:t>
      </w:r>
      <w:r>
        <w:rPr>
          <w:u w:val="single"/>
        </w:rPr>
        <w:t>污水处理厂</w:t>
      </w:r>
      <w:r>
        <w:rPr>
          <w:rFonts w:hint="eastAsia"/>
          <w:u w:val="single"/>
        </w:rPr>
        <w:t>排污口</w:t>
      </w:r>
      <w:r>
        <w:rPr>
          <w:u w:val="single"/>
        </w:rPr>
        <w:t>。</w:t>
      </w:r>
    </w:p>
    <w:p>
      <w:pPr>
        <w:pStyle w:val="4"/>
      </w:pPr>
      <w:bookmarkStart w:id="39" w:name="3.1.5排放方式"/>
      <w:bookmarkEnd w:id="39"/>
      <w:bookmarkStart w:id="40" w:name="bookmark38"/>
      <w:bookmarkEnd w:id="40"/>
      <w:r>
        <w:rPr>
          <w:rFonts w:hint="eastAsia"/>
        </w:rPr>
        <w:t>4</w:t>
      </w:r>
      <w:r>
        <w:t>.</w:t>
      </w:r>
      <w:r>
        <w:rPr>
          <w:rFonts w:hint="eastAsia"/>
        </w:rPr>
        <w:t>1</w:t>
      </w:r>
      <w:r>
        <w:t>.5排放方式</w:t>
      </w:r>
    </w:p>
    <w:p>
      <w:pPr>
        <w:pStyle w:val="75"/>
        <w:spacing w:line="360" w:lineRule="auto"/>
        <w:ind w:firstLine="480" w:firstLineChars="200"/>
        <w:jc w:val="both"/>
        <w:rPr>
          <w:u w:val="single"/>
        </w:rPr>
      </w:pPr>
      <w:r>
        <w:rPr>
          <w:rFonts w:hint="eastAsia"/>
          <w:u w:val="single"/>
        </w:rPr>
        <w:t>连续排放，</w:t>
      </w:r>
      <w:r>
        <w:rPr>
          <w:szCs w:val="21"/>
          <w:u w:val="single"/>
        </w:rPr>
        <w:t>排放期间流量稳定</w:t>
      </w:r>
      <w:r>
        <w:rPr>
          <w:u w:val="single"/>
        </w:rPr>
        <w:t>。</w:t>
      </w:r>
      <w:bookmarkStart w:id="41" w:name="bookmark39"/>
      <w:bookmarkEnd w:id="41"/>
      <w:bookmarkStart w:id="42" w:name="3.1.6入河方式"/>
      <w:bookmarkEnd w:id="42"/>
    </w:p>
    <w:p>
      <w:pPr>
        <w:pStyle w:val="4"/>
      </w:pPr>
      <w:r>
        <w:rPr>
          <w:rFonts w:hint="eastAsia"/>
        </w:rPr>
        <w:t>4</w:t>
      </w:r>
      <w:r>
        <w:t>.</w:t>
      </w:r>
      <w:r>
        <w:rPr>
          <w:rFonts w:hint="eastAsia"/>
        </w:rPr>
        <w:t>1</w:t>
      </w:r>
      <w:r>
        <w:t>.6入河方式</w:t>
      </w:r>
    </w:p>
    <w:p>
      <w:pPr>
        <w:pStyle w:val="75"/>
        <w:spacing w:line="360" w:lineRule="auto"/>
        <w:ind w:firstLine="480" w:firstLineChars="200"/>
        <w:jc w:val="both"/>
        <w:rPr>
          <w:u w:val="single"/>
        </w:rPr>
      </w:pPr>
      <w:r>
        <w:rPr>
          <w:rFonts w:hint="eastAsia"/>
          <w:u w:val="single"/>
        </w:rPr>
        <w:t>污水处理后排入项目东侧沟渠，澹水水位低于34m时，污水通过下游155m处农灌沟渠自流口排入澹水右岸（岸边排放）；澹水水位高于34m时，污水经农灌沟渠通过下游250m处东洲机埠电排排入澹水右岸（岸边排放）</w:t>
      </w:r>
      <w:r>
        <w:rPr>
          <w:u w:val="single"/>
        </w:rPr>
        <w:t>。</w:t>
      </w:r>
    </w:p>
    <w:p>
      <w:pPr>
        <w:pStyle w:val="4"/>
      </w:pPr>
      <w:r>
        <w:rPr>
          <w:rFonts w:hint="eastAsia"/>
        </w:rPr>
        <w:t>4.1.7</w:t>
      </w:r>
      <w:r>
        <w:t>污水来源及构成</w:t>
      </w:r>
    </w:p>
    <w:p>
      <w:pPr>
        <w:ind w:firstLine="480"/>
      </w:pPr>
      <w:r>
        <w:rPr>
          <w:rFonts w:hint="eastAsia"/>
          <w:kern w:val="0"/>
        </w:rPr>
        <w:t>澧县</w:t>
      </w:r>
      <w:r>
        <w:rPr>
          <w:kern w:val="0"/>
        </w:rPr>
        <w:t>澧</w:t>
      </w:r>
      <w:r>
        <w:rPr>
          <w:rFonts w:hint="eastAsia"/>
          <w:kern w:val="0"/>
        </w:rPr>
        <w:t>州</w:t>
      </w:r>
      <w:r>
        <w:rPr>
          <w:kern w:val="0"/>
        </w:rPr>
        <w:t>新城投资开发有限公司</w:t>
      </w:r>
      <w:r>
        <w:rPr>
          <w:rFonts w:hint="eastAsia"/>
        </w:rPr>
        <w:t>澧县东部新区污水处理厂</w:t>
      </w:r>
      <w:r>
        <w:t>纳污范围为</w:t>
      </w:r>
      <w:r>
        <w:rPr>
          <w:rFonts w:hint="eastAsia"/>
        </w:rPr>
        <w:t>澧县东部新区，东至东部新区污水处理厂，西至经二十路，南至纬七路，北至发展大道（东洲社区），共22平方公里的区域，</w:t>
      </w:r>
      <w:r>
        <w:t>主要为</w:t>
      </w:r>
      <w:r>
        <w:rPr>
          <w:rFonts w:hint="eastAsia"/>
        </w:rPr>
        <w:t>澧县东部新区</w:t>
      </w:r>
      <w:r>
        <w:t>居民的生活污水</w:t>
      </w:r>
      <w:r>
        <w:rPr>
          <w:rFonts w:hint="eastAsia"/>
        </w:rPr>
        <w:t>及澧县创新创业园工业排水</w:t>
      </w:r>
      <w:r>
        <w:t>。污水经</w:t>
      </w:r>
      <w:r>
        <w:rPr>
          <w:rFonts w:hint="eastAsia"/>
        </w:rPr>
        <w:t>市政</w:t>
      </w:r>
      <w:r>
        <w:t>污水管网收集后集中至</w:t>
      </w:r>
      <w:r>
        <w:rPr>
          <w:rFonts w:hint="eastAsia"/>
        </w:rPr>
        <w:t>澧县东部新区污水处理厂</w:t>
      </w:r>
      <w:r>
        <w:t>，达到《城镇污水处理厂污染物排放标准》（GB18918-2002）一级A标准后</w:t>
      </w:r>
      <w:r>
        <w:rPr>
          <w:rFonts w:hint="eastAsia"/>
        </w:rPr>
        <w:t>外排</w:t>
      </w:r>
      <w:r>
        <w:t>。</w:t>
      </w:r>
    </w:p>
    <w:p>
      <w:pPr>
        <w:pStyle w:val="4"/>
      </w:pPr>
      <w:r>
        <w:rPr>
          <w:rFonts w:hint="eastAsia"/>
        </w:rPr>
        <w:t>4.1.8</w:t>
      </w:r>
      <w:r>
        <w:t>污水中所含主要污染物种类及其排放浓度、总量</w:t>
      </w:r>
    </w:p>
    <w:p>
      <w:pPr>
        <w:ind w:firstLine="480"/>
      </w:pPr>
      <w:bookmarkStart w:id="43" w:name="bookmark46"/>
      <w:bookmarkEnd w:id="43"/>
      <w:bookmarkStart w:id="44" w:name="3.4.1_主要污染物种类"/>
      <w:bookmarkEnd w:id="44"/>
      <w:bookmarkStart w:id="45" w:name="_Toc10831"/>
      <w:r>
        <w:rPr>
          <w:rFonts w:hint="eastAsia"/>
        </w:rPr>
        <w:t>1、</w:t>
      </w:r>
      <w:r>
        <w:t>主要污染物种类</w:t>
      </w:r>
      <w:bookmarkEnd w:id="45"/>
    </w:p>
    <w:p>
      <w:pPr>
        <w:ind w:firstLine="480"/>
      </w:pPr>
      <w:r>
        <w:rPr>
          <w:rFonts w:hint="eastAsia"/>
        </w:rPr>
        <w:t>澧县东部新区污水处理厂</w:t>
      </w:r>
      <w:r>
        <w:t>入河排污口排放的主要污染物种类为COD</w:t>
      </w:r>
      <w:r>
        <w:rPr>
          <w:rFonts w:hint="eastAsia"/>
          <w:vertAlign w:val="subscript"/>
        </w:rPr>
        <w:t>C</w:t>
      </w:r>
      <w:r>
        <w:rPr>
          <w:vertAlign w:val="subscript"/>
        </w:rPr>
        <w:t>r</w:t>
      </w:r>
      <w:r>
        <w:t>、BOD</w:t>
      </w:r>
      <w:r>
        <w:rPr>
          <w:vertAlign w:val="subscript"/>
        </w:rPr>
        <w:t>5</w:t>
      </w:r>
      <w:r>
        <w:t>、SS、NH</w:t>
      </w:r>
      <w:r>
        <w:rPr>
          <w:vertAlign w:val="subscript"/>
        </w:rPr>
        <w:t>3</w:t>
      </w:r>
      <w:r>
        <w:t>-N、TN、TP、粪大肠菌群</w:t>
      </w:r>
      <w:r>
        <w:rPr>
          <w:rFonts w:hint="eastAsia"/>
        </w:rPr>
        <w:t>等</w:t>
      </w:r>
      <w:r>
        <w:t>。</w:t>
      </w:r>
      <w:bookmarkStart w:id="46" w:name="3.4.2_污水排放浓度、总量"/>
      <w:bookmarkEnd w:id="46"/>
      <w:bookmarkStart w:id="47" w:name="bookmark47"/>
      <w:bookmarkEnd w:id="47"/>
    </w:p>
    <w:p>
      <w:pPr>
        <w:ind w:firstLine="480"/>
      </w:pPr>
      <w:bookmarkStart w:id="48" w:name="_Toc8502"/>
      <w:r>
        <w:rPr>
          <w:rFonts w:hint="eastAsia"/>
        </w:rPr>
        <w:t>2、</w:t>
      </w:r>
      <w:r>
        <w:t>污水排放浓度、总量</w:t>
      </w:r>
      <w:bookmarkEnd w:id="48"/>
    </w:p>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sz w:val="24"/>
          <w:szCs w:val="22"/>
          <w:u w:val="single"/>
        </w:rPr>
        <w:t>澧县东部新区污水处理厂最终受纳水体为澹水，出水水质执行《城镇污水处理厂污染排放标准》（GB18918-2002）一级标准的A标准，具体指标见下表。</w:t>
      </w:r>
    </w:p>
    <w:p>
      <w:pPr>
        <w:widowControl/>
        <w:autoSpaceDE w:val="0"/>
        <w:autoSpaceDN w:val="0"/>
        <w:ind w:firstLine="422"/>
        <w:jc w:val="center"/>
        <w:rPr>
          <w:b/>
          <w:kern w:val="0"/>
          <w:sz w:val="21"/>
          <w:szCs w:val="21"/>
          <w:u w:val="single"/>
        </w:rPr>
      </w:pPr>
      <w:r>
        <w:rPr>
          <w:b/>
          <w:kern w:val="0"/>
          <w:sz w:val="21"/>
          <w:szCs w:val="21"/>
          <w:u w:val="single"/>
        </w:rPr>
        <w:t>表</w:t>
      </w:r>
      <w:r>
        <w:rPr>
          <w:rFonts w:hint="eastAsia"/>
          <w:b/>
          <w:kern w:val="0"/>
          <w:sz w:val="21"/>
          <w:szCs w:val="21"/>
          <w:u w:val="single"/>
        </w:rPr>
        <w:t>4</w:t>
      </w:r>
      <w:r>
        <w:rPr>
          <w:b/>
          <w:kern w:val="0"/>
          <w:sz w:val="21"/>
          <w:szCs w:val="21"/>
          <w:u w:val="single"/>
        </w:rPr>
        <w:t xml:space="preserve">-1  </w:t>
      </w:r>
      <w:r>
        <w:rPr>
          <w:rFonts w:hint="eastAsia"/>
          <w:b/>
          <w:kern w:val="0"/>
          <w:sz w:val="21"/>
          <w:szCs w:val="21"/>
          <w:u w:val="single"/>
        </w:rPr>
        <w:t>澧县东部新区污水处理厂</w:t>
      </w:r>
      <w:r>
        <w:rPr>
          <w:b/>
          <w:kern w:val="0"/>
          <w:sz w:val="21"/>
          <w:szCs w:val="21"/>
          <w:u w:val="single"/>
        </w:rPr>
        <w:t>设计出水水质</w:t>
      </w:r>
      <w:r>
        <w:rPr>
          <w:rFonts w:hint="eastAsia"/>
          <w:b/>
          <w:kern w:val="0"/>
          <w:sz w:val="21"/>
          <w:szCs w:val="21"/>
          <w:u w:val="single"/>
        </w:rPr>
        <w:t xml:space="preserve">    </w:t>
      </w:r>
      <w:r>
        <w:rPr>
          <w:b/>
          <w:kern w:val="0"/>
          <w:sz w:val="21"/>
          <w:szCs w:val="21"/>
          <w:u w:val="single"/>
        </w:rPr>
        <w:t>单位：mg/L</w:t>
      </w:r>
    </w:p>
    <w:tbl>
      <w:tblPr>
        <w:tblStyle w:val="41"/>
        <w:tblW w:w="8732" w:type="dxa"/>
        <w:jc w:val="center"/>
        <w:tblLayout w:type="autofit"/>
        <w:tblCellMar>
          <w:top w:w="0" w:type="dxa"/>
          <w:left w:w="108" w:type="dxa"/>
          <w:bottom w:w="0" w:type="dxa"/>
          <w:right w:w="108" w:type="dxa"/>
        </w:tblCellMar>
      </w:tblPr>
      <w:tblGrid>
        <w:gridCol w:w="1053"/>
        <w:gridCol w:w="1053"/>
        <w:gridCol w:w="1053"/>
        <w:gridCol w:w="1053"/>
        <w:gridCol w:w="1053"/>
        <w:gridCol w:w="1053"/>
        <w:gridCol w:w="1054"/>
        <w:gridCol w:w="1360"/>
      </w:tblGrid>
      <w:tr>
        <w:tblPrEx>
          <w:tblCellMar>
            <w:top w:w="0" w:type="dxa"/>
            <w:left w:w="108" w:type="dxa"/>
            <w:bottom w:w="0" w:type="dxa"/>
            <w:right w:w="108" w:type="dxa"/>
          </w:tblCellMar>
        </w:tblPrEx>
        <w:trPr>
          <w:jc w:val="center"/>
        </w:trPr>
        <w:tc>
          <w:tcPr>
            <w:tcW w:w="1053"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b/>
                <w:sz w:val="21"/>
                <w:szCs w:val="21"/>
              </w:rPr>
            </w:pPr>
            <w:r>
              <w:rPr>
                <w:rFonts w:hint="eastAsia"/>
                <w:b/>
                <w:sz w:val="21"/>
                <w:szCs w:val="21"/>
              </w:rPr>
              <w:t>指标</w:t>
            </w: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b/>
                <w:sz w:val="21"/>
                <w:szCs w:val="21"/>
              </w:rPr>
            </w:pPr>
            <w:r>
              <w:rPr>
                <w:rFonts w:hint="eastAsia"/>
                <w:b/>
                <w:sz w:val="21"/>
                <w:szCs w:val="21"/>
              </w:rPr>
              <w:t>COD</w:t>
            </w:r>
            <w:r>
              <w:rPr>
                <w:rFonts w:hint="eastAsia"/>
                <w:b/>
                <w:sz w:val="21"/>
                <w:szCs w:val="21"/>
                <w:vertAlign w:val="subscript"/>
              </w:rPr>
              <w:t>Cr</w:t>
            </w: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b/>
                <w:sz w:val="21"/>
                <w:szCs w:val="21"/>
              </w:rPr>
            </w:pPr>
            <w:r>
              <w:rPr>
                <w:rFonts w:hint="eastAsia"/>
                <w:b/>
                <w:sz w:val="21"/>
                <w:szCs w:val="21"/>
              </w:rPr>
              <w:t>BOD</w:t>
            </w:r>
            <w:r>
              <w:rPr>
                <w:rFonts w:hint="eastAsia"/>
                <w:b/>
                <w:sz w:val="21"/>
                <w:szCs w:val="21"/>
                <w:vertAlign w:val="subscript"/>
              </w:rPr>
              <w:t>5</w:t>
            </w: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b/>
                <w:sz w:val="21"/>
                <w:szCs w:val="21"/>
              </w:rPr>
            </w:pPr>
            <w:r>
              <w:rPr>
                <w:rFonts w:hint="eastAsia"/>
                <w:b/>
                <w:sz w:val="21"/>
                <w:szCs w:val="21"/>
              </w:rPr>
              <w:t>SS</w:t>
            </w: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b/>
                <w:sz w:val="21"/>
                <w:szCs w:val="21"/>
              </w:rPr>
            </w:pPr>
            <w:r>
              <w:rPr>
                <w:rFonts w:hint="eastAsia"/>
                <w:b/>
                <w:sz w:val="21"/>
                <w:szCs w:val="21"/>
              </w:rPr>
              <w:t>TN</w:t>
            </w: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b/>
                <w:sz w:val="21"/>
                <w:szCs w:val="21"/>
              </w:rPr>
            </w:pPr>
            <w:r>
              <w:rPr>
                <w:rFonts w:hint="eastAsia"/>
                <w:b/>
                <w:sz w:val="21"/>
                <w:szCs w:val="21"/>
              </w:rPr>
              <w:t>NH</w:t>
            </w:r>
            <w:r>
              <w:rPr>
                <w:rFonts w:hint="eastAsia"/>
                <w:b/>
                <w:sz w:val="21"/>
                <w:szCs w:val="21"/>
                <w:vertAlign w:val="subscript"/>
              </w:rPr>
              <w:t>3</w:t>
            </w:r>
            <w:r>
              <w:rPr>
                <w:rFonts w:hint="eastAsia"/>
                <w:b/>
                <w:sz w:val="21"/>
                <w:szCs w:val="21"/>
              </w:rPr>
              <w:t>-N</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b/>
                <w:sz w:val="21"/>
                <w:szCs w:val="21"/>
              </w:rPr>
            </w:pPr>
            <w:r>
              <w:rPr>
                <w:rFonts w:hint="eastAsia"/>
                <w:b/>
                <w:sz w:val="21"/>
                <w:szCs w:val="21"/>
              </w:rPr>
              <w:t>TP</w:t>
            </w:r>
          </w:p>
        </w:tc>
        <w:tc>
          <w:tcPr>
            <w:tcW w:w="1360" w:type="dxa"/>
            <w:tcBorders>
              <w:top w:val="single" w:color="000000" w:sz="4" w:space="0"/>
              <w:left w:val="single" w:color="000000" w:sz="4" w:space="0"/>
              <w:bottom w:val="single" w:color="000000" w:sz="4" w:space="0"/>
              <w:right w:val="single" w:color="000000" w:sz="4" w:space="0"/>
            </w:tcBorders>
          </w:tcPr>
          <w:p>
            <w:pPr>
              <w:spacing w:line="240" w:lineRule="auto"/>
              <w:ind w:firstLine="0" w:firstLineChars="0"/>
              <w:jc w:val="center"/>
              <w:rPr>
                <w:b/>
                <w:sz w:val="21"/>
                <w:szCs w:val="21"/>
              </w:rPr>
            </w:pPr>
            <w:r>
              <w:rPr>
                <w:rFonts w:hint="eastAsia"/>
                <w:b/>
                <w:sz w:val="21"/>
                <w:szCs w:val="21"/>
              </w:rPr>
              <w:t>粪大肠菌群</w:t>
            </w:r>
          </w:p>
        </w:tc>
      </w:tr>
      <w:tr>
        <w:tblPrEx>
          <w:tblCellMar>
            <w:top w:w="0" w:type="dxa"/>
            <w:left w:w="108" w:type="dxa"/>
            <w:bottom w:w="0" w:type="dxa"/>
            <w:right w:w="108" w:type="dxa"/>
          </w:tblCellMar>
        </w:tblPrEx>
        <w:trPr>
          <w:jc w:val="center"/>
        </w:trPr>
        <w:tc>
          <w:tcPr>
            <w:tcW w:w="1053"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1"/>
              </w:rPr>
            </w:pPr>
            <w:r>
              <w:rPr>
                <w:rFonts w:hint="eastAsia"/>
                <w:sz w:val="21"/>
                <w:szCs w:val="21"/>
              </w:rPr>
              <w:t>出水</w:t>
            </w: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1"/>
              </w:rPr>
            </w:pPr>
            <w:r>
              <w:rPr>
                <w:rFonts w:hint="eastAsia"/>
                <w:sz w:val="21"/>
                <w:szCs w:val="21"/>
              </w:rPr>
              <w:t>≤50</w:t>
            </w: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1"/>
              </w:rPr>
            </w:pPr>
            <w:r>
              <w:rPr>
                <w:rFonts w:hint="eastAsia"/>
                <w:sz w:val="21"/>
                <w:szCs w:val="21"/>
              </w:rPr>
              <w:t>≤10</w:t>
            </w: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1"/>
              </w:rPr>
            </w:pPr>
            <w:r>
              <w:rPr>
                <w:rFonts w:hint="eastAsia"/>
                <w:sz w:val="21"/>
                <w:szCs w:val="21"/>
              </w:rPr>
              <w:t>≤10</w:t>
            </w: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1"/>
              </w:rPr>
            </w:pPr>
            <w:r>
              <w:rPr>
                <w:rFonts w:hint="eastAsia"/>
                <w:sz w:val="21"/>
                <w:szCs w:val="21"/>
              </w:rPr>
              <w:t>≤15</w:t>
            </w: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1"/>
              </w:rPr>
            </w:pPr>
            <w:r>
              <w:rPr>
                <w:rFonts w:hint="eastAsia"/>
                <w:sz w:val="21"/>
                <w:szCs w:val="21"/>
              </w:rPr>
              <w:t>≤5</w:t>
            </w:r>
          </w:p>
        </w:tc>
        <w:tc>
          <w:tcPr>
            <w:tcW w:w="105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1"/>
                <w:szCs w:val="21"/>
              </w:rPr>
            </w:pPr>
            <w:r>
              <w:rPr>
                <w:rFonts w:hint="eastAsia"/>
                <w:sz w:val="21"/>
                <w:szCs w:val="21"/>
              </w:rPr>
              <w:t>≤0.5</w:t>
            </w:r>
          </w:p>
        </w:tc>
        <w:tc>
          <w:tcPr>
            <w:tcW w:w="1360" w:type="dxa"/>
            <w:tcBorders>
              <w:top w:val="single" w:color="000000" w:sz="4" w:space="0"/>
              <w:left w:val="single" w:color="000000" w:sz="4" w:space="0"/>
              <w:bottom w:val="single" w:color="000000" w:sz="4" w:space="0"/>
              <w:right w:val="single" w:color="000000" w:sz="4" w:space="0"/>
            </w:tcBorders>
          </w:tcPr>
          <w:p>
            <w:pPr>
              <w:spacing w:line="240" w:lineRule="auto"/>
              <w:ind w:firstLine="0" w:firstLineChars="0"/>
              <w:jc w:val="center"/>
              <w:rPr>
                <w:sz w:val="21"/>
                <w:szCs w:val="21"/>
              </w:rPr>
            </w:pPr>
            <w:r>
              <w:rPr>
                <w:rFonts w:hint="eastAsia"/>
                <w:sz w:val="21"/>
                <w:szCs w:val="21"/>
              </w:rPr>
              <w:t>10</w:t>
            </w:r>
            <w:r>
              <w:rPr>
                <w:rFonts w:hint="eastAsia"/>
                <w:sz w:val="21"/>
                <w:szCs w:val="21"/>
                <w:vertAlign w:val="superscript"/>
              </w:rPr>
              <w:t>3</w:t>
            </w:r>
            <w:r>
              <w:rPr>
                <w:rFonts w:hint="eastAsia"/>
                <w:sz w:val="21"/>
                <w:szCs w:val="21"/>
              </w:rPr>
              <w:t>（个/L）</w:t>
            </w:r>
          </w:p>
        </w:tc>
      </w:tr>
    </w:tbl>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sz w:val="24"/>
          <w:szCs w:val="22"/>
          <w:u w:val="single"/>
        </w:rPr>
        <w:t>2024年5月1日～31日</w:t>
      </w:r>
      <w:r>
        <w:rPr>
          <w:rFonts w:ascii="Times New Roman" w:hAnsi="Times New Roman"/>
          <w:kern w:val="2"/>
          <w:sz w:val="24"/>
          <w:szCs w:val="22"/>
          <w:u w:val="single"/>
        </w:rPr>
        <w:t>澧县东部新区污水处理厂</w:t>
      </w:r>
      <w:r>
        <w:rPr>
          <w:rFonts w:ascii="Times New Roman" w:hAnsi="Times New Roman"/>
          <w:sz w:val="24"/>
          <w:szCs w:val="22"/>
          <w:u w:val="single"/>
        </w:rPr>
        <w:t>污水总排放口pH值、COD、NH</w:t>
      </w:r>
      <w:r>
        <w:rPr>
          <w:rFonts w:ascii="Times New Roman" w:hAnsi="Times New Roman"/>
          <w:sz w:val="24"/>
          <w:szCs w:val="22"/>
          <w:u w:val="single"/>
          <w:vertAlign w:val="subscript"/>
        </w:rPr>
        <w:t>3</w:t>
      </w:r>
      <w:r>
        <w:rPr>
          <w:rFonts w:ascii="Times New Roman" w:hAnsi="Times New Roman"/>
          <w:sz w:val="24"/>
          <w:szCs w:val="22"/>
          <w:u w:val="single"/>
        </w:rPr>
        <w:t>-N、TP自动在线监测结果见下表。</w:t>
      </w:r>
    </w:p>
    <w:p>
      <w:pPr>
        <w:widowControl/>
        <w:autoSpaceDE w:val="0"/>
        <w:autoSpaceDN w:val="0"/>
        <w:ind w:firstLine="422"/>
        <w:jc w:val="center"/>
        <w:rPr>
          <w:b/>
          <w:kern w:val="0"/>
          <w:sz w:val="21"/>
          <w:szCs w:val="21"/>
          <w:u w:val="single"/>
        </w:rPr>
      </w:pPr>
      <w:r>
        <w:rPr>
          <w:b/>
          <w:kern w:val="0"/>
          <w:sz w:val="21"/>
          <w:szCs w:val="21"/>
          <w:u w:val="single"/>
        </w:rPr>
        <w:t>表</w:t>
      </w:r>
      <w:r>
        <w:rPr>
          <w:rFonts w:hint="eastAsia"/>
          <w:b/>
          <w:kern w:val="0"/>
          <w:sz w:val="21"/>
          <w:szCs w:val="21"/>
          <w:u w:val="single"/>
        </w:rPr>
        <w:t xml:space="preserve">4-2  </w:t>
      </w:r>
      <w:r>
        <w:rPr>
          <w:b/>
          <w:kern w:val="0"/>
          <w:sz w:val="21"/>
          <w:szCs w:val="21"/>
          <w:u w:val="single"/>
        </w:rPr>
        <w:t>澧县东部新区污水处理厂自动在线水质监测结果</w:t>
      </w:r>
      <w:r>
        <w:rPr>
          <w:rFonts w:hint="eastAsia"/>
          <w:b/>
          <w:kern w:val="0"/>
          <w:sz w:val="21"/>
          <w:szCs w:val="21"/>
          <w:u w:val="single"/>
        </w:rPr>
        <w:t xml:space="preserve">    单位：mg/L</w:t>
      </w:r>
    </w:p>
    <w:tbl>
      <w:tblPr>
        <w:tblStyle w:val="41"/>
        <w:tblW w:w="8732" w:type="dxa"/>
        <w:jc w:val="center"/>
        <w:tblLayout w:type="fixed"/>
        <w:tblCellMar>
          <w:top w:w="0" w:type="dxa"/>
          <w:left w:w="108" w:type="dxa"/>
          <w:bottom w:w="0" w:type="dxa"/>
          <w:right w:w="108" w:type="dxa"/>
        </w:tblCellMar>
      </w:tblPr>
      <w:tblGrid>
        <w:gridCol w:w="1435"/>
        <w:gridCol w:w="1753"/>
        <w:gridCol w:w="2127"/>
        <w:gridCol w:w="1821"/>
        <w:gridCol w:w="1596"/>
      </w:tblGrid>
      <w:tr>
        <w:tblPrEx>
          <w:tblCellMar>
            <w:top w:w="0" w:type="dxa"/>
            <w:left w:w="108" w:type="dxa"/>
            <w:bottom w:w="0" w:type="dxa"/>
            <w:right w:w="108" w:type="dxa"/>
          </w:tblCellMar>
        </w:tblPrEx>
        <w:trPr>
          <w:jc w:val="center"/>
        </w:trPr>
        <w:tc>
          <w:tcPr>
            <w:tcW w:w="821"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
                <w:bCs/>
                <w:sz w:val="21"/>
                <w:szCs w:val="21"/>
              </w:rPr>
            </w:pPr>
            <w:r>
              <w:rPr>
                <w:rFonts w:hAnsiTheme="minorEastAsia" w:eastAsiaTheme="minorEastAsia"/>
                <w:b/>
                <w:bCs/>
                <w:sz w:val="21"/>
                <w:szCs w:val="21"/>
              </w:rPr>
              <w:t>时间</w:t>
            </w:r>
          </w:p>
        </w:tc>
        <w:tc>
          <w:tcPr>
            <w:tcW w:w="1003"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
                <w:bCs/>
                <w:sz w:val="21"/>
                <w:szCs w:val="21"/>
              </w:rPr>
            </w:pPr>
            <w:r>
              <w:rPr>
                <w:rFonts w:hAnsiTheme="minorEastAsia" w:eastAsiaTheme="minorEastAsia"/>
                <w:b/>
                <w:bCs/>
                <w:sz w:val="21"/>
                <w:szCs w:val="21"/>
              </w:rPr>
              <w:t>化学需氧量</w:t>
            </w:r>
          </w:p>
        </w:tc>
        <w:tc>
          <w:tcPr>
            <w:tcW w:w="1218"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
                <w:bCs/>
                <w:sz w:val="21"/>
                <w:szCs w:val="21"/>
              </w:rPr>
            </w:pPr>
            <w:r>
              <w:rPr>
                <w:rFonts w:hAnsiTheme="minorEastAsia" w:eastAsiaTheme="minorEastAsia"/>
                <w:b/>
                <w:bCs/>
                <w:sz w:val="21"/>
                <w:szCs w:val="21"/>
              </w:rPr>
              <w:t>氨氮</w:t>
            </w:r>
          </w:p>
        </w:tc>
        <w:tc>
          <w:tcPr>
            <w:tcW w:w="1043"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
                <w:bCs/>
                <w:sz w:val="21"/>
                <w:szCs w:val="21"/>
              </w:rPr>
            </w:pPr>
            <w:r>
              <w:rPr>
                <w:rFonts w:hAnsiTheme="minorEastAsia" w:eastAsiaTheme="minorEastAsia"/>
                <w:b/>
                <w:bCs/>
                <w:sz w:val="21"/>
                <w:szCs w:val="21"/>
              </w:rPr>
              <w:t>总磷</w:t>
            </w:r>
          </w:p>
        </w:tc>
        <w:tc>
          <w:tcPr>
            <w:tcW w:w="914"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
                <w:bCs/>
                <w:sz w:val="21"/>
                <w:szCs w:val="21"/>
              </w:rPr>
            </w:pPr>
            <w:r>
              <w:rPr>
                <w:rFonts w:eastAsiaTheme="minorEastAsia"/>
                <w:b/>
                <w:bCs/>
                <w:sz w:val="21"/>
                <w:szCs w:val="21"/>
              </w:rPr>
              <w:t>pH</w:t>
            </w:r>
            <w:r>
              <w:rPr>
                <w:rFonts w:hAnsiTheme="minorEastAsia" w:eastAsiaTheme="minorEastAsia"/>
                <w:b/>
                <w:bCs/>
                <w:sz w:val="21"/>
                <w:szCs w:val="21"/>
              </w:rPr>
              <w:t>值</w:t>
            </w:r>
          </w:p>
        </w:tc>
      </w:tr>
      <w:tr>
        <w:tblPrEx>
          <w:tblCellMar>
            <w:top w:w="0" w:type="dxa"/>
            <w:left w:w="108" w:type="dxa"/>
            <w:bottom w:w="0" w:type="dxa"/>
            <w:right w:w="108" w:type="dxa"/>
          </w:tblCellMar>
        </w:tblPrEx>
        <w:trPr>
          <w:jc w:val="center"/>
        </w:trPr>
        <w:tc>
          <w:tcPr>
            <w:tcW w:w="821"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hint="eastAsia" w:eastAsiaTheme="minorEastAsia"/>
                <w:bCs/>
                <w:sz w:val="21"/>
                <w:szCs w:val="21"/>
              </w:rPr>
              <w:t>月均值</w:t>
            </w:r>
          </w:p>
        </w:tc>
        <w:tc>
          <w:tcPr>
            <w:tcW w:w="1003"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hint="eastAsia" w:eastAsiaTheme="minorEastAsia"/>
                <w:bCs/>
                <w:sz w:val="21"/>
                <w:szCs w:val="21"/>
              </w:rPr>
              <w:t>12.14</w:t>
            </w:r>
          </w:p>
        </w:tc>
        <w:tc>
          <w:tcPr>
            <w:tcW w:w="1218"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hint="eastAsia" w:eastAsiaTheme="minorEastAsia"/>
                <w:bCs/>
                <w:sz w:val="21"/>
                <w:szCs w:val="21"/>
              </w:rPr>
              <w:t>0.243</w:t>
            </w:r>
          </w:p>
        </w:tc>
        <w:tc>
          <w:tcPr>
            <w:tcW w:w="1043"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hint="eastAsia" w:eastAsiaTheme="minorEastAsia"/>
                <w:bCs/>
                <w:sz w:val="21"/>
                <w:szCs w:val="21"/>
              </w:rPr>
              <w:t>0.240</w:t>
            </w:r>
          </w:p>
        </w:tc>
        <w:tc>
          <w:tcPr>
            <w:tcW w:w="914"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hint="eastAsia" w:eastAsiaTheme="minorEastAsia"/>
                <w:bCs/>
                <w:sz w:val="21"/>
                <w:szCs w:val="21"/>
              </w:rPr>
              <w:t>6.7</w:t>
            </w:r>
          </w:p>
        </w:tc>
      </w:tr>
      <w:tr>
        <w:tblPrEx>
          <w:tblCellMar>
            <w:top w:w="0" w:type="dxa"/>
            <w:left w:w="108" w:type="dxa"/>
            <w:bottom w:w="0" w:type="dxa"/>
            <w:right w:w="108" w:type="dxa"/>
          </w:tblCellMar>
        </w:tblPrEx>
        <w:trPr>
          <w:jc w:val="center"/>
        </w:trPr>
        <w:tc>
          <w:tcPr>
            <w:tcW w:w="821"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hAnsiTheme="minorEastAsia" w:eastAsiaTheme="minorEastAsia"/>
                <w:bCs/>
                <w:sz w:val="21"/>
                <w:szCs w:val="21"/>
              </w:rPr>
              <w:t>最小值</w:t>
            </w:r>
          </w:p>
        </w:tc>
        <w:tc>
          <w:tcPr>
            <w:tcW w:w="1003"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hint="eastAsia" w:eastAsiaTheme="minorEastAsia"/>
                <w:bCs/>
                <w:sz w:val="21"/>
                <w:szCs w:val="21"/>
              </w:rPr>
              <w:t>0.4254</w:t>
            </w:r>
          </w:p>
        </w:tc>
        <w:tc>
          <w:tcPr>
            <w:tcW w:w="1218"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hint="eastAsia" w:eastAsiaTheme="minorEastAsia"/>
                <w:bCs/>
                <w:sz w:val="21"/>
                <w:szCs w:val="21"/>
              </w:rPr>
              <w:t>0.011</w:t>
            </w:r>
          </w:p>
        </w:tc>
        <w:tc>
          <w:tcPr>
            <w:tcW w:w="1043"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hint="eastAsia" w:eastAsiaTheme="minorEastAsia"/>
                <w:bCs/>
                <w:sz w:val="21"/>
                <w:szCs w:val="21"/>
              </w:rPr>
              <w:t>0.091</w:t>
            </w:r>
          </w:p>
        </w:tc>
        <w:tc>
          <w:tcPr>
            <w:tcW w:w="914"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hint="eastAsia" w:eastAsiaTheme="minorEastAsia"/>
                <w:bCs/>
                <w:sz w:val="21"/>
                <w:szCs w:val="21"/>
              </w:rPr>
              <w:t>8.1251</w:t>
            </w:r>
          </w:p>
        </w:tc>
      </w:tr>
      <w:tr>
        <w:tblPrEx>
          <w:tblCellMar>
            <w:top w:w="0" w:type="dxa"/>
            <w:left w:w="108" w:type="dxa"/>
            <w:bottom w:w="0" w:type="dxa"/>
            <w:right w:w="108" w:type="dxa"/>
          </w:tblCellMar>
        </w:tblPrEx>
        <w:trPr>
          <w:jc w:val="center"/>
        </w:trPr>
        <w:tc>
          <w:tcPr>
            <w:tcW w:w="821"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hAnsiTheme="minorEastAsia" w:eastAsiaTheme="minorEastAsia"/>
                <w:bCs/>
                <w:sz w:val="21"/>
                <w:szCs w:val="21"/>
              </w:rPr>
              <w:t>最大值</w:t>
            </w:r>
          </w:p>
        </w:tc>
        <w:tc>
          <w:tcPr>
            <w:tcW w:w="1003"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hint="eastAsia" w:eastAsiaTheme="minorEastAsia"/>
                <w:bCs/>
                <w:sz w:val="21"/>
                <w:szCs w:val="21"/>
              </w:rPr>
              <w:t>42.609</w:t>
            </w:r>
          </w:p>
        </w:tc>
        <w:tc>
          <w:tcPr>
            <w:tcW w:w="1218"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hint="eastAsia" w:eastAsiaTheme="minorEastAsia"/>
                <w:bCs/>
                <w:sz w:val="21"/>
                <w:szCs w:val="21"/>
              </w:rPr>
              <w:t>1.925</w:t>
            </w:r>
          </w:p>
        </w:tc>
        <w:tc>
          <w:tcPr>
            <w:tcW w:w="1043"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hint="eastAsia" w:eastAsiaTheme="minorEastAsia"/>
                <w:bCs/>
                <w:sz w:val="21"/>
                <w:szCs w:val="21"/>
              </w:rPr>
              <w:t>0.47</w:t>
            </w:r>
          </w:p>
        </w:tc>
        <w:tc>
          <w:tcPr>
            <w:tcW w:w="914"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hint="eastAsia" w:eastAsiaTheme="minorEastAsia"/>
                <w:bCs/>
                <w:sz w:val="21"/>
                <w:szCs w:val="21"/>
              </w:rPr>
              <w:t>6.2816</w:t>
            </w:r>
          </w:p>
        </w:tc>
      </w:tr>
      <w:tr>
        <w:tblPrEx>
          <w:tblCellMar>
            <w:top w:w="0" w:type="dxa"/>
            <w:left w:w="108" w:type="dxa"/>
            <w:bottom w:w="0" w:type="dxa"/>
            <w:right w:w="108" w:type="dxa"/>
          </w:tblCellMar>
        </w:tblPrEx>
        <w:trPr>
          <w:jc w:val="center"/>
        </w:trPr>
        <w:tc>
          <w:tcPr>
            <w:tcW w:w="821"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hAnsiTheme="minorEastAsia" w:eastAsiaTheme="minorEastAsia"/>
                <w:bCs/>
                <w:sz w:val="21"/>
                <w:szCs w:val="21"/>
              </w:rPr>
              <w:t>执行标准</w:t>
            </w:r>
          </w:p>
        </w:tc>
        <w:tc>
          <w:tcPr>
            <w:tcW w:w="1003"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hint="eastAsia" w:eastAsiaTheme="minorEastAsia"/>
                <w:bCs/>
                <w:sz w:val="21"/>
                <w:szCs w:val="21"/>
              </w:rPr>
              <w:t>50</w:t>
            </w:r>
          </w:p>
        </w:tc>
        <w:tc>
          <w:tcPr>
            <w:tcW w:w="1218"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hint="eastAsia" w:eastAsiaTheme="minorEastAsia"/>
                <w:bCs/>
                <w:sz w:val="21"/>
                <w:szCs w:val="21"/>
              </w:rPr>
              <w:t>5</w:t>
            </w:r>
          </w:p>
        </w:tc>
        <w:tc>
          <w:tcPr>
            <w:tcW w:w="1043"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eastAsiaTheme="minorEastAsia"/>
                <w:bCs/>
                <w:sz w:val="21"/>
                <w:szCs w:val="21"/>
              </w:rPr>
              <w:t>0.5</w:t>
            </w:r>
          </w:p>
        </w:tc>
        <w:tc>
          <w:tcPr>
            <w:tcW w:w="914"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hint="eastAsia" w:eastAsiaTheme="minorEastAsia"/>
                <w:bCs/>
                <w:sz w:val="21"/>
                <w:szCs w:val="21"/>
              </w:rPr>
              <w:t>6～9</w:t>
            </w:r>
          </w:p>
        </w:tc>
      </w:tr>
      <w:tr>
        <w:tblPrEx>
          <w:tblCellMar>
            <w:top w:w="0" w:type="dxa"/>
            <w:left w:w="108" w:type="dxa"/>
            <w:bottom w:w="0" w:type="dxa"/>
            <w:right w:w="108" w:type="dxa"/>
          </w:tblCellMar>
        </w:tblPrEx>
        <w:trPr>
          <w:jc w:val="center"/>
        </w:trPr>
        <w:tc>
          <w:tcPr>
            <w:tcW w:w="821"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hAnsiTheme="minorEastAsia" w:eastAsiaTheme="minorEastAsia"/>
                <w:bCs/>
                <w:sz w:val="21"/>
                <w:szCs w:val="21"/>
              </w:rPr>
              <w:t>结论</w:t>
            </w:r>
          </w:p>
        </w:tc>
        <w:tc>
          <w:tcPr>
            <w:tcW w:w="1003"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hAnsiTheme="minorEastAsia" w:eastAsiaTheme="minorEastAsia"/>
                <w:bCs/>
                <w:sz w:val="21"/>
                <w:szCs w:val="21"/>
              </w:rPr>
              <w:t>达标</w:t>
            </w:r>
          </w:p>
        </w:tc>
        <w:tc>
          <w:tcPr>
            <w:tcW w:w="1218"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hAnsiTheme="minorEastAsia" w:eastAsiaTheme="minorEastAsia"/>
                <w:bCs/>
                <w:sz w:val="21"/>
                <w:szCs w:val="21"/>
              </w:rPr>
              <w:t>达标</w:t>
            </w:r>
          </w:p>
        </w:tc>
        <w:tc>
          <w:tcPr>
            <w:tcW w:w="1043"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hAnsiTheme="minorEastAsia" w:eastAsiaTheme="minorEastAsia"/>
                <w:bCs/>
                <w:sz w:val="21"/>
                <w:szCs w:val="21"/>
              </w:rPr>
              <w:t>达标</w:t>
            </w:r>
          </w:p>
        </w:tc>
        <w:tc>
          <w:tcPr>
            <w:tcW w:w="914"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hAnsiTheme="minorEastAsia" w:eastAsiaTheme="minorEastAsia"/>
                <w:bCs/>
                <w:sz w:val="21"/>
                <w:szCs w:val="21"/>
              </w:rPr>
              <w:t>达标</w:t>
            </w:r>
          </w:p>
        </w:tc>
      </w:tr>
    </w:tbl>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kern w:val="2"/>
          <w:sz w:val="24"/>
          <w:szCs w:val="22"/>
          <w:u w:val="single"/>
        </w:rPr>
        <w:t>澧县东部新区污水处理厂</w:t>
      </w:r>
      <w:r>
        <w:rPr>
          <w:rFonts w:ascii="Times New Roman" w:hAnsi="Times New Roman"/>
          <w:sz w:val="24"/>
          <w:szCs w:val="22"/>
          <w:u w:val="single"/>
        </w:rPr>
        <w:t>污水总排放口pH值、COD、NH</w:t>
      </w:r>
      <w:r>
        <w:rPr>
          <w:rFonts w:ascii="Times New Roman" w:hAnsi="Times New Roman"/>
          <w:sz w:val="24"/>
          <w:szCs w:val="22"/>
          <w:u w:val="single"/>
          <w:vertAlign w:val="subscript"/>
        </w:rPr>
        <w:t>3</w:t>
      </w:r>
      <w:r>
        <w:rPr>
          <w:rFonts w:ascii="Times New Roman" w:hAnsi="Times New Roman"/>
          <w:sz w:val="24"/>
          <w:szCs w:val="22"/>
          <w:u w:val="single"/>
        </w:rPr>
        <w:t>-N、TP自动在线监测结果均达到《城镇污水处理厂污染物排放标准》（GB18918-2002）一级A标准要求。</w:t>
      </w:r>
    </w:p>
    <w:p>
      <w:pPr>
        <w:ind w:firstLine="480"/>
      </w:pPr>
      <w:r>
        <w:t>目前澧县东部新区污水处理厂废水总排口出水水质按《城镇污水处理厂污染物排放标准》（GB18918-2002）一级A标准排放，设计规模60000m</w:t>
      </w:r>
      <w:r>
        <w:rPr>
          <w:vertAlign w:val="superscript"/>
        </w:rPr>
        <w:t>3</w:t>
      </w:r>
      <w:r>
        <w:t>/d，主要污染物排放浓度及总量见下表。</w:t>
      </w:r>
    </w:p>
    <w:p>
      <w:pPr>
        <w:ind w:firstLine="0" w:firstLineChars="0"/>
        <w:jc w:val="center"/>
        <w:textAlignment w:val="center"/>
        <w:rPr>
          <w:b/>
          <w:bCs/>
          <w:color w:val="000000"/>
          <w:sz w:val="21"/>
          <w:szCs w:val="21"/>
        </w:rPr>
      </w:pPr>
      <w:r>
        <w:rPr>
          <w:b/>
          <w:bCs/>
          <w:color w:val="000000"/>
          <w:sz w:val="21"/>
          <w:szCs w:val="21"/>
        </w:rPr>
        <w:t>表</w:t>
      </w:r>
      <w:r>
        <w:rPr>
          <w:rFonts w:hint="eastAsia"/>
          <w:b/>
          <w:bCs/>
          <w:color w:val="000000"/>
          <w:sz w:val="21"/>
          <w:szCs w:val="21"/>
        </w:rPr>
        <w:t>4</w:t>
      </w:r>
      <w:r>
        <w:rPr>
          <w:b/>
          <w:bCs/>
          <w:color w:val="000000"/>
          <w:sz w:val="21"/>
          <w:szCs w:val="21"/>
        </w:rPr>
        <w:t>-</w:t>
      </w:r>
      <w:r>
        <w:rPr>
          <w:rFonts w:hint="eastAsia"/>
          <w:b/>
          <w:bCs/>
          <w:color w:val="000000"/>
          <w:sz w:val="21"/>
          <w:szCs w:val="21"/>
        </w:rPr>
        <w:t>3</w:t>
      </w:r>
      <w:r>
        <w:rPr>
          <w:b/>
          <w:bCs/>
          <w:color w:val="000000"/>
          <w:sz w:val="21"/>
          <w:szCs w:val="21"/>
        </w:rPr>
        <w:t xml:space="preserve">  主要污染物排放浓度及总量一览表</w:t>
      </w:r>
    </w:p>
    <w:tbl>
      <w:tblPr>
        <w:tblStyle w:val="41"/>
        <w:tblW w:w="5000" w:type="pct"/>
        <w:jc w:val="center"/>
        <w:tblLayout w:type="fixed"/>
        <w:tblCellMar>
          <w:top w:w="0" w:type="dxa"/>
          <w:left w:w="108" w:type="dxa"/>
          <w:bottom w:w="0" w:type="dxa"/>
          <w:right w:w="108" w:type="dxa"/>
        </w:tblCellMar>
      </w:tblPr>
      <w:tblGrid>
        <w:gridCol w:w="1730"/>
        <w:gridCol w:w="1463"/>
        <w:gridCol w:w="1588"/>
        <w:gridCol w:w="2115"/>
        <w:gridCol w:w="2050"/>
      </w:tblGrid>
      <w:tr>
        <w:tblPrEx>
          <w:tblCellMar>
            <w:top w:w="0" w:type="dxa"/>
            <w:left w:w="108" w:type="dxa"/>
            <w:bottom w:w="0" w:type="dxa"/>
            <w:right w:w="108" w:type="dxa"/>
          </w:tblCellMar>
        </w:tblPrEx>
        <w:trPr>
          <w:jc w:val="center"/>
        </w:trPr>
        <w:tc>
          <w:tcPr>
            <w:tcW w:w="178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
                <w:bCs/>
                <w:sz w:val="21"/>
                <w:szCs w:val="21"/>
              </w:rPr>
            </w:pPr>
            <w:r>
              <w:rPr>
                <w:rFonts w:eastAsiaTheme="minorEastAsia"/>
                <w:b/>
                <w:bCs/>
                <w:sz w:val="21"/>
                <w:szCs w:val="21"/>
              </w:rPr>
              <w:t>排污口设置单位</w:t>
            </w:r>
          </w:p>
        </w:tc>
        <w:tc>
          <w:tcPr>
            <w:tcW w:w="151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
                <w:bCs/>
                <w:sz w:val="21"/>
                <w:szCs w:val="21"/>
              </w:rPr>
            </w:pPr>
            <w:r>
              <w:rPr>
                <w:rFonts w:eastAsiaTheme="minorEastAsia"/>
                <w:b/>
                <w:bCs/>
                <w:sz w:val="21"/>
                <w:szCs w:val="21"/>
              </w:rPr>
              <w:t>污染物种类</w:t>
            </w:r>
          </w:p>
        </w:tc>
        <w:tc>
          <w:tcPr>
            <w:tcW w:w="164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
                <w:bCs/>
                <w:sz w:val="21"/>
                <w:szCs w:val="21"/>
              </w:rPr>
            </w:pPr>
            <w:r>
              <w:rPr>
                <w:rFonts w:eastAsiaTheme="minorEastAsia"/>
                <w:b/>
                <w:bCs/>
                <w:sz w:val="21"/>
                <w:szCs w:val="21"/>
              </w:rPr>
              <w:t>排放浓度限值（mg/L）</w:t>
            </w:r>
          </w:p>
        </w:tc>
        <w:tc>
          <w:tcPr>
            <w:tcW w:w="218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
                <w:bCs/>
                <w:sz w:val="21"/>
                <w:szCs w:val="21"/>
              </w:rPr>
            </w:pPr>
            <w:r>
              <w:rPr>
                <w:rFonts w:eastAsiaTheme="minorEastAsia"/>
                <w:b/>
                <w:bCs/>
                <w:sz w:val="21"/>
                <w:szCs w:val="21"/>
              </w:rPr>
              <w:t>污水排放规模（t/a）</w:t>
            </w:r>
          </w:p>
        </w:tc>
        <w:tc>
          <w:tcPr>
            <w:tcW w:w="212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
                <w:bCs/>
                <w:sz w:val="21"/>
                <w:szCs w:val="21"/>
              </w:rPr>
            </w:pPr>
            <w:r>
              <w:rPr>
                <w:rFonts w:eastAsiaTheme="minorEastAsia"/>
                <w:b/>
                <w:bCs/>
                <w:sz w:val="21"/>
                <w:szCs w:val="21"/>
              </w:rPr>
              <w:t>污染物排放总量</w:t>
            </w:r>
          </w:p>
          <w:p>
            <w:pPr>
              <w:spacing w:line="240" w:lineRule="auto"/>
              <w:ind w:firstLine="0" w:firstLineChars="0"/>
              <w:jc w:val="center"/>
              <w:rPr>
                <w:rFonts w:eastAsiaTheme="minorEastAsia"/>
                <w:b/>
                <w:bCs/>
                <w:sz w:val="21"/>
                <w:szCs w:val="21"/>
              </w:rPr>
            </w:pPr>
            <w:r>
              <w:rPr>
                <w:rFonts w:eastAsiaTheme="minorEastAsia"/>
                <w:b/>
                <w:bCs/>
                <w:sz w:val="21"/>
                <w:szCs w:val="21"/>
              </w:rPr>
              <w:t>（t/a）</w:t>
            </w:r>
          </w:p>
        </w:tc>
      </w:tr>
      <w:tr>
        <w:tblPrEx>
          <w:tblCellMar>
            <w:top w:w="0" w:type="dxa"/>
            <w:left w:w="108" w:type="dxa"/>
            <w:bottom w:w="0" w:type="dxa"/>
            <w:right w:w="108" w:type="dxa"/>
          </w:tblCellMar>
        </w:tblPrEx>
        <w:trPr>
          <w:jc w:val="center"/>
        </w:trPr>
        <w:tc>
          <w:tcPr>
            <w:tcW w:w="178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sz w:val="21"/>
                <w:szCs w:val="21"/>
              </w:rPr>
              <w:t>澧县东部新区污水处理厂</w:t>
            </w:r>
          </w:p>
        </w:tc>
        <w:tc>
          <w:tcPr>
            <w:tcW w:w="151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eastAsiaTheme="minorEastAsia"/>
                <w:bCs/>
                <w:sz w:val="21"/>
                <w:szCs w:val="21"/>
              </w:rPr>
              <w:t>COD</w:t>
            </w:r>
            <w:r>
              <w:rPr>
                <w:rFonts w:eastAsiaTheme="minorEastAsia"/>
                <w:bCs/>
                <w:sz w:val="21"/>
                <w:szCs w:val="21"/>
                <w:vertAlign w:val="subscript"/>
              </w:rPr>
              <w:t>Cr</w:t>
            </w:r>
          </w:p>
        </w:tc>
        <w:tc>
          <w:tcPr>
            <w:tcW w:w="164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eastAsiaTheme="minorEastAsia"/>
                <w:bCs/>
                <w:sz w:val="21"/>
                <w:szCs w:val="21"/>
              </w:rPr>
              <w:t>50</w:t>
            </w:r>
          </w:p>
        </w:tc>
        <w:tc>
          <w:tcPr>
            <w:tcW w:w="218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hint="eastAsia" w:eastAsiaTheme="minorEastAsia"/>
                <w:bCs/>
                <w:sz w:val="21"/>
                <w:szCs w:val="21"/>
              </w:rPr>
              <w:t>2190</w:t>
            </w:r>
            <w:r>
              <w:rPr>
                <w:rFonts w:eastAsiaTheme="minorEastAsia"/>
                <w:bCs/>
                <w:sz w:val="21"/>
                <w:szCs w:val="21"/>
              </w:rPr>
              <w:t>0000t/a</w:t>
            </w:r>
          </w:p>
        </w:tc>
        <w:tc>
          <w:tcPr>
            <w:tcW w:w="212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hint="eastAsia" w:eastAsiaTheme="minorEastAsia"/>
                <w:bCs/>
                <w:sz w:val="21"/>
                <w:szCs w:val="21"/>
              </w:rPr>
              <w:t>1095</w:t>
            </w:r>
          </w:p>
        </w:tc>
      </w:tr>
      <w:tr>
        <w:tblPrEx>
          <w:tblCellMar>
            <w:top w:w="0" w:type="dxa"/>
            <w:left w:w="108" w:type="dxa"/>
            <w:bottom w:w="0" w:type="dxa"/>
            <w:right w:w="108" w:type="dxa"/>
          </w:tblCellMar>
        </w:tblPrEx>
        <w:trPr>
          <w:jc w:val="center"/>
        </w:trPr>
        <w:tc>
          <w:tcPr>
            <w:tcW w:w="1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p>
        </w:tc>
        <w:tc>
          <w:tcPr>
            <w:tcW w:w="151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eastAsiaTheme="minorEastAsia"/>
                <w:bCs/>
                <w:sz w:val="21"/>
                <w:szCs w:val="21"/>
              </w:rPr>
              <w:t>BOD</w:t>
            </w:r>
            <w:r>
              <w:rPr>
                <w:rFonts w:eastAsiaTheme="minorEastAsia"/>
                <w:bCs/>
                <w:sz w:val="21"/>
                <w:szCs w:val="21"/>
                <w:vertAlign w:val="subscript"/>
              </w:rPr>
              <w:t>5</w:t>
            </w:r>
          </w:p>
        </w:tc>
        <w:tc>
          <w:tcPr>
            <w:tcW w:w="164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eastAsiaTheme="minorEastAsia"/>
                <w:bCs/>
                <w:sz w:val="21"/>
                <w:szCs w:val="21"/>
              </w:rPr>
              <w:t>10</w:t>
            </w:r>
          </w:p>
        </w:tc>
        <w:tc>
          <w:tcPr>
            <w:tcW w:w="21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p>
        </w:tc>
        <w:tc>
          <w:tcPr>
            <w:tcW w:w="212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hint="eastAsia" w:eastAsiaTheme="minorEastAsia"/>
                <w:bCs/>
                <w:sz w:val="21"/>
                <w:szCs w:val="21"/>
              </w:rPr>
              <w:t>219</w:t>
            </w:r>
          </w:p>
        </w:tc>
      </w:tr>
      <w:tr>
        <w:tblPrEx>
          <w:tblCellMar>
            <w:top w:w="0" w:type="dxa"/>
            <w:left w:w="108" w:type="dxa"/>
            <w:bottom w:w="0" w:type="dxa"/>
            <w:right w:w="108" w:type="dxa"/>
          </w:tblCellMar>
        </w:tblPrEx>
        <w:trPr>
          <w:jc w:val="center"/>
        </w:trPr>
        <w:tc>
          <w:tcPr>
            <w:tcW w:w="1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p>
        </w:tc>
        <w:tc>
          <w:tcPr>
            <w:tcW w:w="151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eastAsiaTheme="minorEastAsia"/>
                <w:bCs/>
                <w:sz w:val="21"/>
                <w:szCs w:val="21"/>
              </w:rPr>
              <w:t>SS</w:t>
            </w:r>
          </w:p>
        </w:tc>
        <w:tc>
          <w:tcPr>
            <w:tcW w:w="164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eastAsiaTheme="minorEastAsia"/>
                <w:bCs/>
                <w:sz w:val="21"/>
                <w:szCs w:val="21"/>
              </w:rPr>
              <w:t>10</w:t>
            </w:r>
          </w:p>
        </w:tc>
        <w:tc>
          <w:tcPr>
            <w:tcW w:w="21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p>
        </w:tc>
        <w:tc>
          <w:tcPr>
            <w:tcW w:w="212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hint="eastAsia" w:eastAsiaTheme="minorEastAsia"/>
                <w:bCs/>
                <w:sz w:val="21"/>
                <w:szCs w:val="21"/>
              </w:rPr>
              <w:t>219</w:t>
            </w:r>
          </w:p>
        </w:tc>
      </w:tr>
      <w:tr>
        <w:tblPrEx>
          <w:tblCellMar>
            <w:top w:w="0" w:type="dxa"/>
            <w:left w:w="108" w:type="dxa"/>
            <w:bottom w:w="0" w:type="dxa"/>
            <w:right w:w="108" w:type="dxa"/>
          </w:tblCellMar>
        </w:tblPrEx>
        <w:trPr>
          <w:jc w:val="center"/>
        </w:trPr>
        <w:tc>
          <w:tcPr>
            <w:tcW w:w="1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p>
        </w:tc>
        <w:tc>
          <w:tcPr>
            <w:tcW w:w="151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eastAsiaTheme="minorEastAsia"/>
                <w:bCs/>
                <w:sz w:val="21"/>
                <w:szCs w:val="21"/>
              </w:rPr>
              <w:t>TN</w:t>
            </w:r>
          </w:p>
        </w:tc>
        <w:tc>
          <w:tcPr>
            <w:tcW w:w="164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eastAsiaTheme="minorEastAsia"/>
                <w:bCs/>
                <w:sz w:val="21"/>
                <w:szCs w:val="21"/>
              </w:rPr>
              <w:t>15</w:t>
            </w:r>
          </w:p>
        </w:tc>
        <w:tc>
          <w:tcPr>
            <w:tcW w:w="21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p>
        </w:tc>
        <w:tc>
          <w:tcPr>
            <w:tcW w:w="212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hint="eastAsia" w:eastAsiaTheme="minorEastAsia"/>
                <w:bCs/>
                <w:sz w:val="21"/>
                <w:szCs w:val="21"/>
              </w:rPr>
              <w:t>328.5</w:t>
            </w:r>
          </w:p>
        </w:tc>
      </w:tr>
      <w:tr>
        <w:tblPrEx>
          <w:tblCellMar>
            <w:top w:w="0" w:type="dxa"/>
            <w:left w:w="108" w:type="dxa"/>
            <w:bottom w:w="0" w:type="dxa"/>
            <w:right w:w="108" w:type="dxa"/>
          </w:tblCellMar>
        </w:tblPrEx>
        <w:trPr>
          <w:jc w:val="center"/>
        </w:trPr>
        <w:tc>
          <w:tcPr>
            <w:tcW w:w="1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p>
        </w:tc>
        <w:tc>
          <w:tcPr>
            <w:tcW w:w="151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eastAsiaTheme="minorEastAsia"/>
                <w:bCs/>
                <w:sz w:val="21"/>
                <w:szCs w:val="21"/>
              </w:rPr>
              <w:t>氨氮</w:t>
            </w:r>
          </w:p>
        </w:tc>
        <w:tc>
          <w:tcPr>
            <w:tcW w:w="164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eastAsiaTheme="minorEastAsia"/>
                <w:bCs/>
                <w:sz w:val="21"/>
                <w:szCs w:val="21"/>
              </w:rPr>
              <w:t>5</w:t>
            </w:r>
          </w:p>
        </w:tc>
        <w:tc>
          <w:tcPr>
            <w:tcW w:w="21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p>
        </w:tc>
        <w:tc>
          <w:tcPr>
            <w:tcW w:w="212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hint="eastAsia" w:eastAsiaTheme="minorEastAsia"/>
                <w:bCs/>
                <w:sz w:val="21"/>
                <w:szCs w:val="21"/>
              </w:rPr>
              <w:t>109.5</w:t>
            </w:r>
          </w:p>
        </w:tc>
      </w:tr>
      <w:tr>
        <w:tblPrEx>
          <w:tblCellMar>
            <w:top w:w="0" w:type="dxa"/>
            <w:left w:w="108" w:type="dxa"/>
            <w:bottom w:w="0" w:type="dxa"/>
            <w:right w:w="108" w:type="dxa"/>
          </w:tblCellMar>
        </w:tblPrEx>
        <w:trPr>
          <w:jc w:val="center"/>
        </w:trPr>
        <w:tc>
          <w:tcPr>
            <w:tcW w:w="1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p>
        </w:tc>
        <w:tc>
          <w:tcPr>
            <w:tcW w:w="151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eastAsiaTheme="minorEastAsia"/>
                <w:bCs/>
                <w:sz w:val="21"/>
                <w:szCs w:val="21"/>
              </w:rPr>
              <w:t>TP</w:t>
            </w:r>
          </w:p>
        </w:tc>
        <w:tc>
          <w:tcPr>
            <w:tcW w:w="164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eastAsiaTheme="minorEastAsia"/>
                <w:bCs/>
                <w:sz w:val="21"/>
                <w:szCs w:val="21"/>
              </w:rPr>
              <w:t>0.5</w:t>
            </w:r>
          </w:p>
        </w:tc>
        <w:tc>
          <w:tcPr>
            <w:tcW w:w="21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p>
        </w:tc>
        <w:tc>
          <w:tcPr>
            <w:tcW w:w="212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eastAsiaTheme="minorEastAsia"/>
                <w:bCs/>
                <w:sz w:val="21"/>
                <w:szCs w:val="21"/>
              </w:rPr>
            </w:pPr>
            <w:r>
              <w:rPr>
                <w:rFonts w:hint="eastAsia" w:eastAsiaTheme="minorEastAsia"/>
                <w:bCs/>
                <w:sz w:val="21"/>
                <w:szCs w:val="21"/>
              </w:rPr>
              <w:t>10.95</w:t>
            </w:r>
          </w:p>
        </w:tc>
      </w:tr>
      <w:bookmarkEnd w:id="26"/>
    </w:tbl>
    <w:p>
      <w:pPr>
        <w:pStyle w:val="3"/>
        <w:spacing w:beforeLines="50"/>
      </w:pPr>
      <w:bookmarkStart w:id="49" w:name="_Toc166145940"/>
      <w:r>
        <w:rPr>
          <w:rFonts w:hint="eastAsia"/>
        </w:rPr>
        <w:t>4.2 入河排污口设置可行性分析论证</w:t>
      </w:r>
      <w:bookmarkEnd w:id="49"/>
    </w:p>
    <w:p>
      <w:pPr>
        <w:ind w:firstLine="480"/>
      </w:pPr>
      <w:r>
        <w:rPr>
          <w:rFonts w:hint="eastAsia"/>
        </w:rPr>
        <w:t>澧县东部新区污水处理厂入河排污口位于澹水东洲村段，</w:t>
      </w:r>
      <w:r>
        <w:t>污水处理后通过废水总排口（DW001）排入项目东侧农灌沟渠，</w:t>
      </w:r>
      <w:r>
        <w:rPr>
          <w:rFonts w:hint="eastAsia"/>
        </w:rPr>
        <w:t>澹水水位低于34m时，污水通过下游155m处农灌沟渠自流口排入澹水右岸（岸边排放）；澹水水位高于34m时，污水经农灌沟渠通过下游250m处东洲机埠电排排入澹水右岸（岸边排放）</w:t>
      </w:r>
      <w:r>
        <w:t>。</w:t>
      </w:r>
    </w:p>
    <w:p>
      <w:pPr>
        <w:pStyle w:val="4"/>
      </w:pPr>
      <w:r>
        <w:rPr>
          <w:rFonts w:hint="eastAsia"/>
        </w:rPr>
        <w:t>4.2.1 达标排放符合性</w:t>
      </w:r>
    </w:p>
    <w:p>
      <w:pPr>
        <w:ind w:firstLine="480"/>
      </w:pPr>
      <w:r>
        <w:rPr>
          <w:rFonts w:hint="eastAsia"/>
        </w:rPr>
        <w:t>（1）污水处理工艺</w:t>
      </w:r>
    </w:p>
    <w:p>
      <w:pPr>
        <w:ind w:firstLine="480"/>
      </w:pPr>
      <w:r>
        <w:rPr>
          <w:rFonts w:hint="eastAsia"/>
        </w:rPr>
        <w:t>澧县东部新区污水处理厂</w:t>
      </w:r>
      <w:r>
        <w:rPr>
          <w:rFonts w:hAnsi="宋体"/>
          <w:szCs w:val="24"/>
        </w:rPr>
        <w:t>主要工艺构筑物由预处理构筑物（粗格栅间及提升泵站、细格栅间、旋流沉砂池）、</w:t>
      </w:r>
      <w:r>
        <w:rPr>
          <w:rFonts w:hint="eastAsia" w:hAnsi="宋体"/>
          <w:szCs w:val="24"/>
        </w:rPr>
        <w:t>改良型氧化沟</w:t>
      </w:r>
      <w:r>
        <w:rPr>
          <w:rFonts w:hAnsi="宋体"/>
          <w:szCs w:val="24"/>
        </w:rPr>
        <w:t>、二沉池、</w:t>
      </w:r>
      <w:r>
        <w:rPr>
          <w:rFonts w:hint="eastAsia" w:hAnsi="宋体"/>
          <w:szCs w:val="24"/>
        </w:rPr>
        <w:t>高效沉淀池、活性砂滤池</w:t>
      </w:r>
      <w:r>
        <w:rPr>
          <w:rFonts w:hAnsi="宋体"/>
          <w:szCs w:val="24"/>
        </w:rPr>
        <w:t>及</w:t>
      </w:r>
      <w:r>
        <w:rPr>
          <w:rFonts w:hint="eastAsia" w:hAnsi="宋体"/>
          <w:szCs w:val="24"/>
        </w:rPr>
        <w:t>消毒池</w:t>
      </w:r>
      <w:r>
        <w:rPr>
          <w:rFonts w:hAnsi="宋体"/>
          <w:szCs w:val="24"/>
        </w:rPr>
        <w:t>等组成。按本工艺流程，城市污水通过污水收集系统进入污水厂后，首先经粗格栅间去除较大固体杂物，进入提升泵站集水池。由泵提升的污水经细格栅进一步去除固体杂物，污水至沉砂池除砂处理进入</w:t>
      </w:r>
      <w:r>
        <w:rPr>
          <w:rFonts w:hint="eastAsia" w:hAnsi="宋体"/>
          <w:szCs w:val="24"/>
        </w:rPr>
        <w:t>改良型氧化沟</w:t>
      </w:r>
      <w:r>
        <w:rPr>
          <w:rFonts w:hAnsi="宋体"/>
          <w:szCs w:val="24"/>
        </w:rPr>
        <w:t>，通过厌氧、缺氧、曝气，在微生物作用下，将城市污水中有机污染物分解为H</w:t>
      </w:r>
      <w:r>
        <w:rPr>
          <w:rFonts w:hAnsi="宋体"/>
          <w:szCs w:val="24"/>
          <w:vertAlign w:val="subscript"/>
        </w:rPr>
        <w:t>2</w:t>
      </w:r>
      <w:r>
        <w:rPr>
          <w:rFonts w:hAnsi="宋体"/>
          <w:szCs w:val="24"/>
        </w:rPr>
        <w:t>O、CO</w:t>
      </w:r>
      <w:r>
        <w:rPr>
          <w:rFonts w:hAnsi="宋体"/>
          <w:szCs w:val="24"/>
          <w:vertAlign w:val="subscript"/>
        </w:rPr>
        <w:t>2</w:t>
      </w:r>
      <w:r>
        <w:rPr>
          <w:rFonts w:hAnsi="宋体"/>
          <w:szCs w:val="24"/>
        </w:rPr>
        <w:t>等物质，其泥水混合物</w:t>
      </w:r>
      <w:r>
        <w:rPr>
          <w:rFonts w:hint="eastAsia" w:hAnsi="宋体"/>
          <w:szCs w:val="24"/>
        </w:rPr>
        <w:t>经配水井</w:t>
      </w:r>
      <w:r>
        <w:rPr>
          <w:rFonts w:hAnsi="宋体"/>
          <w:szCs w:val="24"/>
        </w:rPr>
        <w:t>进入二沉池，经沉淀分离</w:t>
      </w:r>
      <w:r>
        <w:rPr>
          <w:rFonts w:hint="eastAsia" w:hAnsi="宋体"/>
          <w:szCs w:val="24"/>
        </w:rPr>
        <w:t>后，进入高效沉淀池、活性砂滤池进行进一步的深度处理，其出水进入消毒池采用次氯酸钠</w:t>
      </w:r>
      <w:r>
        <w:rPr>
          <w:rFonts w:hAnsi="宋体"/>
          <w:szCs w:val="24"/>
        </w:rPr>
        <w:t>消毒，清水达到排放标准后排放。</w:t>
      </w:r>
    </w:p>
    <w:p>
      <w:pPr>
        <w:ind w:firstLine="480"/>
      </w:pPr>
      <w:r>
        <w:rPr>
          <w:rFonts w:hint="eastAsia"/>
        </w:rPr>
        <w:t>（2）达标可行性分析</w:t>
      </w:r>
    </w:p>
    <w:p>
      <w:pPr>
        <w:ind w:firstLine="480"/>
      </w:pPr>
      <w:r>
        <w:rPr>
          <w:rFonts w:hint="eastAsia"/>
        </w:rPr>
        <w:t>对照《排污许可证申请与核发技术规范 水处理（试行）》（HJ978-2018）属于可行技术。处理技术对照如下。</w:t>
      </w:r>
    </w:p>
    <w:p>
      <w:pPr>
        <w:ind w:firstLine="0" w:firstLineChars="0"/>
        <w:jc w:val="center"/>
        <w:rPr>
          <w:b/>
          <w:bCs/>
          <w:sz w:val="21"/>
          <w:szCs w:val="21"/>
        </w:rPr>
      </w:pPr>
      <w:r>
        <w:rPr>
          <w:rFonts w:hint="eastAsia"/>
          <w:b/>
          <w:bCs/>
          <w:sz w:val="21"/>
          <w:szCs w:val="21"/>
        </w:rPr>
        <w:t>表4-4  污水处理可行技术对照</w:t>
      </w:r>
    </w:p>
    <w:tbl>
      <w:tblPr>
        <w:tblStyle w:val="42"/>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276"/>
        <w:gridCol w:w="3969"/>
        <w:gridCol w:w="2126"/>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pPr>
              <w:spacing w:line="240" w:lineRule="auto"/>
              <w:ind w:firstLine="0" w:firstLineChars="0"/>
              <w:jc w:val="center"/>
              <w:rPr>
                <w:b/>
                <w:bCs/>
                <w:sz w:val="21"/>
                <w:szCs w:val="21"/>
              </w:rPr>
            </w:pPr>
            <w:r>
              <w:rPr>
                <w:b/>
                <w:bCs/>
                <w:sz w:val="21"/>
                <w:szCs w:val="21"/>
              </w:rPr>
              <w:t>废水类别</w:t>
            </w:r>
          </w:p>
        </w:tc>
        <w:tc>
          <w:tcPr>
            <w:tcW w:w="1276" w:type="dxa"/>
            <w:vAlign w:val="center"/>
          </w:tcPr>
          <w:p>
            <w:pPr>
              <w:spacing w:line="240" w:lineRule="auto"/>
              <w:ind w:firstLine="0" w:firstLineChars="0"/>
              <w:jc w:val="center"/>
              <w:rPr>
                <w:b/>
                <w:bCs/>
                <w:sz w:val="21"/>
                <w:szCs w:val="21"/>
              </w:rPr>
            </w:pPr>
            <w:r>
              <w:rPr>
                <w:b/>
                <w:bCs/>
                <w:sz w:val="21"/>
                <w:szCs w:val="21"/>
              </w:rPr>
              <w:t>执行标准</w:t>
            </w:r>
          </w:p>
        </w:tc>
        <w:tc>
          <w:tcPr>
            <w:tcW w:w="3969" w:type="dxa"/>
            <w:vAlign w:val="center"/>
          </w:tcPr>
          <w:p>
            <w:pPr>
              <w:spacing w:line="240" w:lineRule="auto"/>
              <w:ind w:firstLine="0" w:firstLineChars="0"/>
              <w:jc w:val="center"/>
              <w:rPr>
                <w:b/>
                <w:bCs/>
                <w:sz w:val="21"/>
                <w:szCs w:val="21"/>
              </w:rPr>
            </w:pPr>
            <w:r>
              <w:rPr>
                <w:rFonts w:hint="eastAsia"/>
                <w:sz w:val="21"/>
                <w:szCs w:val="21"/>
              </w:rPr>
              <w:t>（</w:t>
            </w:r>
            <w:r>
              <w:rPr>
                <w:sz w:val="21"/>
                <w:szCs w:val="21"/>
              </w:rPr>
              <w:t>HJ</w:t>
            </w:r>
            <w:r>
              <w:rPr>
                <w:rFonts w:hint="eastAsia"/>
                <w:sz w:val="21"/>
                <w:szCs w:val="21"/>
              </w:rPr>
              <w:t xml:space="preserve"> </w:t>
            </w:r>
            <w:r>
              <w:rPr>
                <w:sz w:val="21"/>
                <w:szCs w:val="21"/>
              </w:rPr>
              <w:t>978-2018</w:t>
            </w:r>
            <w:r>
              <w:rPr>
                <w:rFonts w:hint="eastAsia"/>
                <w:sz w:val="21"/>
                <w:szCs w:val="21"/>
              </w:rPr>
              <w:t>）</w:t>
            </w:r>
            <w:r>
              <w:rPr>
                <w:b/>
                <w:bCs/>
                <w:sz w:val="21"/>
                <w:szCs w:val="21"/>
              </w:rPr>
              <w:t>可行技术</w:t>
            </w:r>
          </w:p>
        </w:tc>
        <w:tc>
          <w:tcPr>
            <w:tcW w:w="2126" w:type="dxa"/>
            <w:vAlign w:val="center"/>
          </w:tcPr>
          <w:p>
            <w:pPr>
              <w:spacing w:line="240" w:lineRule="auto"/>
              <w:ind w:firstLine="0" w:firstLineChars="0"/>
              <w:jc w:val="center"/>
              <w:rPr>
                <w:b/>
                <w:bCs/>
                <w:sz w:val="21"/>
                <w:szCs w:val="21"/>
              </w:rPr>
            </w:pPr>
            <w:r>
              <w:rPr>
                <w:b/>
                <w:bCs/>
                <w:sz w:val="21"/>
                <w:szCs w:val="21"/>
              </w:rPr>
              <w:t>本工程</w:t>
            </w:r>
            <w:r>
              <w:rPr>
                <w:rFonts w:hint="eastAsia"/>
                <w:b/>
                <w:bCs/>
                <w:sz w:val="21"/>
                <w:szCs w:val="21"/>
              </w:rPr>
              <w:t>采用工艺</w:t>
            </w:r>
          </w:p>
        </w:tc>
        <w:tc>
          <w:tcPr>
            <w:tcW w:w="659" w:type="dxa"/>
            <w:vAlign w:val="center"/>
          </w:tcPr>
          <w:p>
            <w:pPr>
              <w:spacing w:line="240" w:lineRule="auto"/>
              <w:ind w:firstLine="0" w:firstLineChars="0"/>
              <w:jc w:val="center"/>
              <w:rPr>
                <w:b/>
                <w:bCs/>
                <w:sz w:val="21"/>
                <w:szCs w:val="21"/>
              </w:rPr>
            </w:pPr>
            <w:r>
              <w:rPr>
                <w:b/>
                <w:bCs/>
                <w:sz w:val="21"/>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pPr>
              <w:spacing w:line="240" w:lineRule="auto"/>
              <w:ind w:firstLine="0" w:firstLineChars="0"/>
              <w:jc w:val="center"/>
              <w:rPr>
                <w:sz w:val="21"/>
                <w:szCs w:val="21"/>
              </w:rPr>
            </w:pPr>
            <w:r>
              <w:rPr>
                <w:sz w:val="21"/>
                <w:szCs w:val="21"/>
              </w:rPr>
              <w:t>生活污水</w:t>
            </w:r>
          </w:p>
        </w:tc>
        <w:tc>
          <w:tcPr>
            <w:tcW w:w="1276" w:type="dxa"/>
            <w:vAlign w:val="center"/>
          </w:tcPr>
          <w:p>
            <w:pPr>
              <w:spacing w:line="240" w:lineRule="auto"/>
              <w:ind w:firstLine="0" w:firstLineChars="0"/>
              <w:jc w:val="center"/>
              <w:rPr>
                <w:sz w:val="21"/>
                <w:szCs w:val="21"/>
              </w:rPr>
            </w:pPr>
            <w:r>
              <w:rPr>
                <w:sz w:val="21"/>
                <w:szCs w:val="21"/>
              </w:rPr>
              <w:t>执行GB 18918中一级标准的A标准或更严格标准</w:t>
            </w:r>
          </w:p>
        </w:tc>
        <w:tc>
          <w:tcPr>
            <w:tcW w:w="3969" w:type="dxa"/>
            <w:vAlign w:val="center"/>
          </w:tcPr>
          <w:p>
            <w:pPr>
              <w:spacing w:line="240" w:lineRule="auto"/>
              <w:ind w:firstLine="0" w:firstLineChars="0"/>
              <w:rPr>
                <w:sz w:val="21"/>
                <w:szCs w:val="21"/>
              </w:rPr>
            </w:pPr>
            <w:r>
              <w:rPr>
                <w:sz w:val="21"/>
                <w:szCs w:val="21"/>
              </w:rPr>
              <w:t>预处理：格栅、沉淀(沉砂、初沉)、调节；</w:t>
            </w:r>
          </w:p>
          <w:p>
            <w:pPr>
              <w:spacing w:line="240" w:lineRule="auto"/>
              <w:ind w:firstLine="0" w:firstLineChars="0"/>
              <w:rPr>
                <w:sz w:val="21"/>
                <w:szCs w:val="21"/>
              </w:rPr>
            </w:pPr>
            <w:r>
              <w:rPr>
                <w:sz w:val="21"/>
                <w:szCs w:val="21"/>
              </w:rPr>
              <w:t>生化处理：缺氧好氧、厌氧缺氧好氧、序批式活性污泥、接触氧化、氧化沟、移动生物床反应器、膜生物反应器；</w:t>
            </w:r>
          </w:p>
          <w:p>
            <w:pPr>
              <w:spacing w:line="240" w:lineRule="auto"/>
              <w:ind w:firstLine="0" w:firstLineChars="0"/>
              <w:rPr>
                <w:sz w:val="21"/>
                <w:szCs w:val="21"/>
              </w:rPr>
            </w:pPr>
            <w:r>
              <w:rPr>
                <w:sz w:val="21"/>
                <w:szCs w:val="21"/>
              </w:rPr>
              <w:t>深度处理：混凝沉淀、过滤、曝气生物滤池、微滤、超滤、消毒</w:t>
            </w:r>
            <w:r>
              <w:rPr>
                <w:rFonts w:hint="eastAsia"/>
                <w:sz w:val="21"/>
                <w:szCs w:val="21"/>
              </w:rPr>
              <w:t>（</w:t>
            </w:r>
            <w:r>
              <w:rPr>
                <w:sz w:val="21"/>
                <w:szCs w:val="21"/>
              </w:rPr>
              <w:t>次氯酸钠、臭氧、紫外、二氧化氯</w:t>
            </w:r>
            <w:r>
              <w:rPr>
                <w:rFonts w:hint="eastAsia"/>
                <w:sz w:val="21"/>
                <w:szCs w:val="21"/>
              </w:rPr>
              <w:t>）</w:t>
            </w:r>
          </w:p>
        </w:tc>
        <w:tc>
          <w:tcPr>
            <w:tcW w:w="2126" w:type="dxa"/>
            <w:vMerge w:val="restart"/>
            <w:vAlign w:val="center"/>
          </w:tcPr>
          <w:p>
            <w:pPr>
              <w:spacing w:line="240" w:lineRule="auto"/>
              <w:ind w:firstLine="0" w:firstLineChars="0"/>
              <w:jc w:val="center"/>
              <w:rPr>
                <w:sz w:val="21"/>
                <w:szCs w:val="21"/>
              </w:rPr>
            </w:pPr>
            <w:r>
              <w:rPr>
                <w:sz w:val="21"/>
                <w:szCs w:val="21"/>
              </w:rPr>
              <w:t>预处理构筑物（粗格栅间及提升泵站、细格栅间、旋流沉砂池）、改良型氧化沟、二沉池、高效沉淀池、活性砂滤池及</w:t>
            </w:r>
            <w:r>
              <w:rPr>
                <w:rFonts w:hint="eastAsia"/>
                <w:sz w:val="21"/>
                <w:szCs w:val="21"/>
              </w:rPr>
              <w:t>次氯酸钠</w:t>
            </w:r>
            <w:r>
              <w:rPr>
                <w:sz w:val="21"/>
                <w:szCs w:val="21"/>
              </w:rPr>
              <w:t>消毒池等组成</w:t>
            </w:r>
          </w:p>
        </w:tc>
        <w:tc>
          <w:tcPr>
            <w:tcW w:w="659" w:type="dxa"/>
            <w:vAlign w:val="center"/>
          </w:tcPr>
          <w:p>
            <w:pPr>
              <w:spacing w:line="240" w:lineRule="auto"/>
              <w:ind w:firstLine="0" w:firstLineChars="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pPr>
              <w:spacing w:line="240" w:lineRule="auto"/>
              <w:ind w:firstLine="0" w:firstLineChars="0"/>
              <w:jc w:val="center"/>
              <w:rPr>
                <w:sz w:val="21"/>
                <w:szCs w:val="21"/>
              </w:rPr>
            </w:pPr>
            <w:r>
              <w:rPr>
                <w:rFonts w:hint="eastAsia"/>
                <w:sz w:val="21"/>
                <w:szCs w:val="21"/>
              </w:rPr>
              <w:t>工业废水</w:t>
            </w:r>
          </w:p>
        </w:tc>
        <w:tc>
          <w:tcPr>
            <w:tcW w:w="1276" w:type="dxa"/>
            <w:vAlign w:val="center"/>
          </w:tcPr>
          <w:p>
            <w:pPr>
              <w:spacing w:line="240" w:lineRule="auto"/>
              <w:ind w:firstLine="0" w:firstLineChars="0"/>
              <w:jc w:val="center"/>
              <w:rPr>
                <w:sz w:val="21"/>
                <w:szCs w:val="21"/>
              </w:rPr>
            </w:pPr>
            <w:r>
              <w:rPr>
                <w:rFonts w:hint="eastAsia"/>
                <w:sz w:val="21"/>
                <w:szCs w:val="21"/>
              </w:rPr>
              <w:t>/</w:t>
            </w:r>
          </w:p>
        </w:tc>
        <w:tc>
          <w:tcPr>
            <w:tcW w:w="3969" w:type="dxa"/>
            <w:vAlign w:val="center"/>
          </w:tcPr>
          <w:p>
            <w:pPr>
              <w:spacing w:line="240" w:lineRule="auto"/>
              <w:ind w:firstLine="0" w:firstLineChars="0"/>
              <w:rPr>
                <w:sz w:val="21"/>
                <w:szCs w:val="21"/>
              </w:rPr>
            </w:pPr>
            <w:r>
              <w:rPr>
                <w:rFonts w:hint="eastAsia"/>
                <w:sz w:val="21"/>
                <w:szCs w:val="21"/>
              </w:rPr>
              <w:t>预处理：沉淀、调节、气浮、水解酸化；</w:t>
            </w:r>
          </w:p>
          <w:p>
            <w:pPr>
              <w:spacing w:line="240" w:lineRule="auto"/>
              <w:ind w:firstLine="0" w:firstLineChars="0"/>
              <w:rPr>
                <w:sz w:val="21"/>
                <w:szCs w:val="21"/>
              </w:rPr>
            </w:pPr>
            <w:r>
              <w:rPr>
                <w:rFonts w:hint="eastAsia"/>
                <w:sz w:val="21"/>
                <w:szCs w:val="21"/>
              </w:rPr>
              <w:t>生化处理：好氧、缺氧好氧、厌氧缺氧好氧、序批式活性污泥、氧化沟、移动生物床反应器、膜生物反应器；</w:t>
            </w:r>
          </w:p>
          <w:p>
            <w:pPr>
              <w:spacing w:line="240" w:lineRule="auto"/>
              <w:ind w:firstLine="0" w:firstLineChars="0"/>
              <w:rPr>
                <w:sz w:val="21"/>
                <w:szCs w:val="21"/>
              </w:rPr>
            </w:pPr>
            <w:r>
              <w:rPr>
                <w:rFonts w:hint="eastAsia"/>
                <w:sz w:val="21"/>
                <w:szCs w:val="21"/>
              </w:rPr>
              <w:t>深度处理：反硝化滤池、化学沉淀、过滤、高级氧化、曝气生物滤池、生物接触氧化、膜分离、离子交换。</w:t>
            </w:r>
          </w:p>
        </w:tc>
        <w:tc>
          <w:tcPr>
            <w:tcW w:w="2126" w:type="dxa"/>
            <w:vMerge w:val="continue"/>
            <w:vAlign w:val="center"/>
          </w:tcPr>
          <w:p>
            <w:pPr>
              <w:spacing w:line="240" w:lineRule="auto"/>
              <w:ind w:firstLine="0" w:firstLineChars="0"/>
              <w:jc w:val="center"/>
              <w:rPr>
                <w:sz w:val="21"/>
                <w:szCs w:val="21"/>
              </w:rPr>
            </w:pPr>
          </w:p>
        </w:tc>
        <w:tc>
          <w:tcPr>
            <w:tcW w:w="659" w:type="dxa"/>
            <w:vAlign w:val="center"/>
          </w:tcPr>
          <w:p>
            <w:pPr>
              <w:spacing w:line="240" w:lineRule="auto"/>
              <w:ind w:firstLine="0" w:firstLineChars="0"/>
              <w:jc w:val="center"/>
              <w:rPr>
                <w:sz w:val="21"/>
                <w:szCs w:val="21"/>
              </w:rPr>
            </w:pPr>
            <w:r>
              <w:rPr>
                <w:rFonts w:hint="eastAsia"/>
                <w:sz w:val="21"/>
                <w:szCs w:val="21"/>
              </w:rPr>
              <w:t>符合</w:t>
            </w:r>
          </w:p>
        </w:tc>
      </w:tr>
    </w:tbl>
    <w:p>
      <w:pPr>
        <w:ind w:firstLine="480"/>
      </w:pPr>
      <w:r>
        <w:rPr>
          <w:rFonts w:hint="eastAsia"/>
        </w:rPr>
        <w:t>（3）主要污染物排放量</w:t>
      </w:r>
    </w:p>
    <w:p>
      <w:pPr>
        <w:ind w:firstLine="480"/>
      </w:pPr>
      <w:r>
        <w:rPr>
          <w:rFonts w:hint="eastAsia"/>
        </w:rPr>
        <w:t>澧县东部新区污水处理厂一期设计规模600</w:t>
      </w:r>
      <w:r>
        <w:t>00m</w:t>
      </w:r>
      <w:r>
        <w:rPr>
          <w:vertAlign w:val="superscript"/>
        </w:rPr>
        <w:t>3</w:t>
      </w:r>
      <w:r>
        <w:t>/d，</w:t>
      </w:r>
      <w:r>
        <w:rPr>
          <w:szCs w:val="21"/>
        </w:rPr>
        <w:t>按最大满负荷计算，污染物按照</w:t>
      </w:r>
      <w:r>
        <w:t>《城镇污水处理厂污染物排放标准》（GB18918-2002）一级A标准</w:t>
      </w:r>
      <w:r>
        <w:rPr>
          <w:rFonts w:hint="eastAsia"/>
        </w:rPr>
        <w:t>限值</w:t>
      </w:r>
      <w:r>
        <w:rPr>
          <w:rFonts w:hint="eastAsia"/>
          <w:szCs w:val="21"/>
        </w:rPr>
        <w:t>（</w:t>
      </w:r>
      <w:r>
        <w:rPr>
          <w:szCs w:val="21"/>
        </w:rPr>
        <w:t>COD为</w:t>
      </w:r>
      <w:r>
        <w:rPr>
          <w:rFonts w:hint="eastAsia"/>
          <w:szCs w:val="21"/>
        </w:rPr>
        <w:t>5</w:t>
      </w:r>
      <w:r>
        <w:rPr>
          <w:szCs w:val="21"/>
        </w:rPr>
        <w:t>0mg/L</w:t>
      </w:r>
      <w:r>
        <w:rPr>
          <w:rFonts w:hint="eastAsia"/>
          <w:szCs w:val="21"/>
        </w:rPr>
        <w:t>、氨氮为5</w:t>
      </w:r>
      <w:r>
        <w:rPr>
          <w:szCs w:val="21"/>
        </w:rPr>
        <w:t>mg/L</w:t>
      </w:r>
      <w:r>
        <w:rPr>
          <w:rFonts w:hint="eastAsia"/>
          <w:szCs w:val="21"/>
        </w:rPr>
        <w:t>、总磷为0.5mg/L）</w:t>
      </w:r>
      <w:r>
        <w:rPr>
          <w:szCs w:val="21"/>
        </w:rPr>
        <w:t>计算：COD排放量为</w:t>
      </w:r>
      <w:r>
        <w:rPr>
          <w:rFonts w:hint="eastAsia"/>
          <w:szCs w:val="21"/>
        </w:rPr>
        <w:t>1095</w:t>
      </w:r>
      <w:r>
        <w:rPr>
          <w:szCs w:val="21"/>
        </w:rPr>
        <w:t>t/a、</w:t>
      </w:r>
      <w:r>
        <w:rPr>
          <w:rFonts w:hint="eastAsia"/>
          <w:szCs w:val="21"/>
        </w:rPr>
        <w:t>氨氮排放量为109.5</w:t>
      </w:r>
      <w:r>
        <w:rPr>
          <w:szCs w:val="21"/>
        </w:rPr>
        <w:t>t/a</w:t>
      </w:r>
      <w:r>
        <w:rPr>
          <w:rFonts w:hint="eastAsia"/>
          <w:szCs w:val="21"/>
        </w:rPr>
        <w:t>、总磷排放量为10.95t/a</w:t>
      </w:r>
      <w:r>
        <w:t>。</w:t>
      </w:r>
    </w:p>
    <w:p>
      <w:pPr>
        <w:pStyle w:val="4"/>
      </w:pPr>
      <w:r>
        <w:rPr>
          <w:rFonts w:hint="eastAsia"/>
        </w:rPr>
        <w:t>4.2.2 水功能区管理要求符合性</w:t>
      </w:r>
    </w:p>
    <w:p>
      <w:pPr>
        <w:ind w:firstLine="480"/>
      </w:pPr>
      <w:r>
        <w:rPr>
          <w:rFonts w:hint="eastAsia"/>
        </w:rPr>
        <w:t>从澹水水域管理角度看，根据《全国水资源保护规划》对排污口设置划分为“禁止设置、严格设置、一般限制”3种类型，该水域不是入河排污口禁设水域，本项目入河排污口设置符合入河排污口布设规划要求。</w:t>
      </w:r>
    </w:p>
    <w:p>
      <w:pPr>
        <w:ind w:firstLine="480"/>
      </w:pPr>
      <w:r>
        <w:rPr>
          <w:rFonts w:hint="eastAsia"/>
        </w:rPr>
        <w:t>综上所述，从污水处理工艺、水功能区管理要求、污染物排放浓度和排放量上看，本项目入河排污口符合《澧县水功能区划》的要求；排污口位置合理，入河排污口出水可稳定达标，达标排放的污染物量小于水功能区的纳污能力，其设置是可行的。</w:t>
      </w:r>
    </w:p>
    <w:p>
      <w:pPr>
        <w:pStyle w:val="2"/>
        <w:sectPr>
          <w:pgSz w:w="11906" w:h="16838"/>
          <w:pgMar w:top="1418" w:right="1588" w:bottom="1418" w:left="1588" w:header="851" w:footer="992" w:gutter="0"/>
          <w:pgNumType w:fmt="numberInDash"/>
          <w:cols w:space="425" w:num="1"/>
          <w:docGrid w:type="lines" w:linePitch="326" w:charSpace="0"/>
        </w:sectPr>
      </w:pPr>
    </w:p>
    <w:p>
      <w:pPr>
        <w:pStyle w:val="2"/>
      </w:pPr>
      <w:bookmarkStart w:id="50" w:name="_Toc166145941"/>
      <w:r>
        <w:rPr>
          <w:rFonts w:hint="eastAsia"/>
        </w:rPr>
        <w:t>5.入河排污口所在水功能区水质现状及纳污状况</w:t>
      </w:r>
      <w:bookmarkEnd w:id="50"/>
    </w:p>
    <w:p>
      <w:pPr>
        <w:pStyle w:val="3"/>
      </w:pPr>
      <w:bookmarkStart w:id="51" w:name="_Toc166145942"/>
      <w:r>
        <w:rPr>
          <w:rFonts w:hint="eastAsia"/>
        </w:rPr>
        <w:t>5.1 水功能区水质现状</w:t>
      </w:r>
      <w:bookmarkEnd w:id="51"/>
    </w:p>
    <w:p>
      <w:pPr>
        <w:ind w:firstLine="480"/>
      </w:pPr>
      <w:r>
        <w:t>论证范围内有</w:t>
      </w:r>
      <w:r>
        <w:rPr>
          <w:rFonts w:hint="eastAsia"/>
          <w:szCs w:val="21"/>
        </w:rPr>
        <w:t>市控</w:t>
      </w:r>
      <w:r>
        <w:rPr>
          <w:szCs w:val="21"/>
        </w:rPr>
        <w:t>考核断面</w:t>
      </w:r>
      <w:r>
        <w:rPr>
          <w:rFonts w:hint="eastAsia"/>
          <w:szCs w:val="21"/>
        </w:rPr>
        <w:t>澧县澹水东洲断面（县界）</w:t>
      </w:r>
      <w:r>
        <w:rPr>
          <w:szCs w:val="21"/>
        </w:rPr>
        <w:t>，坐标为</w:t>
      </w:r>
      <w:r>
        <w:t>E 111°52′0.30279″，N 29°38′43.66977″，位于</w:t>
      </w:r>
      <w:r>
        <w:rPr>
          <w:rFonts w:hint="eastAsia" w:hAnsi="宋体"/>
          <w:szCs w:val="21"/>
        </w:rPr>
        <w:t>东洲机埠电排入澹水</w:t>
      </w:r>
      <w:r>
        <w:rPr>
          <w:rFonts w:hint="eastAsia"/>
        </w:rPr>
        <w:t>处</w:t>
      </w:r>
      <w:r>
        <w:t>下游约</w:t>
      </w:r>
      <w:r>
        <w:rPr>
          <w:rFonts w:hint="eastAsia"/>
        </w:rPr>
        <w:t>600</w:t>
      </w:r>
      <w:r>
        <w:t>m。</w:t>
      </w:r>
    </w:p>
    <w:p>
      <w:pPr>
        <w:ind w:firstLine="480"/>
        <w:rPr>
          <w:szCs w:val="21"/>
          <w:u w:val="single"/>
        </w:rPr>
      </w:pPr>
      <w:r>
        <w:rPr>
          <w:rFonts w:hint="eastAsia"/>
          <w:u w:val="single"/>
        </w:rPr>
        <w:t>（1）常规</w:t>
      </w:r>
      <w:r>
        <w:rPr>
          <w:rFonts w:hint="eastAsia"/>
          <w:szCs w:val="21"/>
          <w:u w:val="single"/>
        </w:rPr>
        <w:t>断面（</w:t>
      </w:r>
      <w:r>
        <w:rPr>
          <w:rFonts w:hint="eastAsia"/>
          <w:u w:val="single"/>
        </w:rPr>
        <w:t>澹水东洲</w:t>
      </w:r>
      <w:r>
        <w:rPr>
          <w:rFonts w:hint="eastAsia"/>
          <w:szCs w:val="21"/>
          <w:u w:val="single"/>
        </w:rPr>
        <w:t>）</w:t>
      </w:r>
    </w:p>
    <w:p>
      <w:pPr>
        <w:ind w:firstLine="480"/>
        <w:rPr>
          <w:u w:val="single"/>
        </w:rPr>
      </w:pPr>
      <w:r>
        <w:rPr>
          <w:rFonts w:hint="eastAsia"/>
          <w:szCs w:val="21"/>
          <w:u w:val="single"/>
        </w:rPr>
        <w:t>澧县澹水东洲断面</w:t>
      </w:r>
      <w:r>
        <w:rPr>
          <w:u w:val="single"/>
        </w:rPr>
        <w:t>位于</w:t>
      </w:r>
      <w:r>
        <w:rPr>
          <w:rFonts w:hint="eastAsia" w:hAnsi="宋体"/>
          <w:szCs w:val="21"/>
          <w:u w:val="single"/>
        </w:rPr>
        <w:t>东洲机埠电排入澹水</w:t>
      </w:r>
      <w:r>
        <w:rPr>
          <w:rFonts w:hint="eastAsia"/>
          <w:u w:val="single"/>
        </w:rPr>
        <w:t>处</w:t>
      </w:r>
      <w:r>
        <w:rPr>
          <w:u w:val="single"/>
        </w:rPr>
        <w:t>下游约</w:t>
      </w:r>
      <w:r>
        <w:rPr>
          <w:rFonts w:hint="eastAsia"/>
          <w:u w:val="single"/>
        </w:rPr>
        <w:t>600</w:t>
      </w:r>
      <w:r>
        <w:rPr>
          <w:u w:val="single"/>
        </w:rPr>
        <w:t>m（E 111°52′0.30279″，N 29°38′43.66977″）</w:t>
      </w:r>
      <w:r>
        <w:rPr>
          <w:rFonts w:hint="eastAsia"/>
          <w:u w:val="single"/>
        </w:rPr>
        <w:t>，</w:t>
      </w:r>
      <w:r>
        <w:rPr>
          <w:szCs w:val="21"/>
          <w:u w:val="single"/>
        </w:rPr>
        <w:t>根据常德市生态环境局发布的</w:t>
      </w:r>
      <w:r>
        <w:rPr>
          <w:rFonts w:hint="eastAsia"/>
          <w:szCs w:val="21"/>
          <w:u w:val="single"/>
        </w:rPr>
        <w:t>全市环境质量状况的通报</w:t>
      </w:r>
      <w:r>
        <w:rPr>
          <w:u w:val="single"/>
        </w:rPr>
        <w:t>，</w:t>
      </w:r>
      <w:r>
        <w:rPr>
          <w:rFonts w:hint="eastAsia"/>
          <w:u w:val="single"/>
        </w:rPr>
        <w:t>澹水东洲</w:t>
      </w:r>
      <w:r>
        <w:rPr>
          <w:u w:val="single"/>
        </w:rPr>
        <w:t>断面</w:t>
      </w:r>
      <w:r>
        <w:rPr>
          <w:szCs w:val="21"/>
          <w:u w:val="single"/>
        </w:rPr>
        <w:t>20</w:t>
      </w:r>
      <w:r>
        <w:rPr>
          <w:rFonts w:hint="eastAsia"/>
          <w:szCs w:val="21"/>
          <w:u w:val="single"/>
        </w:rPr>
        <w:t>23</w:t>
      </w:r>
      <w:r>
        <w:rPr>
          <w:szCs w:val="21"/>
          <w:u w:val="single"/>
        </w:rPr>
        <w:t>年</w:t>
      </w:r>
      <w:r>
        <w:rPr>
          <w:rFonts w:hint="eastAsia"/>
          <w:szCs w:val="21"/>
          <w:u w:val="single"/>
        </w:rPr>
        <w:t>1月</w:t>
      </w:r>
      <w:r>
        <w:rPr>
          <w:szCs w:val="21"/>
          <w:u w:val="single"/>
        </w:rPr>
        <w:t>至202</w:t>
      </w:r>
      <w:r>
        <w:rPr>
          <w:rFonts w:hint="eastAsia"/>
          <w:szCs w:val="21"/>
          <w:u w:val="single"/>
        </w:rPr>
        <w:t>3</w:t>
      </w:r>
      <w:r>
        <w:rPr>
          <w:szCs w:val="21"/>
          <w:u w:val="single"/>
        </w:rPr>
        <w:t>年</w:t>
      </w:r>
      <w:r>
        <w:rPr>
          <w:rFonts w:hint="eastAsia"/>
          <w:szCs w:val="21"/>
          <w:u w:val="single"/>
        </w:rPr>
        <w:t>12月</w:t>
      </w:r>
      <w:r>
        <w:rPr>
          <w:u w:val="single"/>
        </w:rPr>
        <w:t>水质类别为</w:t>
      </w:r>
      <w:r>
        <w:rPr>
          <w:rFonts w:hint="eastAsia" w:ascii="宋体" w:hAnsi="宋体" w:cs="宋体"/>
          <w:u w:val="single"/>
        </w:rPr>
        <w:t>Ⅱ</w:t>
      </w:r>
      <w:r>
        <w:rPr>
          <w:u w:val="single"/>
        </w:rPr>
        <w:t>类</w:t>
      </w:r>
      <w:r>
        <w:rPr>
          <w:rFonts w:hint="eastAsia"/>
          <w:u w:val="single"/>
        </w:rPr>
        <w:t>～劣Ⅴ类</w:t>
      </w:r>
      <w:r>
        <w:rPr>
          <w:u w:val="single"/>
        </w:rPr>
        <w:t>。</w:t>
      </w:r>
    </w:p>
    <w:p>
      <w:pPr>
        <w:ind w:firstLine="480"/>
        <w:rPr>
          <w:u w:val="single"/>
        </w:rPr>
      </w:pPr>
      <w:r>
        <w:rPr>
          <w:rFonts w:hint="eastAsia"/>
          <w:u w:val="single"/>
        </w:rPr>
        <w:t>本次论证收集了2023年1月～12月澹水东洲</w:t>
      </w:r>
      <w:r>
        <w:rPr>
          <w:u w:val="single"/>
        </w:rPr>
        <w:t>断面</w:t>
      </w:r>
      <w:r>
        <w:rPr>
          <w:rFonts w:hint="eastAsia"/>
          <w:u w:val="single"/>
        </w:rPr>
        <w:t>水质状况。</w:t>
      </w:r>
    </w:p>
    <w:p>
      <w:pPr>
        <w:ind w:firstLine="0" w:firstLineChars="0"/>
        <w:jc w:val="center"/>
        <w:textAlignment w:val="center"/>
        <w:rPr>
          <w:b/>
          <w:bCs/>
          <w:color w:val="000000"/>
          <w:sz w:val="21"/>
          <w:szCs w:val="21"/>
          <w:u w:val="single"/>
        </w:rPr>
      </w:pPr>
      <w:r>
        <w:rPr>
          <w:rFonts w:hint="eastAsia"/>
          <w:b/>
          <w:bCs/>
          <w:color w:val="000000"/>
          <w:sz w:val="21"/>
          <w:szCs w:val="21"/>
          <w:u w:val="single"/>
        </w:rPr>
        <w:t xml:space="preserve">表5-1  </w:t>
      </w:r>
      <w:r>
        <w:rPr>
          <w:b/>
          <w:bCs/>
          <w:color w:val="000000"/>
          <w:sz w:val="21"/>
          <w:szCs w:val="21"/>
          <w:u w:val="single"/>
        </w:rPr>
        <w:t>水质状况一览表</w:t>
      </w:r>
    </w:p>
    <w:tbl>
      <w:tblPr>
        <w:tblStyle w:val="41"/>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09"/>
        <w:gridCol w:w="850"/>
        <w:gridCol w:w="538"/>
        <w:gridCol w:w="539"/>
        <w:gridCol w:w="538"/>
        <w:gridCol w:w="539"/>
        <w:gridCol w:w="538"/>
        <w:gridCol w:w="539"/>
        <w:gridCol w:w="539"/>
        <w:gridCol w:w="538"/>
        <w:gridCol w:w="539"/>
        <w:gridCol w:w="538"/>
        <w:gridCol w:w="539"/>
        <w:gridCol w:w="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Merge w:val="restart"/>
            <w:vAlign w:val="center"/>
          </w:tcPr>
          <w:p>
            <w:pPr>
              <w:spacing w:line="240" w:lineRule="auto"/>
              <w:ind w:firstLine="0" w:firstLineChars="0"/>
              <w:jc w:val="center"/>
              <w:rPr>
                <w:b/>
                <w:color w:val="000000"/>
                <w:sz w:val="21"/>
                <w:szCs w:val="21"/>
              </w:rPr>
            </w:pPr>
            <w:r>
              <w:rPr>
                <w:b/>
                <w:color w:val="000000"/>
                <w:sz w:val="21"/>
                <w:szCs w:val="21"/>
              </w:rPr>
              <w:t>河湖</w:t>
            </w:r>
          </w:p>
          <w:p>
            <w:pPr>
              <w:spacing w:line="240" w:lineRule="auto"/>
              <w:ind w:firstLine="0" w:firstLineChars="0"/>
              <w:jc w:val="center"/>
              <w:rPr>
                <w:b/>
                <w:color w:val="000000"/>
                <w:sz w:val="21"/>
                <w:szCs w:val="21"/>
              </w:rPr>
            </w:pPr>
            <w:r>
              <w:rPr>
                <w:b/>
                <w:color w:val="000000"/>
                <w:sz w:val="21"/>
                <w:szCs w:val="21"/>
              </w:rPr>
              <w:t>名称</w:t>
            </w:r>
          </w:p>
        </w:tc>
        <w:tc>
          <w:tcPr>
            <w:tcW w:w="709" w:type="dxa"/>
            <w:vMerge w:val="restart"/>
            <w:vAlign w:val="center"/>
          </w:tcPr>
          <w:p>
            <w:pPr>
              <w:spacing w:line="240" w:lineRule="auto"/>
              <w:ind w:firstLine="0" w:firstLineChars="0"/>
              <w:jc w:val="center"/>
              <w:rPr>
                <w:b/>
                <w:color w:val="000000"/>
                <w:sz w:val="21"/>
                <w:szCs w:val="21"/>
              </w:rPr>
            </w:pPr>
            <w:r>
              <w:rPr>
                <w:b/>
                <w:color w:val="000000"/>
                <w:sz w:val="21"/>
                <w:szCs w:val="21"/>
              </w:rPr>
              <w:t>断面名称</w:t>
            </w:r>
          </w:p>
        </w:tc>
        <w:tc>
          <w:tcPr>
            <w:tcW w:w="850" w:type="dxa"/>
            <w:vMerge w:val="restart"/>
            <w:vAlign w:val="center"/>
          </w:tcPr>
          <w:p>
            <w:pPr>
              <w:spacing w:line="240" w:lineRule="auto"/>
              <w:ind w:firstLine="0" w:firstLineChars="0"/>
              <w:jc w:val="center"/>
              <w:rPr>
                <w:b/>
                <w:color w:val="000000"/>
                <w:sz w:val="21"/>
                <w:szCs w:val="21"/>
              </w:rPr>
            </w:pPr>
            <w:r>
              <w:rPr>
                <w:b/>
                <w:color w:val="000000"/>
                <w:sz w:val="21"/>
                <w:szCs w:val="21"/>
              </w:rPr>
              <w:t>断面</w:t>
            </w:r>
          </w:p>
          <w:p>
            <w:pPr>
              <w:spacing w:line="240" w:lineRule="auto"/>
              <w:ind w:firstLine="0" w:firstLineChars="0"/>
              <w:jc w:val="center"/>
              <w:rPr>
                <w:b/>
                <w:color w:val="000000"/>
                <w:sz w:val="21"/>
                <w:szCs w:val="21"/>
              </w:rPr>
            </w:pPr>
            <w:r>
              <w:rPr>
                <w:b/>
                <w:color w:val="000000"/>
                <w:sz w:val="21"/>
                <w:szCs w:val="21"/>
              </w:rPr>
              <w:t>属性</w:t>
            </w:r>
          </w:p>
        </w:tc>
        <w:tc>
          <w:tcPr>
            <w:tcW w:w="6463" w:type="dxa"/>
            <w:gridSpan w:val="12"/>
            <w:vAlign w:val="center"/>
          </w:tcPr>
          <w:p>
            <w:pPr>
              <w:spacing w:line="240" w:lineRule="auto"/>
              <w:ind w:firstLine="0" w:firstLineChars="0"/>
              <w:jc w:val="center"/>
              <w:rPr>
                <w:b/>
                <w:color w:val="000000"/>
                <w:sz w:val="21"/>
                <w:szCs w:val="21"/>
              </w:rPr>
            </w:pPr>
            <w:r>
              <w:rPr>
                <w:b/>
                <w:color w:val="000000"/>
                <w:sz w:val="21"/>
                <w:szCs w:val="21"/>
              </w:rPr>
              <w:t>监测水质类别（2023年）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10" w:type="dxa"/>
            <w:vMerge w:val="continue"/>
            <w:vAlign w:val="center"/>
          </w:tcPr>
          <w:p>
            <w:pPr>
              <w:spacing w:line="240" w:lineRule="auto"/>
              <w:ind w:firstLine="0" w:firstLineChars="0"/>
              <w:jc w:val="center"/>
              <w:rPr>
                <w:b/>
                <w:color w:val="000000"/>
                <w:sz w:val="21"/>
                <w:szCs w:val="21"/>
              </w:rPr>
            </w:pPr>
          </w:p>
        </w:tc>
        <w:tc>
          <w:tcPr>
            <w:tcW w:w="709" w:type="dxa"/>
            <w:vMerge w:val="continue"/>
            <w:vAlign w:val="center"/>
          </w:tcPr>
          <w:p>
            <w:pPr>
              <w:spacing w:line="240" w:lineRule="auto"/>
              <w:ind w:firstLine="0" w:firstLineChars="0"/>
              <w:jc w:val="center"/>
              <w:rPr>
                <w:b/>
                <w:color w:val="000000"/>
                <w:sz w:val="21"/>
                <w:szCs w:val="21"/>
              </w:rPr>
            </w:pPr>
          </w:p>
        </w:tc>
        <w:tc>
          <w:tcPr>
            <w:tcW w:w="850" w:type="dxa"/>
            <w:vMerge w:val="continue"/>
            <w:vAlign w:val="center"/>
          </w:tcPr>
          <w:p>
            <w:pPr>
              <w:spacing w:line="240" w:lineRule="auto"/>
              <w:ind w:firstLine="0" w:firstLineChars="0"/>
              <w:jc w:val="center"/>
              <w:rPr>
                <w:b/>
                <w:color w:val="000000"/>
                <w:sz w:val="21"/>
                <w:szCs w:val="21"/>
              </w:rPr>
            </w:pPr>
          </w:p>
        </w:tc>
        <w:tc>
          <w:tcPr>
            <w:tcW w:w="538" w:type="dxa"/>
            <w:vAlign w:val="center"/>
          </w:tcPr>
          <w:p>
            <w:pPr>
              <w:spacing w:line="240" w:lineRule="auto"/>
              <w:ind w:firstLine="0" w:firstLineChars="0"/>
              <w:jc w:val="center"/>
              <w:rPr>
                <w:color w:val="000000"/>
                <w:sz w:val="21"/>
                <w:szCs w:val="21"/>
              </w:rPr>
            </w:pPr>
            <w:r>
              <w:rPr>
                <w:color w:val="000000"/>
                <w:sz w:val="21"/>
                <w:szCs w:val="21"/>
              </w:rPr>
              <w:t>1月</w:t>
            </w:r>
          </w:p>
        </w:tc>
        <w:tc>
          <w:tcPr>
            <w:tcW w:w="539" w:type="dxa"/>
            <w:vAlign w:val="center"/>
          </w:tcPr>
          <w:p>
            <w:pPr>
              <w:spacing w:line="240" w:lineRule="auto"/>
              <w:ind w:firstLine="0" w:firstLineChars="0"/>
              <w:jc w:val="center"/>
              <w:rPr>
                <w:color w:val="000000"/>
                <w:sz w:val="21"/>
                <w:szCs w:val="21"/>
              </w:rPr>
            </w:pPr>
            <w:r>
              <w:rPr>
                <w:color w:val="000000"/>
                <w:sz w:val="21"/>
                <w:szCs w:val="21"/>
              </w:rPr>
              <w:t>2月</w:t>
            </w:r>
          </w:p>
        </w:tc>
        <w:tc>
          <w:tcPr>
            <w:tcW w:w="538" w:type="dxa"/>
            <w:vAlign w:val="center"/>
          </w:tcPr>
          <w:p>
            <w:pPr>
              <w:spacing w:line="240" w:lineRule="auto"/>
              <w:ind w:firstLine="0" w:firstLineChars="0"/>
              <w:jc w:val="center"/>
              <w:rPr>
                <w:color w:val="000000"/>
                <w:sz w:val="21"/>
                <w:szCs w:val="21"/>
              </w:rPr>
            </w:pPr>
            <w:r>
              <w:rPr>
                <w:color w:val="000000"/>
                <w:sz w:val="21"/>
                <w:szCs w:val="21"/>
              </w:rPr>
              <w:t>3月</w:t>
            </w:r>
          </w:p>
        </w:tc>
        <w:tc>
          <w:tcPr>
            <w:tcW w:w="539" w:type="dxa"/>
            <w:vAlign w:val="center"/>
          </w:tcPr>
          <w:p>
            <w:pPr>
              <w:spacing w:line="240" w:lineRule="auto"/>
              <w:ind w:firstLine="0" w:firstLineChars="0"/>
              <w:jc w:val="center"/>
              <w:rPr>
                <w:color w:val="000000"/>
                <w:sz w:val="21"/>
                <w:szCs w:val="21"/>
              </w:rPr>
            </w:pPr>
            <w:r>
              <w:rPr>
                <w:color w:val="000000"/>
                <w:sz w:val="21"/>
                <w:szCs w:val="21"/>
              </w:rPr>
              <w:t>4月</w:t>
            </w:r>
          </w:p>
        </w:tc>
        <w:tc>
          <w:tcPr>
            <w:tcW w:w="538" w:type="dxa"/>
            <w:vAlign w:val="center"/>
          </w:tcPr>
          <w:p>
            <w:pPr>
              <w:spacing w:line="240" w:lineRule="auto"/>
              <w:ind w:firstLine="0" w:firstLineChars="0"/>
              <w:jc w:val="center"/>
              <w:rPr>
                <w:color w:val="000000"/>
                <w:sz w:val="21"/>
                <w:szCs w:val="21"/>
              </w:rPr>
            </w:pPr>
            <w:r>
              <w:rPr>
                <w:color w:val="000000"/>
                <w:sz w:val="21"/>
                <w:szCs w:val="21"/>
              </w:rPr>
              <w:t>5月</w:t>
            </w:r>
          </w:p>
        </w:tc>
        <w:tc>
          <w:tcPr>
            <w:tcW w:w="539" w:type="dxa"/>
            <w:vAlign w:val="center"/>
          </w:tcPr>
          <w:p>
            <w:pPr>
              <w:spacing w:line="240" w:lineRule="auto"/>
              <w:ind w:firstLine="0" w:firstLineChars="0"/>
              <w:jc w:val="center"/>
              <w:rPr>
                <w:color w:val="000000"/>
                <w:sz w:val="21"/>
                <w:szCs w:val="21"/>
              </w:rPr>
            </w:pPr>
            <w:r>
              <w:rPr>
                <w:color w:val="000000"/>
                <w:sz w:val="21"/>
                <w:szCs w:val="21"/>
              </w:rPr>
              <w:t>6月</w:t>
            </w:r>
          </w:p>
        </w:tc>
        <w:tc>
          <w:tcPr>
            <w:tcW w:w="539" w:type="dxa"/>
            <w:vAlign w:val="center"/>
          </w:tcPr>
          <w:p>
            <w:pPr>
              <w:spacing w:line="240" w:lineRule="auto"/>
              <w:ind w:firstLine="0" w:firstLineChars="0"/>
              <w:jc w:val="center"/>
              <w:rPr>
                <w:color w:val="000000"/>
                <w:sz w:val="21"/>
                <w:szCs w:val="21"/>
              </w:rPr>
            </w:pPr>
            <w:r>
              <w:rPr>
                <w:color w:val="000000"/>
                <w:sz w:val="21"/>
                <w:szCs w:val="21"/>
              </w:rPr>
              <w:t>7月</w:t>
            </w:r>
          </w:p>
        </w:tc>
        <w:tc>
          <w:tcPr>
            <w:tcW w:w="538" w:type="dxa"/>
            <w:vAlign w:val="center"/>
          </w:tcPr>
          <w:p>
            <w:pPr>
              <w:spacing w:line="240" w:lineRule="auto"/>
              <w:ind w:firstLine="0" w:firstLineChars="0"/>
              <w:jc w:val="center"/>
              <w:rPr>
                <w:color w:val="000000"/>
                <w:sz w:val="21"/>
                <w:szCs w:val="21"/>
              </w:rPr>
            </w:pPr>
            <w:r>
              <w:rPr>
                <w:color w:val="000000"/>
                <w:sz w:val="21"/>
                <w:szCs w:val="21"/>
              </w:rPr>
              <w:t>8月</w:t>
            </w:r>
          </w:p>
        </w:tc>
        <w:tc>
          <w:tcPr>
            <w:tcW w:w="539" w:type="dxa"/>
            <w:vAlign w:val="center"/>
          </w:tcPr>
          <w:p>
            <w:pPr>
              <w:spacing w:line="240" w:lineRule="auto"/>
              <w:ind w:firstLine="0" w:firstLineChars="0"/>
              <w:jc w:val="center"/>
              <w:rPr>
                <w:color w:val="000000"/>
                <w:sz w:val="21"/>
                <w:szCs w:val="21"/>
              </w:rPr>
            </w:pPr>
            <w:r>
              <w:rPr>
                <w:color w:val="000000"/>
                <w:sz w:val="21"/>
                <w:szCs w:val="21"/>
              </w:rPr>
              <w:t>9月</w:t>
            </w:r>
          </w:p>
        </w:tc>
        <w:tc>
          <w:tcPr>
            <w:tcW w:w="538" w:type="dxa"/>
            <w:vAlign w:val="center"/>
          </w:tcPr>
          <w:p>
            <w:pPr>
              <w:spacing w:line="240" w:lineRule="auto"/>
              <w:ind w:firstLine="0" w:firstLineChars="0"/>
              <w:jc w:val="center"/>
              <w:rPr>
                <w:color w:val="000000"/>
                <w:sz w:val="21"/>
                <w:szCs w:val="21"/>
              </w:rPr>
            </w:pPr>
            <w:r>
              <w:rPr>
                <w:color w:val="000000"/>
                <w:sz w:val="21"/>
                <w:szCs w:val="21"/>
              </w:rPr>
              <w:t>1</w:t>
            </w:r>
            <w:r>
              <w:rPr>
                <w:rFonts w:hint="eastAsia"/>
                <w:color w:val="000000"/>
                <w:sz w:val="21"/>
                <w:szCs w:val="21"/>
              </w:rPr>
              <w:t>0</w:t>
            </w:r>
            <w:r>
              <w:rPr>
                <w:color w:val="000000"/>
                <w:sz w:val="21"/>
                <w:szCs w:val="21"/>
              </w:rPr>
              <w:t>月</w:t>
            </w:r>
          </w:p>
        </w:tc>
        <w:tc>
          <w:tcPr>
            <w:tcW w:w="539" w:type="dxa"/>
            <w:vAlign w:val="center"/>
          </w:tcPr>
          <w:p>
            <w:pPr>
              <w:spacing w:line="240" w:lineRule="auto"/>
              <w:ind w:firstLine="0" w:firstLineChars="0"/>
              <w:jc w:val="center"/>
              <w:rPr>
                <w:color w:val="000000"/>
                <w:sz w:val="21"/>
                <w:szCs w:val="21"/>
              </w:rPr>
            </w:pPr>
            <w:r>
              <w:rPr>
                <w:rFonts w:hint="eastAsia"/>
                <w:color w:val="000000"/>
                <w:sz w:val="21"/>
                <w:szCs w:val="21"/>
              </w:rPr>
              <w:t>11月</w:t>
            </w:r>
          </w:p>
        </w:tc>
        <w:tc>
          <w:tcPr>
            <w:tcW w:w="539" w:type="dxa"/>
            <w:vAlign w:val="center"/>
          </w:tcPr>
          <w:p>
            <w:pPr>
              <w:spacing w:line="240" w:lineRule="auto"/>
              <w:ind w:firstLine="0" w:firstLineChars="0"/>
              <w:jc w:val="center"/>
              <w:rPr>
                <w:color w:val="000000"/>
                <w:sz w:val="21"/>
                <w:szCs w:val="21"/>
              </w:rPr>
            </w:pPr>
            <w:r>
              <w:rPr>
                <w:rFonts w:hint="eastAsia"/>
                <w:color w:val="000000"/>
                <w:sz w:val="21"/>
                <w:szCs w:val="21"/>
              </w:rPr>
              <w:t>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spacing w:line="240" w:lineRule="auto"/>
              <w:ind w:firstLine="0" w:firstLineChars="0"/>
              <w:jc w:val="center"/>
              <w:rPr>
                <w:color w:val="000000"/>
                <w:sz w:val="21"/>
                <w:szCs w:val="21"/>
              </w:rPr>
            </w:pPr>
            <w:r>
              <w:rPr>
                <w:color w:val="000000"/>
                <w:sz w:val="21"/>
                <w:szCs w:val="21"/>
              </w:rPr>
              <w:t>澹水</w:t>
            </w:r>
          </w:p>
        </w:tc>
        <w:tc>
          <w:tcPr>
            <w:tcW w:w="709" w:type="dxa"/>
            <w:vAlign w:val="center"/>
          </w:tcPr>
          <w:p>
            <w:pPr>
              <w:spacing w:line="240" w:lineRule="auto"/>
              <w:ind w:firstLine="0" w:firstLineChars="0"/>
              <w:jc w:val="center"/>
              <w:rPr>
                <w:color w:val="000000"/>
                <w:sz w:val="21"/>
                <w:szCs w:val="21"/>
              </w:rPr>
            </w:pPr>
            <w:r>
              <w:rPr>
                <w:color w:val="000000"/>
                <w:sz w:val="21"/>
                <w:szCs w:val="21"/>
              </w:rPr>
              <w:t>东洲</w:t>
            </w:r>
          </w:p>
        </w:tc>
        <w:tc>
          <w:tcPr>
            <w:tcW w:w="850" w:type="dxa"/>
            <w:vAlign w:val="center"/>
          </w:tcPr>
          <w:p>
            <w:pPr>
              <w:spacing w:line="240" w:lineRule="auto"/>
              <w:ind w:firstLine="0" w:firstLineChars="0"/>
              <w:jc w:val="center"/>
              <w:rPr>
                <w:color w:val="000000"/>
                <w:sz w:val="21"/>
                <w:szCs w:val="21"/>
              </w:rPr>
            </w:pPr>
            <w:r>
              <w:rPr>
                <w:color w:val="000000"/>
                <w:sz w:val="21"/>
                <w:szCs w:val="21"/>
              </w:rPr>
              <w:t>市考核</w:t>
            </w:r>
          </w:p>
        </w:tc>
        <w:tc>
          <w:tcPr>
            <w:tcW w:w="538" w:type="dxa"/>
            <w:vAlign w:val="center"/>
          </w:tcPr>
          <w:p>
            <w:pPr>
              <w:spacing w:line="240" w:lineRule="auto"/>
              <w:ind w:firstLine="0" w:firstLineChars="0"/>
              <w:jc w:val="center"/>
              <w:rPr>
                <w:color w:val="000000"/>
                <w:sz w:val="21"/>
                <w:szCs w:val="21"/>
              </w:rPr>
            </w:pPr>
            <w:r>
              <w:rPr>
                <w:color w:val="000000"/>
                <w:sz w:val="21"/>
                <w:szCs w:val="21"/>
              </w:rPr>
              <w:t>Ⅴ</w:t>
            </w:r>
          </w:p>
        </w:tc>
        <w:tc>
          <w:tcPr>
            <w:tcW w:w="539" w:type="dxa"/>
            <w:vAlign w:val="center"/>
          </w:tcPr>
          <w:p>
            <w:pPr>
              <w:spacing w:line="240" w:lineRule="auto"/>
              <w:ind w:firstLine="0" w:firstLineChars="0"/>
              <w:jc w:val="center"/>
              <w:rPr>
                <w:color w:val="000000"/>
                <w:sz w:val="21"/>
                <w:szCs w:val="21"/>
              </w:rPr>
            </w:pPr>
            <w:r>
              <w:rPr>
                <w:color w:val="000000"/>
                <w:sz w:val="21"/>
                <w:szCs w:val="21"/>
              </w:rPr>
              <w:t>Ⅴ</w:t>
            </w:r>
          </w:p>
        </w:tc>
        <w:tc>
          <w:tcPr>
            <w:tcW w:w="538" w:type="dxa"/>
            <w:vAlign w:val="center"/>
          </w:tcPr>
          <w:p>
            <w:pPr>
              <w:spacing w:line="240" w:lineRule="auto"/>
              <w:ind w:firstLine="0" w:firstLineChars="0"/>
              <w:jc w:val="center"/>
              <w:rPr>
                <w:color w:val="000000"/>
                <w:sz w:val="21"/>
                <w:szCs w:val="21"/>
              </w:rPr>
            </w:pPr>
            <w:r>
              <w:rPr>
                <w:color w:val="000000"/>
                <w:sz w:val="21"/>
                <w:szCs w:val="21"/>
              </w:rPr>
              <w:t>劣Ⅴ</w:t>
            </w:r>
          </w:p>
        </w:tc>
        <w:tc>
          <w:tcPr>
            <w:tcW w:w="539" w:type="dxa"/>
            <w:vAlign w:val="center"/>
          </w:tcPr>
          <w:p>
            <w:pPr>
              <w:spacing w:line="240" w:lineRule="auto"/>
              <w:ind w:firstLine="0" w:firstLineChars="0"/>
              <w:jc w:val="center"/>
              <w:rPr>
                <w:color w:val="000000"/>
                <w:sz w:val="21"/>
                <w:szCs w:val="21"/>
              </w:rPr>
            </w:pPr>
            <w:r>
              <w:rPr>
                <w:color w:val="000000"/>
                <w:sz w:val="21"/>
                <w:szCs w:val="21"/>
              </w:rPr>
              <w:t>Ⅴ</w:t>
            </w:r>
          </w:p>
        </w:tc>
        <w:tc>
          <w:tcPr>
            <w:tcW w:w="538" w:type="dxa"/>
            <w:vAlign w:val="center"/>
          </w:tcPr>
          <w:p>
            <w:pPr>
              <w:spacing w:line="240" w:lineRule="auto"/>
              <w:ind w:firstLine="0" w:firstLineChars="0"/>
              <w:jc w:val="center"/>
              <w:rPr>
                <w:color w:val="000000"/>
                <w:sz w:val="21"/>
                <w:szCs w:val="21"/>
              </w:rPr>
            </w:pPr>
            <w:r>
              <w:rPr>
                <w:color w:val="000000"/>
                <w:sz w:val="21"/>
                <w:szCs w:val="21"/>
              </w:rPr>
              <w:t>Ⅳ</w:t>
            </w:r>
          </w:p>
        </w:tc>
        <w:tc>
          <w:tcPr>
            <w:tcW w:w="539" w:type="dxa"/>
            <w:vAlign w:val="center"/>
          </w:tcPr>
          <w:p>
            <w:pPr>
              <w:spacing w:line="240" w:lineRule="auto"/>
              <w:ind w:firstLine="0" w:firstLineChars="0"/>
              <w:jc w:val="center"/>
              <w:rPr>
                <w:color w:val="000000"/>
                <w:sz w:val="21"/>
                <w:szCs w:val="21"/>
              </w:rPr>
            </w:pPr>
            <w:r>
              <w:rPr>
                <w:color w:val="000000"/>
                <w:sz w:val="21"/>
                <w:szCs w:val="21"/>
              </w:rPr>
              <w:t>Ⅲ</w:t>
            </w:r>
          </w:p>
        </w:tc>
        <w:tc>
          <w:tcPr>
            <w:tcW w:w="539" w:type="dxa"/>
            <w:vAlign w:val="center"/>
          </w:tcPr>
          <w:p>
            <w:pPr>
              <w:spacing w:line="240" w:lineRule="auto"/>
              <w:ind w:firstLine="0" w:firstLineChars="0"/>
              <w:jc w:val="center"/>
              <w:rPr>
                <w:color w:val="000000"/>
                <w:sz w:val="21"/>
                <w:szCs w:val="21"/>
              </w:rPr>
            </w:pPr>
            <w:r>
              <w:rPr>
                <w:color w:val="000000"/>
                <w:sz w:val="21"/>
                <w:szCs w:val="21"/>
              </w:rPr>
              <w:t>Ⅳ</w:t>
            </w:r>
          </w:p>
        </w:tc>
        <w:tc>
          <w:tcPr>
            <w:tcW w:w="538" w:type="dxa"/>
            <w:vAlign w:val="center"/>
          </w:tcPr>
          <w:p>
            <w:pPr>
              <w:spacing w:line="240" w:lineRule="auto"/>
              <w:ind w:firstLine="0" w:firstLineChars="0"/>
              <w:jc w:val="center"/>
              <w:rPr>
                <w:color w:val="000000"/>
                <w:sz w:val="21"/>
                <w:szCs w:val="21"/>
              </w:rPr>
            </w:pPr>
            <w:r>
              <w:rPr>
                <w:color w:val="000000"/>
                <w:sz w:val="21"/>
                <w:szCs w:val="21"/>
              </w:rPr>
              <w:t>Ⅲ</w:t>
            </w:r>
          </w:p>
        </w:tc>
        <w:tc>
          <w:tcPr>
            <w:tcW w:w="539" w:type="dxa"/>
            <w:vAlign w:val="center"/>
          </w:tcPr>
          <w:p>
            <w:pPr>
              <w:spacing w:line="240" w:lineRule="auto"/>
              <w:ind w:firstLine="0" w:firstLineChars="0"/>
              <w:jc w:val="center"/>
              <w:rPr>
                <w:color w:val="000000"/>
                <w:sz w:val="21"/>
                <w:szCs w:val="21"/>
              </w:rPr>
            </w:pPr>
            <w:r>
              <w:rPr>
                <w:color w:val="000000"/>
                <w:sz w:val="21"/>
                <w:szCs w:val="21"/>
              </w:rPr>
              <w:t>Ⅱ</w:t>
            </w:r>
          </w:p>
        </w:tc>
        <w:tc>
          <w:tcPr>
            <w:tcW w:w="538" w:type="dxa"/>
            <w:vAlign w:val="center"/>
          </w:tcPr>
          <w:p>
            <w:pPr>
              <w:spacing w:line="240" w:lineRule="auto"/>
              <w:ind w:firstLine="0" w:firstLineChars="0"/>
              <w:jc w:val="center"/>
              <w:rPr>
                <w:color w:val="000000"/>
                <w:sz w:val="21"/>
                <w:szCs w:val="21"/>
              </w:rPr>
            </w:pPr>
            <w:r>
              <w:rPr>
                <w:color w:val="000000"/>
                <w:sz w:val="21"/>
                <w:szCs w:val="21"/>
              </w:rPr>
              <w:t>Ⅲ</w:t>
            </w:r>
          </w:p>
        </w:tc>
        <w:tc>
          <w:tcPr>
            <w:tcW w:w="539" w:type="dxa"/>
            <w:vAlign w:val="center"/>
          </w:tcPr>
          <w:p>
            <w:pPr>
              <w:spacing w:line="240" w:lineRule="auto"/>
              <w:ind w:firstLine="0" w:firstLineChars="0"/>
              <w:jc w:val="center"/>
              <w:rPr>
                <w:color w:val="000000"/>
                <w:sz w:val="21"/>
                <w:szCs w:val="21"/>
              </w:rPr>
            </w:pPr>
            <w:r>
              <w:rPr>
                <w:color w:val="000000"/>
                <w:sz w:val="21"/>
                <w:szCs w:val="21"/>
              </w:rPr>
              <w:t>Ⅳ</w:t>
            </w:r>
          </w:p>
        </w:tc>
        <w:tc>
          <w:tcPr>
            <w:tcW w:w="539" w:type="dxa"/>
            <w:vAlign w:val="center"/>
          </w:tcPr>
          <w:p>
            <w:pPr>
              <w:spacing w:line="240" w:lineRule="auto"/>
              <w:ind w:firstLine="0" w:firstLineChars="0"/>
              <w:jc w:val="center"/>
              <w:rPr>
                <w:color w:val="000000"/>
                <w:sz w:val="21"/>
                <w:szCs w:val="21"/>
              </w:rPr>
            </w:pPr>
            <w:r>
              <w:rPr>
                <w:color w:val="000000"/>
                <w:sz w:val="21"/>
                <w:szCs w:val="21"/>
              </w:rPr>
              <w:t>Ⅳ</w:t>
            </w:r>
          </w:p>
        </w:tc>
      </w:tr>
    </w:tbl>
    <w:p>
      <w:pPr>
        <w:ind w:firstLine="480"/>
        <w:rPr>
          <w:u w:val="single"/>
        </w:rPr>
      </w:pPr>
      <w:r>
        <w:rPr>
          <w:szCs w:val="24"/>
          <w:u w:val="single"/>
        </w:rPr>
        <w:t>根据公布结果显示，</w:t>
      </w:r>
      <w:r>
        <w:rPr>
          <w:rFonts w:hint="eastAsia"/>
          <w:u w:val="single"/>
        </w:rPr>
        <w:t>2023年1月～12月澹水东洲</w:t>
      </w:r>
      <w:r>
        <w:rPr>
          <w:u w:val="single"/>
        </w:rPr>
        <w:t>断面水质类别为</w:t>
      </w:r>
      <w:r>
        <w:rPr>
          <w:rFonts w:hint="eastAsia" w:ascii="宋体" w:hAnsi="宋体" w:cs="宋体"/>
          <w:u w:val="single"/>
        </w:rPr>
        <w:t>Ⅱ</w:t>
      </w:r>
      <w:r>
        <w:rPr>
          <w:u w:val="single"/>
        </w:rPr>
        <w:t>类</w:t>
      </w:r>
      <w:r>
        <w:rPr>
          <w:rFonts w:hint="eastAsia"/>
          <w:u w:val="single"/>
        </w:rPr>
        <w:t>～劣Ⅴ类。</w:t>
      </w:r>
    </w:p>
    <w:p>
      <w:pPr>
        <w:ind w:firstLine="480"/>
      </w:pPr>
      <w:r>
        <w:rPr>
          <w:rFonts w:hint="eastAsia"/>
        </w:rPr>
        <w:t>（2）补充监测断面</w:t>
      </w:r>
    </w:p>
    <w:p>
      <w:pPr>
        <w:ind w:firstLine="480"/>
        <w:rPr>
          <w:rFonts w:hAnsi="宋体"/>
          <w:bCs/>
          <w:u w:val="single"/>
        </w:rPr>
      </w:pPr>
      <w:r>
        <w:rPr>
          <w:rFonts w:hint="eastAsia"/>
          <w:szCs w:val="24"/>
          <w:u w:val="single"/>
        </w:rPr>
        <w:t>2024</w:t>
      </w:r>
      <w:r>
        <w:rPr>
          <w:szCs w:val="24"/>
          <w:u w:val="single"/>
        </w:rPr>
        <w:t>年</w:t>
      </w:r>
      <w:r>
        <w:rPr>
          <w:rFonts w:hint="eastAsia"/>
          <w:szCs w:val="24"/>
          <w:u w:val="single"/>
        </w:rPr>
        <w:t>5</w:t>
      </w:r>
      <w:r>
        <w:rPr>
          <w:szCs w:val="24"/>
          <w:u w:val="single"/>
        </w:rPr>
        <w:t>月</w:t>
      </w:r>
      <w:r>
        <w:rPr>
          <w:rFonts w:hint="eastAsia"/>
          <w:szCs w:val="24"/>
          <w:u w:val="single"/>
        </w:rPr>
        <w:t>27</w:t>
      </w:r>
      <w:r>
        <w:rPr>
          <w:szCs w:val="24"/>
          <w:u w:val="single"/>
        </w:rPr>
        <w:t>日-</w:t>
      </w:r>
      <w:r>
        <w:rPr>
          <w:rFonts w:hint="eastAsia"/>
          <w:szCs w:val="24"/>
          <w:u w:val="single"/>
        </w:rPr>
        <w:t>28</w:t>
      </w:r>
      <w:r>
        <w:rPr>
          <w:szCs w:val="24"/>
          <w:u w:val="single"/>
        </w:rPr>
        <w:t>日</w:t>
      </w:r>
      <w:r>
        <w:rPr>
          <w:rFonts w:hint="eastAsia"/>
          <w:szCs w:val="21"/>
          <w:u w:val="single"/>
        </w:rPr>
        <w:t>对澹水和农灌沟渠的地表水质量现状进行了监测。</w:t>
      </w:r>
    </w:p>
    <w:p>
      <w:pPr>
        <w:ind w:firstLine="0" w:firstLineChars="0"/>
        <w:jc w:val="center"/>
        <w:textAlignment w:val="center"/>
        <w:rPr>
          <w:b/>
          <w:bCs/>
          <w:color w:val="000000"/>
          <w:sz w:val="21"/>
          <w:szCs w:val="21"/>
          <w:u w:val="single"/>
        </w:rPr>
      </w:pPr>
      <w:r>
        <w:rPr>
          <w:b/>
          <w:bCs/>
          <w:color w:val="000000"/>
          <w:sz w:val="21"/>
          <w:szCs w:val="21"/>
          <w:u w:val="single"/>
        </w:rPr>
        <w:t>表</w:t>
      </w:r>
      <w:r>
        <w:rPr>
          <w:rFonts w:hint="eastAsia"/>
          <w:b/>
          <w:bCs/>
          <w:color w:val="000000"/>
          <w:sz w:val="21"/>
          <w:szCs w:val="21"/>
          <w:u w:val="single"/>
        </w:rPr>
        <w:t>5</w:t>
      </w:r>
      <w:r>
        <w:rPr>
          <w:b/>
          <w:bCs/>
          <w:color w:val="000000"/>
          <w:sz w:val="21"/>
          <w:szCs w:val="21"/>
          <w:u w:val="single"/>
        </w:rPr>
        <w:t>-</w:t>
      </w:r>
      <w:r>
        <w:rPr>
          <w:rFonts w:hint="eastAsia"/>
          <w:b/>
          <w:bCs/>
          <w:color w:val="000000"/>
          <w:sz w:val="21"/>
          <w:szCs w:val="21"/>
          <w:u w:val="single"/>
        </w:rPr>
        <w:t>2</w:t>
      </w:r>
      <w:r>
        <w:rPr>
          <w:b/>
          <w:bCs/>
          <w:color w:val="000000"/>
          <w:sz w:val="21"/>
          <w:szCs w:val="21"/>
          <w:u w:val="single"/>
        </w:rPr>
        <w:t xml:space="preserve">  水质监测断面</w:t>
      </w:r>
    </w:p>
    <w:tbl>
      <w:tblPr>
        <w:tblStyle w:val="41"/>
        <w:tblW w:w="8732" w:type="dxa"/>
        <w:jc w:val="center"/>
        <w:tblBorders>
          <w:top w:val="single" w:color="auto" w:sz="4"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97"/>
        <w:gridCol w:w="1188"/>
        <w:gridCol w:w="2978"/>
        <w:gridCol w:w="3769"/>
      </w:tblGrid>
      <w:tr>
        <w:tblPrEx>
          <w:tblBorders>
            <w:top w:val="single" w:color="auto" w:sz="4"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57" w:type="pct"/>
            <w:vAlign w:val="center"/>
          </w:tcPr>
          <w:p>
            <w:pPr>
              <w:spacing w:line="240" w:lineRule="auto"/>
              <w:ind w:firstLine="0" w:firstLineChars="0"/>
              <w:jc w:val="center"/>
              <w:rPr>
                <w:rFonts w:hAnsiTheme="minorEastAsia" w:eastAsiaTheme="minorEastAsia"/>
                <w:b/>
                <w:color w:val="000000"/>
                <w:sz w:val="21"/>
                <w:szCs w:val="18"/>
              </w:rPr>
            </w:pPr>
            <w:r>
              <w:rPr>
                <w:rFonts w:hint="eastAsia" w:hAnsiTheme="minorEastAsia" w:eastAsiaTheme="minorEastAsia"/>
                <w:b/>
                <w:color w:val="000000"/>
                <w:sz w:val="21"/>
                <w:szCs w:val="18"/>
              </w:rPr>
              <w:t>编号</w:t>
            </w:r>
          </w:p>
        </w:tc>
        <w:tc>
          <w:tcPr>
            <w:tcW w:w="680" w:type="pct"/>
            <w:vAlign w:val="center"/>
          </w:tcPr>
          <w:p>
            <w:pPr>
              <w:spacing w:line="240" w:lineRule="auto"/>
              <w:ind w:firstLine="0" w:firstLineChars="0"/>
              <w:jc w:val="center"/>
              <w:rPr>
                <w:rFonts w:hAnsiTheme="minorEastAsia" w:eastAsiaTheme="minorEastAsia"/>
                <w:b/>
                <w:color w:val="000000"/>
                <w:sz w:val="21"/>
                <w:szCs w:val="18"/>
              </w:rPr>
            </w:pPr>
            <w:r>
              <w:rPr>
                <w:rFonts w:hint="eastAsia" w:hAnsiTheme="minorEastAsia" w:eastAsiaTheme="minorEastAsia"/>
                <w:b/>
                <w:color w:val="000000"/>
                <w:sz w:val="21"/>
                <w:szCs w:val="18"/>
              </w:rPr>
              <w:t>所在河流</w:t>
            </w:r>
          </w:p>
        </w:tc>
        <w:tc>
          <w:tcPr>
            <w:tcW w:w="1705" w:type="pct"/>
            <w:vAlign w:val="center"/>
          </w:tcPr>
          <w:p>
            <w:pPr>
              <w:spacing w:line="240" w:lineRule="auto"/>
              <w:ind w:firstLine="0" w:firstLineChars="0"/>
              <w:jc w:val="center"/>
              <w:rPr>
                <w:rFonts w:hAnsiTheme="minorEastAsia" w:eastAsiaTheme="minorEastAsia"/>
                <w:b/>
                <w:color w:val="000000"/>
                <w:sz w:val="21"/>
                <w:szCs w:val="18"/>
              </w:rPr>
            </w:pPr>
            <w:r>
              <w:rPr>
                <w:rFonts w:hint="eastAsia" w:hAnsiTheme="minorEastAsia" w:eastAsiaTheme="minorEastAsia"/>
                <w:b/>
                <w:color w:val="000000"/>
                <w:sz w:val="21"/>
                <w:szCs w:val="18"/>
              </w:rPr>
              <w:t>监测因子</w:t>
            </w:r>
          </w:p>
        </w:tc>
        <w:tc>
          <w:tcPr>
            <w:tcW w:w="2158" w:type="pct"/>
            <w:vAlign w:val="center"/>
          </w:tcPr>
          <w:p>
            <w:pPr>
              <w:spacing w:line="240" w:lineRule="auto"/>
              <w:ind w:firstLine="0" w:firstLineChars="0"/>
              <w:jc w:val="center"/>
              <w:rPr>
                <w:rFonts w:hAnsiTheme="minorEastAsia" w:eastAsiaTheme="minorEastAsia"/>
                <w:b/>
                <w:color w:val="000000"/>
                <w:sz w:val="21"/>
                <w:szCs w:val="18"/>
              </w:rPr>
            </w:pPr>
            <w:r>
              <w:rPr>
                <w:rFonts w:hAnsiTheme="minorEastAsia" w:eastAsiaTheme="minorEastAsia"/>
                <w:b/>
                <w:color w:val="000000"/>
                <w:sz w:val="21"/>
                <w:szCs w:val="18"/>
              </w:rPr>
              <w:t>监测断面</w:t>
            </w:r>
          </w:p>
        </w:tc>
      </w:tr>
      <w:tr>
        <w:tblPrEx>
          <w:tblBorders>
            <w:top w:val="single" w:color="auto" w:sz="4"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57" w:type="pct"/>
            <w:vAlign w:val="center"/>
          </w:tcPr>
          <w:p>
            <w:pPr>
              <w:spacing w:line="240" w:lineRule="auto"/>
              <w:ind w:firstLine="0" w:firstLineChars="0"/>
              <w:jc w:val="center"/>
              <w:rPr>
                <w:rFonts w:hAnsiTheme="minorEastAsia" w:eastAsiaTheme="minorEastAsia"/>
                <w:color w:val="000000"/>
                <w:sz w:val="21"/>
                <w:szCs w:val="18"/>
              </w:rPr>
            </w:pPr>
            <w:r>
              <w:rPr>
                <w:rFonts w:hint="eastAsia" w:hAnsiTheme="minorEastAsia" w:eastAsiaTheme="minorEastAsia"/>
                <w:color w:val="000000"/>
                <w:sz w:val="21"/>
                <w:szCs w:val="18"/>
              </w:rPr>
              <w:t>W1</w:t>
            </w:r>
          </w:p>
        </w:tc>
        <w:tc>
          <w:tcPr>
            <w:tcW w:w="680" w:type="pct"/>
            <w:vAlign w:val="center"/>
          </w:tcPr>
          <w:p>
            <w:pPr>
              <w:spacing w:line="240" w:lineRule="auto"/>
              <w:ind w:firstLine="0" w:firstLineChars="0"/>
              <w:jc w:val="center"/>
              <w:rPr>
                <w:rFonts w:hAnsiTheme="minorEastAsia" w:eastAsiaTheme="minorEastAsia"/>
                <w:color w:val="000000"/>
                <w:sz w:val="21"/>
                <w:szCs w:val="18"/>
              </w:rPr>
            </w:pPr>
            <w:r>
              <w:rPr>
                <w:rFonts w:hint="eastAsia" w:hAnsiTheme="minorEastAsia" w:eastAsiaTheme="minorEastAsia"/>
                <w:color w:val="000000"/>
                <w:sz w:val="21"/>
                <w:szCs w:val="18"/>
              </w:rPr>
              <w:t>澹水</w:t>
            </w:r>
          </w:p>
        </w:tc>
        <w:tc>
          <w:tcPr>
            <w:tcW w:w="1705" w:type="pct"/>
            <w:vMerge w:val="restart"/>
            <w:vAlign w:val="center"/>
          </w:tcPr>
          <w:p>
            <w:pPr>
              <w:spacing w:line="240" w:lineRule="auto"/>
              <w:ind w:firstLine="0" w:firstLineChars="0"/>
              <w:jc w:val="center"/>
              <w:rPr>
                <w:rFonts w:hAnsiTheme="minorEastAsia" w:eastAsiaTheme="minorEastAsia"/>
                <w:color w:val="000000"/>
                <w:sz w:val="21"/>
                <w:szCs w:val="18"/>
              </w:rPr>
            </w:pPr>
            <w:r>
              <w:rPr>
                <w:sz w:val="21"/>
                <w:szCs w:val="18"/>
              </w:rPr>
              <w:t>pH</w:t>
            </w:r>
            <w:r>
              <w:rPr>
                <w:rFonts w:hint="eastAsia"/>
                <w:sz w:val="21"/>
                <w:szCs w:val="18"/>
              </w:rPr>
              <w:t>、</w:t>
            </w:r>
            <w:r>
              <w:rPr>
                <w:sz w:val="21"/>
                <w:szCs w:val="18"/>
              </w:rPr>
              <w:t>COD</w:t>
            </w:r>
            <w:r>
              <w:rPr>
                <w:sz w:val="21"/>
                <w:szCs w:val="18"/>
                <w:vertAlign w:val="subscript"/>
              </w:rPr>
              <w:t>Cr</w:t>
            </w:r>
            <w:r>
              <w:rPr>
                <w:rFonts w:hint="eastAsia"/>
                <w:sz w:val="21"/>
                <w:szCs w:val="18"/>
              </w:rPr>
              <w:t>、</w:t>
            </w:r>
            <w:r>
              <w:rPr>
                <w:sz w:val="21"/>
                <w:szCs w:val="18"/>
              </w:rPr>
              <w:t>BOD</w:t>
            </w:r>
            <w:r>
              <w:rPr>
                <w:sz w:val="21"/>
                <w:szCs w:val="18"/>
                <w:vertAlign w:val="subscript"/>
              </w:rPr>
              <w:t>5</w:t>
            </w:r>
            <w:r>
              <w:rPr>
                <w:rFonts w:hint="eastAsia"/>
                <w:sz w:val="21"/>
                <w:szCs w:val="18"/>
              </w:rPr>
              <w:t>、氨氮、总磷、溶解氧、石油类、</w:t>
            </w:r>
            <w:r>
              <w:rPr>
                <w:sz w:val="21"/>
                <w:szCs w:val="18"/>
              </w:rPr>
              <w:t>粪大肠菌群数</w:t>
            </w:r>
          </w:p>
        </w:tc>
        <w:tc>
          <w:tcPr>
            <w:tcW w:w="2158" w:type="pct"/>
            <w:vAlign w:val="center"/>
          </w:tcPr>
          <w:p>
            <w:pPr>
              <w:spacing w:line="240" w:lineRule="auto"/>
              <w:ind w:firstLine="0" w:firstLineChars="0"/>
              <w:jc w:val="center"/>
              <w:rPr>
                <w:rFonts w:hAnsiTheme="minorEastAsia" w:eastAsiaTheme="minorEastAsia"/>
                <w:color w:val="000000"/>
                <w:sz w:val="21"/>
                <w:szCs w:val="18"/>
              </w:rPr>
            </w:pPr>
            <w:r>
              <w:rPr>
                <w:rFonts w:hint="eastAsia" w:hAnsiTheme="minorEastAsia" w:eastAsiaTheme="minorEastAsia"/>
                <w:color w:val="000000"/>
                <w:sz w:val="21"/>
                <w:szCs w:val="18"/>
              </w:rPr>
              <w:t>入河排污口（自流口）入澹水处上游500m处</w:t>
            </w:r>
          </w:p>
        </w:tc>
      </w:tr>
      <w:tr>
        <w:tblPrEx>
          <w:tblBorders>
            <w:top w:val="single" w:color="auto" w:sz="4"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57" w:type="pct"/>
            <w:vAlign w:val="center"/>
          </w:tcPr>
          <w:p>
            <w:pPr>
              <w:spacing w:line="240" w:lineRule="auto"/>
              <w:ind w:firstLine="0" w:firstLineChars="0"/>
              <w:jc w:val="center"/>
              <w:rPr>
                <w:rFonts w:hAnsiTheme="minorEastAsia" w:eastAsiaTheme="minorEastAsia"/>
                <w:color w:val="000000"/>
                <w:sz w:val="21"/>
                <w:szCs w:val="18"/>
              </w:rPr>
            </w:pPr>
            <w:r>
              <w:rPr>
                <w:rFonts w:hint="eastAsia" w:hAnsiTheme="minorEastAsia" w:eastAsiaTheme="minorEastAsia"/>
                <w:color w:val="000000"/>
                <w:sz w:val="21"/>
                <w:szCs w:val="18"/>
              </w:rPr>
              <w:t>W2</w:t>
            </w:r>
          </w:p>
        </w:tc>
        <w:tc>
          <w:tcPr>
            <w:tcW w:w="680" w:type="pct"/>
            <w:vAlign w:val="center"/>
          </w:tcPr>
          <w:p>
            <w:pPr>
              <w:spacing w:line="240" w:lineRule="auto"/>
              <w:ind w:firstLine="0" w:firstLineChars="0"/>
              <w:jc w:val="center"/>
              <w:rPr>
                <w:rFonts w:hAnsiTheme="minorEastAsia" w:eastAsiaTheme="minorEastAsia"/>
                <w:color w:val="000000"/>
                <w:sz w:val="21"/>
                <w:szCs w:val="18"/>
              </w:rPr>
            </w:pPr>
            <w:r>
              <w:rPr>
                <w:rFonts w:hint="eastAsia" w:hAnsiTheme="minorEastAsia" w:eastAsiaTheme="minorEastAsia"/>
                <w:color w:val="000000"/>
                <w:sz w:val="21"/>
                <w:szCs w:val="18"/>
              </w:rPr>
              <w:t>澹水</w:t>
            </w:r>
          </w:p>
        </w:tc>
        <w:tc>
          <w:tcPr>
            <w:tcW w:w="1705" w:type="pct"/>
            <w:vMerge w:val="continue"/>
            <w:vAlign w:val="center"/>
          </w:tcPr>
          <w:p>
            <w:pPr>
              <w:spacing w:line="240" w:lineRule="auto"/>
              <w:ind w:firstLine="0" w:firstLineChars="0"/>
              <w:jc w:val="center"/>
              <w:rPr>
                <w:rFonts w:hAnsiTheme="minorEastAsia" w:eastAsiaTheme="minorEastAsia"/>
                <w:color w:val="000000"/>
                <w:sz w:val="21"/>
                <w:szCs w:val="18"/>
              </w:rPr>
            </w:pPr>
          </w:p>
        </w:tc>
        <w:tc>
          <w:tcPr>
            <w:tcW w:w="2158" w:type="pct"/>
            <w:vAlign w:val="center"/>
          </w:tcPr>
          <w:p>
            <w:pPr>
              <w:spacing w:line="240" w:lineRule="auto"/>
              <w:ind w:firstLine="0" w:firstLineChars="0"/>
              <w:jc w:val="center"/>
              <w:rPr>
                <w:rFonts w:hAnsiTheme="minorEastAsia" w:eastAsiaTheme="minorEastAsia"/>
                <w:color w:val="000000"/>
                <w:sz w:val="21"/>
                <w:szCs w:val="18"/>
              </w:rPr>
            </w:pPr>
            <w:r>
              <w:rPr>
                <w:rFonts w:hint="eastAsia" w:hAnsiTheme="minorEastAsia" w:eastAsiaTheme="minorEastAsia"/>
                <w:color w:val="000000"/>
                <w:sz w:val="21"/>
                <w:szCs w:val="18"/>
              </w:rPr>
              <w:t>入河排污口（自流口）入澹水处下游600m处</w:t>
            </w:r>
          </w:p>
        </w:tc>
      </w:tr>
      <w:tr>
        <w:tblPrEx>
          <w:tblBorders>
            <w:top w:val="single" w:color="auto" w:sz="4"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57" w:type="pct"/>
            <w:vAlign w:val="center"/>
          </w:tcPr>
          <w:p>
            <w:pPr>
              <w:spacing w:line="240" w:lineRule="auto"/>
              <w:ind w:firstLine="0" w:firstLineChars="0"/>
              <w:jc w:val="center"/>
              <w:rPr>
                <w:rFonts w:hAnsiTheme="minorEastAsia" w:eastAsiaTheme="minorEastAsia"/>
                <w:color w:val="000000"/>
                <w:sz w:val="21"/>
                <w:szCs w:val="18"/>
              </w:rPr>
            </w:pPr>
            <w:r>
              <w:rPr>
                <w:rFonts w:hint="eastAsia" w:hAnsiTheme="minorEastAsia" w:eastAsiaTheme="minorEastAsia"/>
                <w:color w:val="000000"/>
                <w:sz w:val="21"/>
                <w:szCs w:val="18"/>
              </w:rPr>
              <w:t>W3</w:t>
            </w:r>
          </w:p>
        </w:tc>
        <w:tc>
          <w:tcPr>
            <w:tcW w:w="680" w:type="pct"/>
            <w:vAlign w:val="center"/>
          </w:tcPr>
          <w:p>
            <w:pPr>
              <w:spacing w:line="240" w:lineRule="auto"/>
              <w:ind w:firstLine="0" w:firstLineChars="0"/>
              <w:jc w:val="center"/>
              <w:rPr>
                <w:rFonts w:hAnsiTheme="minorEastAsia" w:eastAsiaTheme="minorEastAsia"/>
                <w:color w:val="000000"/>
                <w:sz w:val="21"/>
                <w:szCs w:val="18"/>
              </w:rPr>
            </w:pPr>
            <w:r>
              <w:rPr>
                <w:rFonts w:hint="eastAsia" w:hAnsiTheme="minorEastAsia" w:eastAsiaTheme="minorEastAsia"/>
                <w:color w:val="000000"/>
                <w:sz w:val="21"/>
                <w:szCs w:val="18"/>
              </w:rPr>
              <w:t>澹水</w:t>
            </w:r>
          </w:p>
        </w:tc>
        <w:tc>
          <w:tcPr>
            <w:tcW w:w="1705" w:type="pct"/>
            <w:vMerge w:val="continue"/>
            <w:vAlign w:val="center"/>
          </w:tcPr>
          <w:p>
            <w:pPr>
              <w:spacing w:line="240" w:lineRule="auto"/>
              <w:ind w:firstLine="0" w:firstLineChars="0"/>
              <w:jc w:val="center"/>
              <w:rPr>
                <w:rFonts w:hAnsiTheme="minorEastAsia" w:eastAsiaTheme="minorEastAsia"/>
                <w:color w:val="000000"/>
                <w:sz w:val="21"/>
                <w:szCs w:val="18"/>
              </w:rPr>
            </w:pPr>
          </w:p>
        </w:tc>
        <w:tc>
          <w:tcPr>
            <w:tcW w:w="2158" w:type="pct"/>
            <w:vAlign w:val="center"/>
          </w:tcPr>
          <w:p>
            <w:pPr>
              <w:spacing w:line="240" w:lineRule="auto"/>
              <w:ind w:firstLine="0" w:firstLineChars="0"/>
              <w:jc w:val="center"/>
              <w:rPr>
                <w:rFonts w:hAnsiTheme="minorEastAsia" w:eastAsiaTheme="minorEastAsia"/>
                <w:color w:val="000000"/>
                <w:sz w:val="21"/>
                <w:szCs w:val="18"/>
              </w:rPr>
            </w:pPr>
            <w:r>
              <w:rPr>
                <w:rFonts w:hint="eastAsia" w:hAnsiTheme="minorEastAsia" w:eastAsiaTheme="minorEastAsia"/>
                <w:color w:val="000000"/>
                <w:sz w:val="21"/>
                <w:szCs w:val="18"/>
              </w:rPr>
              <w:t>澹水与涔水交汇处</w:t>
            </w:r>
          </w:p>
        </w:tc>
      </w:tr>
      <w:tr>
        <w:tblPrEx>
          <w:tblBorders>
            <w:top w:val="single" w:color="auto" w:sz="4"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57" w:type="pct"/>
            <w:vAlign w:val="center"/>
          </w:tcPr>
          <w:p>
            <w:pPr>
              <w:spacing w:line="240" w:lineRule="auto"/>
              <w:ind w:firstLine="0" w:firstLineChars="0"/>
              <w:jc w:val="center"/>
              <w:rPr>
                <w:rFonts w:hAnsiTheme="minorEastAsia" w:eastAsiaTheme="minorEastAsia"/>
                <w:color w:val="000000"/>
                <w:sz w:val="21"/>
                <w:szCs w:val="18"/>
              </w:rPr>
            </w:pPr>
            <w:r>
              <w:rPr>
                <w:rFonts w:hint="eastAsia" w:hAnsiTheme="minorEastAsia" w:eastAsiaTheme="minorEastAsia"/>
                <w:color w:val="000000"/>
                <w:sz w:val="21"/>
                <w:szCs w:val="18"/>
              </w:rPr>
              <w:t>W4</w:t>
            </w:r>
          </w:p>
        </w:tc>
        <w:tc>
          <w:tcPr>
            <w:tcW w:w="680" w:type="pct"/>
            <w:vAlign w:val="center"/>
          </w:tcPr>
          <w:p>
            <w:pPr>
              <w:spacing w:line="240" w:lineRule="auto"/>
              <w:ind w:firstLine="0" w:firstLineChars="0"/>
              <w:jc w:val="center"/>
              <w:rPr>
                <w:rFonts w:hAnsiTheme="minorEastAsia" w:eastAsiaTheme="minorEastAsia"/>
                <w:color w:val="000000"/>
                <w:sz w:val="21"/>
                <w:szCs w:val="18"/>
              </w:rPr>
            </w:pPr>
            <w:r>
              <w:rPr>
                <w:rFonts w:hint="eastAsia" w:hAnsiTheme="minorEastAsia" w:eastAsiaTheme="minorEastAsia"/>
                <w:color w:val="000000"/>
                <w:sz w:val="21"/>
                <w:szCs w:val="18"/>
              </w:rPr>
              <w:t>农灌沟渠</w:t>
            </w:r>
          </w:p>
        </w:tc>
        <w:tc>
          <w:tcPr>
            <w:tcW w:w="1705" w:type="pct"/>
            <w:vAlign w:val="center"/>
          </w:tcPr>
          <w:p>
            <w:pPr>
              <w:spacing w:line="240" w:lineRule="auto"/>
              <w:ind w:firstLine="0" w:firstLineChars="0"/>
              <w:jc w:val="center"/>
              <w:rPr>
                <w:rFonts w:hAnsiTheme="minorEastAsia" w:eastAsiaTheme="minorEastAsia"/>
                <w:color w:val="000000"/>
                <w:sz w:val="21"/>
                <w:szCs w:val="18"/>
              </w:rPr>
            </w:pPr>
            <w:r>
              <w:rPr>
                <w:rFonts w:hint="eastAsia"/>
                <w:sz w:val="21"/>
                <w:szCs w:val="18"/>
              </w:rPr>
              <w:t>pH、SS、</w:t>
            </w:r>
            <w:r>
              <w:rPr>
                <w:sz w:val="21"/>
                <w:szCs w:val="18"/>
              </w:rPr>
              <w:t>COD</w:t>
            </w:r>
            <w:r>
              <w:rPr>
                <w:sz w:val="21"/>
                <w:szCs w:val="18"/>
                <w:vertAlign w:val="subscript"/>
              </w:rPr>
              <w:t>Cr</w:t>
            </w:r>
            <w:r>
              <w:rPr>
                <w:rFonts w:hint="eastAsia"/>
                <w:sz w:val="21"/>
                <w:szCs w:val="18"/>
              </w:rPr>
              <w:t>、</w:t>
            </w:r>
            <w:r>
              <w:rPr>
                <w:sz w:val="21"/>
                <w:szCs w:val="18"/>
              </w:rPr>
              <w:t>BOD5</w:t>
            </w:r>
            <w:r>
              <w:rPr>
                <w:rFonts w:hint="eastAsia"/>
                <w:sz w:val="21"/>
                <w:szCs w:val="18"/>
              </w:rPr>
              <w:t>、LAS</w:t>
            </w:r>
          </w:p>
        </w:tc>
        <w:tc>
          <w:tcPr>
            <w:tcW w:w="2158" w:type="pct"/>
            <w:vAlign w:val="center"/>
          </w:tcPr>
          <w:p>
            <w:pPr>
              <w:spacing w:line="240" w:lineRule="auto"/>
              <w:ind w:firstLine="0" w:firstLineChars="0"/>
              <w:jc w:val="center"/>
              <w:rPr>
                <w:rFonts w:hAnsiTheme="minorEastAsia" w:eastAsiaTheme="minorEastAsia"/>
                <w:color w:val="000000"/>
                <w:sz w:val="21"/>
                <w:szCs w:val="18"/>
              </w:rPr>
            </w:pPr>
            <w:r>
              <w:rPr>
                <w:rFonts w:hint="eastAsia" w:hAnsiTheme="minorEastAsia" w:eastAsiaTheme="minorEastAsia"/>
                <w:color w:val="000000"/>
                <w:sz w:val="21"/>
                <w:szCs w:val="18"/>
              </w:rPr>
              <w:t>总排口下游150m处</w:t>
            </w:r>
          </w:p>
        </w:tc>
      </w:tr>
    </w:tbl>
    <w:p>
      <w:pPr>
        <w:ind w:firstLine="480"/>
        <w:rPr>
          <w:rFonts w:hAnsi="宋体"/>
          <w:bCs/>
          <w:u w:val="single"/>
        </w:rPr>
      </w:pPr>
      <w:r>
        <w:rPr>
          <w:rFonts w:hAnsi="宋体"/>
          <w:bCs/>
          <w:u w:val="single"/>
        </w:rPr>
        <w:t>监测数据见</w:t>
      </w:r>
      <w:r>
        <w:rPr>
          <w:rFonts w:hint="eastAsia" w:hAnsi="宋体"/>
          <w:bCs/>
          <w:u w:val="single"/>
        </w:rPr>
        <w:t>下表</w:t>
      </w:r>
      <w:r>
        <w:rPr>
          <w:rFonts w:hAnsi="宋体"/>
          <w:bCs/>
          <w:u w:val="single"/>
        </w:rPr>
        <w:t>。</w:t>
      </w:r>
    </w:p>
    <w:p>
      <w:pPr>
        <w:ind w:firstLine="0" w:firstLineChars="0"/>
        <w:jc w:val="center"/>
        <w:textAlignment w:val="center"/>
        <w:rPr>
          <w:b/>
          <w:bCs/>
          <w:color w:val="000000"/>
          <w:sz w:val="21"/>
          <w:szCs w:val="21"/>
          <w:u w:val="single"/>
        </w:rPr>
      </w:pPr>
      <w:r>
        <w:rPr>
          <w:rFonts w:hint="eastAsia"/>
          <w:b/>
          <w:bCs/>
          <w:color w:val="000000"/>
          <w:sz w:val="21"/>
          <w:szCs w:val="21"/>
          <w:u w:val="single"/>
        </w:rPr>
        <w:t>表5-3  澹水水质检测数据</w:t>
      </w:r>
    </w:p>
    <w:tbl>
      <w:tblPr>
        <w:tblStyle w:val="41"/>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276"/>
        <w:gridCol w:w="2126"/>
        <w:gridCol w:w="2268"/>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Merge w:val="restart"/>
            <w:vAlign w:val="center"/>
          </w:tcPr>
          <w:p>
            <w:pPr>
              <w:spacing w:line="240" w:lineRule="auto"/>
              <w:ind w:firstLine="0" w:firstLineChars="0"/>
              <w:jc w:val="center"/>
              <w:rPr>
                <w:rFonts w:hAnsiTheme="minorEastAsia" w:eastAsiaTheme="minorEastAsia"/>
                <w:b/>
                <w:color w:val="000000"/>
                <w:sz w:val="21"/>
                <w:szCs w:val="21"/>
              </w:rPr>
            </w:pPr>
            <w:r>
              <w:rPr>
                <w:rFonts w:hAnsiTheme="minorEastAsia" w:eastAsiaTheme="minorEastAsia"/>
                <w:b/>
                <w:color w:val="000000"/>
                <w:sz w:val="21"/>
                <w:szCs w:val="21"/>
              </w:rPr>
              <w:t>监测因子</w:t>
            </w:r>
          </w:p>
        </w:tc>
        <w:tc>
          <w:tcPr>
            <w:tcW w:w="1276" w:type="dxa"/>
            <w:vMerge w:val="restart"/>
            <w:vAlign w:val="center"/>
          </w:tcPr>
          <w:p>
            <w:pPr>
              <w:spacing w:line="240" w:lineRule="auto"/>
              <w:ind w:firstLine="0" w:firstLineChars="0"/>
              <w:jc w:val="center"/>
              <w:rPr>
                <w:rFonts w:hAnsiTheme="minorEastAsia" w:eastAsiaTheme="minorEastAsia"/>
                <w:b/>
                <w:color w:val="000000"/>
                <w:sz w:val="21"/>
                <w:szCs w:val="21"/>
              </w:rPr>
            </w:pPr>
            <w:r>
              <w:rPr>
                <w:rFonts w:hAnsiTheme="minorEastAsia" w:eastAsiaTheme="minorEastAsia"/>
                <w:b/>
                <w:color w:val="000000"/>
                <w:sz w:val="21"/>
                <w:szCs w:val="21"/>
              </w:rPr>
              <w:t>监测</w:t>
            </w:r>
            <w:r>
              <w:rPr>
                <w:rFonts w:hint="eastAsia" w:hAnsiTheme="minorEastAsia" w:eastAsiaTheme="minorEastAsia"/>
                <w:b/>
                <w:color w:val="000000"/>
                <w:sz w:val="21"/>
                <w:szCs w:val="21"/>
              </w:rPr>
              <w:t>点位</w:t>
            </w:r>
          </w:p>
        </w:tc>
        <w:tc>
          <w:tcPr>
            <w:tcW w:w="4394" w:type="dxa"/>
            <w:gridSpan w:val="2"/>
            <w:vAlign w:val="center"/>
          </w:tcPr>
          <w:p>
            <w:pPr>
              <w:spacing w:line="240" w:lineRule="auto"/>
              <w:ind w:firstLine="0" w:firstLineChars="0"/>
              <w:jc w:val="center"/>
              <w:rPr>
                <w:rFonts w:hAnsiTheme="minorEastAsia" w:eastAsiaTheme="minorEastAsia"/>
                <w:b/>
                <w:color w:val="000000"/>
                <w:sz w:val="21"/>
                <w:szCs w:val="21"/>
              </w:rPr>
            </w:pPr>
            <w:r>
              <w:rPr>
                <w:rFonts w:hAnsiTheme="minorEastAsia" w:eastAsiaTheme="minorEastAsia"/>
                <w:b/>
                <w:color w:val="000000"/>
                <w:sz w:val="21"/>
                <w:szCs w:val="21"/>
              </w:rPr>
              <w:t>浓度</w:t>
            </w:r>
            <w:r>
              <w:rPr>
                <w:rFonts w:hint="eastAsia" w:hAnsiTheme="minorEastAsia" w:eastAsiaTheme="minorEastAsia"/>
                <w:b/>
                <w:color w:val="000000"/>
                <w:sz w:val="21"/>
                <w:szCs w:val="21"/>
              </w:rPr>
              <w:t>值</w:t>
            </w:r>
          </w:p>
        </w:tc>
        <w:tc>
          <w:tcPr>
            <w:tcW w:w="1643" w:type="dxa"/>
            <w:vMerge w:val="restart"/>
            <w:vAlign w:val="center"/>
          </w:tcPr>
          <w:p>
            <w:pPr>
              <w:spacing w:line="240" w:lineRule="auto"/>
              <w:ind w:firstLine="0" w:firstLineChars="0"/>
              <w:jc w:val="center"/>
              <w:rPr>
                <w:rFonts w:hAnsiTheme="minorEastAsia" w:eastAsiaTheme="minorEastAsia"/>
                <w:b/>
                <w:color w:val="000000"/>
                <w:sz w:val="21"/>
                <w:szCs w:val="21"/>
              </w:rPr>
            </w:pPr>
            <w:r>
              <w:rPr>
                <w:rFonts w:hint="eastAsia" w:hAnsiTheme="minorEastAsia" w:eastAsiaTheme="minorEastAsia"/>
                <w:b/>
                <w:color w:val="000000"/>
                <w:sz w:val="21"/>
                <w:szCs w:val="21"/>
              </w:rPr>
              <w:t>GB3838- 2002Ⅲ类标准</w:t>
            </w:r>
            <w:r>
              <w:rPr>
                <w:rFonts w:hAnsiTheme="minorEastAsia" w:eastAsiaTheme="minorEastAsia"/>
                <w:b/>
                <w:color w:val="000000"/>
                <w:sz w:val="21"/>
                <w:szCs w:val="21"/>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Merge w:val="continue"/>
            <w:vAlign w:val="center"/>
          </w:tcPr>
          <w:p>
            <w:pPr>
              <w:spacing w:line="240" w:lineRule="auto"/>
              <w:ind w:firstLine="0" w:firstLineChars="0"/>
              <w:jc w:val="center"/>
              <w:rPr>
                <w:rFonts w:hAnsiTheme="minorEastAsia" w:eastAsiaTheme="minorEastAsia"/>
                <w:b/>
                <w:color w:val="000000"/>
                <w:sz w:val="21"/>
                <w:szCs w:val="21"/>
              </w:rPr>
            </w:pPr>
          </w:p>
        </w:tc>
        <w:tc>
          <w:tcPr>
            <w:tcW w:w="1276" w:type="dxa"/>
            <w:vMerge w:val="continue"/>
            <w:vAlign w:val="center"/>
          </w:tcPr>
          <w:p>
            <w:pPr>
              <w:spacing w:line="240" w:lineRule="auto"/>
              <w:ind w:firstLine="0" w:firstLineChars="0"/>
              <w:jc w:val="center"/>
              <w:rPr>
                <w:rFonts w:hAnsiTheme="minorEastAsia" w:eastAsiaTheme="minorEastAsia"/>
                <w:b/>
                <w:color w:val="000000"/>
                <w:sz w:val="21"/>
                <w:szCs w:val="21"/>
              </w:rPr>
            </w:pPr>
          </w:p>
        </w:tc>
        <w:tc>
          <w:tcPr>
            <w:tcW w:w="2126" w:type="dxa"/>
            <w:vAlign w:val="center"/>
          </w:tcPr>
          <w:p>
            <w:pPr>
              <w:spacing w:line="240" w:lineRule="auto"/>
              <w:ind w:firstLine="0" w:firstLineChars="0"/>
              <w:jc w:val="center"/>
              <w:rPr>
                <w:rFonts w:hAnsiTheme="minorEastAsia" w:eastAsiaTheme="minorEastAsia"/>
                <w:b/>
                <w:color w:val="000000"/>
                <w:sz w:val="21"/>
                <w:szCs w:val="21"/>
              </w:rPr>
            </w:pPr>
            <w:r>
              <w:rPr>
                <w:rFonts w:hint="eastAsia" w:hAnsiTheme="minorEastAsia" w:eastAsiaTheme="minorEastAsia"/>
                <w:b/>
                <w:color w:val="000000"/>
                <w:sz w:val="21"/>
                <w:szCs w:val="21"/>
              </w:rPr>
              <w:t>2024年05月27日</w:t>
            </w:r>
          </w:p>
        </w:tc>
        <w:tc>
          <w:tcPr>
            <w:tcW w:w="2268" w:type="dxa"/>
            <w:vAlign w:val="center"/>
          </w:tcPr>
          <w:p>
            <w:pPr>
              <w:spacing w:line="240" w:lineRule="auto"/>
              <w:ind w:firstLine="0" w:firstLineChars="0"/>
              <w:jc w:val="center"/>
              <w:rPr>
                <w:rFonts w:hAnsiTheme="minorEastAsia" w:eastAsiaTheme="minorEastAsia"/>
                <w:b/>
                <w:color w:val="000000"/>
                <w:sz w:val="21"/>
                <w:szCs w:val="21"/>
              </w:rPr>
            </w:pPr>
            <w:r>
              <w:rPr>
                <w:rFonts w:hint="eastAsia" w:hAnsiTheme="minorEastAsia" w:eastAsiaTheme="minorEastAsia"/>
                <w:b/>
                <w:color w:val="000000"/>
                <w:sz w:val="21"/>
                <w:szCs w:val="21"/>
              </w:rPr>
              <w:t>2024年05月28日</w:t>
            </w:r>
          </w:p>
        </w:tc>
        <w:tc>
          <w:tcPr>
            <w:tcW w:w="1643" w:type="dxa"/>
            <w:vMerge w:val="continue"/>
            <w:vAlign w:val="center"/>
          </w:tcPr>
          <w:p>
            <w:pPr>
              <w:spacing w:line="240" w:lineRule="auto"/>
              <w:ind w:firstLine="0" w:firstLineChars="0"/>
              <w:jc w:val="center"/>
              <w:rPr>
                <w:rFonts w:hAnsiTheme="minorEastAsia" w:eastAsiaTheme="minorEastAsia"/>
                <w:b/>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Merge w:val="restart"/>
            <w:vAlign w:val="center"/>
          </w:tcPr>
          <w:p>
            <w:pPr>
              <w:spacing w:line="240" w:lineRule="auto"/>
              <w:ind w:firstLine="0" w:firstLineChars="0"/>
              <w:jc w:val="center"/>
              <w:rPr>
                <w:rFonts w:hAnsiTheme="minorEastAsia" w:eastAsiaTheme="minorEastAsia"/>
                <w:color w:val="000000"/>
                <w:sz w:val="21"/>
                <w:szCs w:val="21"/>
              </w:rPr>
            </w:pPr>
            <w:r>
              <w:rPr>
                <w:rFonts w:hAnsiTheme="minorEastAsia" w:eastAsiaTheme="minorEastAsia"/>
                <w:color w:val="000000"/>
                <w:sz w:val="21"/>
                <w:szCs w:val="21"/>
              </w:rPr>
              <w:t>pH</w:t>
            </w:r>
          </w:p>
        </w:tc>
        <w:tc>
          <w:tcPr>
            <w:tcW w:w="127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W1</w:t>
            </w:r>
          </w:p>
        </w:tc>
        <w:tc>
          <w:tcPr>
            <w:tcW w:w="212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7.27</w:t>
            </w:r>
          </w:p>
        </w:tc>
        <w:tc>
          <w:tcPr>
            <w:tcW w:w="2268"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7.29</w:t>
            </w:r>
          </w:p>
        </w:tc>
        <w:tc>
          <w:tcPr>
            <w:tcW w:w="1643" w:type="dxa"/>
            <w:vMerge w:val="restart"/>
            <w:vAlign w:val="center"/>
          </w:tcPr>
          <w:p>
            <w:pPr>
              <w:spacing w:line="240" w:lineRule="auto"/>
              <w:ind w:firstLine="0" w:firstLineChars="0"/>
              <w:jc w:val="center"/>
              <w:rPr>
                <w:rFonts w:hAnsiTheme="minorEastAsia" w:eastAsiaTheme="minorEastAsia"/>
                <w:color w:val="000000"/>
                <w:sz w:val="21"/>
                <w:szCs w:val="21"/>
              </w:rPr>
            </w:pPr>
            <w:r>
              <w:rPr>
                <w:rFonts w:hAnsiTheme="minorEastAsia" w:eastAsiaTheme="minorEastAsia"/>
                <w:color w:val="000000"/>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Merge w:val="continue"/>
            <w:vAlign w:val="center"/>
          </w:tcPr>
          <w:p>
            <w:pPr>
              <w:spacing w:line="240" w:lineRule="auto"/>
              <w:ind w:firstLine="0" w:firstLineChars="0"/>
              <w:jc w:val="center"/>
              <w:rPr>
                <w:rFonts w:hAnsiTheme="minorEastAsia" w:eastAsiaTheme="minorEastAsia"/>
                <w:color w:val="000000"/>
                <w:sz w:val="21"/>
                <w:szCs w:val="21"/>
              </w:rPr>
            </w:pPr>
          </w:p>
        </w:tc>
        <w:tc>
          <w:tcPr>
            <w:tcW w:w="127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W2</w:t>
            </w:r>
          </w:p>
        </w:tc>
        <w:tc>
          <w:tcPr>
            <w:tcW w:w="212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7.42</w:t>
            </w:r>
          </w:p>
        </w:tc>
        <w:tc>
          <w:tcPr>
            <w:tcW w:w="2268"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7.24</w:t>
            </w:r>
          </w:p>
        </w:tc>
        <w:tc>
          <w:tcPr>
            <w:tcW w:w="1643" w:type="dxa"/>
            <w:vMerge w:val="continue"/>
            <w:vAlign w:val="center"/>
          </w:tcPr>
          <w:p>
            <w:pPr>
              <w:spacing w:line="240" w:lineRule="auto"/>
              <w:ind w:firstLine="0" w:firstLineChars="0"/>
              <w:jc w:val="center"/>
              <w:rPr>
                <w:rFonts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Merge w:val="continue"/>
            <w:vAlign w:val="center"/>
          </w:tcPr>
          <w:p>
            <w:pPr>
              <w:spacing w:line="240" w:lineRule="auto"/>
              <w:ind w:firstLine="0" w:firstLineChars="0"/>
              <w:jc w:val="center"/>
              <w:rPr>
                <w:rFonts w:hAnsiTheme="minorEastAsia" w:eastAsiaTheme="minorEastAsia"/>
                <w:color w:val="000000"/>
                <w:sz w:val="21"/>
                <w:szCs w:val="21"/>
              </w:rPr>
            </w:pPr>
          </w:p>
        </w:tc>
        <w:tc>
          <w:tcPr>
            <w:tcW w:w="127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W3</w:t>
            </w:r>
          </w:p>
        </w:tc>
        <w:tc>
          <w:tcPr>
            <w:tcW w:w="212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7.32</w:t>
            </w:r>
          </w:p>
        </w:tc>
        <w:tc>
          <w:tcPr>
            <w:tcW w:w="2268"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7.23</w:t>
            </w:r>
          </w:p>
        </w:tc>
        <w:tc>
          <w:tcPr>
            <w:tcW w:w="1643" w:type="dxa"/>
            <w:vMerge w:val="continue"/>
            <w:vAlign w:val="center"/>
          </w:tcPr>
          <w:p>
            <w:pPr>
              <w:spacing w:line="240" w:lineRule="auto"/>
              <w:ind w:firstLine="0" w:firstLineChars="0"/>
              <w:jc w:val="center"/>
              <w:rPr>
                <w:rFonts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Merge w:val="restart"/>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COD</w:t>
            </w:r>
            <w:r>
              <w:rPr>
                <w:rFonts w:hint="eastAsia" w:hAnsiTheme="minorEastAsia" w:eastAsiaTheme="minorEastAsia"/>
                <w:color w:val="000000"/>
                <w:sz w:val="21"/>
                <w:szCs w:val="21"/>
                <w:vertAlign w:val="subscript"/>
              </w:rPr>
              <w:t>Cr</w:t>
            </w:r>
          </w:p>
        </w:tc>
        <w:tc>
          <w:tcPr>
            <w:tcW w:w="127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W1</w:t>
            </w:r>
          </w:p>
        </w:tc>
        <w:tc>
          <w:tcPr>
            <w:tcW w:w="212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11</w:t>
            </w:r>
          </w:p>
        </w:tc>
        <w:tc>
          <w:tcPr>
            <w:tcW w:w="2268"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13</w:t>
            </w:r>
          </w:p>
        </w:tc>
        <w:tc>
          <w:tcPr>
            <w:tcW w:w="1643" w:type="dxa"/>
            <w:vMerge w:val="restart"/>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Merge w:val="continue"/>
            <w:vAlign w:val="center"/>
          </w:tcPr>
          <w:p>
            <w:pPr>
              <w:spacing w:line="240" w:lineRule="auto"/>
              <w:ind w:firstLine="0" w:firstLineChars="0"/>
              <w:jc w:val="center"/>
              <w:rPr>
                <w:rFonts w:hAnsiTheme="minorEastAsia" w:eastAsiaTheme="minorEastAsia"/>
                <w:color w:val="000000"/>
                <w:sz w:val="21"/>
                <w:szCs w:val="21"/>
              </w:rPr>
            </w:pPr>
          </w:p>
        </w:tc>
        <w:tc>
          <w:tcPr>
            <w:tcW w:w="127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W2</w:t>
            </w:r>
          </w:p>
        </w:tc>
        <w:tc>
          <w:tcPr>
            <w:tcW w:w="212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14</w:t>
            </w:r>
          </w:p>
        </w:tc>
        <w:tc>
          <w:tcPr>
            <w:tcW w:w="2268"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14</w:t>
            </w:r>
          </w:p>
        </w:tc>
        <w:tc>
          <w:tcPr>
            <w:tcW w:w="1643" w:type="dxa"/>
            <w:vMerge w:val="continue"/>
            <w:vAlign w:val="center"/>
          </w:tcPr>
          <w:p>
            <w:pPr>
              <w:spacing w:line="240" w:lineRule="auto"/>
              <w:ind w:firstLine="0" w:firstLineChars="0"/>
              <w:jc w:val="center"/>
              <w:rPr>
                <w:rFonts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Merge w:val="continue"/>
            <w:vAlign w:val="center"/>
          </w:tcPr>
          <w:p>
            <w:pPr>
              <w:spacing w:line="240" w:lineRule="auto"/>
              <w:ind w:firstLine="0" w:firstLineChars="0"/>
              <w:jc w:val="center"/>
              <w:rPr>
                <w:rFonts w:hAnsiTheme="minorEastAsia" w:eastAsiaTheme="minorEastAsia"/>
                <w:color w:val="000000"/>
                <w:sz w:val="21"/>
                <w:szCs w:val="21"/>
              </w:rPr>
            </w:pPr>
          </w:p>
        </w:tc>
        <w:tc>
          <w:tcPr>
            <w:tcW w:w="127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W3</w:t>
            </w:r>
          </w:p>
        </w:tc>
        <w:tc>
          <w:tcPr>
            <w:tcW w:w="212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12</w:t>
            </w:r>
          </w:p>
        </w:tc>
        <w:tc>
          <w:tcPr>
            <w:tcW w:w="2268"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12</w:t>
            </w:r>
          </w:p>
        </w:tc>
        <w:tc>
          <w:tcPr>
            <w:tcW w:w="1643" w:type="dxa"/>
            <w:vMerge w:val="continue"/>
            <w:vAlign w:val="center"/>
          </w:tcPr>
          <w:p>
            <w:pPr>
              <w:spacing w:line="240" w:lineRule="auto"/>
              <w:ind w:firstLine="0" w:firstLineChars="0"/>
              <w:jc w:val="center"/>
              <w:rPr>
                <w:rFonts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Merge w:val="restart"/>
            <w:vAlign w:val="center"/>
          </w:tcPr>
          <w:p>
            <w:pPr>
              <w:spacing w:line="240" w:lineRule="auto"/>
              <w:ind w:firstLine="0" w:firstLineChars="0"/>
              <w:jc w:val="center"/>
              <w:rPr>
                <w:rFonts w:hAnsiTheme="minorEastAsia" w:eastAsiaTheme="minorEastAsia"/>
                <w:color w:val="000000"/>
                <w:sz w:val="21"/>
                <w:szCs w:val="21"/>
              </w:rPr>
            </w:pPr>
            <w:r>
              <w:rPr>
                <w:rFonts w:hAnsiTheme="minorEastAsia" w:eastAsiaTheme="minorEastAsia"/>
                <w:color w:val="000000"/>
                <w:sz w:val="21"/>
                <w:szCs w:val="21"/>
              </w:rPr>
              <w:t>BOD</w:t>
            </w:r>
            <w:r>
              <w:rPr>
                <w:rFonts w:hAnsiTheme="minorEastAsia" w:eastAsiaTheme="minorEastAsia"/>
                <w:color w:val="000000"/>
                <w:sz w:val="21"/>
                <w:szCs w:val="21"/>
                <w:vertAlign w:val="subscript"/>
              </w:rPr>
              <w:t>5</w:t>
            </w:r>
          </w:p>
        </w:tc>
        <w:tc>
          <w:tcPr>
            <w:tcW w:w="127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W1</w:t>
            </w:r>
          </w:p>
        </w:tc>
        <w:tc>
          <w:tcPr>
            <w:tcW w:w="212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1.8</w:t>
            </w:r>
          </w:p>
        </w:tc>
        <w:tc>
          <w:tcPr>
            <w:tcW w:w="2268"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3.2</w:t>
            </w:r>
          </w:p>
        </w:tc>
        <w:tc>
          <w:tcPr>
            <w:tcW w:w="1643" w:type="dxa"/>
            <w:vMerge w:val="restart"/>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Merge w:val="continue"/>
            <w:vAlign w:val="center"/>
          </w:tcPr>
          <w:p>
            <w:pPr>
              <w:spacing w:line="240" w:lineRule="auto"/>
              <w:ind w:firstLine="0" w:firstLineChars="0"/>
              <w:jc w:val="center"/>
              <w:rPr>
                <w:rFonts w:hAnsiTheme="minorEastAsia" w:eastAsiaTheme="minorEastAsia"/>
                <w:color w:val="000000"/>
                <w:sz w:val="21"/>
                <w:szCs w:val="21"/>
              </w:rPr>
            </w:pPr>
          </w:p>
        </w:tc>
        <w:tc>
          <w:tcPr>
            <w:tcW w:w="127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W2</w:t>
            </w:r>
          </w:p>
        </w:tc>
        <w:tc>
          <w:tcPr>
            <w:tcW w:w="212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2.6</w:t>
            </w:r>
          </w:p>
        </w:tc>
        <w:tc>
          <w:tcPr>
            <w:tcW w:w="2268"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2.8</w:t>
            </w:r>
          </w:p>
        </w:tc>
        <w:tc>
          <w:tcPr>
            <w:tcW w:w="1643" w:type="dxa"/>
            <w:vMerge w:val="continue"/>
            <w:vAlign w:val="center"/>
          </w:tcPr>
          <w:p>
            <w:pPr>
              <w:spacing w:line="240" w:lineRule="auto"/>
              <w:ind w:firstLine="0" w:firstLineChars="0"/>
              <w:jc w:val="center"/>
              <w:rPr>
                <w:rFonts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Merge w:val="continue"/>
            <w:vAlign w:val="center"/>
          </w:tcPr>
          <w:p>
            <w:pPr>
              <w:spacing w:line="240" w:lineRule="auto"/>
              <w:ind w:firstLine="0" w:firstLineChars="0"/>
              <w:jc w:val="center"/>
              <w:rPr>
                <w:rFonts w:hAnsiTheme="minorEastAsia" w:eastAsiaTheme="minorEastAsia"/>
                <w:color w:val="000000"/>
                <w:sz w:val="21"/>
                <w:szCs w:val="21"/>
              </w:rPr>
            </w:pPr>
          </w:p>
        </w:tc>
        <w:tc>
          <w:tcPr>
            <w:tcW w:w="127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W3</w:t>
            </w:r>
          </w:p>
        </w:tc>
        <w:tc>
          <w:tcPr>
            <w:tcW w:w="212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3.4</w:t>
            </w:r>
          </w:p>
        </w:tc>
        <w:tc>
          <w:tcPr>
            <w:tcW w:w="2268"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2.8</w:t>
            </w:r>
          </w:p>
        </w:tc>
        <w:tc>
          <w:tcPr>
            <w:tcW w:w="1643" w:type="dxa"/>
            <w:vMerge w:val="continue"/>
            <w:vAlign w:val="center"/>
          </w:tcPr>
          <w:p>
            <w:pPr>
              <w:spacing w:line="240" w:lineRule="auto"/>
              <w:ind w:firstLine="0" w:firstLineChars="0"/>
              <w:jc w:val="center"/>
              <w:rPr>
                <w:rFonts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Merge w:val="restart"/>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氨氮</w:t>
            </w:r>
          </w:p>
        </w:tc>
        <w:tc>
          <w:tcPr>
            <w:tcW w:w="127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W1</w:t>
            </w:r>
          </w:p>
        </w:tc>
        <w:tc>
          <w:tcPr>
            <w:tcW w:w="212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0.244</w:t>
            </w:r>
          </w:p>
        </w:tc>
        <w:tc>
          <w:tcPr>
            <w:tcW w:w="2268"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0.216</w:t>
            </w:r>
          </w:p>
        </w:tc>
        <w:tc>
          <w:tcPr>
            <w:tcW w:w="1643" w:type="dxa"/>
            <w:vMerge w:val="restart"/>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Merge w:val="continue"/>
            <w:vAlign w:val="center"/>
          </w:tcPr>
          <w:p>
            <w:pPr>
              <w:spacing w:line="240" w:lineRule="auto"/>
              <w:ind w:firstLine="0" w:firstLineChars="0"/>
              <w:jc w:val="center"/>
              <w:rPr>
                <w:rFonts w:hAnsiTheme="minorEastAsia" w:eastAsiaTheme="minorEastAsia"/>
                <w:color w:val="000000"/>
                <w:sz w:val="21"/>
                <w:szCs w:val="21"/>
              </w:rPr>
            </w:pPr>
          </w:p>
        </w:tc>
        <w:tc>
          <w:tcPr>
            <w:tcW w:w="127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W2</w:t>
            </w:r>
          </w:p>
        </w:tc>
        <w:tc>
          <w:tcPr>
            <w:tcW w:w="212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0.113</w:t>
            </w:r>
          </w:p>
        </w:tc>
        <w:tc>
          <w:tcPr>
            <w:tcW w:w="2268"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0.135</w:t>
            </w:r>
          </w:p>
        </w:tc>
        <w:tc>
          <w:tcPr>
            <w:tcW w:w="1643" w:type="dxa"/>
            <w:vMerge w:val="continue"/>
            <w:vAlign w:val="center"/>
          </w:tcPr>
          <w:p>
            <w:pPr>
              <w:spacing w:line="240" w:lineRule="auto"/>
              <w:ind w:firstLine="0" w:firstLineChars="0"/>
              <w:jc w:val="center"/>
              <w:rPr>
                <w:rFonts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Merge w:val="continue"/>
            <w:vAlign w:val="center"/>
          </w:tcPr>
          <w:p>
            <w:pPr>
              <w:spacing w:line="240" w:lineRule="auto"/>
              <w:ind w:firstLine="0" w:firstLineChars="0"/>
              <w:jc w:val="center"/>
              <w:rPr>
                <w:rFonts w:hAnsiTheme="minorEastAsia" w:eastAsiaTheme="minorEastAsia"/>
                <w:color w:val="000000"/>
                <w:sz w:val="21"/>
                <w:szCs w:val="21"/>
              </w:rPr>
            </w:pPr>
          </w:p>
        </w:tc>
        <w:tc>
          <w:tcPr>
            <w:tcW w:w="127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W3</w:t>
            </w:r>
          </w:p>
        </w:tc>
        <w:tc>
          <w:tcPr>
            <w:tcW w:w="212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0.270</w:t>
            </w:r>
          </w:p>
        </w:tc>
        <w:tc>
          <w:tcPr>
            <w:tcW w:w="2268"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0.246</w:t>
            </w:r>
          </w:p>
        </w:tc>
        <w:tc>
          <w:tcPr>
            <w:tcW w:w="1643" w:type="dxa"/>
            <w:vMerge w:val="continue"/>
            <w:vAlign w:val="center"/>
          </w:tcPr>
          <w:p>
            <w:pPr>
              <w:spacing w:line="240" w:lineRule="auto"/>
              <w:ind w:firstLine="0" w:firstLineChars="0"/>
              <w:jc w:val="center"/>
              <w:rPr>
                <w:rFonts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Merge w:val="restart"/>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DO</w:t>
            </w:r>
          </w:p>
        </w:tc>
        <w:tc>
          <w:tcPr>
            <w:tcW w:w="127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W1</w:t>
            </w:r>
          </w:p>
        </w:tc>
        <w:tc>
          <w:tcPr>
            <w:tcW w:w="212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6.08</w:t>
            </w:r>
          </w:p>
        </w:tc>
        <w:tc>
          <w:tcPr>
            <w:tcW w:w="2268"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6.14</w:t>
            </w:r>
          </w:p>
        </w:tc>
        <w:tc>
          <w:tcPr>
            <w:tcW w:w="1643" w:type="dxa"/>
            <w:vMerge w:val="restart"/>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Merge w:val="continue"/>
            <w:vAlign w:val="center"/>
          </w:tcPr>
          <w:p>
            <w:pPr>
              <w:spacing w:line="240" w:lineRule="auto"/>
              <w:ind w:firstLine="0" w:firstLineChars="0"/>
              <w:jc w:val="center"/>
              <w:rPr>
                <w:rFonts w:hAnsiTheme="minorEastAsia" w:eastAsiaTheme="minorEastAsia"/>
                <w:color w:val="000000"/>
                <w:sz w:val="21"/>
                <w:szCs w:val="21"/>
              </w:rPr>
            </w:pPr>
          </w:p>
        </w:tc>
        <w:tc>
          <w:tcPr>
            <w:tcW w:w="127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W2</w:t>
            </w:r>
          </w:p>
        </w:tc>
        <w:tc>
          <w:tcPr>
            <w:tcW w:w="212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6.18</w:t>
            </w:r>
          </w:p>
        </w:tc>
        <w:tc>
          <w:tcPr>
            <w:tcW w:w="2268"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6.07</w:t>
            </w:r>
          </w:p>
        </w:tc>
        <w:tc>
          <w:tcPr>
            <w:tcW w:w="1643" w:type="dxa"/>
            <w:vMerge w:val="continue"/>
            <w:vAlign w:val="center"/>
          </w:tcPr>
          <w:p>
            <w:pPr>
              <w:spacing w:line="240" w:lineRule="auto"/>
              <w:ind w:firstLine="0" w:firstLineChars="0"/>
              <w:jc w:val="center"/>
              <w:rPr>
                <w:rFonts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Merge w:val="continue"/>
            <w:vAlign w:val="center"/>
          </w:tcPr>
          <w:p>
            <w:pPr>
              <w:spacing w:line="240" w:lineRule="auto"/>
              <w:ind w:firstLine="0" w:firstLineChars="0"/>
              <w:jc w:val="center"/>
              <w:rPr>
                <w:rFonts w:hAnsiTheme="minorEastAsia" w:eastAsiaTheme="minorEastAsia"/>
                <w:color w:val="000000"/>
                <w:sz w:val="21"/>
                <w:szCs w:val="21"/>
              </w:rPr>
            </w:pPr>
          </w:p>
        </w:tc>
        <w:tc>
          <w:tcPr>
            <w:tcW w:w="127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W3</w:t>
            </w:r>
          </w:p>
        </w:tc>
        <w:tc>
          <w:tcPr>
            <w:tcW w:w="212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6.12</w:t>
            </w:r>
          </w:p>
        </w:tc>
        <w:tc>
          <w:tcPr>
            <w:tcW w:w="2268"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6.09</w:t>
            </w:r>
          </w:p>
        </w:tc>
        <w:tc>
          <w:tcPr>
            <w:tcW w:w="1643" w:type="dxa"/>
            <w:vMerge w:val="continue"/>
            <w:vAlign w:val="center"/>
          </w:tcPr>
          <w:p>
            <w:pPr>
              <w:spacing w:line="240" w:lineRule="auto"/>
              <w:ind w:firstLine="0" w:firstLineChars="0"/>
              <w:jc w:val="center"/>
              <w:rPr>
                <w:rFonts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Merge w:val="restart"/>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石油类</w:t>
            </w:r>
          </w:p>
        </w:tc>
        <w:tc>
          <w:tcPr>
            <w:tcW w:w="127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W1</w:t>
            </w:r>
          </w:p>
        </w:tc>
        <w:tc>
          <w:tcPr>
            <w:tcW w:w="212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0.01</w:t>
            </w:r>
            <w:r>
              <w:rPr>
                <w:rFonts w:hint="eastAsia" w:hAnsiTheme="minorEastAsia" w:eastAsiaTheme="minorEastAsia"/>
                <w:color w:val="000000"/>
                <w:sz w:val="21"/>
                <w:szCs w:val="21"/>
                <w:vertAlign w:val="subscript"/>
              </w:rPr>
              <w:t>L</w:t>
            </w:r>
          </w:p>
        </w:tc>
        <w:tc>
          <w:tcPr>
            <w:tcW w:w="2268"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0.01</w:t>
            </w:r>
            <w:r>
              <w:rPr>
                <w:rFonts w:hint="eastAsia" w:hAnsiTheme="minorEastAsia" w:eastAsiaTheme="minorEastAsia"/>
                <w:color w:val="000000"/>
                <w:sz w:val="21"/>
                <w:szCs w:val="21"/>
                <w:vertAlign w:val="subscript"/>
              </w:rPr>
              <w:t>L</w:t>
            </w:r>
          </w:p>
        </w:tc>
        <w:tc>
          <w:tcPr>
            <w:tcW w:w="1643" w:type="dxa"/>
            <w:vMerge w:val="restart"/>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Merge w:val="continue"/>
            <w:vAlign w:val="center"/>
          </w:tcPr>
          <w:p>
            <w:pPr>
              <w:spacing w:line="240" w:lineRule="auto"/>
              <w:ind w:firstLine="0" w:firstLineChars="0"/>
              <w:jc w:val="center"/>
              <w:rPr>
                <w:rFonts w:hAnsiTheme="minorEastAsia" w:eastAsiaTheme="minorEastAsia"/>
                <w:color w:val="000000"/>
                <w:sz w:val="21"/>
                <w:szCs w:val="21"/>
              </w:rPr>
            </w:pPr>
          </w:p>
        </w:tc>
        <w:tc>
          <w:tcPr>
            <w:tcW w:w="127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W2</w:t>
            </w:r>
          </w:p>
        </w:tc>
        <w:tc>
          <w:tcPr>
            <w:tcW w:w="212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0.01</w:t>
            </w:r>
            <w:r>
              <w:rPr>
                <w:rFonts w:hint="eastAsia" w:hAnsiTheme="minorEastAsia" w:eastAsiaTheme="minorEastAsia"/>
                <w:color w:val="000000"/>
                <w:sz w:val="21"/>
                <w:szCs w:val="21"/>
                <w:vertAlign w:val="subscript"/>
              </w:rPr>
              <w:t>L</w:t>
            </w:r>
          </w:p>
        </w:tc>
        <w:tc>
          <w:tcPr>
            <w:tcW w:w="2268"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0.01</w:t>
            </w:r>
            <w:r>
              <w:rPr>
                <w:rFonts w:hint="eastAsia" w:hAnsiTheme="minorEastAsia" w:eastAsiaTheme="minorEastAsia"/>
                <w:color w:val="000000"/>
                <w:sz w:val="21"/>
                <w:szCs w:val="21"/>
                <w:vertAlign w:val="subscript"/>
              </w:rPr>
              <w:t>L</w:t>
            </w:r>
          </w:p>
        </w:tc>
        <w:tc>
          <w:tcPr>
            <w:tcW w:w="1643" w:type="dxa"/>
            <w:vMerge w:val="continue"/>
            <w:vAlign w:val="center"/>
          </w:tcPr>
          <w:p>
            <w:pPr>
              <w:spacing w:line="240" w:lineRule="auto"/>
              <w:ind w:firstLine="0" w:firstLineChars="0"/>
              <w:jc w:val="center"/>
              <w:rPr>
                <w:rFonts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Merge w:val="continue"/>
            <w:vAlign w:val="center"/>
          </w:tcPr>
          <w:p>
            <w:pPr>
              <w:spacing w:line="240" w:lineRule="auto"/>
              <w:ind w:firstLine="0" w:firstLineChars="0"/>
              <w:jc w:val="center"/>
              <w:rPr>
                <w:rFonts w:hAnsiTheme="minorEastAsia" w:eastAsiaTheme="minorEastAsia"/>
                <w:color w:val="000000"/>
                <w:sz w:val="21"/>
                <w:szCs w:val="21"/>
              </w:rPr>
            </w:pPr>
          </w:p>
        </w:tc>
        <w:tc>
          <w:tcPr>
            <w:tcW w:w="127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W3</w:t>
            </w:r>
          </w:p>
        </w:tc>
        <w:tc>
          <w:tcPr>
            <w:tcW w:w="212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0.01</w:t>
            </w:r>
            <w:r>
              <w:rPr>
                <w:rFonts w:hint="eastAsia" w:hAnsiTheme="minorEastAsia" w:eastAsiaTheme="minorEastAsia"/>
                <w:color w:val="000000"/>
                <w:sz w:val="21"/>
                <w:szCs w:val="21"/>
                <w:vertAlign w:val="subscript"/>
              </w:rPr>
              <w:t>L</w:t>
            </w:r>
          </w:p>
        </w:tc>
        <w:tc>
          <w:tcPr>
            <w:tcW w:w="2268"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0.01</w:t>
            </w:r>
            <w:r>
              <w:rPr>
                <w:rFonts w:hint="eastAsia" w:hAnsiTheme="minorEastAsia" w:eastAsiaTheme="minorEastAsia"/>
                <w:color w:val="000000"/>
                <w:sz w:val="21"/>
                <w:szCs w:val="21"/>
                <w:vertAlign w:val="subscript"/>
              </w:rPr>
              <w:t>L</w:t>
            </w:r>
          </w:p>
        </w:tc>
        <w:tc>
          <w:tcPr>
            <w:tcW w:w="1643" w:type="dxa"/>
            <w:vMerge w:val="continue"/>
            <w:vAlign w:val="center"/>
          </w:tcPr>
          <w:p>
            <w:pPr>
              <w:spacing w:line="240" w:lineRule="auto"/>
              <w:ind w:firstLine="0" w:firstLineChars="0"/>
              <w:jc w:val="center"/>
              <w:rPr>
                <w:rFonts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Merge w:val="restart"/>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总磷</w:t>
            </w:r>
          </w:p>
        </w:tc>
        <w:tc>
          <w:tcPr>
            <w:tcW w:w="127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W1</w:t>
            </w:r>
          </w:p>
        </w:tc>
        <w:tc>
          <w:tcPr>
            <w:tcW w:w="212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0.12</w:t>
            </w:r>
          </w:p>
        </w:tc>
        <w:tc>
          <w:tcPr>
            <w:tcW w:w="2268"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0.11</w:t>
            </w:r>
          </w:p>
        </w:tc>
        <w:tc>
          <w:tcPr>
            <w:tcW w:w="1643" w:type="dxa"/>
            <w:vMerge w:val="restart"/>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Merge w:val="continue"/>
            <w:vAlign w:val="center"/>
          </w:tcPr>
          <w:p>
            <w:pPr>
              <w:spacing w:line="240" w:lineRule="auto"/>
              <w:ind w:firstLine="0" w:firstLineChars="0"/>
              <w:jc w:val="center"/>
              <w:rPr>
                <w:rFonts w:hAnsiTheme="minorEastAsia" w:eastAsiaTheme="minorEastAsia"/>
                <w:color w:val="000000"/>
                <w:sz w:val="21"/>
                <w:szCs w:val="21"/>
              </w:rPr>
            </w:pPr>
          </w:p>
        </w:tc>
        <w:tc>
          <w:tcPr>
            <w:tcW w:w="127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W2</w:t>
            </w:r>
          </w:p>
        </w:tc>
        <w:tc>
          <w:tcPr>
            <w:tcW w:w="212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0.13</w:t>
            </w:r>
          </w:p>
        </w:tc>
        <w:tc>
          <w:tcPr>
            <w:tcW w:w="2268"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0.10</w:t>
            </w:r>
          </w:p>
        </w:tc>
        <w:tc>
          <w:tcPr>
            <w:tcW w:w="1643" w:type="dxa"/>
            <w:vMerge w:val="continue"/>
            <w:vAlign w:val="center"/>
          </w:tcPr>
          <w:p>
            <w:pPr>
              <w:spacing w:line="240" w:lineRule="auto"/>
              <w:ind w:firstLine="0" w:firstLineChars="0"/>
              <w:jc w:val="center"/>
              <w:rPr>
                <w:rFonts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Merge w:val="continue"/>
            <w:vAlign w:val="center"/>
          </w:tcPr>
          <w:p>
            <w:pPr>
              <w:spacing w:line="240" w:lineRule="auto"/>
              <w:ind w:firstLine="0" w:firstLineChars="0"/>
              <w:jc w:val="center"/>
              <w:rPr>
                <w:rFonts w:hAnsiTheme="minorEastAsia" w:eastAsiaTheme="minorEastAsia"/>
                <w:color w:val="000000"/>
                <w:sz w:val="21"/>
                <w:szCs w:val="21"/>
              </w:rPr>
            </w:pPr>
          </w:p>
        </w:tc>
        <w:tc>
          <w:tcPr>
            <w:tcW w:w="127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W3</w:t>
            </w:r>
          </w:p>
        </w:tc>
        <w:tc>
          <w:tcPr>
            <w:tcW w:w="212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0.15</w:t>
            </w:r>
          </w:p>
        </w:tc>
        <w:tc>
          <w:tcPr>
            <w:tcW w:w="2268"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0.12</w:t>
            </w:r>
          </w:p>
        </w:tc>
        <w:tc>
          <w:tcPr>
            <w:tcW w:w="1643" w:type="dxa"/>
            <w:vMerge w:val="continue"/>
            <w:vAlign w:val="center"/>
          </w:tcPr>
          <w:p>
            <w:pPr>
              <w:spacing w:line="240" w:lineRule="auto"/>
              <w:ind w:firstLine="0" w:firstLineChars="0"/>
              <w:jc w:val="center"/>
              <w:rPr>
                <w:rFonts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Merge w:val="restart"/>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粪大肠菌群</w:t>
            </w:r>
          </w:p>
        </w:tc>
        <w:tc>
          <w:tcPr>
            <w:tcW w:w="127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W1</w:t>
            </w:r>
          </w:p>
        </w:tc>
        <w:tc>
          <w:tcPr>
            <w:tcW w:w="212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5.80*10</w:t>
            </w:r>
            <w:r>
              <w:rPr>
                <w:rFonts w:hint="eastAsia" w:hAnsiTheme="minorEastAsia" w:eastAsiaTheme="minorEastAsia"/>
                <w:color w:val="000000"/>
                <w:sz w:val="21"/>
                <w:szCs w:val="21"/>
                <w:vertAlign w:val="superscript"/>
              </w:rPr>
              <w:t>2</w:t>
            </w:r>
          </w:p>
        </w:tc>
        <w:tc>
          <w:tcPr>
            <w:tcW w:w="2268"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6.30*10</w:t>
            </w:r>
            <w:r>
              <w:rPr>
                <w:rFonts w:hint="eastAsia" w:hAnsiTheme="minorEastAsia" w:eastAsiaTheme="minorEastAsia"/>
                <w:color w:val="000000"/>
                <w:sz w:val="21"/>
                <w:szCs w:val="21"/>
                <w:vertAlign w:val="superscript"/>
              </w:rPr>
              <w:t>2</w:t>
            </w:r>
          </w:p>
        </w:tc>
        <w:tc>
          <w:tcPr>
            <w:tcW w:w="1643" w:type="dxa"/>
            <w:vMerge w:val="restart"/>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Merge w:val="continue"/>
            <w:vAlign w:val="center"/>
          </w:tcPr>
          <w:p>
            <w:pPr>
              <w:spacing w:line="240" w:lineRule="auto"/>
              <w:ind w:firstLine="0" w:firstLineChars="0"/>
              <w:jc w:val="center"/>
              <w:rPr>
                <w:rFonts w:hAnsiTheme="minorEastAsia" w:eastAsiaTheme="minorEastAsia"/>
                <w:color w:val="000000"/>
                <w:sz w:val="21"/>
                <w:szCs w:val="21"/>
              </w:rPr>
            </w:pPr>
          </w:p>
        </w:tc>
        <w:tc>
          <w:tcPr>
            <w:tcW w:w="127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W2</w:t>
            </w:r>
          </w:p>
        </w:tc>
        <w:tc>
          <w:tcPr>
            <w:tcW w:w="212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2.30*10</w:t>
            </w:r>
            <w:r>
              <w:rPr>
                <w:rFonts w:hint="eastAsia" w:hAnsiTheme="minorEastAsia" w:eastAsiaTheme="minorEastAsia"/>
                <w:color w:val="000000"/>
                <w:sz w:val="21"/>
                <w:szCs w:val="21"/>
                <w:vertAlign w:val="superscript"/>
              </w:rPr>
              <w:t>2</w:t>
            </w:r>
          </w:p>
        </w:tc>
        <w:tc>
          <w:tcPr>
            <w:tcW w:w="2268"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1.70*10</w:t>
            </w:r>
            <w:r>
              <w:rPr>
                <w:rFonts w:hint="eastAsia" w:hAnsiTheme="minorEastAsia" w:eastAsiaTheme="minorEastAsia"/>
                <w:color w:val="000000"/>
                <w:sz w:val="21"/>
                <w:szCs w:val="21"/>
                <w:vertAlign w:val="superscript"/>
              </w:rPr>
              <w:t>2</w:t>
            </w:r>
          </w:p>
        </w:tc>
        <w:tc>
          <w:tcPr>
            <w:tcW w:w="1643" w:type="dxa"/>
            <w:vMerge w:val="continue"/>
            <w:vAlign w:val="center"/>
          </w:tcPr>
          <w:p>
            <w:pPr>
              <w:spacing w:line="240" w:lineRule="auto"/>
              <w:ind w:firstLine="0" w:firstLineChars="0"/>
              <w:jc w:val="center"/>
              <w:rPr>
                <w:rFonts w:hAnsiTheme="minorEastAsia"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Merge w:val="continue"/>
            <w:vAlign w:val="center"/>
          </w:tcPr>
          <w:p>
            <w:pPr>
              <w:spacing w:line="240" w:lineRule="auto"/>
              <w:ind w:firstLine="0" w:firstLineChars="0"/>
              <w:jc w:val="center"/>
              <w:rPr>
                <w:rFonts w:hAnsiTheme="minorEastAsia" w:eastAsiaTheme="minorEastAsia"/>
                <w:color w:val="000000"/>
                <w:sz w:val="21"/>
                <w:szCs w:val="21"/>
              </w:rPr>
            </w:pPr>
          </w:p>
        </w:tc>
        <w:tc>
          <w:tcPr>
            <w:tcW w:w="127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W3</w:t>
            </w:r>
          </w:p>
        </w:tc>
        <w:tc>
          <w:tcPr>
            <w:tcW w:w="2126"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2.80*10</w:t>
            </w:r>
            <w:r>
              <w:rPr>
                <w:rFonts w:hint="eastAsia" w:hAnsiTheme="minorEastAsia" w:eastAsiaTheme="minorEastAsia"/>
                <w:color w:val="000000"/>
                <w:sz w:val="21"/>
                <w:szCs w:val="21"/>
                <w:vertAlign w:val="superscript"/>
              </w:rPr>
              <w:t>2</w:t>
            </w:r>
          </w:p>
        </w:tc>
        <w:tc>
          <w:tcPr>
            <w:tcW w:w="2268"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2.50*10</w:t>
            </w:r>
            <w:r>
              <w:rPr>
                <w:rFonts w:hint="eastAsia" w:hAnsiTheme="minorEastAsia" w:eastAsiaTheme="minorEastAsia"/>
                <w:color w:val="000000"/>
                <w:sz w:val="21"/>
                <w:szCs w:val="21"/>
                <w:vertAlign w:val="superscript"/>
              </w:rPr>
              <w:t>2</w:t>
            </w:r>
          </w:p>
        </w:tc>
        <w:tc>
          <w:tcPr>
            <w:tcW w:w="1643" w:type="dxa"/>
            <w:vMerge w:val="continue"/>
            <w:vAlign w:val="center"/>
          </w:tcPr>
          <w:p>
            <w:pPr>
              <w:spacing w:line="240" w:lineRule="auto"/>
              <w:ind w:firstLine="0" w:firstLineChars="0"/>
              <w:jc w:val="center"/>
              <w:rPr>
                <w:rFonts w:hAnsiTheme="minorEastAsia" w:eastAsiaTheme="minorEastAsia"/>
                <w:color w:val="000000"/>
                <w:sz w:val="21"/>
                <w:szCs w:val="21"/>
              </w:rPr>
            </w:pPr>
          </w:p>
        </w:tc>
      </w:tr>
    </w:tbl>
    <w:p>
      <w:pPr>
        <w:ind w:firstLine="480"/>
        <w:rPr>
          <w:szCs w:val="24"/>
          <w:u w:val="single"/>
        </w:rPr>
      </w:pPr>
      <w:r>
        <w:rPr>
          <w:rFonts w:hint="eastAsia"/>
          <w:szCs w:val="21"/>
          <w:u w:val="single"/>
        </w:rPr>
        <w:t>监测结果表明，澹水</w:t>
      </w:r>
      <w:r>
        <w:rPr>
          <w:szCs w:val="21"/>
          <w:u w:val="single"/>
        </w:rPr>
        <w:t>监测断面</w:t>
      </w:r>
      <w:r>
        <w:rPr>
          <w:rFonts w:hint="eastAsia"/>
          <w:szCs w:val="21"/>
          <w:u w:val="single"/>
        </w:rPr>
        <w:t>各</w:t>
      </w:r>
      <w:r>
        <w:rPr>
          <w:szCs w:val="21"/>
          <w:u w:val="single"/>
        </w:rPr>
        <w:t>监测因子符合《地表水环境质量标准》（GB3838-2002）</w:t>
      </w:r>
      <w:r>
        <w:rPr>
          <w:rFonts w:hint="eastAsia"/>
          <w:szCs w:val="24"/>
          <w:u w:val="single"/>
        </w:rPr>
        <w:t>Ⅲ类水质要求。</w:t>
      </w:r>
    </w:p>
    <w:p>
      <w:pPr>
        <w:ind w:firstLine="0" w:firstLineChars="0"/>
        <w:jc w:val="center"/>
        <w:textAlignment w:val="center"/>
        <w:rPr>
          <w:b/>
          <w:bCs/>
          <w:color w:val="000000"/>
          <w:sz w:val="21"/>
          <w:szCs w:val="21"/>
          <w:u w:val="single"/>
        </w:rPr>
      </w:pPr>
      <w:r>
        <w:rPr>
          <w:rFonts w:hint="eastAsia"/>
          <w:b/>
          <w:bCs/>
          <w:color w:val="000000"/>
          <w:sz w:val="21"/>
          <w:szCs w:val="21"/>
          <w:u w:val="single"/>
        </w:rPr>
        <w:t>表5-4  农灌沟渠水质检测数据</w:t>
      </w:r>
    </w:p>
    <w:tbl>
      <w:tblPr>
        <w:tblStyle w:val="41"/>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418"/>
        <w:gridCol w:w="2055"/>
        <w:gridCol w:w="2055"/>
        <w:gridCol w:w="1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restart"/>
            <w:vAlign w:val="center"/>
          </w:tcPr>
          <w:p>
            <w:pPr>
              <w:spacing w:line="240" w:lineRule="auto"/>
              <w:ind w:firstLine="0" w:firstLineChars="0"/>
              <w:jc w:val="center"/>
              <w:rPr>
                <w:rFonts w:eastAsiaTheme="minorEastAsia"/>
                <w:b/>
                <w:color w:val="000000"/>
                <w:sz w:val="21"/>
                <w:szCs w:val="21"/>
              </w:rPr>
            </w:pPr>
            <w:r>
              <w:rPr>
                <w:rFonts w:eastAsiaTheme="minorEastAsia"/>
                <w:b/>
                <w:color w:val="000000"/>
                <w:sz w:val="21"/>
                <w:szCs w:val="21"/>
              </w:rPr>
              <w:t>监测</w:t>
            </w:r>
            <w:r>
              <w:rPr>
                <w:rFonts w:hint="eastAsia" w:eastAsiaTheme="minorEastAsia"/>
                <w:b/>
                <w:color w:val="000000"/>
                <w:sz w:val="21"/>
                <w:szCs w:val="21"/>
              </w:rPr>
              <w:t>点位</w:t>
            </w:r>
          </w:p>
        </w:tc>
        <w:tc>
          <w:tcPr>
            <w:tcW w:w="1418" w:type="dxa"/>
            <w:vMerge w:val="restart"/>
            <w:vAlign w:val="center"/>
          </w:tcPr>
          <w:p>
            <w:pPr>
              <w:spacing w:line="240" w:lineRule="auto"/>
              <w:ind w:firstLine="0" w:firstLineChars="0"/>
              <w:jc w:val="center"/>
              <w:rPr>
                <w:rFonts w:eastAsiaTheme="minorEastAsia"/>
                <w:b/>
                <w:color w:val="000000"/>
                <w:sz w:val="21"/>
                <w:szCs w:val="21"/>
              </w:rPr>
            </w:pPr>
            <w:r>
              <w:rPr>
                <w:rFonts w:eastAsiaTheme="minorEastAsia"/>
                <w:b/>
                <w:color w:val="000000"/>
                <w:sz w:val="21"/>
                <w:szCs w:val="21"/>
              </w:rPr>
              <w:t>监测因子</w:t>
            </w:r>
          </w:p>
        </w:tc>
        <w:tc>
          <w:tcPr>
            <w:tcW w:w="4110" w:type="dxa"/>
            <w:gridSpan w:val="2"/>
            <w:vAlign w:val="center"/>
          </w:tcPr>
          <w:p>
            <w:pPr>
              <w:spacing w:line="240" w:lineRule="auto"/>
              <w:ind w:firstLine="0" w:firstLineChars="0"/>
              <w:jc w:val="center"/>
              <w:rPr>
                <w:rFonts w:eastAsiaTheme="minorEastAsia"/>
                <w:b/>
                <w:color w:val="000000"/>
                <w:sz w:val="21"/>
                <w:szCs w:val="21"/>
              </w:rPr>
            </w:pPr>
            <w:r>
              <w:rPr>
                <w:rFonts w:eastAsiaTheme="minorEastAsia"/>
                <w:b/>
                <w:color w:val="000000"/>
                <w:sz w:val="21"/>
                <w:szCs w:val="21"/>
              </w:rPr>
              <w:t>浓度</w:t>
            </w:r>
            <w:r>
              <w:rPr>
                <w:rFonts w:hint="eastAsia" w:eastAsiaTheme="minorEastAsia"/>
                <w:b/>
                <w:color w:val="000000"/>
                <w:sz w:val="21"/>
                <w:szCs w:val="21"/>
              </w:rPr>
              <w:t>值</w:t>
            </w:r>
          </w:p>
        </w:tc>
        <w:tc>
          <w:tcPr>
            <w:tcW w:w="1927" w:type="dxa"/>
            <w:vMerge w:val="restart"/>
            <w:vAlign w:val="center"/>
          </w:tcPr>
          <w:p>
            <w:pPr>
              <w:spacing w:line="240" w:lineRule="auto"/>
              <w:ind w:firstLine="0" w:firstLineChars="0"/>
              <w:jc w:val="center"/>
              <w:rPr>
                <w:rFonts w:eastAsiaTheme="minorEastAsia"/>
                <w:b/>
                <w:color w:val="000000"/>
                <w:sz w:val="21"/>
                <w:szCs w:val="21"/>
              </w:rPr>
            </w:pPr>
            <w:r>
              <w:rPr>
                <w:rFonts w:eastAsiaTheme="minorEastAsia"/>
                <w:b/>
                <w:color w:val="000000"/>
                <w:sz w:val="21"/>
                <w:szCs w:val="21"/>
              </w:rPr>
              <w:t>（GB 5084-2021）水田作物限值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Merge w:val="continue"/>
            <w:vAlign w:val="center"/>
          </w:tcPr>
          <w:p>
            <w:pPr>
              <w:spacing w:line="240" w:lineRule="auto"/>
              <w:ind w:firstLine="0" w:firstLineChars="0"/>
              <w:jc w:val="center"/>
              <w:rPr>
                <w:rFonts w:eastAsiaTheme="minorEastAsia"/>
                <w:b/>
                <w:color w:val="000000"/>
                <w:sz w:val="21"/>
                <w:szCs w:val="21"/>
              </w:rPr>
            </w:pPr>
          </w:p>
        </w:tc>
        <w:tc>
          <w:tcPr>
            <w:tcW w:w="1418" w:type="dxa"/>
            <w:vMerge w:val="continue"/>
            <w:vAlign w:val="center"/>
          </w:tcPr>
          <w:p>
            <w:pPr>
              <w:spacing w:line="240" w:lineRule="auto"/>
              <w:ind w:firstLine="0" w:firstLineChars="0"/>
              <w:jc w:val="center"/>
              <w:rPr>
                <w:rFonts w:eastAsiaTheme="minorEastAsia"/>
                <w:b/>
                <w:color w:val="000000"/>
                <w:sz w:val="21"/>
                <w:szCs w:val="21"/>
              </w:rPr>
            </w:pPr>
          </w:p>
        </w:tc>
        <w:tc>
          <w:tcPr>
            <w:tcW w:w="2055" w:type="dxa"/>
            <w:vAlign w:val="center"/>
          </w:tcPr>
          <w:p>
            <w:pPr>
              <w:spacing w:line="240" w:lineRule="auto"/>
              <w:ind w:firstLine="0" w:firstLineChars="0"/>
              <w:jc w:val="center"/>
              <w:rPr>
                <w:rFonts w:hAnsiTheme="minorEastAsia" w:eastAsiaTheme="minorEastAsia"/>
                <w:b/>
                <w:color w:val="000000"/>
                <w:sz w:val="21"/>
                <w:szCs w:val="21"/>
              </w:rPr>
            </w:pPr>
            <w:r>
              <w:rPr>
                <w:rFonts w:hint="eastAsia" w:hAnsiTheme="minorEastAsia" w:eastAsiaTheme="minorEastAsia"/>
                <w:b/>
                <w:color w:val="000000"/>
                <w:sz w:val="21"/>
                <w:szCs w:val="21"/>
              </w:rPr>
              <w:t>2024年05月27日</w:t>
            </w:r>
          </w:p>
        </w:tc>
        <w:tc>
          <w:tcPr>
            <w:tcW w:w="2055" w:type="dxa"/>
            <w:vAlign w:val="center"/>
          </w:tcPr>
          <w:p>
            <w:pPr>
              <w:spacing w:line="240" w:lineRule="auto"/>
              <w:ind w:firstLine="0" w:firstLineChars="0"/>
              <w:jc w:val="center"/>
              <w:rPr>
                <w:rFonts w:hAnsiTheme="minorEastAsia" w:eastAsiaTheme="minorEastAsia"/>
                <w:b/>
                <w:color w:val="000000"/>
                <w:sz w:val="21"/>
                <w:szCs w:val="21"/>
              </w:rPr>
            </w:pPr>
            <w:r>
              <w:rPr>
                <w:rFonts w:hint="eastAsia" w:hAnsiTheme="minorEastAsia" w:eastAsiaTheme="minorEastAsia"/>
                <w:b/>
                <w:color w:val="000000"/>
                <w:sz w:val="21"/>
                <w:szCs w:val="21"/>
              </w:rPr>
              <w:t>2024年05月28日</w:t>
            </w:r>
          </w:p>
        </w:tc>
        <w:tc>
          <w:tcPr>
            <w:tcW w:w="1927" w:type="dxa"/>
            <w:vMerge w:val="continue"/>
            <w:vAlign w:val="center"/>
          </w:tcPr>
          <w:p>
            <w:pPr>
              <w:spacing w:line="240" w:lineRule="auto"/>
              <w:ind w:firstLine="0" w:firstLineChars="0"/>
              <w:jc w:val="center"/>
              <w:rPr>
                <w:rFonts w:eastAsiaTheme="minorEastAsia"/>
                <w:b/>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277" w:type="dxa"/>
            <w:vMerge w:val="restart"/>
            <w:vAlign w:val="center"/>
          </w:tcPr>
          <w:p>
            <w:pPr>
              <w:spacing w:line="240" w:lineRule="auto"/>
              <w:ind w:firstLine="0" w:firstLineChars="0"/>
              <w:jc w:val="center"/>
              <w:rPr>
                <w:rFonts w:eastAsiaTheme="minorEastAsia"/>
                <w:color w:val="000000"/>
                <w:sz w:val="21"/>
                <w:szCs w:val="21"/>
              </w:rPr>
            </w:pPr>
            <w:r>
              <w:rPr>
                <w:rFonts w:hint="eastAsia" w:eastAsiaTheme="minorEastAsia"/>
                <w:color w:val="000000"/>
                <w:sz w:val="21"/>
                <w:szCs w:val="21"/>
              </w:rPr>
              <w:t>W4</w:t>
            </w:r>
          </w:p>
        </w:tc>
        <w:tc>
          <w:tcPr>
            <w:tcW w:w="1418" w:type="dxa"/>
            <w:vAlign w:val="center"/>
          </w:tcPr>
          <w:p>
            <w:pPr>
              <w:spacing w:line="240" w:lineRule="auto"/>
              <w:ind w:firstLine="0" w:firstLineChars="0"/>
              <w:jc w:val="center"/>
              <w:rPr>
                <w:rFonts w:eastAsiaTheme="minorEastAsia"/>
                <w:color w:val="000000"/>
                <w:sz w:val="21"/>
                <w:szCs w:val="21"/>
              </w:rPr>
            </w:pPr>
            <w:r>
              <w:rPr>
                <w:sz w:val="21"/>
                <w:szCs w:val="21"/>
              </w:rPr>
              <w:t>pH</w:t>
            </w:r>
          </w:p>
        </w:tc>
        <w:tc>
          <w:tcPr>
            <w:tcW w:w="2055"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7.23</w:t>
            </w:r>
          </w:p>
        </w:tc>
        <w:tc>
          <w:tcPr>
            <w:tcW w:w="2055"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7.13</w:t>
            </w:r>
          </w:p>
        </w:tc>
        <w:tc>
          <w:tcPr>
            <w:tcW w:w="1927" w:type="dxa"/>
            <w:vAlign w:val="center"/>
          </w:tcPr>
          <w:p>
            <w:pPr>
              <w:spacing w:line="240" w:lineRule="auto"/>
              <w:ind w:firstLine="0" w:firstLineChars="0"/>
              <w:jc w:val="center"/>
              <w:rPr>
                <w:rFonts w:eastAsiaTheme="minorEastAsia"/>
                <w:color w:val="000000"/>
                <w:sz w:val="21"/>
                <w:szCs w:val="21"/>
              </w:rPr>
            </w:pPr>
            <w:r>
              <w:rPr>
                <w:rFonts w:hint="eastAsia" w:eastAsiaTheme="minorEastAsia"/>
                <w:color w:val="000000"/>
                <w:sz w:val="21"/>
                <w:szCs w:val="21"/>
              </w:rPr>
              <w:t>5.5～8.5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277" w:type="dxa"/>
            <w:vMerge w:val="continue"/>
            <w:vAlign w:val="center"/>
          </w:tcPr>
          <w:p>
            <w:pPr>
              <w:spacing w:line="240" w:lineRule="auto"/>
              <w:ind w:firstLine="0" w:firstLineChars="0"/>
              <w:jc w:val="center"/>
              <w:rPr>
                <w:rFonts w:eastAsiaTheme="minorEastAsia"/>
                <w:color w:val="000000"/>
                <w:sz w:val="21"/>
                <w:szCs w:val="21"/>
              </w:rPr>
            </w:pPr>
          </w:p>
        </w:tc>
        <w:tc>
          <w:tcPr>
            <w:tcW w:w="1418" w:type="dxa"/>
            <w:vAlign w:val="center"/>
          </w:tcPr>
          <w:p>
            <w:pPr>
              <w:spacing w:line="240" w:lineRule="auto"/>
              <w:ind w:firstLine="0" w:firstLineChars="0"/>
              <w:jc w:val="center"/>
              <w:rPr>
                <w:rFonts w:eastAsiaTheme="minorEastAsia"/>
                <w:color w:val="000000"/>
                <w:sz w:val="21"/>
                <w:szCs w:val="21"/>
              </w:rPr>
            </w:pPr>
            <w:r>
              <w:rPr>
                <w:sz w:val="21"/>
                <w:szCs w:val="21"/>
              </w:rPr>
              <w:t>SS</w:t>
            </w:r>
          </w:p>
        </w:tc>
        <w:tc>
          <w:tcPr>
            <w:tcW w:w="2055" w:type="dxa"/>
            <w:vAlign w:val="center"/>
          </w:tcPr>
          <w:p>
            <w:pPr>
              <w:spacing w:line="240" w:lineRule="auto"/>
              <w:ind w:firstLine="0" w:firstLineChars="0"/>
              <w:jc w:val="center"/>
              <w:rPr>
                <w:rFonts w:hAnsiTheme="minorEastAsia" w:eastAsiaTheme="minorEastAsia"/>
                <w:color w:val="000000"/>
                <w:sz w:val="21"/>
                <w:szCs w:val="21"/>
              </w:rPr>
            </w:pPr>
            <w:r>
              <w:rPr>
                <w:rFonts w:hAnsiTheme="minorEastAsia" w:eastAsiaTheme="minorEastAsia"/>
                <w:color w:val="000000"/>
                <w:sz w:val="21"/>
                <w:szCs w:val="21"/>
              </w:rPr>
              <w:t>6</w:t>
            </w:r>
          </w:p>
        </w:tc>
        <w:tc>
          <w:tcPr>
            <w:tcW w:w="2055" w:type="dxa"/>
            <w:vAlign w:val="center"/>
          </w:tcPr>
          <w:p>
            <w:pPr>
              <w:spacing w:line="240" w:lineRule="auto"/>
              <w:ind w:firstLine="0" w:firstLineChars="0"/>
              <w:jc w:val="center"/>
              <w:rPr>
                <w:rFonts w:hAnsiTheme="minorEastAsia" w:eastAsiaTheme="minorEastAsia"/>
                <w:color w:val="000000"/>
                <w:sz w:val="21"/>
                <w:szCs w:val="21"/>
              </w:rPr>
            </w:pPr>
            <w:r>
              <w:rPr>
                <w:rFonts w:hAnsiTheme="minorEastAsia" w:eastAsiaTheme="minorEastAsia"/>
                <w:color w:val="000000"/>
                <w:sz w:val="21"/>
                <w:szCs w:val="21"/>
              </w:rPr>
              <w:t>7</w:t>
            </w:r>
          </w:p>
        </w:tc>
        <w:tc>
          <w:tcPr>
            <w:tcW w:w="1927" w:type="dxa"/>
            <w:vAlign w:val="center"/>
          </w:tcPr>
          <w:p>
            <w:pPr>
              <w:spacing w:line="240" w:lineRule="auto"/>
              <w:ind w:firstLine="0" w:firstLineChars="0"/>
              <w:jc w:val="center"/>
              <w:rPr>
                <w:rFonts w:eastAsiaTheme="minorEastAsia"/>
                <w:color w:val="000000"/>
                <w:sz w:val="21"/>
                <w:szCs w:val="21"/>
              </w:rPr>
            </w:pPr>
            <w:r>
              <w:rPr>
                <w:rFonts w:hint="eastAsia" w:eastAsiaTheme="minorEastAsia"/>
                <w:color w:val="000000"/>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277" w:type="dxa"/>
            <w:vMerge w:val="continue"/>
            <w:vAlign w:val="center"/>
          </w:tcPr>
          <w:p>
            <w:pPr>
              <w:spacing w:line="240" w:lineRule="auto"/>
              <w:ind w:firstLine="0" w:firstLineChars="0"/>
              <w:jc w:val="center"/>
              <w:rPr>
                <w:rFonts w:eastAsiaTheme="minorEastAsia"/>
                <w:color w:val="000000"/>
                <w:sz w:val="21"/>
                <w:szCs w:val="21"/>
              </w:rPr>
            </w:pPr>
          </w:p>
        </w:tc>
        <w:tc>
          <w:tcPr>
            <w:tcW w:w="1418" w:type="dxa"/>
            <w:vAlign w:val="center"/>
          </w:tcPr>
          <w:p>
            <w:pPr>
              <w:spacing w:line="240" w:lineRule="auto"/>
              <w:ind w:firstLine="0" w:firstLineChars="0"/>
              <w:jc w:val="center"/>
              <w:rPr>
                <w:rFonts w:eastAsiaTheme="minorEastAsia"/>
                <w:color w:val="000000"/>
                <w:sz w:val="21"/>
                <w:szCs w:val="21"/>
              </w:rPr>
            </w:pPr>
            <w:r>
              <w:rPr>
                <w:sz w:val="21"/>
                <w:szCs w:val="21"/>
              </w:rPr>
              <w:t>COD</w:t>
            </w:r>
            <w:r>
              <w:rPr>
                <w:sz w:val="21"/>
                <w:szCs w:val="21"/>
                <w:vertAlign w:val="subscript"/>
              </w:rPr>
              <w:t>Cr</w:t>
            </w:r>
          </w:p>
        </w:tc>
        <w:tc>
          <w:tcPr>
            <w:tcW w:w="2055" w:type="dxa"/>
            <w:vAlign w:val="center"/>
          </w:tcPr>
          <w:p>
            <w:pPr>
              <w:spacing w:line="240" w:lineRule="auto"/>
              <w:ind w:firstLine="0" w:firstLineChars="0"/>
              <w:jc w:val="center"/>
              <w:rPr>
                <w:rFonts w:hAnsiTheme="minorEastAsia" w:eastAsiaTheme="minorEastAsia"/>
                <w:color w:val="000000"/>
                <w:sz w:val="21"/>
                <w:szCs w:val="21"/>
              </w:rPr>
            </w:pPr>
            <w:r>
              <w:rPr>
                <w:rFonts w:hAnsiTheme="minorEastAsia" w:eastAsiaTheme="minorEastAsia"/>
                <w:color w:val="000000"/>
                <w:sz w:val="21"/>
                <w:szCs w:val="21"/>
              </w:rPr>
              <w:t>12</w:t>
            </w:r>
          </w:p>
        </w:tc>
        <w:tc>
          <w:tcPr>
            <w:tcW w:w="2055" w:type="dxa"/>
            <w:vAlign w:val="center"/>
          </w:tcPr>
          <w:p>
            <w:pPr>
              <w:spacing w:line="240" w:lineRule="auto"/>
              <w:ind w:firstLine="0" w:firstLineChars="0"/>
              <w:jc w:val="center"/>
              <w:rPr>
                <w:rFonts w:hAnsiTheme="minorEastAsia" w:eastAsiaTheme="minorEastAsia"/>
                <w:color w:val="000000"/>
                <w:sz w:val="21"/>
                <w:szCs w:val="21"/>
              </w:rPr>
            </w:pPr>
            <w:r>
              <w:rPr>
                <w:rFonts w:hAnsiTheme="minorEastAsia" w:eastAsiaTheme="minorEastAsia"/>
                <w:color w:val="000000"/>
                <w:sz w:val="21"/>
                <w:szCs w:val="21"/>
              </w:rPr>
              <w:t>10</w:t>
            </w:r>
          </w:p>
        </w:tc>
        <w:tc>
          <w:tcPr>
            <w:tcW w:w="1927" w:type="dxa"/>
            <w:vAlign w:val="center"/>
          </w:tcPr>
          <w:p>
            <w:pPr>
              <w:spacing w:line="240" w:lineRule="auto"/>
              <w:ind w:firstLine="0" w:firstLineChars="0"/>
              <w:jc w:val="center"/>
              <w:rPr>
                <w:rFonts w:eastAsiaTheme="minorEastAsia"/>
                <w:color w:val="000000"/>
                <w:sz w:val="21"/>
                <w:szCs w:val="21"/>
              </w:rPr>
            </w:pPr>
            <w:r>
              <w:rPr>
                <w:rFonts w:hint="eastAsia" w:eastAsiaTheme="minorEastAsia"/>
                <w:color w:val="000000"/>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277" w:type="dxa"/>
            <w:vMerge w:val="continue"/>
            <w:vAlign w:val="center"/>
          </w:tcPr>
          <w:p>
            <w:pPr>
              <w:spacing w:line="240" w:lineRule="auto"/>
              <w:ind w:firstLine="0" w:firstLineChars="0"/>
              <w:jc w:val="center"/>
              <w:rPr>
                <w:sz w:val="21"/>
                <w:szCs w:val="21"/>
              </w:rPr>
            </w:pPr>
          </w:p>
        </w:tc>
        <w:tc>
          <w:tcPr>
            <w:tcW w:w="1418" w:type="dxa"/>
            <w:vAlign w:val="center"/>
          </w:tcPr>
          <w:p>
            <w:pPr>
              <w:spacing w:line="240" w:lineRule="auto"/>
              <w:ind w:firstLine="0" w:firstLineChars="0"/>
              <w:jc w:val="center"/>
              <w:rPr>
                <w:sz w:val="21"/>
                <w:szCs w:val="21"/>
              </w:rPr>
            </w:pPr>
            <w:r>
              <w:rPr>
                <w:sz w:val="21"/>
                <w:szCs w:val="21"/>
              </w:rPr>
              <w:t>BOD</w:t>
            </w:r>
            <w:r>
              <w:rPr>
                <w:sz w:val="21"/>
                <w:szCs w:val="21"/>
                <w:vertAlign w:val="subscript"/>
              </w:rPr>
              <w:t>5</w:t>
            </w:r>
          </w:p>
        </w:tc>
        <w:tc>
          <w:tcPr>
            <w:tcW w:w="2055"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2.6</w:t>
            </w:r>
          </w:p>
        </w:tc>
        <w:tc>
          <w:tcPr>
            <w:tcW w:w="2055" w:type="dxa"/>
            <w:vAlign w:val="center"/>
          </w:tcPr>
          <w:p>
            <w:pPr>
              <w:spacing w:line="240" w:lineRule="auto"/>
              <w:ind w:firstLine="0" w:firstLineChars="0"/>
              <w:jc w:val="center"/>
              <w:rPr>
                <w:rFonts w:hAnsiTheme="minorEastAsia" w:eastAsiaTheme="minorEastAsia"/>
                <w:color w:val="000000"/>
                <w:sz w:val="21"/>
                <w:szCs w:val="21"/>
              </w:rPr>
            </w:pPr>
            <w:r>
              <w:rPr>
                <w:rFonts w:hint="eastAsia" w:hAnsiTheme="minorEastAsia" w:eastAsiaTheme="minorEastAsia"/>
                <w:color w:val="000000"/>
                <w:sz w:val="21"/>
                <w:szCs w:val="21"/>
              </w:rPr>
              <w:t>2.1</w:t>
            </w:r>
          </w:p>
        </w:tc>
        <w:tc>
          <w:tcPr>
            <w:tcW w:w="1927" w:type="dxa"/>
            <w:vAlign w:val="center"/>
          </w:tcPr>
          <w:p>
            <w:pPr>
              <w:spacing w:line="240" w:lineRule="auto"/>
              <w:ind w:firstLine="0" w:firstLineChars="0"/>
              <w:jc w:val="center"/>
              <w:rPr>
                <w:rFonts w:eastAsiaTheme="minorEastAsia"/>
                <w:color w:val="000000"/>
                <w:sz w:val="21"/>
                <w:szCs w:val="21"/>
              </w:rPr>
            </w:pPr>
            <w:r>
              <w:rPr>
                <w:rFonts w:hint="eastAsia" w:eastAsiaTheme="minorEastAsia"/>
                <w:color w:val="000000"/>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277" w:type="dxa"/>
            <w:vMerge w:val="continue"/>
            <w:tcBorders>
              <w:bottom w:val="single" w:color="auto" w:sz="4" w:space="0"/>
            </w:tcBorders>
            <w:vAlign w:val="center"/>
          </w:tcPr>
          <w:p>
            <w:pPr>
              <w:spacing w:line="240" w:lineRule="auto"/>
              <w:ind w:firstLine="0" w:firstLineChars="0"/>
              <w:jc w:val="center"/>
              <w:rPr>
                <w:rFonts w:eastAsiaTheme="minorEastAsia"/>
                <w:color w:val="000000"/>
                <w:sz w:val="21"/>
                <w:szCs w:val="21"/>
              </w:rPr>
            </w:pPr>
          </w:p>
        </w:tc>
        <w:tc>
          <w:tcPr>
            <w:tcW w:w="1418" w:type="dxa"/>
            <w:tcBorders>
              <w:bottom w:val="single" w:color="auto" w:sz="4" w:space="0"/>
            </w:tcBorders>
            <w:vAlign w:val="center"/>
          </w:tcPr>
          <w:p>
            <w:pPr>
              <w:spacing w:line="240" w:lineRule="auto"/>
              <w:ind w:firstLine="0" w:firstLineChars="0"/>
              <w:jc w:val="center"/>
              <w:rPr>
                <w:rFonts w:eastAsiaTheme="minorEastAsia"/>
                <w:color w:val="000000"/>
                <w:sz w:val="21"/>
                <w:szCs w:val="21"/>
              </w:rPr>
            </w:pPr>
            <w:r>
              <w:rPr>
                <w:sz w:val="21"/>
                <w:szCs w:val="21"/>
              </w:rPr>
              <w:t>LAS</w:t>
            </w:r>
          </w:p>
        </w:tc>
        <w:tc>
          <w:tcPr>
            <w:tcW w:w="2055" w:type="dxa"/>
            <w:tcBorders>
              <w:bottom w:val="single" w:color="auto" w:sz="4" w:space="0"/>
            </w:tcBorders>
            <w:vAlign w:val="center"/>
          </w:tcPr>
          <w:p>
            <w:pPr>
              <w:spacing w:line="240" w:lineRule="auto"/>
              <w:ind w:firstLine="0" w:firstLineChars="0"/>
              <w:jc w:val="center"/>
              <w:rPr>
                <w:rFonts w:hAnsiTheme="minorEastAsia" w:eastAsiaTheme="minorEastAsia"/>
                <w:color w:val="000000"/>
                <w:sz w:val="21"/>
                <w:szCs w:val="21"/>
              </w:rPr>
            </w:pPr>
            <w:r>
              <w:rPr>
                <w:rFonts w:hAnsiTheme="minorEastAsia" w:eastAsiaTheme="minorEastAsia"/>
                <w:color w:val="000000"/>
                <w:sz w:val="21"/>
                <w:szCs w:val="21"/>
              </w:rPr>
              <w:t>0.05</w:t>
            </w:r>
            <w:r>
              <w:rPr>
                <w:rFonts w:hAnsiTheme="minorEastAsia" w:eastAsiaTheme="minorEastAsia"/>
                <w:color w:val="000000"/>
                <w:sz w:val="21"/>
                <w:szCs w:val="21"/>
                <w:vertAlign w:val="subscript"/>
              </w:rPr>
              <w:t>L</w:t>
            </w:r>
          </w:p>
        </w:tc>
        <w:tc>
          <w:tcPr>
            <w:tcW w:w="2055" w:type="dxa"/>
            <w:tcBorders>
              <w:bottom w:val="single" w:color="auto" w:sz="4" w:space="0"/>
            </w:tcBorders>
            <w:vAlign w:val="center"/>
          </w:tcPr>
          <w:p>
            <w:pPr>
              <w:spacing w:line="240" w:lineRule="auto"/>
              <w:ind w:firstLine="0" w:firstLineChars="0"/>
              <w:jc w:val="center"/>
              <w:rPr>
                <w:rFonts w:hAnsiTheme="minorEastAsia" w:eastAsiaTheme="minorEastAsia"/>
                <w:color w:val="000000"/>
                <w:sz w:val="21"/>
                <w:szCs w:val="21"/>
              </w:rPr>
            </w:pPr>
            <w:r>
              <w:rPr>
                <w:rFonts w:hAnsiTheme="minorEastAsia" w:eastAsiaTheme="minorEastAsia"/>
                <w:color w:val="000000"/>
                <w:sz w:val="21"/>
                <w:szCs w:val="21"/>
              </w:rPr>
              <w:t>0.05</w:t>
            </w:r>
            <w:r>
              <w:rPr>
                <w:rFonts w:hAnsiTheme="minorEastAsia" w:eastAsiaTheme="minorEastAsia"/>
                <w:color w:val="000000"/>
                <w:sz w:val="21"/>
                <w:szCs w:val="21"/>
                <w:vertAlign w:val="subscript"/>
              </w:rPr>
              <w:t>L</w:t>
            </w:r>
          </w:p>
        </w:tc>
        <w:tc>
          <w:tcPr>
            <w:tcW w:w="1927" w:type="dxa"/>
            <w:tcBorders>
              <w:bottom w:val="single" w:color="auto" w:sz="4" w:space="0"/>
            </w:tcBorders>
            <w:vAlign w:val="center"/>
          </w:tcPr>
          <w:p>
            <w:pPr>
              <w:spacing w:line="240" w:lineRule="auto"/>
              <w:ind w:firstLine="0" w:firstLineChars="0"/>
              <w:jc w:val="center"/>
              <w:rPr>
                <w:rFonts w:eastAsiaTheme="minorEastAsia"/>
                <w:color w:val="000000"/>
                <w:sz w:val="21"/>
                <w:szCs w:val="21"/>
              </w:rPr>
            </w:pPr>
            <w:r>
              <w:rPr>
                <w:rFonts w:hint="eastAsia" w:eastAsiaTheme="minorEastAsia"/>
                <w:color w:val="000000"/>
                <w:sz w:val="21"/>
                <w:szCs w:val="21"/>
              </w:rPr>
              <w:t>5</w:t>
            </w:r>
          </w:p>
        </w:tc>
      </w:tr>
    </w:tbl>
    <w:p>
      <w:pPr>
        <w:ind w:firstLine="480"/>
        <w:rPr>
          <w:szCs w:val="21"/>
          <w:u w:val="single"/>
        </w:rPr>
      </w:pPr>
      <w:r>
        <w:rPr>
          <w:rFonts w:hint="eastAsia"/>
          <w:szCs w:val="21"/>
          <w:u w:val="single"/>
        </w:rPr>
        <w:t>监测结果表明，废水总排口下游150m处农灌渠水质符合</w:t>
      </w:r>
      <w:r>
        <w:rPr>
          <w:szCs w:val="21"/>
          <w:u w:val="single"/>
        </w:rPr>
        <w:t>《农田灌溉水质标准》（GB 5084-2021）</w:t>
      </w:r>
      <w:r>
        <w:rPr>
          <w:rFonts w:hint="eastAsia"/>
          <w:szCs w:val="21"/>
          <w:u w:val="single"/>
        </w:rPr>
        <w:t>中水田作物</w:t>
      </w:r>
      <w:r>
        <w:rPr>
          <w:szCs w:val="21"/>
          <w:u w:val="single"/>
        </w:rPr>
        <w:t>限值</w:t>
      </w:r>
      <w:r>
        <w:rPr>
          <w:rFonts w:hint="eastAsia"/>
          <w:szCs w:val="21"/>
          <w:u w:val="single"/>
        </w:rPr>
        <w:t>要求</w:t>
      </w:r>
      <w:r>
        <w:rPr>
          <w:szCs w:val="21"/>
          <w:u w:val="single"/>
        </w:rPr>
        <w:t>。</w:t>
      </w:r>
    </w:p>
    <w:p>
      <w:pPr>
        <w:pStyle w:val="3"/>
        <w:keepNext w:val="0"/>
        <w:keepLines w:val="0"/>
      </w:pPr>
      <w:bookmarkStart w:id="52" w:name="_Toc166145943"/>
      <w:r>
        <w:rPr>
          <w:rFonts w:hint="eastAsia"/>
        </w:rPr>
        <w:t>5.2 所在水功能区纳污状况</w:t>
      </w:r>
      <w:bookmarkEnd w:id="52"/>
    </w:p>
    <w:p>
      <w:pPr>
        <w:ind w:firstLine="480"/>
        <w:sectPr>
          <w:pgSz w:w="11906" w:h="16838"/>
          <w:pgMar w:top="1418" w:right="1588" w:bottom="1418" w:left="1588" w:header="851" w:footer="992" w:gutter="0"/>
          <w:pgNumType w:fmt="numberInDash"/>
          <w:cols w:space="425" w:num="1"/>
          <w:docGrid w:type="lines" w:linePitch="326" w:charSpace="0"/>
        </w:sectPr>
      </w:pPr>
      <w:r>
        <w:rPr>
          <w:szCs w:val="21"/>
        </w:rPr>
        <w:t>根据第</w:t>
      </w:r>
      <w:r>
        <w:rPr>
          <w:rFonts w:hint="eastAsia"/>
          <w:szCs w:val="21"/>
        </w:rPr>
        <w:t>3</w:t>
      </w:r>
      <w:r>
        <w:rPr>
          <w:szCs w:val="21"/>
        </w:rPr>
        <w:t>章</w:t>
      </w:r>
      <w:r>
        <w:rPr>
          <w:rFonts w:hint="eastAsia"/>
          <w:b/>
        </w:rPr>
        <w:t>水功能区纳污能力及限制排放总量</w:t>
      </w:r>
      <w:r>
        <w:rPr>
          <w:szCs w:val="21"/>
        </w:rPr>
        <w:t>可知，</w:t>
      </w:r>
      <w:r>
        <w:rPr>
          <w:rFonts w:hint="eastAsia" w:hAnsi="宋体"/>
          <w:szCs w:val="21"/>
        </w:rPr>
        <w:t>入河排污口（自流口）入澹水处至</w:t>
      </w:r>
      <w:r>
        <w:rPr>
          <w:szCs w:val="21"/>
        </w:rPr>
        <w:t>下游</w:t>
      </w:r>
      <w:r>
        <w:rPr>
          <w:rFonts w:hint="eastAsia"/>
          <w:szCs w:val="21"/>
        </w:rPr>
        <w:t>与涔水汇合处5.6</w:t>
      </w:r>
      <w:r>
        <w:rPr>
          <w:szCs w:val="21"/>
        </w:rPr>
        <w:t>km河段纳污能力COD为</w:t>
      </w:r>
      <w:r>
        <w:rPr>
          <w:rFonts w:hint="eastAsia"/>
          <w:szCs w:val="21"/>
        </w:rPr>
        <w:t>1745.05</w:t>
      </w:r>
      <w:r>
        <w:rPr>
          <w:szCs w:val="21"/>
        </w:rPr>
        <w:t>t/a</w:t>
      </w:r>
      <w:r>
        <w:rPr>
          <w:rFonts w:hint="eastAsia"/>
          <w:szCs w:val="21"/>
        </w:rPr>
        <w:t>、氨氮为161.85</w:t>
      </w:r>
      <w:r>
        <w:rPr>
          <w:szCs w:val="21"/>
        </w:rPr>
        <w:t>t/a</w:t>
      </w:r>
      <w:r>
        <w:rPr>
          <w:rFonts w:hint="eastAsia"/>
          <w:szCs w:val="21"/>
        </w:rPr>
        <w:t>、总磷为14.18t/a</w:t>
      </w:r>
      <w:r>
        <w:rPr>
          <w:szCs w:val="21"/>
        </w:rPr>
        <w:t>。</w:t>
      </w:r>
    </w:p>
    <w:p>
      <w:pPr>
        <w:pStyle w:val="2"/>
      </w:pPr>
      <w:bookmarkStart w:id="53" w:name="_Toc166145944"/>
      <w:r>
        <w:rPr>
          <w:rFonts w:hint="eastAsia"/>
        </w:rPr>
        <w:t>6. 入河排污口设置对水功能区水质和水生态影响分析</w:t>
      </w:r>
      <w:bookmarkEnd w:id="53"/>
    </w:p>
    <w:p>
      <w:pPr>
        <w:pStyle w:val="3"/>
      </w:pPr>
      <w:bookmarkStart w:id="54" w:name="_Toc166145945"/>
      <w:r>
        <w:rPr>
          <w:rFonts w:hint="eastAsia"/>
        </w:rPr>
        <w:t>6.1 影响范围</w:t>
      </w:r>
      <w:bookmarkEnd w:id="54"/>
    </w:p>
    <w:p>
      <w:pPr>
        <w:ind w:firstLine="480"/>
        <w:rPr>
          <w:szCs w:val="21"/>
        </w:rPr>
      </w:pPr>
      <w:r>
        <w:rPr>
          <w:rFonts w:hint="eastAsia"/>
        </w:rPr>
        <w:t>澧县东部新区污水处理厂污水通过废水总排口（DW001）排入项目东侧农灌沟渠，澹水水位低于34m时，污水通过下游155m处农灌沟渠自流口排入澹水；澹水水位高于34m时，污水经农灌沟渠通过下游250m处东洲机埠电排排入澹水，下</w:t>
      </w:r>
      <w:r>
        <w:rPr>
          <w:rFonts w:hint="eastAsia"/>
          <w:szCs w:val="21"/>
        </w:rPr>
        <w:t>游5.6km</w:t>
      </w:r>
      <w:r>
        <w:t>与涔水汇合</w:t>
      </w:r>
      <w:r>
        <w:rPr>
          <w:rFonts w:hint="eastAsia"/>
          <w:szCs w:val="21"/>
        </w:rPr>
        <w:t>。澹水</w:t>
      </w:r>
      <w:r>
        <w:rPr>
          <w:szCs w:val="21"/>
        </w:rPr>
        <w:t>常年能保持一定的流量，平水期平均流量</w:t>
      </w:r>
      <w:r>
        <w:rPr>
          <w:rFonts w:hint="eastAsia"/>
          <w:szCs w:val="21"/>
        </w:rPr>
        <w:t>10</w:t>
      </w:r>
      <w:r>
        <w:rPr>
          <w:szCs w:val="21"/>
        </w:rPr>
        <w:t>m</w:t>
      </w:r>
      <w:r>
        <w:rPr>
          <w:szCs w:val="21"/>
          <w:vertAlign w:val="superscript"/>
        </w:rPr>
        <w:t>3</w:t>
      </w:r>
      <w:r>
        <w:rPr>
          <w:szCs w:val="21"/>
        </w:rPr>
        <w:t>/s，枯水期平均流量</w:t>
      </w:r>
      <w:r>
        <w:rPr>
          <w:rFonts w:hint="eastAsia"/>
          <w:szCs w:val="21"/>
        </w:rPr>
        <w:t>8.06</w:t>
      </w:r>
      <w:r>
        <w:rPr>
          <w:szCs w:val="21"/>
        </w:rPr>
        <w:t>m</w:t>
      </w:r>
      <w:r>
        <w:rPr>
          <w:szCs w:val="21"/>
          <w:vertAlign w:val="superscript"/>
        </w:rPr>
        <w:t>3</w:t>
      </w:r>
      <w:r>
        <w:rPr>
          <w:szCs w:val="21"/>
        </w:rPr>
        <w:t>/s，排放水体确定为</w:t>
      </w:r>
      <w:r>
        <w:rPr>
          <w:rFonts w:hint="eastAsia"/>
          <w:szCs w:val="21"/>
        </w:rPr>
        <w:t>澹水</w:t>
      </w:r>
      <w:r>
        <w:rPr>
          <w:szCs w:val="21"/>
        </w:rPr>
        <w:t>。</w:t>
      </w:r>
      <w:r>
        <w:rPr>
          <w:rFonts w:hint="eastAsia"/>
          <w:szCs w:val="21"/>
        </w:rPr>
        <w:t>本项目入河排污口影响范围为农灌沟渠自流口</w:t>
      </w:r>
      <w:r>
        <w:rPr>
          <w:szCs w:val="21"/>
        </w:rPr>
        <w:t>入</w:t>
      </w:r>
      <w:r>
        <w:rPr>
          <w:position w:val="-1"/>
          <w:szCs w:val="24"/>
        </w:rPr>
        <w:t>澹水处至</w:t>
      </w:r>
      <w:r>
        <w:rPr>
          <w:rFonts w:hint="eastAsia"/>
          <w:position w:val="-1"/>
          <w:szCs w:val="24"/>
        </w:rPr>
        <w:t>下游</w:t>
      </w:r>
      <w:r>
        <w:t>与涔水汇合处</w:t>
      </w:r>
      <w:r>
        <w:rPr>
          <w:rFonts w:hint="eastAsia"/>
        </w:rPr>
        <w:t>，河段长度约5.6km</w:t>
      </w:r>
      <w:r>
        <w:rPr>
          <w:rFonts w:hint="eastAsia"/>
          <w:szCs w:val="21"/>
        </w:rPr>
        <w:t>。</w:t>
      </w:r>
      <w:r>
        <w:rPr>
          <w:szCs w:val="21"/>
        </w:rPr>
        <w:t>采用合适的水质预测模型分析本项目外排水对水质管理目标的影响及水生态环境的影响。</w:t>
      </w:r>
    </w:p>
    <w:p>
      <w:pPr>
        <w:pStyle w:val="4"/>
      </w:pPr>
      <w:r>
        <w:rPr>
          <w:rFonts w:hint="eastAsia"/>
        </w:rPr>
        <w:t>6.1.1 预测内容</w:t>
      </w:r>
    </w:p>
    <w:p>
      <w:pPr>
        <w:ind w:firstLine="480"/>
      </w:pPr>
      <w:r>
        <w:rPr>
          <w:rFonts w:hint="eastAsia"/>
        </w:rPr>
        <w:t>本项目入河排污口尾水直接受纳水体为澹水，本次评价重点对尾水排入澹水后对水质的影响，预测情景主要为枯水期正常排水及事故排水情况。</w:t>
      </w:r>
    </w:p>
    <w:p>
      <w:pPr>
        <w:ind w:firstLine="480"/>
      </w:pPr>
      <w:r>
        <w:rPr>
          <w:rFonts w:hint="eastAsia"/>
        </w:rPr>
        <w:t>预测因子：COD</w:t>
      </w:r>
      <w:r>
        <w:rPr>
          <w:rFonts w:hint="eastAsia"/>
          <w:vertAlign w:val="subscript"/>
        </w:rPr>
        <w:t>Cr</w:t>
      </w:r>
      <w:r>
        <w:rPr>
          <w:rFonts w:hint="eastAsia"/>
        </w:rPr>
        <w:t>、氨氮、总磷。</w:t>
      </w:r>
    </w:p>
    <w:p>
      <w:pPr>
        <w:ind w:firstLine="480"/>
        <w:rPr>
          <w:rFonts w:hAnsi="宋体"/>
          <w:color w:val="000000"/>
          <w:u w:val="single"/>
        </w:rPr>
      </w:pPr>
      <w:r>
        <w:rPr>
          <w:rFonts w:hint="eastAsia" w:hAnsi="宋体"/>
          <w:color w:val="000000"/>
          <w:u w:val="single"/>
        </w:rPr>
        <w:t>（1）水文参数</w:t>
      </w:r>
    </w:p>
    <w:p>
      <w:pPr>
        <w:ind w:firstLine="0" w:firstLineChars="0"/>
        <w:jc w:val="center"/>
        <w:textAlignment w:val="center"/>
        <w:rPr>
          <w:b/>
          <w:bCs/>
          <w:color w:val="000000"/>
          <w:sz w:val="21"/>
          <w:szCs w:val="21"/>
          <w:u w:val="single"/>
        </w:rPr>
      </w:pPr>
      <w:r>
        <w:rPr>
          <w:b/>
          <w:bCs/>
          <w:color w:val="000000"/>
          <w:sz w:val="21"/>
          <w:szCs w:val="21"/>
          <w:u w:val="single"/>
        </w:rPr>
        <w:t>表</w:t>
      </w:r>
      <w:r>
        <w:rPr>
          <w:rFonts w:hint="eastAsia"/>
          <w:b/>
          <w:bCs/>
          <w:color w:val="000000"/>
          <w:sz w:val="21"/>
          <w:szCs w:val="21"/>
          <w:u w:val="single"/>
        </w:rPr>
        <w:t>6-1</w:t>
      </w:r>
      <w:r>
        <w:rPr>
          <w:b/>
          <w:bCs/>
          <w:color w:val="000000"/>
          <w:sz w:val="21"/>
          <w:szCs w:val="21"/>
          <w:u w:val="single"/>
        </w:rPr>
        <w:t xml:space="preserve">  水文参数表</w:t>
      </w:r>
    </w:p>
    <w:tbl>
      <w:tblPr>
        <w:tblStyle w:val="41"/>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1637"/>
        <w:gridCol w:w="1580"/>
        <w:gridCol w:w="1437"/>
        <w:gridCol w:w="1436"/>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tcPr>
          <w:p>
            <w:pPr>
              <w:spacing w:line="240" w:lineRule="auto"/>
              <w:ind w:firstLine="0" w:firstLineChars="0"/>
              <w:jc w:val="center"/>
              <w:rPr>
                <w:b/>
                <w:bCs/>
                <w:color w:val="000000"/>
                <w:sz w:val="21"/>
                <w:szCs w:val="21"/>
              </w:rPr>
            </w:pPr>
            <w:r>
              <w:rPr>
                <w:b/>
                <w:bCs/>
                <w:color w:val="000000"/>
                <w:sz w:val="21"/>
                <w:szCs w:val="21"/>
              </w:rPr>
              <w:t>时段</w:t>
            </w:r>
          </w:p>
        </w:tc>
        <w:tc>
          <w:tcPr>
            <w:tcW w:w="1616" w:type="dxa"/>
          </w:tcPr>
          <w:p>
            <w:pPr>
              <w:spacing w:line="240" w:lineRule="auto"/>
              <w:ind w:firstLine="0" w:firstLineChars="0"/>
              <w:jc w:val="center"/>
              <w:rPr>
                <w:b/>
                <w:bCs/>
                <w:color w:val="000000"/>
                <w:sz w:val="21"/>
                <w:szCs w:val="21"/>
              </w:rPr>
            </w:pPr>
            <w:r>
              <w:rPr>
                <w:b/>
                <w:bCs/>
                <w:color w:val="000000"/>
                <w:sz w:val="21"/>
                <w:szCs w:val="21"/>
              </w:rPr>
              <w:t>流量</w:t>
            </w:r>
          </w:p>
        </w:tc>
        <w:tc>
          <w:tcPr>
            <w:tcW w:w="1559" w:type="dxa"/>
          </w:tcPr>
          <w:p>
            <w:pPr>
              <w:spacing w:line="240" w:lineRule="auto"/>
              <w:ind w:firstLine="0" w:firstLineChars="0"/>
              <w:jc w:val="center"/>
              <w:rPr>
                <w:b/>
                <w:bCs/>
                <w:color w:val="000000"/>
                <w:sz w:val="21"/>
                <w:szCs w:val="21"/>
              </w:rPr>
            </w:pPr>
            <w:r>
              <w:rPr>
                <w:rFonts w:hint="eastAsia"/>
                <w:b/>
                <w:bCs/>
                <w:color w:val="000000"/>
                <w:sz w:val="21"/>
                <w:szCs w:val="21"/>
              </w:rPr>
              <w:t>平均</w:t>
            </w:r>
            <w:r>
              <w:rPr>
                <w:b/>
                <w:bCs/>
                <w:color w:val="000000"/>
                <w:sz w:val="21"/>
                <w:szCs w:val="21"/>
              </w:rPr>
              <w:t>河宽</w:t>
            </w:r>
          </w:p>
        </w:tc>
        <w:tc>
          <w:tcPr>
            <w:tcW w:w="1418" w:type="dxa"/>
          </w:tcPr>
          <w:p>
            <w:pPr>
              <w:spacing w:line="240" w:lineRule="auto"/>
              <w:ind w:firstLine="0" w:firstLineChars="0"/>
              <w:jc w:val="center"/>
              <w:rPr>
                <w:b/>
                <w:bCs/>
                <w:color w:val="000000"/>
                <w:sz w:val="21"/>
                <w:szCs w:val="21"/>
              </w:rPr>
            </w:pPr>
            <w:r>
              <w:rPr>
                <w:b/>
                <w:bCs/>
                <w:color w:val="000000"/>
                <w:sz w:val="21"/>
                <w:szCs w:val="21"/>
              </w:rPr>
              <w:t>平均水深</w:t>
            </w:r>
          </w:p>
        </w:tc>
        <w:tc>
          <w:tcPr>
            <w:tcW w:w="1417" w:type="dxa"/>
          </w:tcPr>
          <w:p>
            <w:pPr>
              <w:spacing w:line="240" w:lineRule="auto"/>
              <w:ind w:firstLine="0" w:firstLineChars="0"/>
              <w:jc w:val="center"/>
              <w:rPr>
                <w:b/>
                <w:bCs/>
                <w:color w:val="000000"/>
                <w:sz w:val="21"/>
                <w:szCs w:val="21"/>
              </w:rPr>
            </w:pPr>
            <w:r>
              <w:rPr>
                <w:b/>
                <w:bCs/>
                <w:color w:val="000000"/>
                <w:sz w:val="21"/>
                <w:szCs w:val="21"/>
              </w:rPr>
              <w:t>流速</w:t>
            </w:r>
          </w:p>
        </w:tc>
        <w:tc>
          <w:tcPr>
            <w:tcW w:w="1303" w:type="dxa"/>
          </w:tcPr>
          <w:p>
            <w:pPr>
              <w:spacing w:line="240" w:lineRule="auto"/>
              <w:ind w:firstLine="0" w:firstLineChars="0"/>
              <w:jc w:val="center"/>
              <w:rPr>
                <w:b/>
                <w:bCs/>
                <w:color w:val="000000"/>
                <w:sz w:val="21"/>
                <w:szCs w:val="21"/>
              </w:rPr>
            </w:pPr>
            <w:r>
              <w:rPr>
                <w:b/>
                <w:bCs/>
                <w:color w:val="000000"/>
                <w:sz w:val="21"/>
                <w:szCs w:val="21"/>
              </w:rPr>
              <w:t>坡降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5" w:type="dxa"/>
          </w:tcPr>
          <w:p>
            <w:pPr>
              <w:spacing w:line="240" w:lineRule="auto"/>
              <w:ind w:firstLine="0" w:firstLineChars="0"/>
              <w:jc w:val="center"/>
              <w:rPr>
                <w:bCs/>
                <w:color w:val="000000"/>
                <w:sz w:val="21"/>
                <w:szCs w:val="21"/>
              </w:rPr>
            </w:pPr>
            <w:r>
              <w:rPr>
                <w:bCs/>
                <w:color w:val="000000"/>
                <w:sz w:val="21"/>
                <w:szCs w:val="21"/>
              </w:rPr>
              <w:t>枯水期</w:t>
            </w:r>
          </w:p>
        </w:tc>
        <w:tc>
          <w:tcPr>
            <w:tcW w:w="1616" w:type="dxa"/>
          </w:tcPr>
          <w:p>
            <w:pPr>
              <w:spacing w:line="240" w:lineRule="auto"/>
              <w:ind w:firstLine="0" w:firstLineChars="0"/>
              <w:jc w:val="center"/>
              <w:rPr>
                <w:bCs/>
                <w:color w:val="000000"/>
                <w:sz w:val="21"/>
                <w:szCs w:val="21"/>
              </w:rPr>
            </w:pPr>
            <w:r>
              <w:rPr>
                <w:rFonts w:hint="eastAsia"/>
                <w:color w:val="000000"/>
                <w:sz w:val="21"/>
                <w:szCs w:val="21"/>
              </w:rPr>
              <w:t>8.06</w:t>
            </w:r>
            <w:r>
              <w:rPr>
                <w:bCs/>
                <w:color w:val="000000"/>
                <w:sz w:val="21"/>
                <w:szCs w:val="21"/>
              </w:rPr>
              <w:t>m</w:t>
            </w:r>
            <w:r>
              <w:rPr>
                <w:bCs/>
                <w:color w:val="000000"/>
                <w:sz w:val="21"/>
                <w:szCs w:val="21"/>
                <w:vertAlign w:val="superscript"/>
              </w:rPr>
              <w:t>3</w:t>
            </w:r>
            <w:r>
              <w:rPr>
                <w:bCs/>
                <w:color w:val="000000"/>
                <w:sz w:val="21"/>
                <w:szCs w:val="21"/>
              </w:rPr>
              <w:t>/s</w:t>
            </w:r>
          </w:p>
        </w:tc>
        <w:tc>
          <w:tcPr>
            <w:tcW w:w="1559" w:type="dxa"/>
          </w:tcPr>
          <w:p>
            <w:pPr>
              <w:spacing w:line="240" w:lineRule="auto"/>
              <w:ind w:firstLine="0" w:firstLineChars="0"/>
              <w:jc w:val="center"/>
              <w:rPr>
                <w:bCs/>
                <w:color w:val="000000"/>
                <w:sz w:val="21"/>
                <w:szCs w:val="21"/>
              </w:rPr>
            </w:pPr>
            <w:r>
              <w:rPr>
                <w:rFonts w:hint="eastAsia"/>
                <w:bCs/>
                <w:color w:val="000000"/>
                <w:sz w:val="21"/>
                <w:szCs w:val="21"/>
              </w:rPr>
              <w:t>50</w:t>
            </w:r>
            <w:r>
              <w:rPr>
                <w:bCs/>
                <w:color w:val="000000"/>
                <w:sz w:val="21"/>
                <w:szCs w:val="21"/>
              </w:rPr>
              <w:t>m</w:t>
            </w:r>
          </w:p>
        </w:tc>
        <w:tc>
          <w:tcPr>
            <w:tcW w:w="1418" w:type="dxa"/>
          </w:tcPr>
          <w:p>
            <w:pPr>
              <w:spacing w:line="240" w:lineRule="auto"/>
              <w:ind w:firstLine="0" w:firstLineChars="0"/>
              <w:jc w:val="center"/>
              <w:rPr>
                <w:bCs/>
                <w:color w:val="000000"/>
                <w:sz w:val="21"/>
                <w:szCs w:val="21"/>
              </w:rPr>
            </w:pPr>
            <w:r>
              <w:rPr>
                <w:rFonts w:hint="eastAsia"/>
                <w:bCs/>
                <w:color w:val="000000"/>
                <w:sz w:val="21"/>
                <w:szCs w:val="21"/>
              </w:rPr>
              <w:t>2.2</w:t>
            </w:r>
            <w:r>
              <w:rPr>
                <w:bCs/>
                <w:color w:val="000000"/>
                <w:sz w:val="21"/>
                <w:szCs w:val="21"/>
              </w:rPr>
              <w:t>m</w:t>
            </w:r>
          </w:p>
        </w:tc>
        <w:tc>
          <w:tcPr>
            <w:tcW w:w="1417" w:type="dxa"/>
          </w:tcPr>
          <w:p>
            <w:pPr>
              <w:spacing w:line="240" w:lineRule="auto"/>
              <w:ind w:firstLine="0" w:firstLineChars="0"/>
              <w:jc w:val="center"/>
              <w:rPr>
                <w:bCs/>
                <w:color w:val="000000"/>
                <w:sz w:val="21"/>
                <w:szCs w:val="21"/>
              </w:rPr>
            </w:pPr>
            <w:r>
              <w:rPr>
                <w:rFonts w:hint="eastAsia"/>
                <w:bCs/>
                <w:color w:val="000000"/>
                <w:sz w:val="21"/>
                <w:szCs w:val="21"/>
              </w:rPr>
              <w:t>0.08</w:t>
            </w:r>
            <w:r>
              <w:rPr>
                <w:bCs/>
                <w:color w:val="000000"/>
                <w:sz w:val="21"/>
                <w:szCs w:val="21"/>
              </w:rPr>
              <w:t>m/s</w:t>
            </w:r>
          </w:p>
        </w:tc>
        <w:tc>
          <w:tcPr>
            <w:tcW w:w="1303" w:type="dxa"/>
          </w:tcPr>
          <w:p>
            <w:pPr>
              <w:spacing w:line="240" w:lineRule="auto"/>
              <w:ind w:firstLine="0" w:firstLineChars="0"/>
              <w:jc w:val="center"/>
              <w:rPr>
                <w:bCs/>
                <w:color w:val="000000"/>
                <w:sz w:val="21"/>
                <w:szCs w:val="21"/>
              </w:rPr>
            </w:pPr>
            <w:r>
              <w:rPr>
                <w:rFonts w:hint="eastAsia"/>
                <w:bCs/>
                <w:color w:val="000000"/>
                <w:sz w:val="21"/>
                <w:szCs w:val="21"/>
              </w:rPr>
              <w:t>0.774</w:t>
            </w:r>
            <w:r>
              <w:rPr>
                <w:bCs/>
                <w:color w:val="000000"/>
                <w:sz w:val="21"/>
                <w:szCs w:val="21"/>
              </w:rPr>
              <w:t>‰</w:t>
            </w:r>
          </w:p>
        </w:tc>
      </w:tr>
    </w:tbl>
    <w:p>
      <w:pPr>
        <w:ind w:firstLine="480"/>
        <w:rPr>
          <w:rFonts w:hAnsi="宋体"/>
          <w:color w:val="000000"/>
          <w:u w:val="single"/>
        </w:rPr>
      </w:pPr>
      <w:r>
        <w:rPr>
          <w:rFonts w:hint="eastAsia" w:hAnsi="宋体"/>
          <w:color w:val="000000"/>
          <w:u w:val="single"/>
        </w:rPr>
        <w:t>（2）</w:t>
      </w:r>
      <w:r>
        <w:rPr>
          <w:rFonts w:hAnsi="宋体"/>
          <w:color w:val="000000"/>
          <w:u w:val="single"/>
        </w:rPr>
        <w:t>污染物背景浓度</w:t>
      </w:r>
    </w:p>
    <w:p>
      <w:pPr>
        <w:ind w:firstLine="480"/>
        <w:rPr>
          <w:rFonts w:hAnsi="宋体"/>
          <w:szCs w:val="21"/>
          <w:u w:val="single"/>
        </w:rPr>
      </w:pPr>
      <w:r>
        <w:rPr>
          <w:rFonts w:hint="eastAsia" w:hAnsi="宋体"/>
          <w:szCs w:val="21"/>
          <w:u w:val="single"/>
        </w:rPr>
        <w:t>枯水期</w:t>
      </w:r>
      <w:r>
        <w:rPr>
          <w:rFonts w:hAnsi="宋体"/>
          <w:szCs w:val="21"/>
          <w:u w:val="single"/>
        </w:rPr>
        <w:t>污染物背景浓度</w:t>
      </w:r>
      <w:r>
        <w:rPr>
          <w:rFonts w:hint="eastAsia" w:hAnsi="宋体"/>
          <w:szCs w:val="21"/>
          <w:u w:val="single"/>
        </w:rPr>
        <w:t>参考</w:t>
      </w:r>
      <w:r>
        <w:rPr>
          <w:rFonts w:hAnsi="宋体"/>
          <w:szCs w:val="21"/>
          <w:u w:val="single"/>
        </w:rPr>
        <w:t>，背景浓度值见下表。</w:t>
      </w:r>
    </w:p>
    <w:p>
      <w:pPr>
        <w:ind w:firstLine="0" w:firstLineChars="0"/>
        <w:jc w:val="center"/>
        <w:textAlignment w:val="center"/>
        <w:rPr>
          <w:b/>
          <w:bCs/>
          <w:color w:val="000000"/>
          <w:sz w:val="21"/>
          <w:szCs w:val="21"/>
          <w:u w:val="single"/>
        </w:rPr>
      </w:pPr>
      <w:r>
        <w:rPr>
          <w:b/>
          <w:bCs/>
          <w:color w:val="000000"/>
          <w:sz w:val="21"/>
          <w:szCs w:val="21"/>
          <w:u w:val="single"/>
        </w:rPr>
        <w:t>表</w:t>
      </w:r>
      <w:r>
        <w:rPr>
          <w:rFonts w:hint="eastAsia"/>
          <w:b/>
          <w:bCs/>
          <w:color w:val="000000"/>
          <w:sz w:val="21"/>
          <w:szCs w:val="21"/>
          <w:u w:val="single"/>
        </w:rPr>
        <w:t>6</w:t>
      </w:r>
      <w:r>
        <w:rPr>
          <w:b/>
          <w:bCs/>
          <w:color w:val="000000"/>
          <w:sz w:val="21"/>
          <w:szCs w:val="21"/>
          <w:u w:val="single"/>
        </w:rPr>
        <w:t>-</w:t>
      </w:r>
      <w:r>
        <w:rPr>
          <w:rFonts w:hint="eastAsia"/>
          <w:b/>
          <w:bCs/>
          <w:color w:val="000000"/>
          <w:sz w:val="21"/>
          <w:szCs w:val="21"/>
          <w:u w:val="single"/>
        </w:rPr>
        <w:t xml:space="preserve">2  </w:t>
      </w:r>
      <w:r>
        <w:rPr>
          <w:b/>
          <w:bCs/>
          <w:color w:val="000000"/>
          <w:sz w:val="21"/>
          <w:szCs w:val="21"/>
          <w:u w:val="single"/>
        </w:rPr>
        <w:t>污染物背景浓度  单位：mg/L</w:t>
      </w:r>
    </w:p>
    <w:tbl>
      <w:tblPr>
        <w:tblStyle w:val="41"/>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3"/>
        <w:gridCol w:w="1938"/>
        <w:gridCol w:w="2126"/>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3" w:type="dxa"/>
            <w:vAlign w:val="center"/>
          </w:tcPr>
          <w:p>
            <w:pPr>
              <w:spacing w:line="240" w:lineRule="auto"/>
              <w:ind w:firstLine="0" w:firstLineChars="0"/>
              <w:jc w:val="center"/>
              <w:rPr>
                <w:b/>
                <w:bCs/>
                <w:color w:val="000000"/>
                <w:sz w:val="21"/>
                <w:szCs w:val="21"/>
              </w:rPr>
            </w:pPr>
            <w:r>
              <w:rPr>
                <w:b/>
                <w:bCs/>
                <w:color w:val="000000"/>
                <w:sz w:val="21"/>
                <w:szCs w:val="21"/>
              </w:rPr>
              <w:t>项目</w:t>
            </w:r>
          </w:p>
        </w:tc>
        <w:tc>
          <w:tcPr>
            <w:tcW w:w="1938" w:type="dxa"/>
            <w:vAlign w:val="center"/>
          </w:tcPr>
          <w:p>
            <w:pPr>
              <w:adjustRightInd w:val="0"/>
              <w:spacing w:line="240" w:lineRule="auto"/>
              <w:ind w:firstLine="0" w:firstLineChars="0"/>
              <w:jc w:val="center"/>
              <w:rPr>
                <w:b/>
                <w:bCs/>
                <w:color w:val="000000"/>
                <w:sz w:val="21"/>
                <w:szCs w:val="21"/>
              </w:rPr>
            </w:pPr>
            <w:r>
              <w:rPr>
                <w:b/>
                <w:bCs/>
                <w:color w:val="000000"/>
                <w:sz w:val="21"/>
                <w:szCs w:val="21"/>
              </w:rPr>
              <w:t>COD</w:t>
            </w:r>
            <w:r>
              <w:rPr>
                <w:b/>
                <w:bCs/>
                <w:color w:val="000000"/>
                <w:sz w:val="21"/>
                <w:szCs w:val="21"/>
                <w:vertAlign w:val="subscript"/>
              </w:rPr>
              <w:t>Cr</w:t>
            </w:r>
          </w:p>
        </w:tc>
        <w:tc>
          <w:tcPr>
            <w:tcW w:w="2126" w:type="dxa"/>
            <w:vAlign w:val="center"/>
          </w:tcPr>
          <w:p>
            <w:pPr>
              <w:adjustRightInd w:val="0"/>
              <w:spacing w:line="240" w:lineRule="auto"/>
              <w:ind w:firstLine="0" w:firstLineChars="0"/>
              <w:jc w:val="center"/>
              <w:rPr>
                <w:b/>
                <w:bCs/>
                <w:color w:val="000000"/>
                <w:sz w:val="21"/>
                <w:szCs w:val="21"/>
              </w:rPr>
            </w:pPr>
            <w:r>
              <w:rPr>
                <w:rFonts w:hint="eastAsia"/>
                <w:b/>
                <w:bCs/>
                <w:color w:val="000000"/>
                <w:sz w:val="21"/>
                <w:szCs w:val="21"/>
              </w:rPr>
              <w:t>氨氮</w:t>
            </w:r>
          </w:p>
        </w:tc>
        <w:tc>
          <w:tcPr>
            <w:tcW w:w="1785" w:type="dxa"/>
            <w:vAlign w:val="center"/>
          </w:tcPr>
          <w:p>
            <w:pPr>
              <w:adjustRightInd w:val="0"/>
              <w:spacing w:line="240" w:lineRule="auto"/>
              <w:ind w:firstLine="0" w:firstLineChars="0"/>
              <w:jc w:val="center"/>
              <w:rPr>
                <w:b/>
                <w:bCs/>
                <w:color w:val="000000"/>
                <w:sz w:val="21"/>
                <w:szCs w:val="21"/>
              </w:rPr>
            </w:pPr>
            <w:r>
              <w:rPr>
                <w:rFonts w:hint="eastAsia"/>
                <w:b/>
                <w:bCs/>
                <w:color w:val="000000"/>
                <w:sz w:val="21"/>
                <w:szCs w:val="21"/>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3" w:type="dxa"/>
            <w:vAlign w:val="center"/>
          </w:tcPr>
          <w:p>
            <w:pPr>
              <w:spacing w:line="240" w:lineRule="auto"/>
              <w:ind w:firstLine="0" w:firstLineChars="0"/>
              <w:jc w:val="center"/>
              <w:rPr>
                <w:bCs/>
                <w:color w:val="000000"/>
                <w:sz w:val="21"/>
                <w:szCs w:val="21"/>
              </w:rPr>
            </w:pPr>
            <w:r>
              <w:rPr>
                <w:rFonts w:hint="eastAsia"/>
                <w:bCs/>
                <w:color w:val="000000"/>
                <w:sz w:val="21"/>
                <w:szCs w:val="21"/>
              </w:rPr>
              <w:t>枯水期浓度</w:t>
            </w:r>
          </w:p>
        </w:tc>
        <w:tc>
          <w:tcPr>
            <w:tcW w:w="1938" w:type="dxa"/>
            <w:vAlign w:val="center"/>
          </w:tcPr>
          <w:p>
            <w:pPr>
              <w:adjustRightInd w:val="0"/>
              <w:spacing w:line="240" w:lineRule="auto"/>
              <w:ind w:firstLine="0" w:firstLineChars="0"/>
              <w:jc w:val="center"/>
              <w:rPr>
                <w:bCs/>
                <w:color w:val="000000"/>
                <w:sz w:val="21"/>
                <w:szCs w:val="21"/>
              </w:rPr>
            </w:pPr>
            <w:r>
              <w:rPr>
                <w:rFonts w:hint="eastAsia"/>
                <w:bCs/>
                <w:color w:val="000000"/>
                <w:sz w:val="21"/>
                <w:szCs w:val="21"/>
              </w:rPr>
              <w:t>34</w:t>
            </w:r>
          </w:p>
        </w:tc>
        <w:tc>
          <w:tcPr>
            <w:tcW w:w="2126" w:type="dxa"/>
            <w:vAlign w:val="center"/>
          </w:tcPr>
          <w:p>
            <w:pPr>
              <w:adjustRightInd w:val="0"/>
              <w:spacing w:line="240" w:lineRule="auto"/>
              <w:ind w:firstLine="0" w:firstLineChars="0"/>
              <w:jc w:val="center"/>
              <w:rPr>
                <w:bCs/>
                <w:color w:val="000000"/>
                <w:sz w:val="21"/>
                <w:szCs w:val="21"/>
              </w:rPr>
            </w:pPr>
            <w:r>
              <w:rPr>
                <w:rFonts w:hint="eastAsia"/>
                <w:bCs/>
                <w:color w:val="000000"/>
                <w:sz w:val="21"/>
                <w:szCs w:val="21"/>
              </w:rPr>
              <w:t>1.32</w:t>
            </w:r>
          </w:p>
        </w:tc>
        <w:tc>
          <w:tcPr>
            <w:tcW w:w="1785" w:type="dxa"/>
            <w:vAlign w:val="center"/>
          </w:tcPr>
          <w:p>
            <w:pPr>
              <w:adjustRightInd w:val="0"/>
              <w:spacing w:line="240" w:lineRule="auto"/>
              <w:ind w:firstLine="0" w:firstLineChars="0"/>
              <w:jc w:val="center"/>
              <w:rPr>
                <w:bCs/>
                <w:color w:val="000000"/>
                <w:sz w:val="21"/>
                <w:szCs w:val="21"/>
              </w:rPr>
            </w:pPr>
            <w:r>
              <w:rPr>
                <w:rFonts w:hint="eastAsia"/>
                <w:bCs/>
                <w:color w:val="000000"/>
                <w:sz w:val="21"/>
                <w:szCs w:val="21"/>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32" w:type="dxa"/>
            <w:gridSpan w:val="4"/>
            <w:vAlign w:val="center"/>
          </w:tcPr>
          <w:p>
            <w:pPr>
              <w:adjustRightInd w:val="0"/>
              <w:spacing w:line="240" w:lineRule="auto"/>
              <w:ind w:firstLine="0" w:firstLineChars="0"/>
              <w:jc w:val="left"/>
              <w:rPr>
                <w:bCs/>
                <w:color w:val="000000"/>
                <w:sz w:val="21"/>
                <w:szCs w:val="21"/>
              </w:rPr>
            </w:pPr>
            <w:r>
              <w:rPr>
                <w:rFonts w:hint="eastAsia"/>
                <w:bCs/>
                <w:color w:val="000000"/>
                <w:sz w:val="21"/>
                <w:szCs w:val="21"/>
              </w:rPr>
              <w:t>注：枯水期</w:t>
            </w:r>
            <w:r>
              <w:rPr>
                <w:bCs/>
                <w:color w:val="000000"/>
                <w:sz w:val="21"/>
                <w:szCs w:val="21"/>
              </w:rPr>
              <w:t>污染物背景浓度</w:t>
            </w:r>
            <w:r>
              <w:rPr>
                <w:rFonts w:hint="eastAsia"/>
                <w:bCs/>
                <w:color w:val="000000"/>
                <w:sz w:val="21"/>
                <w:szCs w:val="21"/>
              </w:rPr>
              <w:t>参考常德市澧县生态环境监测站2024年3月对澹水东洲断面的监测数据。</w:t>
            </w:r>
          </w:p>
        </w:tc>
      </w:tr>
    </w:tbl>
    <w:p>
      <w:pPr>
        <w:pStyle w:val="4"/>
      </w:pPr>
      <w:r>
        <w:rPr>
          <w:rFonts w:hint="eastAsia"/>
        </w:rPr>
        <w:t>6.1.2预测方案</w:t>
      </w:r>
    </w:p>
    <w:p>
      <w:pPr>
        <w:ind w:firstLine="480"/>
      </w:pPr>
      <w:r>
        <w:rPr>
          <w:rFonts w:hint="eastAsia"/>
        </w:rPr>
        <w:t>澧县东部新区污水处理厂污水处理达标后排入项目东侧农灌沟渠，澹水水位低于34m时，污水通过下游155m处农灌沟渠自流口排入澹水；澹水水位高于34m时，污水经农灌沟渠通过下游250m处东洲机埠电排排入澹水。项目年运行365天，一期设计处理规模60000</w:t>
      </w:r>
      <w:r>
        <w:t>m</w:t>
      </w:r>
      <w:r>
        <w:rPr>
          <w:vertAlign w:val="superscript"/>
        </w:rPr>
        <w:t>3</w:t>
      </w:r>
      <w:r>
        <w:t>/d</w:t>
      </w:r>
      <w:r>
        <w:rPr>
          <w:rFonts w:hint="eastAsia"/>
        </w:rPr>
        <w:t>，尾水中各污染物经处理达到</w:t>
      </w:r>
      <w:r>
        <w:rPr>
          <w:color w:val="000000"/>
        </w:rPr>
        <w:t>《城镇污水处理厂污染物排放标准》（GB18918-2002）</w:t>
      </w:r>
      <w:r>
        <w:rPr>
          <w:rFonts w:hint="eastAsia"/>
          <w:color w:val="000000"/>
        </w:rPr>
        <w:t>表1中</w:t>
      </w:r>
      <w:r>
        <w:rPr>
          <w:color w:val="000000"/>
        </w:rPr>
        <w:t>一级A标准</w:t>
      </w:r>
      <w:r>
        <w:rPr>
          <w:rFonts w:hint="eastAsia"/>
        </w:rPr>
        <w:t>。</w:t>
      </w:r>
    </w:p>
    <w:p>
      <w:pPr>
        <w:ind w:firstLine="480"/>
        <w:rPr>
          <w:rFonts w:hAnsi="宋体"/>
          <w:color w:val="000000"/>
        </w:rPr>
      </w:pPr>
      <w:r>
        <w:rPr>
          <w:rFonts w:hAnsi="宋体"/>
          <w:color w:val="000000"/>
        </w:rPr>
        <w:t>本次是按</w:t>
      </w:r>
      <w:r>
        <w:rPr>
          <w:rFonts w:hint="eastAsia" w:hAnsi="宋体"/>
          <w:color w:val="000000"/>
        </w:rPr>
        <w:t>澹水</w:t>
      </w:r>
      <w:r>
        <w:rPr>
          <w:rFonts w:hAnsi="宋体"/>
          <w:color w:val="000000"/>
        </w:rPr>
        <w:t>枯水期进行预测</w:t>
      </w:r>
      <w:r>
        <w:rPr>
          <w:rFonts w:hint="eastAsia" w:hAnsi="宋体"/>
          <w:color w:val="000000"/>
        </w:rPr>
        <w:t>，</w:t>
      </w:r>
      <w:r>
        <w:rPr>
          <w:rFonts w:hAnsi="宋体"/>
          <w:color w:val="000000"/>
        </w:rPr>
        <w:t>此外，除正常情况外本报告还考虑了事故状态下未经处理直接排水</w:t>
      </w:r>
      <w:r>
        <w:rPr>
          <w:rFonts w:hint="eastAsia" w:hAnsi="宋体"/>
          <w:color w:val="000000"/>
        </w:rPr>
        <w:t>的</w:t>
      </w:r>
      <w:r>
        <w:rPr>
          <w:rFonts w:hAnsi="宋体"/>
          <w:color w:val="000000"/>
        </w:rPr>
        <w:t>影响，各预测方案情况见下表。</w:t>
      </w:r>
    </w:p>
    <w:p>
      <w:pPr>
        <w:ind w:firstLine="0" w:firstLineChars="0"/>
        <w:jc w:val="center"/>
        <w:textAlignment w:val="center"/>
        <w:rPr>
          <w:b/>
          <w:bCs/>
          <w:color w:val="000000"/>
          <w:sz w:val="21"/>
          <w:szCs w:val="21"/>
        </w:rPr>
      </w:pPr>
      <w:r>
        <w:rPr>
          <w:rFonts w:hint="eastAsia"/>
          <w:b/>
          <w:bCs/>
          <w:color w:val="000000"/>
          <w:sz w:val="21"/>
          <w:szCs w:val="21"/>
        </w:rPr>
        <w:t>表6-</w:t>
      </w:r>
      <w:r>
        <w:rPr>
          <w:b/>
          <w:bCs/>
          <w:color w:val="000000"/>
          <w:sz w:val="21"/>
          <w:szCs w:val="21"/>
        </w:rPr>
        <w:t>3</w:t>
      </w:r>
      <w:r>
        <w:rPr>
          <w:rFonts w:hint="eastAsia"/>
          <w:b/>
          <w:bCs/>
          <w:color w:val="000000"/>
          <w:sz w:val="21"/>
          <w:szCs w:val="21"/>
        </w:rPr>
        <w:t xml:space="preserve">  预测方案</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277"/>
        <w:gridCol w:w="1134"/>
        <w:gridCol w:w="766"/>
        <w:gridCol w:w="1324"/>
        <w:gridCol w:w="1814"/>
        <w:gridCol w:w="1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2" w:type="pct"/>
            <w:gridSpan w:val="2"/>
            <w:vMerge w:val="restart"/>
            <w:vAlign w:val="center"/>
          </w:tcPr>
          <w:p>
            <w:pPr>
              <w:spacing w:line="240" w:lineRule="auto"/>
              <w:ind w:firstLine="0" w:firstLineChars="0"/>
              <w:jc w:val="center"/>
              <w:rPr>
                <w:b/>
                <w:bCs/>
                <w:color w:val="000000"/>
                <w:sz w:val="21"/>
                <w:szCs w:val="21"/>
              </w:rPr>
            </w:pPr>
            <w:r>
              <w:rPr>
                <w:rFonts w:hint="eastAsia"/>
                <w:b/>
                <w:bCs/>
                <w:color w:val="000000"/>
                <w:sz w:val="21"/>
                <w:szCs w:val="21"/>
              </w:rPr>
              <w:t>方案</w:t>
            </w:r>
          </w:p>
        </w:tc>
        <w:tc>
          <w:tcPr>
            <w:tcW w:w="634" w:type="pct"/>
            <w:vMerge w:val="restart"/>
            <w:vAlign w:val="center"/>
          </w:tcPr>
          <w:p>
            <w:pPr>
              <w:spacing w:line="240" w:lineRule="auto"/>
              <w:ind w:firstLine="0" w:firstLineChars="0"/>
              <w:jc w:val="center"/>
              <w:rPr>
                <w:b/>
                <w:bCs/>
                <w:color w:val="000000"/>
                <w:sz w:val="21"/>
                <w:szCs w:val="21"/>
              </w:rPr>
            </w:pPr>
            <w:r>
              <w:rPr>
                <w:rFonts w:hint="eastAsia"/>
                <w:b/>
                <w:bCs/>
                <w:color w:val="000000"/>
                <w:sz w:val="21"/>
                <w:szCs w:val="21"/>
              </w:rPr>
              <w:t>预测因子</w:t>
            </w:r>
          </w:p>
        </w:tc>
        <w:tc>
          <w:tcPr>
            <w:tcW w:w="428" w:type="pct"/>
            <w:vMerge w:val="restart"/>
            <w:vAlign w:val="center"/>
          </w:tcPr>
          <w:p>
            <w:pPr>
              <w:spacing w:line="240" w:lineRule="auto"/>
              <w:ind w:firstLine="0" w:firstLineChars="0"/>
              <w:jc w:val="center"/>
              <w:rPr>
                <w:b/>
                <w:bCs/>
                <w:color w:val="000000"/>
                <w:sz w:val="21"/>
                <w:szCs w:val="21"/>
              </w:rPr>
            </w:pPr>
            <w:r>
              <w:rPr>
                <w:rFonts w:hint="eastAsia"/>
                <w:b/>
                <w:bCs/>
                <w:color w:val="000000"/>
                <w:sz w:val="21"/>
                <w:szCs w:val="21"/>
              </w:rPr>
              <w:t>预测河段</w:t>
            </w:r>
          </w:p>
        </w:tc>
        <w:tc>
          <w:tcPr>
            <w:tcW w:w="740" w:type="pct"/>
            <w:vMerge w:val="restart"/>
            <w:vAlign w:val="center"/>
          </w:tcPr>
          <w:p>
            <w:pPr>
              <w:spacing w:line="240" w:lineRule="auto"/>
              <w:ind w:firstLine="0" w:firstLineChars="0"/>
              <w:jc w:val="center"/>
              <w:rPr>
                <w:b/>
                <w:bCs/>
                <w:color w:val="000000"/>
                <w:sz w:val="21"/>
                <w:szCs w:val="21"/>
              </w:rPr>
            </w:pPr>
            <w:r>
              <w:rPr>
                <w:rFonts w:hint="eastAsia"/>
                <w:b/>
                <w:bCs/>
                <w:color w:val="000000"/>
                <w:sz w:val="21"/>
                <w:szCs w:val="21"/>
              </w:rPr>
              <w:t>河流流量（m</w:t>
            </w:r>
            <w:r>
              <w:rPr>
                <w:rFonts w:hint="eastAsia"/>
                <w:b/>
                <w:bCs/>
                <w:color w:val="000000"/>
                <w:sz w:val="21"/>
                <w:szCs w:val="21"/>
                <w:vertAlign w:val="superscript"/>
              </w:rPr>
              <w:t>3</w:t>
            </w:r>
            <w:r>
              <w:rPr>
                <w:rFonts w:hint="eastAsia"/>
                <w:b/>
                <w:bCs/>
                <w:color w:val="000000"/>
                <w:sz w:val="21"/>
                <w:szCs w:val="21"/>
              </w:rPr>
              <w:t>/s）</w:t>
            </w:r>
          </w:p>
        </w:tc>
        <w:tc>
          <w:tcPr>
            <w:tcW w:w="2026" w:type="pct"/>
            <w:gridSpan w:val="2"/>
            <w:vAlign w:val="center"/>
          </w:tcPr>
          <w:p>
            <w:pPr>
              <w:spacing w:line="240" w:lineRule="auto"/>
              <w:ind w:firstLine="0" w:firstLineChars="0"/>
              <w:jc w:val="center"/>
              <w:rPr>
                <w:b/>
                <w:bCs/>
                <w:color w:val="000000"/>
                <w:sz w:val="21"/>
                <w:szCs w:val="21"/>
              </w:rPr>
            </w:pPr>
            <w:r>
              <w:rPr>
                <w:rFonts w:hint="eastAsia"/>
                <w:b/>
                <w:bCs/>
                <w:color w:val="000000"/>
                <w:sz w:val="21"/>
                <w:szCs w:val="21"/>
              </w:rPr>
              <w:t>澧县东部新区污水处理厂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2" w:type="pct"/>
            <w:gridSpan w:val="2"/>
            <w:vMerge w:val="continue"/>
            <w:vAlign w:val="center"/>
          </w:tcPr>
          <w:p>
            <w:pPr>
              <w:spacing w:line="240" w:lineRule="auto"/>
              <w:ind w:firstLine="0" w:firstLineChars="0"/>
              <w:jc w:val="center"/>
              <w:rPr>
                <w:bCs/>
                <w:color w:val="000000"/>
                <w:sz w:val="21"/>
                <w:szCs w:val="21"/>
              </w:rPr>
            </w:pPr>
          </w:p>
        </w:tc>
        <w:tc>
          <w:tcPr>
            <w:tcW w:w="634" w:type="pct"/>
            <w:vMerge w:val="continue"/>
            <w:vAlign w:val="center"/>
          </w:tcPr>
          <w:p>
            <w:pPr>
              <w:spacing w:line="240" w:lineRule="auto"/>
              <w:ind w:firstLine="0" w:firstLineChars="0"/>
              <w:jc w:val="center"/>
              <w:rPr>
                <w:bCs/>
                <w:color w:val="000000"/>
                <w:sz w:val="21"/>
                <w:szCs w:val="21"/>
              </w:rPr>
            </w:pPr>
          </w:p>
        </w:tc>
        <w:tc>
          <w:tcPr>
            <w:tcW w:w="428" w:type="pct"/>
            <w:vMerge w:val="continue"/>
            <w:vAlign w:val="center"/>
          </w:tcPr>
          <w:p>
            <w:pPr>
              <w:spacing w:line="240" w:lineRule="auto"/>
              <w:ind w:firstLine="0" w:firstLineChars="0"/>
              <w:jc w:val="center"/>
              <w:rPr>
                <w:bCs/>
                <w:color w:val="000000"/>
                <w:sz w:val="21"/>
                <w:szCs w:val="21"/>
              </w:rPr>
            </w:pPr>
          </w:p>
        </w:tc>
        <w:tc>
          <w:tcPr>
            <w:tcW w:w="740" w:type="pct"/>
            <w:vMerge w:val="continue"/>
            <w:vAlign w:val="center"/>
          </w:tcPr>
          <w:p>
            <w:pPr>
              <w:spacing w:line="240" w:lineRule="auto"/>
              <w:ind w:firstLine="0" w:firstLineChars="0"/>
              <w:jc w:val="center"/>
              <w:rPr>
                <w:bCs/>
                <w:color w:val="000000"/>
                <w:sz w:val="21"/>
                <w:szCs w:val="21"/>
              </w:rPr>
            </w:pPr>
          </w:p>
        </w:tc>
        <w:tc>
          <w:tcPr>
            <w:tcW w:w="1014" w:type="pct"/>
            <w:vAlign w:val="center"/>
          </w:tcPr>
          <w:p>
            <w:pPr>
              <w:spacing w:line="240" w:lineRule="auto"/>
              <w:ind w:firstLine="0" w:firstLineChars="0"/>
              <w:jc w:val="center"/>
              <w:rPr>
                <w:b/>
                <w:bCs/>
                <w:color w:val="000000"/>
                <w:sz w:val="21"/>
                <w:szCs w:val="21"/>
              </w:rPr>
            </w:pPr>
            <w:r>
              <w:rPr>
                <w:rFonts w:hint="eastAsia"/>
                <w:b/>
                <w:bCs/>
                <w:color w:val="000000"/>
                <w:sz w:val="21"/>
                <w:szCs w:val="21"/>
              </w:rPr>
              <w:t>排放量（m</w:t>
            </w:r>
            <w:r>
              <w:rPr>
                <w:rFonts w:hint="eastAsia"/>
                <w:b/>
                <w:bCs/>
                <w:color w:val="000000"/>
                <w:sz w:val="21"/>
                <w:szCs w:val="21"/>
                <w:vertAlign w:val="superscript"/>
              </w:rPr>
              <w:t>3</w:t>
            </w:r>
            <w:r>
              <w:rPr>
                <w:rFonts w:hint="eastAsia"/>
                <w:b/>
                <w:bCs/>
                <w:color w:val="000000"/>
                <w:sz w:val="21"/>
                <w:szCs w:val="21"/>
              </w:rPr>
              <w:t>/d）</w:t>
            </w:r>
          </w:p>
        </w:tc>
        <w:tc>
          <w:tcPr>
            <w:tcW w:w="1012" w:type="pct"/>
            <w:vAlign w:val="center"/>
          </w:tcPr>
          <w:p>
            <w:pPr>
              <w:spacing w:line="240" w:lineRule="auto"/>
              <w:ind w:firstLine="0" w:firstLineChars="0"/>
              <w:jc w:val="center"/>
              <w:rPr>
                <w:b/>
                <w:bCs/>
                <w:color w:val="000000"/>
                <w:sz w:val="21"/>
                <w:szCs w:val="21"/>
              </w:rPr>
            </w:pPr>
            <w:r>
              <w:rPr>
                <w:rFonts w:hint="eastAsia"/>
                <w:b/>
                <w:bCs/>
                <w:color w:val="000000"/>
                <w:sz w:val="21"/>
                <w:szCs w:val="21"/>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8" w:type="pct"/>
            <w:vMerge w:val="restart"/>
            <w:vAlign w:val="center"/>
          </w:tcPr>
          <w:p>
            <w:pPr>
              <w:spacing w:line="240" w:lineRule="auto"/>
              <w:ind w:firstLine="0" w:firstLineChars="0"/>
              <w:jc w:val="center"/>
              <w:rPr>
                <w:bCs/>
                <w:color w:val="000000"/>
                <w:sz w:val="21"/>
                <w:szCs w:val="21"/>
              </w:rPr>
            </w:pPr>
            <w:r>
              <w:rPr>
                <w:rFonts w:hint="eastAsia"/>
                <w:bCs/>
                <w:color w:val="000000"/>
                <w:sz w:val="21"/>
                <w:szCs w:val="21"/>
              </w:rPr>
              <w:t>方案1</w:t>
            </w:r>
          </w:p>
        </w:tc>
        <w:tc>
          <w:tcPr>
            <w:tcW w:w="714" w:type="pct"/>
            <w:vMerge w:val="restart"/>
            <w:vAlign w:val="center"/>
          </w:tcPr>
          <w:p>
            <w:pPr>
              <w:spacing w:line="240" w:lineRule="auto"/>
              <w:ind w:firstLine="0" w:firstLineChars="0"/>
              <w:jc w:val="center"/>
              <w:rPr>
                <w:bCs/>
                <w:color w:val="000000"/>
                <w:sz w:val="21"/>
                <w:szCs w:val="21"/>
              </w:rPr>
            </w:pPr>
            <w:r>
              <w:rPr>
                <w:rFonts w:hint="eastAsia"/>
                <w:bCs/>
                <w:color w:val="000000"/>
                <w:sz w:val="21"/>
                <w:szCs w:val="21"/>
              </w:rPr>
              <w:t>枯水期正常排放</w:t>
            </w:r>
          </w:p>
        </w:tc>
        <w:tc>
          <w:tcPr>
            <w:tcW w:w="634" w:type="pct"/>
            <w:vAlign w:val="center"/>
          </w:tcPr>
          <w:p>
            <w:pPr>
              <w:spacing w:line="240" w:lineRule="auto"/>
              <w:ind w:firstLine="0" w:firstLineChars="0"/>
              <w:jc w:val="center"/>
              <w:rPr>
                <w:bCs/>
                <w:color w:val="000000"/>
                <w:sz w:val="21"/>
                <w:szCs w:val="21"/>
              </w:rPr>
            </w:pPr>
            <w:r>
              <w:rPr>
                <w:rFonts w:hint="eastAsia"/>
                <w:bCs/>
                <w:color w:val="000000"/>
                <w:sz w:val="21"/>
                <w:szCs w:val="21"/>
              </w:rPr>
              <w:t>COD</w:t>
            </w:r>
          </w:p>
        </w:tc>
        <w:tc>
          <w:tcPr>
            <w:tcW w:w="428" w:type="pct"/>
            <w:vMerge w:val="restart"/>
            <w:vAlign w:val="center"/>
          </w:tcPr>
          <w:p>
            <w:pPr>
              <w:spacing w:line="240" w:lineRule="auto"/>
              <w:ind w:firstLine="0" w:firstLineChars="0"/>
              <w:jc w:val="center"/>
              <w:rPr>
                <w:bCs/>
                <w:color w:val="000000"/>
                <w:sz w:val="21"/>
                <w:szCs w:val="21"/>
              </w:rPr>
            </w:pPr>
            <w:r>
              <w:rPr>
                <w:rFonts w:hint="eastAsia"/>
                <w:bCs/>
                <w:color w:val="000000"/>
                <w:sz w:val="21"/>
                <w:szCs w:val="21"/>
              </w:rPr>
              <w:t>澹水</w:t>
            </w:r>
          </w:p>
        </w:tc>
        <w:tc>
          <w:tcPr>
            <w:tcW w:w="740" w:type="pct"/>
            <w:vMerge w:val="restart"/>
            <w:vAlign w:val="center"/>
          </w:tcPr>
          <w:p>
            <w:pPr>
              <w:spacing w:line="240" w:lineRule="auto"/>
              <w:ind w:firstLine="0" w:firstLineChars="0"/>
              <w:jc w:val="center"/>
              <w:rPr>
                <w:bCs/>
                <w:color w:val="000000"/>
                <w:sz w:val="21"/>
                <w:szCs w:val="21"/>
              </w:rPr>
            </w:pPr>
            <w:r>
              <w:rPr>
                <w:rFonts w:hint="eastAsia"/>
                <w:color w:val="000000"/>
                <w:sz w:val="21"/>
                <w:szCs w:val="21"/>
              </w:rPr>
              <w:t>8.06</w:t>
            </w:r>
          </w:p>
        </w:tc>
        <w:tc>
          <w:tcPr>
            <w:tcW w:w="1014" w:type="pct"/>
            <w:vMerge w:val="restart"/>
            <w:vAlign w:val="center"/>
          </w:tcPr>
          <w:p>
            <w:pPr>
              <w:spacing w:line="240" w:lineRule="auto"/>
              <w:ind w:firstLine="0" w:firstLineChars="0"/>
              <w:jc w:val="center"/>
              <w:rPr>
                <w:bCs/>
                <w:color w:val="000000"/>
                <w:sz w:val="21"/>
                <w:szCs w:val="21"/>
              </w:rPr>
            </w:pPr>
            <w:r>
              <w:rPr>
                <w:rFonts w:hint="eastAsia"/>
                <w:bCs/>
                <w:color w:val="000000"/>
                <w:sz w:val="21"/>
                <w:szCs w:val="21"/>
              </w:rPr>
              <w:t>60000（按未建30000m</w:t>
            </w:r>
            <w:r>
              <w:rPr>
                <w:rFonts w:hint="eastAsia"/>
                <w:bCs/>
                <w:color w:val="000000"/>
                <w:sz w:val="21"/>
                <w:szCs w:val="21"/>
                <w:vertAlign w:val="superscript"/>
              </w:rPr>
              <w:t>3</w:t>
            </w:r>
            <w:r>
              <w:rPr>
                <w:rFonts w:hint="eastAsia"/>
                <w:bCs/>
                <w:color w:val="000000"/>
                <w:sz w:val="21"/>
                <w:szCs w:val="21"/>
              </w:rPr>
              <w:t>/d预测）</w:t>
            </w:r>
          </w:p>
        </w:tc>
        <w:tc>
          <w:tcPr>
            <w:tcW w:w="1012" w:type="pct"/>
            <w:vAlign w:val="center"/>
          </w:tcPr>
          <w:p>
            <w:pPr>
              <w:spacing w:line="240" w:lineRule="auto"/>
              <w:ind w:firstLine="0" w:firstLineChars="0"/>
              <w:jc w:val="center"/>
              <w:rPr>
                <w:bCs/>
                <w:color w:val="000000"/>
                <w:sz w:val="21"/>
                <w:szCs w:val="21"/>
              </w:rPr>
            </w:pPr>
            <w:r>
              <w:rPr>
                <w:rFonts w:hint="eastAsia"/>
                <w:bCs/>
                <w:color w:val="000000"/>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8" w:type="pct"/>
            <w:vMerge w:val="continue"/>
            <w:vAlign w:val="center"/>
          </w:tcPr>
          <w:p>
            <w:pPr>
              <w:spacing w:line="240" w:lineRule="auto"/>
              <w:ind w:firstLine="0" w:firstLineChars="0"/>
              <w:jc w:val="center"/>
              <w:rPr>
                <w:bCs/>
                <w:color w:val="000000"/>
                <w:sz w:val="21"/>
                <w:szCs w:val="21"/>
              </w:rPr>
            </w:pPr>
          </w:p>
        </w:tc>
        <w:tc>
          <w:tcPr>
            <w:tcW w:w="714" w:type="pct"/>
            <w:vMerge w:val="continue"/>
            <w:vAlign w:val="center"/>
          </w:tcPr>
          <w:p>
            <w:pPr>
              <w:spacing w:line="240" w:lineRule="auto"/>
              <w:ind w:firstLine="0" w:firstLineChars="0"/>
              <w:jc w:val="center"/>
              <w:rPr>
                <w:bCs/>
                <w:color w:val="000000"/>
                <w:sz w:val="21"/>
                <w:szCs w:val="21"/>
              </w:rPr>
            </w:pPr>
          </w:p>
        </w:tc>
        <w:tc>
          <w:tcPr>
            <w:tcW w:w="634" w:type="pct"/>
            <w:vAlign w:val="center"/>
          </w:tcPr>
          <w:p>
            <w:pPr>
              <w:spacing w:line="240" w:lineRule="auto"/>
              <w:ind w:firstLine="0" w:firstLineChars="0"/>
              <w:jc w:val="center"/>
              <w:rPr>
                <w:bCs/>
                <w:color w:val="000000"/>
                <w:sz w:val="21"/>
                <w:szCs w:val="21"/>
              </w:rPr>
            </w:pPr>
            <w:r>
              <w:rPr>
                <w:rFonts w:hint="eastAsia"/>
                <w:bCs/>
                <w:color w:val="000000"/>
                <w:sz w:val="21"/>
                <w:szCs w:val="21"/>
              </w:rPr>
              <w:t>氨氮</w:t>
            </w:r>
          </w:p>
        </w:tc>
        <w:tc>
          <w:tcPr>
            <w:tcW w:w="428" w:type="pct"/>
            <w:vMerge w:val="continue"/>
            <w:vAlign w:val="center"/>
          </w:tcPr>
          <w:p>
            <w:pPr>
              <w:spacing w:line="240" w:lineRule="auto"/>
              <w:ind w:firstLine="0" w:firstLineChars="0"/>
              <w:jc w:val="center"/>
              <w:rPr>
                <w:bCs/>
                <w:color w:val="000000"/>
                <w:sz w:val="21"/>
                <w:szCs w:val="21"/>
              </w:rPr>
            </w:pPr>
          </w:p>
        </w:tc>
        <w:tc>
          <w:tcPr>
            <w:tcW w:w="740" w:type="pct"/>
            <w:vMerge w:val="continue"/>
            <w:vAlign w:val="center"/>
          </w:tcPr>
          <w:p>
            <w:pPr>
              <w:spacing w:line="240" w:lineRule="auto"/>
              <w:ind w:firstLine="0" w:firstLineChars="0"/>
              <w:jc w:val="center"/>
              <w:rPr>
                <w:bCs/>
                <w:color w:val="000000"/>
                <w:sz w:val="21"/>
                <w:szCs w:val="21"/>
              </w:rPr>
            </w:pPr>
          </w:p>
        </w:tc>
        <w:tc>
          <w:tcPr>
            <w:tcW w:w="1014" w:type="pct"/>
            <w:vMerge w:val="continue"/>
            <w:vAlign w:val="center"/>
          </w:tcPr>
          <w:p>
            <w:pPr>
              <w:spacing w:line="240" w:lineRule="auto"/>
              <w:ind w:firstLine="0" w:firstLineChars="0"/>
              <w:jc w:val="center"/>
              <w:rPr>
                <w:bCs/>
                <w:color w:val="000000"/>
                <w:sz w:val="21"/>
                <w:szCs w:val="21"/>
              </w:rPr>
            </w:pPr>
          </w:p>
        </w:tc>
        <w:tc>
          <w:tcPr>
            <w:tcW w:w="1012" w:type="pct"/>
            <w:vAlign w:val="center"/>
          </w:tcPr>
          <w:p>
            <w:pPr>
              <w:spacing w:line="240" w:lineRule="auto"/>
              <w:ind w:firstLine="0" w:firstLineChars="0"/>
              <w:jc w:val="center"/>
              <w:rPr>
                <w:bCs/>
                <w:color w:val="000000"/>
                <w:sz w:val="21"/>
                <w:szCs w:val="21"/>
              </w:rPr>
            </w:pPr>
            <w:r>
              <w:rPr>
                <w:rFonts w:hint="eastAsia"/>
                <w:bCs/>
                <w:color w:val="00000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8" w:type="pct"/>
            <w:vMerge w:val="continue"/>
            <w:vAlign w:val="center"/>
          </w:tcPr>
          <w:p>
            <w:pPr>
              <w:spacing w:line="240" w:lineRule="auto"/>
              <w:ind w:firstLine="0" w:firstLineChars="0"/>
              <w:jc w:val="center"/>
              <w:rPr>
                <w:bCs/>
                <w:color w:val="000000"/>
                <w:sz w:val="21"/>
                <w:szCs w:val="21"/>
              </w:rPr>
            </w:pPr>
          </w:p>
        </w:tc>
        <w:tc>
          <w:tcPr>
            <w:tcW w:w="714" w:type="pct"/>
            <w:vMerge w:val="continue"/>
            <w:vAlign w:val="center"/>
          </w:tcPr>
          <w:p>
            <w:pPr>
              <w:spacing w:line="240" w:lineRule="auto"/>
              <w:ind w:firstLine="0" w:firstLineChars="0"/>
              <w:jc w:val="center"/>
              <w:rPr>
                <w:bCs/>
                <w:color w:val="000000"/>
                <w:sz w:val="21"/>
                <w:szCs w:val="21"/>
              </w:rPr>
            </w:pPr>
          </w:p>
        </w:tc>
        <w:tc>
          <w:tcPr>
            <w:tcW w:w="634" w:type="pct"/>
            <w:vAlign w:val="center"/>
          </w:tcPr>
          <w:p>
            <w:pPr>
              <w:spacing w:line="240" w:lineRule="auto"/>
              <w:ind w:firstLine="0" w:firstLineChars="0"/>
              <w:jc w:val="center"/>
              <w:rPr>
                <w:bCs/>
                <w:color w:val="000000"/>
                <w:sz w:val="21"/>
                <w:szCs w:val="21"/>
              </w:rPr>
            </w:pPr>
            <w:r>
              <w:rPr>
                <w:rFonts w:hint="eastAsia"/>
                <w:bCs/>
                <w:color w:val="000000"/>
                <w:sz w:val="21"/>
                <w:szCs w:val="21"/>
              </w:rPr>
              <w:t>总磷</w:t>
            </w:r>
          </w:p>
        </w:tc>
        <w:tc>
          <w:tcPr>
            <w:tcW w:w="428" w:type="pct"/>
            <w:vMerge w:val="continue"/>
            <w:vAlign w:val="center"/>
          </w:tcPr>
          <w:p>
            <w:pPr>
              <w:spacing w:line="240" w:lineRule="auto"/>
              <w:ind w:firstLine="0" w:firstLineChars="0"/>
              <w:jc w:val="center"/>
              <w:rPr>
                <w:bCs/>
                <w:color w:val="000000"/>
                <w:sz w:val="21"/>
                <w:szCs w:val="21"/>
              </w:rPr>
            </w:pPr>
          </w:p>
        </w:tc>
        <w:tc>
          <w:tcPr>
            <w:tcW w:w="740" w:type="pct"/>
            <w:vMerge w:val="continue"/>
            <w:vAlign w:val="center"/>
          </w:tcPr>
          <w:p>
            <w:pPr>
              <w:spacing w:line="240" w:lineRule="auto"/>
              <w:ind w:firstLine="0" w:firstLineChars="0"/>
              <w:jc w:val="center"/>
              <w:rPr>
                <w:bCs/>
                <w:color w:val="000000"/>
                <w:sz w:val="21"/>
                <w:szCs w:val="21"/>
              </w:rPr>
            </w:pPr>
          </w:p>
        </w:tc>
        <w:tc>
          <w:tcPr>
            <w:tcW w:w="1014" w:type="pct"/>
            <w:vMerge w:val="continue"/>
            <w:vAlign w:val="center"/>
          </w:tcPr>
          <w:p>
            <w:pPr>
              <w:spacing w:line="240" w:lineRule="auto"/>
              <w:ind w:firstLine="0" w:firstLineChars="0"/>
              <w:jc w:val="center"/>
              <w:rPr>
                <w:bCs/>
                <w:color w:val="000000"/>
                <w:sz w:val="21"/>
                <w:szCs w:val="21"/>
              </w:rPr>
            </w:pPr>
          </w:p>
        </w:tc>
        <w:tc>
          <w:tcPr>
            <w:tcW w:w="1012" w:type="pct"/>
            <w:vAlign w:val="center"/>
          </w:tcPr>
          <w:p>
            <w:pPr>
              <w:spacing w:line="240" w:lineRule="auto"/>
              <w:ind w:firstLine="0" w:firstLineChars="0"/>
              <w:jc w:val="center"/>
              <w:rPr>
                <w:bCs/>
                <w:color w:val="000000"/>
                <w:sz w:val="21"/>
                <w:szCs w:val="21"/>
              </w:rPr>
            </w:pPr>
            <w:r>
              <w:rPr>
                <w:rFonts w:hint="eastAsia"/>
                <w:bCs/>
                <w:color w:val="000000"/>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8" w:type="pct"/>
            <w:vMerge w:val="restart"/>
            <w:vAlign w:val="center"/>
          </w:tcPr>
          <w:p>
            <w:pPr>
              <w:spacing w:line="240" w:lineRule="auto"/>
              <w:ind w:firstLine="0" w:firstLineChars="0"/>
              <w:jc w:val="center"/>
              <w:rPr>
                <w:bCs/>
                <w:color w:val="000000"/>
                <w:sz w:val="21"/>
                <w:szCs w:val="21"/>
              </w:rPr>
            </w:pPr>
            <w:r>
              <w:rPr>
                <w:rFonts w:hint="eastAsia"/>
                <w:bCs/>
                <w:color w:val="000000"/>
                <w:sz w:val="21"/>
                <w:szCs w:val="21"/>
              </w:rPr>
              <w:t>方案2</w:t>
            </w:r>
          </w:p>
        </w:tc>
        <w:tc>
          <w:tcPr>
            <w:tcW w:w="714" w:type="pct"/>
            <w:vMerge w:val="restart"/>
            <w:vAlign w:val="center"/>
          </w:tcPr>
          <w:p>
            <w:pPr>
              <w:spacing w:line="240" w:lineRule="auto"/>
              <w:ind w:firstLine="0" w:firstLineChars="0"/>
              <w:jc w:val="center"/>
              <w:rPr>
                <w:bCs/>
                <w:color w:val="000000"/>
                <w:sz w:val="21"/>
                <w:szCs w:val="21"/>
              </w:rPr>
            </w:pPr>
            <w:r>
              <w:rPr>
                <w:rFonts w:hint="eastAsia"/>
                <w:bCs/>
                <w:color w:val="000000"/>
                <w:sz w:val="21"/>
                <w:szCs w:val="21"/>
              </w:rPr>
              <w:t>枯水期事故排放</w:t>
            </w:r>
          </w:p>
        </w:tc>
        <w:tc>
          <w:tcPr>
            <w:tcW w:w="634" w:type="pct"/>
            <w:vAlign w:val="center"/>
          </w:tcPr>
          <w:p>
            <w:pPr>
              <w:spacing w:line="240" w:lineRule="auto"/>
              <w:ind w:firstLine="0" w:firstLineChars="0"/>
              <w:jc w:val="center"/>
              <w:rPr>
                <w:bCs/>
                <w:color w:val="000000"/>
                <w:sz w:val="21"/>
                <w:szCs w:val="21"/>
              </w:rPr>
            </w:pPr>
            <w:r>
              <w:rPr>
                <w:rFonts w:hint="eastAsia"/>
                <w:bCs/>
                <w:color w:val="000000"/>
                <w:sz w:val="21"/>
                <w:szCs w:val="21"/>
              </w:rPr>
              <w:t>COD</w:t>
            </w:r>
          </w:p>
        </w:tc>
        <w:tc>
          <w:tcPr>
            <w:tcW w:w="428" w:type="pct"/>
            <w:vMerge w:val="restart"/>
            <w:vAlign w:val="center"/>
          </w:tcPr>
          <w:p>
            <w:pPr>
              <w:spacing w:line="240" w:lineRule="auto"/>
              <w:ind w:firstLine="0" w:firstLineChars="0"/>
              <w:jc w:val="center"/>
              <w:rPr>
                <w:bCs/>
                <w:color w:val="000000"/>
                <w:sz w:val="21"/>
                <w:szCs w:val="21"/>
              </w:rPr>
            </w:pPr>
            <w:r>
              <w:rPr>
                <w:rFonts w:hint="eastAsia"/>
                <w:bCs/>
                <w:color w:val="000000"/>
                <w:sz w:val="21"/>
                <w:szCs w:val="21"/>
              </w:rPr>
              <w:t>澹水</w:t>
            </w:r>
          </w:p>
        </w:tc>
        <w:tc>
          <w:tcPr>
            <w:tcW w:w="740" w:type="pct"/>
            <w:vMerge w:val="restart"/>
            <w:vAlign w:val="center"/>
          </w:tcPr>
          <w:p>
            <w:pPr>
              <w:spacing w:line="240" w:lineRule="auto"/>
              <w:ind w:firstLine="0" w:firstLineChars="0"/>
              <w:jc w:val="center"/>
              <w:rPr>
                <w:bCs/>
                <w:color w:val="000000"/>
                <w:sz w:val="21"/>
                <w:szCs w:val="21"/>
              </w:rPr>
            </w:pPr>
            <w:r>
              <w:rPr>
                <w:rFonts w:hint="eastAsia"/>
                <w:color w:val="000000"/>
                <w:sz w:val="21"/>
                <w:szCs w:val="21"/>
              </w:rPr>
              <w:t>8.06</w:t>
            </w:r>
          </w:p>
        </w:tc>
        <w:tc>
          <w:tcPr>
            <w:tcW w:w="1014" w:type="pct"/>
            <w:vMerge w:val="restart"/>
            <w:vAlign w:val="center"/>
          </w:tcPr>
          <w:p>
            <w:pPr>
              <w:spacing w:line="240" w:lineRule="auto"/>
              <w:ind w:firstLine="0" w:firstLineChars="0"/>
              <w:jc w:val="center"/>
              <w:rPr>
                <w:bCs/>
                <w:color w:val="000000"/>
                <w:sz w:val="21"/>
                <w:szCs w:val="21"/>
              </w:rPr>
            </w:pPr>
            <w:r>
              <w:rPr>
                <w:rFonts w:hint="eastAsia"/>
                <w:bCs/>
                <w:color w:val="000000"/>
                <w:sz w:val="21"/>
                <w:szCs w:val="21"/>
              </w:rPr>
              <w:t>60000（按未建30000m</w:t>
            </w:r>
            <w:r>
              <w:rPr>
                <w:rFonts w:hint="eastAsia"/>
                <w:bCs/>
                <w:color w:val="000000"/>
                <w:sz w:val="21"/>
                <w:szCs w:val="21"/>
                <w:vertAlign w:val="superscript"/>
              </w:rPr>
              <w:t>3</w:t>
            </w:r>
            <w:r>
              <w:rPr>
                <w:rFonts w:hint="eastAsia"/>
                <w:bCs/>
                <w:color w:val="000000"/>
                <w:sz w:val="21"/>
                <w:szCs w:val="21"/>
              </w:rPr>
              <w:t>/d预测）</w:t>
            </w:r>
          </w:p>
        </w:tc>
        <w:tc>
          <w:tcPr>
            <w:tcW w:w="1012" w:type="pct"/>
            <w:vAlign w:val="center"/>
          </w:tcPr>
          <w:p>
            <w:pPr>
              <w:spacing w:line="240" w:lineRule="auto"/>
              <w:ind w:firstLine="0" w:firstLineChars="0"/>
              <w:jc w:val="center"/>
              <w:rPr>
                <w:bCs/>
                <w:color w:val="000000"/>
                <w:sz w:val="21"/>
                <w:szCs w:val="21"/>
              </w:rPr>
            </w:pPr>
            <w:r>
              <w:rPr>
                <w:rFonts w:hint="eastAsia"/>
                <w:bCs/>
                <w:color w:val="000000"/>
                <w:sz w:val="21"/>
                <w:szCs w:val="21"/>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8" w:type="pct"/>
            <w:vMerge w:val="continue"/>
            <w:vAlign w:val="center"/>
          </w:tcPr>
          <w:p>
            <w:pPr>
              <w:spacing w:line="240" w:lineRule="auto"/>
              <w:ind w:firstLine="0" w:firstLineChars="0"/>
              <w:jc w:val="center"/>
              <w:rPr>
                <w:bCs/>
                <w:color w:val="000000"/>
                <w:sz w:val="21"/>
                <w:szCs w:val="21"/>
              </w:rPr>
            </w:pPr>
          </w:p>
        </w:tc>
        <w:tc>
          <w:tcPr>
            <w:tcW w:w="714" w:type="pct"/>
            <w:vMerge w:val="continue"/>
            <w:vAlign w:val="center"/>
          </w:tcPr>
          <w:p>
            <w:pPr>
              <w:spacing w:line="240" w:lineRule="auto"/>
              <w:ind w:firstLine="0" w:firstLineChars="0"/>
              <w:jc w:val="center"/>
              <w:rPr>
                <w:bCs/>
                <w:color w:val="000000"/>
                <w:sz w:val="21"/>
                <w:szCs w:val="21"/>
              </w:rPr>
            </w:pPr>
          </w:p>
        </w:tc>
        <w:tc>
          <w:tcPr>
            <w:tcW w:w="634" w:type="pct"/>
            <w:vAlign w:val="center"/>
          </w:tcPr>
          <w:p>
            <w:pPr>
              <w:spacing w:line="240" w:lineRule="auto"/>
              <w:ind w:firstLine="0" w:firstLineChars="0"/>
              <w:jc w:val="center"/>
              <w:rPr>
                <w:bCs/>
                <w:color w:val="000000"/>
                <w:sz w:val="21"/>
                <w:szCs w:val="21"/>
              </w:rPr>
            </w:pPr>
            <w:r>
              <w:rPr>
                <w:rFonts w:hint="eastAsia"/>
                <w:bCs/>
                <w:color w:val="000000"/>
                <w:sz w:val="21"/>
                <w:szCs w:val="21"/>
              </w:rPr>
              <w:t>氨氮</w:t>
            </w:r>
          </w:p>
        </w:tc>
        <w:tc>
          <w:tcPr>
            <w:tcW w:w="428" w:type="pct"/>
            <w:vMerge w:val="continue"/>
            <w:vAlign w:val="center"/>
          </w:tcPr>
          <w:p>
            <w:pPr>
              <w:spacing w:line="240" w:lineRule="auto"/>
              <w:ind w:firstLine="0" w:firstLineChars="0"/>
              <w:jc w:val="center"/>
              <w:rPr>
                <w:bCs/>
                <w:color w:val="000000"/>
                <w:sz w:val="21"/>
                <w:szCs w:val="21"/>
              </w:rPr>
            </w:pPr>
          </w:p>
        </w:tc>
        <w:tc>
          <w:tcPr>
            <w:tcW w:w="740" w:type="pct"/>
            <w:vMerge w:val="continue"/>
            <w:vAlign w:val="center"/>
          </w:tcPr>
          <w:p>
            <w:pPr>
              <w:spacing w:line="240" w:lineRule="auto"/>
              <w:ind w:firstLine="0" w:firstLineChars="0"/>
              <w:jc w:val="center"/>
              <w:rPr>
                <w:bCs/>
                <w:color w:val="000000"/>
                <w:sz w:val="21"/>
                <w:szCs w:val="21"/>
              </w:rPr>
            </w:pPr>
          </w:p>
        </w:tc>
        <w:tc>
          <w:tcPr>
            <w:tcW w:w="1014" w:type="pct"/>
            <w:vMerge w:val="continue"/>
            <w:vAlign w:val="center"/>
          </w:tcPr>
          <w:p>
            <w:pPr>
              <w:spacing w:line="240" w:lineRule="auto"/>
              <w:ind w:firstLine="0" w:firstLineChars="0"/>
              <w:jc w:val="center"/>
              <w:rPr>
                <w:bCs/>
                <w:color w:val="000000"/>
                <w:sz w:val="21"/>
                <w:szCs w:val="21"/>
              </w:rPr>
            </w:pPr>
          </w:p>
        </w:tc>
        <w:tc>
          <w:tcPr>
            <w:tcW w:w="1012" w:type="pct"/>
            <w:vAlign w:val="center"/>
          </w:tcPr>
          <w:p>
            <w:pPr>
              <w:spacing w:line="240" w:lineRule="auto"/>
              <w:ind w:firstLine="0" w:firstLineChars="0"/>
              <w:jc w:val="center"/>
              <w:rPr>
                <w:bCs/>
                <w:color w:val="000000"/>
                <w:sz w:val="21"/>
                <w:szCs w:val="21"/>
              </w:rPr>
            </w:pPr>
            <w:r>
              <w:rPr>
                <w:rFonts w:hint="eastAsia"/>
                <w:bCs/>
                <w:color w:val="000000"/>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8" w:type="pct"/>
            <w:vMerge w:val="continue"/>
            <w:vAlign w:val="center"/>
          </w:tcPr>
          <w:p>
            <w:pPr>
              <w:spacing w:line="240" w:lineRule="auto"/>
              <w:ind w:firstLine="0" w:firstLineChars="0"/>
              <w:jc w:val="center"/>
              <w:rPr>
                <w:bCs/>
                <w:color w:val="000000"/>
                <w:sz w:val="21"/>
                <w:szCs w:val="21"/>
              </w:rPr>
            </w:pPr>
          </w:p>
        </w:tc>
        <w:tc>
          <w:tcPr>
            <w:tcW w:w="714" w:type="pct"/>
            <w:vMerge w:val="continue"/>
            <w:vAlign w:val="center"/>
          </w:tcPr>
          <w:p>
            <w:pPr>
              <w:spacing w:line="240" w:lineRule="auto"/>
              <w:ind w:firstLine="0" w:firstLineChars="0"/>
              <w:jc w:val="center"/>
              <w:rPr>
                <w:bCs/>
                <w:color w:val="000000"/>
                <w:sz w:val="21"/>
                <w:szCs w:val="21"/>
              </w:rPr>
            </w:pPr>
          </w:p>
        </w:tc>
        <w:tc>
          <w:tcPr>
            <w:tcW w:w="634" w:type="pct"/>
            <w:vAlign w:val="center"/>
          </w:tcPr>
          <w:p>
            <w:pPr>
              <w:spacing w:line="240" w:lineRule="auto"/>
              <w:ind w:firstLine="0" w:firstLineChars="0"/>
              <w:jc w:val="center"/>
              <w:rPr>
                <w:bCs/>
                <w:color w:val="000000"/>
                <w:sz w:val="21"/>
                <w:szCs w:val="21"/>
              </w:rPr>
            </w:pPr>
            <w:r>
              <w:rPr>
                <w:rFonts w:hint="eastAsia"/>
                <w:bCs/>
                <w:color w:val="000000"/>
                <w:sz w:val="21"/>
                <w:szCs w:val="21"/>
              </w:rPr>
              <w:t>总磷</w:t>
            </w:r>
          </w:p>
        </w:tc>
        <w:tc>
          <w:tcPr>
            <w:tcW w:w="428" w:type="pct"/>
            <w:vMerge w:val="continue"/>
            <w:vAlign w:val="center"/>
          </w:tcPr>
          <w:p>
            <w:pPr>
              <w:spacing w:line="240" w:lineRule="auto"/>
              <w:ind w:firstLine="0" w:firstLineChars="0"/>
              <w:jc w:val="center"/>
              <w:rPr>
                <w:bCs/>
                <w:color w:val="000000"/>
                <w:sz w:val="21"/>
                <w:szCs w:val="21"/>
              </w:rPr>
            </w:pPr>
          </w:p>
        </w:tc>
        <w:tc>
          <w:tcPr>
            <w:tcW w:w="740" w:type="pct"/>
            <w:vMerge w:val="continue"/>
            <w:vAlign w:val="center"/>
          </w:tcPr>
          <w:p>
            <w:pPr>
              <w:spacing w:line="240" w:lineRule="auto"/>
              <w:ind w:firstLine="0" w:firstLineChars="0"/>
              <w:jc w:val="center"/>
              <w:rPr>
                <w:bCs/>
                <w:color w:val="000000"/>
                <w:sz w:val="21"/>
                <w:szCs w:val="21"/>
              </w:rPr>
            </w:pPr>
          </w:p>
        </w:tc>
        <w:tc>
          <w:tcPr>
            <w:tcW w:w="1014" w:type="pct"/>
            <w:vMerge w:val="continue"/>
            <w:vAlign w:val="center"/>
          </w:tcPr>
          <w:p>
            <w:pPr>
              <w:spacing w:line="240" w:lineRule="auto"/>
              <w:ind w:firstLine="0" w:firstLineChars="0"/>
              <w:jc w:val="center"/>
              <w:rPr>
                <w:bCs/>
                <w:color w:val="000000"/>
                <w:sz w:val="21"/>
                <w:szCs w:val="21"/>
              </w:rPr>
            </w:pPr>
          </w:p>
        </w:tc>
        <w:tc>
          <w:tcPr>
            <w:tcW w:w="1012" w:type="pct"/>
            <w:vAlign w:val="center"/>
          </w:tcPr>
          <w:p>
            <w:pPr>
              <w:spacing w:line="240" w:lineRule="auto"/>
              <w:ind w:firstLine="0" w:firstLineChars="0"/>
              <w:jc w:val="center"/>
              <w:rPr>
                <w:bCs/>
                <w:color w:val="000000"/>
                <w:sz w:val="21"/>
                <w:szCs w:val="21"/>
              </w:rPr>
            </w:pPr>
            <w:r>
              <w:rPr>
                <w:rFonts w:hint="eastAsia"/>
                <w:bCs/>
                <w:color w:val="00000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00" w:type="pct"/>
            <w:gridSpan w:val="7"/>
            <w:vAlign w:val="center"/>
          </w:tcPr>
          <w:p>
            <w:pPr>
              <w:spacing w:line="240" w:lineRule="auto"/>
              <w:ind w:firstLine="0" w:firstLineChars="0"/>
              <w:jc w:val="left"/>
              <w:rPr>
                <w:bCs/>
                <w:color w:val="000000"/>
                <w:sz w:val="21"/>
                <w:szCs w:val="21"/>
              </w:rPr>
            </w:pPr>
            <w:r>
              <w:rPr>
                <w:rFonts w:hint="eastAsia"/>
                <w:bCs/>
                <w:color w:val="000000"/>
                <w:sz w:val="21"/>
                <w:szCs w:val="21"/>
              </w:rPr>
              <w:t>注：1、事故排放浓度以澧县东部新区污水处理厂进水水质要求的浓度值计；</w:t>
            </w:r>
          </w:p>
          <w:p>
            <w:pPr>
              <w:spacing w:line="240" w:lineRule="auto"/>
              <w:ind w:firstLine="0" w:firstLineChars="0"/>
              <w:jc w:val="left"/>
              <w:rPr>
                <w:bCs/>
                <w:color w:val="000000"/>
                <w:sz w:val="21"/>
                <w:szCs w:val="21"/>
              </w:rPr>
            </w:pPr>
            <w:r>
              <w:rPr>
                <w:rFonts w:hint="eastAsia"/>
                <w:bCs/>
                <w:color w:val="000000"/>
                <w:sz w:val="21"/>
                <w:szCs w:val="21"/>
              </w:rPr>
              <w:t xml:space="preserve">    3、一期工程设计处理规模为60000m</w:t>
            </w:r>
            <w:r>
              <w:rPr>
                <w:rFonts w:hint="eastAsia"/>
                <w:bCs/>
                <w:color w:val="000000"/>
                <w:sz w:val="21"/>
                <w:szCs w:val="21"/>
                <w:vertAlign w:val="superscript"/>
              </w:rPr>
              <w:t>3</w:t>
            </w:r>
            <w:r>
              <w:rPr>
                <w:rFonts w:hint="eastAsia"/>
                <w:bCs/>
                <w:color w:val="000000"/>
                <w:sz w:val="21"/>
                <w:szCs w:val="21"/>
              </w:rPr>
              <w:t>/d，污染物背景浓度为已建成规模30000m</w:t>
            </w:r>
            <w:r>
              <w:rPr>
                <w:rFonts w:hint="eastAsia"/>
                <w:bCs/>
                <w:color w:val="000000"/>
                <w:sz w:val="21"/>
                <w:szCs w:val="21"/>
                <w:vertAlign w:val="superscript"/>
              </w:rPr>
              <w:t>3</w:t>
            </w:r>
            <w:r>
              <w:rPr>
                <w:rFonts w:hint="eastAsia"/>
                <w:bCs/>
                <w:color w:val="000000"/>
                <w:sz w:val="21"/>
                <w:szCs w:val="21"/>
              </w:rPr>
              <w:t>/d废水排入澹水后的浓度值，则预测按未建30000m</w:t>
            </w:r>
            <w:r>
              <w:rPr>
                <w:rFonts w:hint="eastAsia"/>
                <w:bCs/>
                <w:color w:val="000000"/>
                <w:sz w:val="21"/>
                <w:szCs w:val="21"/>
                <w:vertAlign w:val="superscript"/>
              </w:rPr>
              <w:t>3</w:t>
            </w:r>
            <w:r>
              <w:rPr>
                <w:rFonts w:hint="eastAsia"/>
                <w:bCs/>
                <w:color w:val="000000"/>
                <w:sz w:val="21"/>
                <w:szCs w:val="21"/>
              </w:rPr>
              <w:t>/d废水排放量。</w:t>
            </w:r>
          </w:p>
        </w:tc>
      </w:tr>
    </w:tbl>
    <w:p>
      <w:pPr>
        <w:pStyle w:val="4"/>
      </w:pPr>
      <w:r>
        <w:rPr>
          <w:rFonts w:hint="eastAsia"/>
        </w:rPr>
        <w:t>6.1.3预测模型</w:t>
      </w:r>
    </w:p>
    <w:p>
      <w:pPr>
        <w:ind w:firstLine="480"/>
      </w:pPr>
      <w:r>
        <w:rPr>
          <w:rFonts w:hint="eastAsia"/>
        </w:rPr>
        <w:t>（1）混合过程段长度估算公式</w:t>
      </w:r>
    </w:p>
    <w:p>
      <w:pPr>
        <w:ind w:firstLine="0" w:firstLineChars="0"/>
        <w:jc w:val="center"/>
      </w:pPr>
      <m:oMathPara>
        <m:oMath>
          <m:sSub>
            <m:sSubPr>
              <m:ctrlPr>
                <w:rPr>
                  <w:rFonts w:ascii="Cambria Math" w:hAnsi="Cambria Math"/>
                </w:rPr>
              </m:ctrlPr>
            </m:sSubPr>
            <m:e>
              <m:r>
                <m:rPr>
                  <m:sty m:val="p"/>
                </m:rPr>
                <w:rPr>
                  <w:rFonts w:ascii="Cambria Math"/>
                </w:rPr>
                <m:t>L</m:t>
              </m:r>
              <m:ctrlPr>
                <w:rPr>
                  <w:rFonts w:ascii="Cambria Math" w:hAnsi="Cambria Math"/>
                </w:rPr>
              </m:ctrlPr>
            </m:e>
            <m:sub>
              <m:r>
                <m:rPr/>
                <w:rPr>
                  <w:rFonts w:ascii="Cambria Math" w:hAnsi="Cambria Math"/>
                </w:rPr>
                <m:t>m</m:t>
              </m:r>
              <m:ctrlPr>
                <w:rPr>
                  <w:rFonts w:ascii="Cambria Math" w:hAnsi="Cambria Math"/>
                </w:rPr>
              </m:ctrlPr>
            </m:sub>
          </m:sSub>
          <m:r>
            <m:rPr/>
            <w:rPr>
              <w:rFonts w:ascii="Cambria Math"/>
            </w:rPr>
            <m:t>=</m:t>
          </m:r>
          <m:r>
            <m:rPr>
              <m:sty m:val="p"/>
            </m:rPr>
            <m:t>｛</m:t>
          </m:r>
          <m:r>
            <m:rPr>
              <m:sty m:val="p"/>
            </m:rPr>
            <w:rPr>
              <w:rFonts w:ascii="Cambria Math"/>
            </w:rPr>
            <m:t>0.11+0.7</m:t>
          </m:r>
          <m:sSup>
            <m:sSupPr>
              <m:ctrlPr>
                <w:rPr>
                  <w:rFonts w:ascii="Cambria Math" w:hAnsi="Cambria Math"/>
                </w:rPr>
              </m:ctrlPr>
            </m:sSupPr>
            <m:e>
              <m:d>
                <m:dPr>
                  <m:begChr m:val="["/>
                  <m:endChr m:val="]"/>
                  <m:ctrlPr>
                    <w:rPr>
                      <w:rFonts w:ascii="Cambria Math" w:hAnsi="Cambria Math"/>
                    </w:rPr>
                  </m:ctrlPr>
                </m:dPr>
                <m:e>
                  <m:r>
                    <m:rPr>
                      <m:sty m:val="p"/>
                    </m:rPr>
                    <w:rPr>
                      <w:rFonts w:ascii="Cambria Math"/>
                    </w:rPr>
                    <m:t>0.5</m:t>
                  </m:r>
                  <m:r>
                    <m:rPr>
                      <m:sty m:val="p"/>
                    </m:rPr>
                    <m:t>−</m:t>
                  </m:r>
                  <m:f>
                    <m:fPr>
                      <m:ctrlPr>
                        <w:rPr>
                          <w:rFonts w:ascii="Cambria Math" w:hAnsi="Cambria Math"/>
                        </w:rPr>
                      </m:ctrlPr>
                    </m:fPr>
                    <m:num>
                      <m:r>
                        <m:rPr>
                          <m:sty m:val="p"/>
                        </m:rPr>
                        <w:rPr>
                          <w:rFonts w:ascii="Cambria Math"/>
                        </w:rPr>
                        <m:t>a</m:t>
                      </m:r>
                      <m:ctrlPr>
                        <w:rPr>
                          <w:rFonts w:ascii="Cambria Math" w:hAnsi="Cambria Math"/>
                        </w:rPr>
                      </m:ctrlPr>
                    </m:num>
                    <m:den>
                      <m:r>
                        <m:rPr>
                          <m:sty m:val="p"/>
                        </m:rPr>
                        <w:rPr>
                          <w:rFonts w:ascii="Cambria Math"/>
                        </w:rPr>
                        <m:t>B</m:t>
                      </m:r>
                      <m:ctrlPr>
                        <w:rPr>
                          <w:rFonts w:ascii="Cambria Math" w:hAnsi="Cambria Math"/>
                        </w:rPr>
                      </m:ctrlPr>
                    </m:den>
                  </m:f>
                  <m:r>
                    <m:rPr>
                      <m:sty m:val="p"/>
                    </m:rPr>
                    <m:t>−</m:t>
                  </m:r>
                  <m:r>
                    <m:rPr>
                      <m:sty m:val="p"/>
                    </m:rPr>
                    <w:rPr>
                      <w:rFonts w:ascii="Cambria Math"/>
                    </w:rPr>
                    <m:t>1.1</m:t>
                  </m:r>
                  <m:sSup>
                    <m:sSupPr>
                      <m:ctrlPr>
                        <w:rPr>
                          <w:rFonts w:ascii="Cambria Math" w:hAnsi="Cambria Math"/>
                        </w:rPr>
                      </m:ctrlPr>
                    </m:sSupPr>
                    <m:e>
                      <m:d>
                        <m:dPr>
                          <m:ctrlPr>
                            <w:rPr>
                              <w:rFonts w:ascii="Cambria Math" w:hAnsi="Cambria Math"/>
                            </w:rPr>
                          </m:ctrlPr>
                        </m:dPr>
                        <m:e>
                          <m:r>
                            <m:rPr>
                              <m:sty m:val="p"/>
                            </m:rPr>
                            <w:rPr>
                              <w:rFonts w:ascii="Cambria Math"/>
                            </w:rPr>
                            <m:t>0.5</m:t>
                          </m:r>
                          <m:r>
                            <m:rPr>
                              <m:sty m:val="p"/>
                            </m:rPr>
                            <m:t>−</m:t>
                          </m:r>
                          <m:f>
                            <m:fPr>
                              <m:ctrlPr>
                                <w:rPr>
                                  <w:rFonts w:ascii="Cambria Math" w:hAnsi="Cambria Math"/>
                                </w:rPr>
                              </m:ctrlPr>
                            </m:fPr>
                            <m:num>
                              <m:r>
                                <m:rPr>
                                  <m:sty m:val="p"/>
                                </m:rPr>
                                <w:rPr>
                                  <w:rFonts w:ascii="Cambria Math"/>
                                </w:rPr>
                                <m:t>a</m:t>
                              </m:r>
                              <m:ctrlPr>
                                <w:rPr>
                                  <w:rFonts w:ascii="Cambria Math" w:hAnsi="Cambria Math"/>
                                </w:rPr>
                              </m:ctrlPr>
                            </m:num>
                            <m:den>
                              <m:r>
                                <m:rPr>
                                  <m:sty m:val="p"/>
                                </m:rPr>
                                <w:rPr>
                                  <w:rFonts w:ascii="Cambria Math"/>
                                </w:rPr>
                                <m:t>B</m:t>
                              </m:r>
                              <m:ctrlPr>
                                <w:rPr>
                                  <w:rFonts w:ascii="Cambria Math" w:hAnsi="Cambria Math"/>
                                </w:rPr>
                              </m:ctrlPr>
                            </m:den>
                          </m:f>
                          <m:ctrlPr>
                            <w:rPr>
                              <w:rFonts w:ascii="Cambria Math" w:hAnsi="Cambria Math"/>
                            </w:rPr>
                          </m:ctrlPr>
                        </m:e>
                      </m:d>
                      <m:ctrlPr>
                        <w:rPr>
                          <w:rFonts w:ascii="Cambria Math" w:hAnsi="Cambria Math"/>
                        </w:rPr>
                      </m:ctrlPr>
                    </m:e>
                    <m:sup>
                      <m:r>
                        <m:rPr>
                          <m:sty m:val="p"/>
                        </m:rPr>
                        <w:rPr>
                          <w:rFonts w:ascii="Cambria Math"/>
                        </w:rPr>
                        <m:t>2</m:t>
                      </m:r>
                      <m:ctrlPr>
                        <w:rPr>
                          <w:rFonts w:ascii="Cambria Math" w:hAnsi="Cambria Math"/>
                        </w:rPr>
                      </m:ctrlPr>
                    </m:sup>
                  </m:sSup>
                  <m:ctrlPr>
                    <w:rPr>
                      <w:rFonts w:ascii="Cambria Math" w:hAnsi="Cambria Math"/>
                    </w:rPr>
                  </m:ctrlPr>
                </m:e>
              </m:d>
              <m:ctrlPr>
                <w:rPr>
                  <w:rFonts w:ascii="Cambria Math" w:hAnsi="Cambria Math"/>
                </w:rPr>
              </m:ctrlPr>
            </m:e>
            <m:sup>
              <m:r>
                <m:rPr>
                  <m:sty m:val="p"/>
                </m:rPr>
                <w:rPr>
                  <w:rFonts w:ascii="Cambria Math"/>
                </w:rPr>
                <m:t>1/2</m:t>
              </m:r>
              <m:ctrlPr>
                <w:rPr>
                  <w:rFonts w:ascii="Cambria Math" w:hAnsi="Cambria Math"/>
                </w:rPr>
              </m:ctrlPr>
            </m:sup>
          </m:sSup>
          <m:r>
            <m:rPr>
              <m:sty m:val="p"/>
            </m:rPr>
            <m:t>｝</m:t>
          </m:r>
          <m:f>
            <m:fPr>
              <m:ctrlPr>
                <w:rPr>
                  <w:rFonts w:ascii="Cambria Math" w:hAnsi="Cambria Math"/>
                  <w:i/>
                </w:rPr>
              </m:ctrlPr>
            </m:fPr>
            <m:num>
              <m:r>
                <m:rPr/>
                <w:rPr>
                  <w:rFonts w:ascii="Cambria Math" w:hAnsi="Cambria Math"/>
                </w:rPr>
                <m:t>u</m:t>
              </m:r>
              <m:sSup>
                <m:sSupPr>
                  <m:ctrlPr>
                    <w:rPr>
                      <w:rFonts w:ascii="Cambria Math" w:hAnsi="Cambria Math"/>
                    </w:rPr>
                  </m:ctrlPr>
                </m:sSupPr>
                <m:e>
                  <m:r>
                    <m:rPr/>
                    <w:rPr>
                      <w:rFonts w:ascii="Cambria Math" w:hAnsi="Cambria Math"/>
                    </w:rPr>
                    <m:t>B</m:t>
                  </m:r>
                  <m:ctrlPr>
                    <w:rPr>
                      <w:rFonts w:ascii="Cambria Math" w:hAnsi="Cambria Math"/>
                    </w:rPr>
                  </m:ctrlPr>
                </m:e>
                <m:sup>
                  <m:r>
                    <m:rPr/>
                    <w:rPr>
                      <w:rFonts w:ascii="Cambria Math"/>
                    </w:rPr>
                    <m:t>2</m:t>
                  </m:r>
                  <m:ctrlPr>
                    <w:rPr>
                      <w:rFonts w:ascii="Cambria Math" w:hAnsi="Cambria Math"/>
                    </w:rPr>
                  </m:ctrlPr>
                </m:sup>
              </m:sSup>
              <m:ctrlPr>
                <w:rPr>
                  <w:rFonts w:ascii="Cambria Math" w:hAnsi="Cambria Math"/>
                  <w:i/>
                </w:rPr>
              </m:ctrlPr>
            </m:num>
            <m:den>
              <m:sSub>
                <m:sSubPr>
                  <m:ctrlPr>
                    <w:rPr>
                      <w:rFonts w:ascii="Cambria Math" w:hAnsi="Cambria Math"/>
                      <w:i/>
                    </w:rPr>
                  </m:ctrlPr>
                </m:sSubPr>
                <m:e>
                  <m:r>
                    <m:rPr/>
                    <w:rPr>
                      <w:rFonts w:ascii="Cambria Math" w:hAnsi="Cambria Math"/>
                    </w:rPr>
                    <m:t>E</m:t>
                  </m:r>
                  <m:ctrlPr>
                    <w:rPr>
                      <w:rFonts w:ascii="Cambria Math" w:hAnsi="Cambria Math"/>
                      <w:i/>
                    </w:rPr>
                  </m:ctrlPr>
                </m:e>
                <m:sub>
                  <m:r>
                    <m:rPr/>
                    <w:rPr>
                      <w:rFonts w:ascii="Cambria Math" w:hAnsi="Cambria Math"/>
                    </w:rPr>
                    <m:t>y</m:t>
                  </m:r>
                  <m:ctrlPr>
                    <w:rPr>
                      <w:rFonts w:ascii="Cambria Math" w:hAnsi="Cambria Math"/>
                      <w:i/>
                    </w:rPr>
                  </m:ctrlPr>
                </m:sub>
              </m:sSub>
              <m:ctrlPr>
                <w:rPr>
                  <w:rFonts w:ascii="Cambria Math" w:hAnsi="Cambria Math"/>
                  <w:i/>
                </w:rPr>
              </m:ctrlPr>
            </m:den>
          </m:f>
        </m:oMath>
      </m:oMathPara>
    </w:p>
    <w:p>
      <w:pPr>
        <w:ind w:firstLine="480"/>
        <w:rPr>
          <w:color w:val="000000"/>
        </w:rPr>
      </w:pPr>
      <w:r>
        <w:rPr>
          <w:rFonts w:hAnsi="宋体"/>
          <w:color w:val="000000"/>
        </w:rPr>
        <w:t>式中：</w:t>
      </w:r>
      <w:r>
        <w:rPr>
          <w:color w:val="000000"/>
        </w:rPr>
        <w:t>L</w:t>
      </w:r>
      <w:r>
        <w:rPr>
          <w:color w:val="000000"/>
          <w:vertAlign w:val="subscript"/>
        </w:rPr>
        <w:t>m</w:t>
      </w:r>
      <w:r>
        <w:rPr>
          <w:color w:val="000000"/>
        </w:rPr>
        <w:t>——</w:t>
      </w:r>
      <w:r>
        <w:rPr>
          <w:rFonts w:hAnsi="宋体"/>
          <w:color w:val="000000"/>
        </w:rPr>
        <w:t>混合段长度，</w:t>
      </w:r>
      <w:r>
        <w:rPr>
          <w:color w:val="000000"/>
        </w:rPr>
        <w:t>m</w:t>
      </w:r>
      <w:r>
        <w:rPr>
          <w:rFonts w:hAnsi="宋体"/>
          <w:color w:val="000000"/>
        </w:rPr>
        <w:t>；</w:t>
      </w:r>
    </w:p>
    <w:p>
      <w:pPr>
        <w:ind w:firstLine="1200" w:firstLineChars="500"/>
        <w:rPr>
          <w:color w:val="000000"/>
        </w:rPr>
      </w:pPr>
      <w:r>
        <w:rPr>
          <w:color w:val="000000"/>
        </w:rPr>
        <w:t>B——</w:t>
      </w:r>
      <w:r>
        <w:rPr>
          <w:rFonts w:hAnsi="宋体"/>
          <w:color w:val="000000"/>
        </w:rPr>
        <w:t>水面宽度，</w:t>
      </w:r>
      <w:r>
        <w:rPr>
          <w:color w:val="000000"/>
        </w:rPr>
        <w:t>m</w:t>
      </w:r>
      <w:r>
        <w:rPr>
          <w:rFonts w:hAnsi="宋体"/>
          <w:color w:val="000000"/>
        </w:rPr>
        <w:t>；</w:t>
      </w:r>
    </w:p>
    <w:p>
      <w:pPr>
        <w:ind w:firstLine="1200" w:firstLineChars="500"/>
        <w:rPr>
          <w:color w:val="000000"/>
        </w:rPr>
      </w:pPr>
      <w:r>
        <w:rPr>
          <w:color w:val="000000"/>
        </w:rPr>
        <w:t>a——</w:t>
      </w:r>
      <w:r>
        <w:rPr>
          <w:rFonts w:hAnsi="宋体"/>
          <w:color w:val="000000"/>
        </w:rPr>
        <w:t>排放口到岸边的距离，</w:t>
      </w:r>
      <w:r>
        <w:rPr>
          <w:color w:val="000000"/>
        </w:rPr>
        <w:t>m</w:t>
      </w:r>
      <w:r>
        <w:rPr>
          <w:rFonts w:hAnsi="宋体"/>
          <w:color w:val="000000"/>
        </w:rPr>
        <w:t>，本项目</w:t>
      </w:r>
      <w:r>
        <w:rPr>
          <w:rFonts w:hint="eastAsia" w:hAnsi="宋体"/>
          <w:color w:val="000000"/>
        </w:rPr>
        <w:t>取</w:t>
      </w:r>
      <w:r>
        <w:rPr>
          <w:color w:val="000000"/>
        </w:rPr>
        <w:t>0m</w:t>
      </w:r>
      <w:r>
        <w:rPr>
          <w:rFonts w:hAnsi="宋体"/>
          <w:color w:val="000000"/>
        </w:rPr>
        <w:t>；</w:t>
      </w:r>
    </w:p>
    <w:p>
      <w:pPr>
        <w:ind w:firstLine="1200" w:firstLineChars="500"/>
        <w:rPr>
          <w:color w:val="000000"/>
        </w:rPr>
      </w:pPr>
      <w:r>
        <w:rPr>
          <w:color w:val="000000"/>
        </w:rPr>
        <w:t>u——</w:t>
      </w:r>
      <w:r>
        <w:rPr>
          <w:rFonts w:hAnsi="宋体"/>
          <w:color w:val="000000"/>
        </w:rPr>
        <w:t>断面流速，</w:t>
      </w:r>
      <w:r>
        <w:rPr>
          <w:color w:val="000000"/>
        </w:rPr>
        <w:t>m/s</w:t>
      </w:r>
      <w:r>
        <w:rPr>
          <w:rFonts w:hAnsi="宋体"/>
          <w:color w:val="000000"/>
        </w:rPr>
        <w:t>；</w:t>
      </w:r>
    </w:p>
    <w:p>
      <w:pPr>
        <w:ind w:firstLine="1200" w:firstLineChars="500"/>
        <w:rPr>
          <w:color w:val="000000"/>
        </w:rPr>
      </w:pPr>
      <w:r>
        <w:rPr>
          <w:color w:val="000000"/>
        </w:rPr>
        <w:t>H——</w:t>
      </w:r>
      <w:r>
        <w:rPr>
          <w:rFonts w:hAnsi="宋体"/>
          <w:color w:val="000000"/>
        </w:rPr>
        <w:t>河流水深，</w:t>
      </w:r>
      <w:r>
        <w:rPr>
          <w:color w:val="000000"/>
        </w:rPr>
        <w:t>m</w:t>
      </w:r>
      <w:r>
        <w:rPr>
          <w:rFonts w:hAnsi="宋体"/>
          <w:color w:val="000000"/>
        </w:rPr>
        <w:t>；</w:t>
      </w:r>
    </w:p>
    <w:p>
      <w:pPr>
        <w:ind w:firstLine="1200" w:firstLineChars="500"/>
        <w:rPr>
          <w:color w:val="000000"/>
        </w:rPr>
      </w:pPr>
      <w:r>
        <w:rPr>
          <w:color w:val="000000"/>
        </w:rPr>
        <w:t>E</w:t>
      </w:r>
      <w:r>
        <w:rPr>
          <w:color w:val="000000"/>
          <w:vertAlign w:val="subscript"/>
        </w:rPr>
        <w:t>y</w:t>
      </w:r>
      <w:r>
        <w:rPr>
          <w:color w:val="000000"/>
        </w:rPr>
        <w:t>——</w:t>
      </w:r>
      <w:r>
        <w:rPr>
          <w:rFonts w:hAnsi="宋体"/>
          <w:color w:val="000000"/>
        </w:rPr>
        <w:t>污染物横向扩散系数，</w:t>
      </w:r>
      <w:r>
        <w:rPr>
          <w:color w:val="000000"/>
        </w:rPr>
        <w:t>m</w:t>
      </w:r>
      <w:r>
        <w:rPr>
          <w:color w:val="000000"/>
          <w:vertAlign w:val="superscript"/>
        </w:rPr>
        <w:t>2</w:t>
      </w:r>
      <w:r>
        <w:rPr>
          <w:color w:val="000000"/>
        </w:rPr>
        <w:t>/s</w:t>
      </w:r>
      <w:r>
        <w:rPr>
          <w:rFonts w:hAnsi="宋体"/>
          <w:color w:val="000000"/>
        </w:rPr>
        <w:t>；由泰勒法</w:t>
      </w:r>
      <w:r>
        <w:rPr>
          <w:color w:val="000000"/>
        </w:rPr>
        <w:t>(0.058H+0.0065B)(gHI)</w:t>
      </w:r>
      <w:r>
        <w:rPr>
          <w:color w:val="000000"/>
          <w:vertAlign w:val="superscript"/>
        </w:rPr>
        <w:t>1/2</w:t>
      </w:r>
      <w:r>
        <w:rPr>
          <w:rFonts w:hAnsi="宋体"/>
          <w:color w:val="000000"/>
        </w:rPr>
        <w:t>求得，其中</w:t>
      </w:r>
      <w:r>
        <w:rPr>
          <w:color w:val="000000"/>
        </w:rPr>
        <w:t>g</w:t>
      </w:r>
      <w:r>
        <w:rPr>
          <w:rFonts w:hAnsi="宋体"/>
          <w:color w:val="000000"/>
        </w:rPr>
        <w:t>为重力加速度，取</w:t>
      </w:r>
      <w:r>
        <w:rPr>
          <w:color w:val="000000"/>
        </w:rPr>
        <w:t>9.8 m</w:t>
      </w:r>
      <w:r>
        <w:rPr>
          <w:color w:val="000000"/>
          <w:vertAlign w:val="superscript"/>
        </w:rPr>
        <w:t>2</w:t>
      </w:r>
      <w:r>
        <w:rPr>
          <w:color w:val="000000"/>
        </w:rPr>
        <w:t>/s</w:t>
      </w:r>
      <w:r>
        <w:rPr>
          <w:rFonts w:hAnsi="宋体"/>
          <w:color w:val="000000"/>
        </w:rPr>
        <w:t>；</w:t>
      </w:r>
      <w:r>
        <w:rPr>
          <w:color w:val="000000"/>
        </w:rPr>
        <w:t>I</w:t>
      </w:r>
      <w:r>
        <w:rPr>
          <w:rFonts w:hAnsi="宋体"/>
          <w:color w:val="000000"/>
        </w:rPr>
        <w:t>为水力坡度，</w:t>
      </w:r>
      <w:r>
        <w:rPr>
          <w:rFonts w:hint="eastAsia" w:hAnsi="宋体"/>
          <w:color w:val="000000"/>
        </w:rPr>
        <w:t>0.</w:t>
      </w:r>
      <w:r>
        <w:rPr>
          <w:rFonts w:hint="eastAsia"/>
          <w:color w:val="000000"/>
        </w:rPr>
        <w:t>774</w:t>
      </w:r>
      <w:r>
        <w:rPr>
          <w:color w:val="000000"/>
        </w:rPr>
        <w:t>‰</w:t>
      </w:r>
      <w:r>
        <w:rPr>
          <w:rFonts w:hAnsi="宋体"/>
          <w:color w:val="000000"/>
        </w:rPr>
        <w:t>；</w:t>
      </w:r>
      <w:r>
        <w:rPr>
          <w:color w:val="000000"/>
        </w:rPr>
        <w:t>通过计算确定</w:t>
      </w:r>
      <w:r>
        <w:rPr>
          <w:rFonts w:hint="eastAsia"/>
          <w:color w:val="000000"/>
        </w:rPr>
        <w:t>E</w:t>
      </w:r>
      <w:r>
        <w:rPr>
          <w:rFonts w:hint="eastAsia"/>
          <w:color w:val="000000"/>
          <w:vertAlign w:val="subscript"/>
        </w:rPr>
        <w:t>y</w:t>
      </w:r>
      <w:r>
        <w:rPr>
          <w:rFonts w:hint="eastAsia"/>
          <w:color w:val="000000"/>
        </w:rPr>
        <w:t>为0.0585m</w:t>
      </w:r>
      <w:r>
        <w:rPr>
          <w:rFonts w:hint="eastAsia"/>
          <w:color w:val="000000"/>
          <w:vertAlign w:val="superscript"/>
        </w:rPr>
        <w:t>2</w:t>
      </w:r>
      <w:r>
        <w:rPr>
          <w:rFonts w:hint="eastAsia"/>
          <w:color w:val="000000"/>
        </w:rPr>
        <w:t>/s。</w:t>
      </w:r>
    </w:p>
    <w:p>
      <w:pPr>
        <w:ind w:firstLine="480"/>
        <w:rPr>
          <w:u w:val="single"/>
        </w:rPr>
      </w:pPr>
      <w:r>
        <w:rPr>
          <w:color w:val="000000"/>
          <w:u w:val="single"/>
        </w:rPr>
        <w:t>经计算，得</w:t>
      </w:r>
      <w:r>
        <w:rPr>
          <w:rFonts w:hint="eastAsia"/>
          <w:color w:val="000000"/>
          <w:u w:val="single"/>
        </w:rPr>
        <w:t>枯水期</w:t>
      </w:r>
      <w:r>
        <w:rPr>
          <w:color w:val="000000"/>
          <w:u w:val="single"/>
        </w:rPr>
        <w:t>混合过程段长度：L</w:t>
      </w:r>
      <w:r>
        <w:rPr>
          <w:color w:val="000000"/>
          <w:u w:val="single"/>
          <w:vertAlign w:val="subscript"/>
        </w:rPr>
        <w:t>m</w:t>
      </w:r>
      <w:r>
        <w:rPr>
          <w:color w:val="000000"/>
          <w:u w:val="single"/>
        </w:rPr>
        <w:t>=</w:t>
      </w:r>
      <w:r>
        <w:rPr>
          <w:rFonts w:hint="eastAsia"/>
          <w:color w:val="000000"/>
          <w:u w:val="single"/>
        </w:rPr>
        <w:t>1511.3</w:t>
      </w:r>
      <w:r>
        <w:rPr>
          <w:color w:val="000000"/>
          <w:u w:val="single"/>
        </w:rPr>
        <w:t>m</w:t>
      </w:r>
      <w:r>
        <w:rPr>
          <w:rFonts w:hint="eastAsia"/>
          <w:color w:val="000000"/>
          <w:u w:val="single"/>
        </w:rPr>
        <w:t>，故在1511.3m处完全混合。</w:t>
      </w:r>
    </w:p>
    <w:p>
      <w:pPr>
        <w:ind w:firstLine="480"/>
        <w:rPr>
          <w:szCs w:val="21"/>
        </w:rPr>
      </w:pPr>
      <w:r>
        <w:rPr>
          <w:rFonts w:hint="eastAsia"/>
          <w:szCs w:val="21"/>
        </w:rPr>
        <w:t>（2）纵向一维数学模型（连续稳定排放）</w:t>
      </w:r>
    </w:p>
    <w:p>
      <w:pPr>
        <w:ind w:firstLine="480"/>
      </w:pPr>
      <w:r>
        <w:rPr>
          <w:szCs w:val="21"/>
        </w:rPr>
        <w:t>查</w:t>
      </w:r>
      <w:r>
        <w:rPr>
          <w:rFonts w:hint="eastAsia"/>
          <w:szCs w:val="21"/>
        </w:rPr>
        <w:t>相关</w:t>
      </w:r>
      <w:r>
        <w:rPr>
          <w:szCs w:val="21"/>
        </w:rPr>
        <w:t>水文资料可知</w:t>
      </w:r>
      <w:r>
        <w:rPr>
          <w:rFonts w:hint="eastAsia"/>
          <w:szCs w:val="21"/>
        </w:rPr>
        <w:t>，澹水</w:t>
      </w:r>
      <w:r>
        <w:rPr>
          <w:rFonts w:hint="eastAsia"/>
        </w:rPr>
        <w:t>平水期月平均流量为10m</w:t>
      </w:r>
      <w:r>
        <w:rPr>
          <w:rFonts w:hint="eastAsia"/>
          <w:vertAlign w:val="superscript"/>
        </w:rPr>
        <w:t>3</w:t>
      </w:r>
      <w:r>
        <w:rPr>
          <w:rFonts w:hint="eastAsia"/>
        </w:rPr>
        <w:t>/s</w:t>
      </w:r>
      <w:r>
        <w:rPr>
          <w:rFonts w:hint="eastAsia"/>
          <w:szCs w:val="21"/>
        </w:rPr>
        <w:t>＜1</w:t>
      </w:r>
      <w:r>
        <w:rPr>
          <w:szCs w:val="21"/>
        </w:rPr>
        <w:t>5m</w:t>
      </w:r>
      <w:r>
        <w:rPr>
          <w:szCs w:val="21"/>
          <w:vertAlign w:val="superscript"/>
        </w:rPr>
        <w:t>3</w:t>
      </w:r>
      <w:r>
        <w:rPr>
          <w:szCs w:val="21"/>
        </w:rPr>
        <w:t>/s，</w:t>
      </w:r>
      <w:r>
        <w:rPr>
          <w:rFonts w:hint="eastAsia"/>
          <w:szCs w:val="21"/>
        </w:rPr>
        <w:t>为小型河段</w:t>
      </w:r>
      <w:r>
        <w:rPr>
          <w:rFonts w:hint="eastAsia"/>
        </w:rPr>
        <w:t>，根据</w:t>
      </w:r>
      <w:r>
        <w:rPr>
          <w:color w:val="000000"/>
          <w:szCs w:val="24"/>
        </w:rPr>
        <w:t>《水域纳污能力计算规程》（GB/T</w:t>
      </w:r>
      <w:r>
        <w:rPr>
          <w:rFonts w:hint="eastAsia"/>
          <w:color w:val="000000"/>
          <w:szCs w:val="24"/>
        </w:rPr>
        <w:t xml:space="preserve"> </w:t>
      </w:r>
      <w:r>
        <w:rPr>
          <w:color w:val="000000"/>
          <w:szCs w:val="24"/>
        </w:rPr>
        <w:t>251</w:t>
      </w:r>
      <w:r>
        <w:rPr>
          <w:rFonts w:hint="eastAsia"/>
          <w:color w:val="000000"/>
          <w:szCs w:val="24"/>
        </w:rPr>
        <w:t>73</w:t>
      </w:r>
      <w:r>
        <w:rPr>
          <w:color w:val="000000"/>
          <w:szCs w:val="24"/>
        </w:rPr>
        <w:t>-2010）</w:t>
      </w:r>
      <w:r>
        <w:rPr>
          <w:rFonts w:hint="eastAsia"/>
        </w:rPr>
        <w:t>，本工程污水排放口入澹水河段采用一维连续稳定排放模型。</w:t>
      </w:r>
    </w:p>
    <w:p>
      <w:pPr>
        <w:ind w:firstLine="480"/>
      </w:pPr>
      <w:r>
        <w:rPr>
          <w:rFonts w:hint="eastAsia"/>
        </w:rPr>
        <w:t>根据河流纵向一维水质模型方程的简化、分类判别条件（即O</w:t>
      </w:r>
      <w:r>
        <w:rPr>
          <w:rFonts w:hint="eastAsia"/>
          <w:vertAlign w:val="superscript"/>
        </w:rPr>
        <w:t>‘</w:t>
      </w:r>
      <w:r>
        <w:t>C</w:t>
      </w:r>
      <w:r>
        <w:rPr>
          <w:rFonts w:hint="eastAsia"/>
        </w:rPr>
        <w:t>onnor数</w:t>
      </w:r>
      <w:r>
        <w:t>α</w:t>
      </w:r>
      <w:r>
        <w:rPr>
          <w:rFonts w:hint="eastAsia"/>
        </w:rPr>
        <w:t>和贝克来数P</w:t>
      </w:r>
      <w:r>
        <w:t>e</w:t>
      </w:r>
      <w:r>
        <w:rPr>
          <w:rFonts w:hint="eastAsia"/>
        </w:rPr>
        <w:t>的临界值），选择相应的解析解公示：</w:t>
      </w:r>
    </w:p>
    <w:p>
      <w:pPr>
        <w:ind w:firstLine="480"/>
        <w:jc w:val="center"/>
        <w:rPr>
          <w:rFonts w:ascii="宋体" w:hAnsi="宋体"/>
        </w:rPr>
      </w:pPr>
      <m:oMathPara>
        <m:oMathParaPr>
          <m:jc m:val="center"/>
        </m:oMathParaPr>
        <m:oMath>
          <m:r>
            <m:rPr>
              <m:sty m:val="p"/>
            </m:rPr>
            <w:rPr>
              <w:rFonts w:ascii="Cambria Math" w:hAnsi="Cambria Math"/>
            </w:rPr>
            <m:t>α=</m:t>
          </m:r>
          <m:f>
            <m:fPr>
              <m:ctrlPr>
                <w:rPr>
                  <w:rFonts w:ascii="Cambria Math" w:hAnsi="Cambria Math"/>
                </w:rPr>
              </m:ctrlPr>
            </m:fPr>
            <m:num>
              <m:r>
                <m:rPr/>
                <w:rPr>
                  <w:rFonts w:ascii="Cambria Math" w:hAnsi="Cambria Math"/>
                </w:rPr>
                <m:t>k</m:t>
              </m:r>
              <m:sSub>
                <m:sSubPr>
                  <m:ctrlPr>
                    <w:rPr>
                      <w:rFonts w:ascii="Cambria Math" w:hAnsi="Cambria Math"/>
                      <w:i/>
                    </w:rPr>
                  </m:ctrlPr>
                </m:sSubPr>
                <m:e>
                  <m:r>
                    <m:rPr/>
                    <w:rPr>
                      <w:rFonts w:ascii="Cambria Math" w:hAnsi="Cambria Math"/>
                    </w:rPr>
                    <m:t>E</m:t>
                  </m:r>
                  <m:ctrlPr>
                    <w:rPr>
                      <w:rFonts w:ascii="Cambria Math" w:hAnsi="Cambria Math"/>
                      <w:i/>
                    </w:rPr>
                  </m:ctrlPr>
                </m:e>
                <m:sub>
                  <m:r>
                    <m:rPr/>
                    <w:rPr>
                      <w:rFonts w:ascii="Cambria Math" w:hAnsi="Cambria Math"/>
                    </w:rPr>
                    <m:t>x</m:t>
                  </m:r>
                  <m:ctrlPr>
                    <w:rPr>
                      <w:rFonts w:ascii="Cambria Math" w:hAnsi="Cambria Math"/>
                      <w:i/>
                    </w:rPr>
                  </m:ctrlPr>
                </m:sub>
              </m:sSub>
              <m:ctrlPr>
                <w:rPr>
                  <w:rFonts w:ascii="Cambria Math" w:hAnsi="Cambria Math"/>
                </w:rPr>
              </m:ctrlPr>
            </m:num>
            <m:den>
              <m:sSup>
                <m:sSupPr>
                  <m:ctrlPr>
                    <w:rPr>
                      <w:rFonts w:ascii="Cambria Math" w:hAnsi="Cambria Math"/>
                      <w:i/>
                    </w:rPr>
                  </m:ctrlPr>
                </m:sSupPr>
                <m:e>
                  <m:r>
                    <m:rPr>
                      <m:sty m:val="p"/>
                    </m:rPr>
                    <w:rPr>
                      <w:rFonts w:ascii="Cambria Math" w:hAnsi="Cambria Math"/>
                    </w:rPr>
                    <m:t>u</m:t>
                  </m:r>
                  <m:ctrlPr>
                    <w:rPr>
                      <w:rFonts w:ascii="Cambria Math" w:hAnsi="Cambria Math"/>
                      <w:i/>
                    </w:rPr>
                  </m:ctrlPr>
                </m:e>
                <m:sup>
                  <m:r>
                    <m:rPr/>
                    <w:rPr>
                      <w:rFonts w:ascii="Cambria Math" w:hAnsi="Cambria Math"/>
                    </w:rPr>
                    <m:t>2</m:t>
                  </m:r>
                  <m:ctrlPr>
                    <w:rPr>
                      <w:rFonts w:ascii="Cambria Math" w:hAnsi="Cambria Math"/>
                      <w:i/>
                    </w:rPr>
                  </m:ctrlPr>
                </m:sup>
              </m:sSup>
              <m:ctrlPr>
                <w:rPr>
                  <w:rFonts w:ascii="Cambria Math" w:hAnsi="Cambria Math"/>
                </w:rPr>
              </m:ctrlPr>
            </m:den>
          </m:f>
        </m:oMath>
      </m:oMathPara>
    </w:p>
    <w:p>
      <w:pPr>
        <w:ind w:firstLine="480"/>
        <w:jc w:val="center"/>
      </w:pPr>
      <m:oMathPara>
        <m:oMathParaPr>
          <m:jc m:val="center"/>
        </m:oMathParaPr>
        <m:oMath>
          <m:r>
            <m:rPr>
              <m:sty m:val="p"/>
            </m:rPr>
            <w:rPr>
              <w:rFonts w:ascii="Cambria Math" w:hAnsi="Cambria Math"/>
            </w:rPr>
            <m:t>Pe=</m:t>
          </m:r>
          <m:f>
            <m:fPr>
              <m:ctrlPr>
                <w:rPr>
                  <w:rFonts w:ascii="Cambria Math" w:hAnsi="Cambria Math"/>
                </w:rPr>
              </m:ctrlPr>
            </m:fPr>
            <m:num>
              <m:r>
                <m:rPr/>
                <w:rPr>
                  <w:rFonts w:ascii="Cambria Math" w:hAnsi="Cambria Math"/>
                </w:rPr>
                <m:t>uB</m:t>
              </m:r>
              <m:ctrlPr>
                <w:rPr>
                  <w:rFonts w:ascii="Cambria Math" w:hAnsi="Cambria Math"/>
                </w:rPr>
              </m:ctrlPr>
            </m:num>
            <m:den>
              <m:sSub>
                <m:sSubPr>
                  <m:ctrlPr>
                    <w:rPr>
                      <w:rFonts w:ascii="Cambria Math" w:hAnsi="Cambria Math"/>
                      <w:i/>
                    </w:rPr>
                  </m:ctrlPr>
                </m:sSubPr>
                <m:e>
                  <m:r>
                    <m:rPr/>
                    <w:rPr>
                      <w:rFonts w:ascii="Cambria Math" w:hAnsi="Cambria Math"/>
                    </w:rPr>
                    <m:t>E</m:t>
                  </m:r>
                  <m:ctrlPr>
                    <w:rPr>
                      <w:rFonts w:ascii="Cambria Math" w:hAnsi="Cambria Math"/>
                      <w:i/>
                    </w:rPr>
                  </m:ctrlPr>
                </m:e>
                <m:sub>
                  <m:r>
                    <m:rPr/>
                    <w:rPr>
                      <w:rFonts w:ascii="Cambria Math" w:hAnsi="Cambria Math"/>
                    </w:rPr>
                    <m:t>x</m:t>
                  </m:r>
                  <m:ctrlPr>
                    <w:rPr>
                      <w:rFonts w:ascii="Cambria Math" w:hAnsi="Cambria Math"/>
                      <w:i/>
                    </w:rPr>
                  </m:ctrlPr>
                </m:sub>
              </m:sSub>
              <m:ctrlPr>
                <w:rPr>
                  <w:rFonts w:ascii="Cambria Math" w:hAnsi="Cambria Math"/>
                </w:rPr>
              </m:ctrlPr>
            </m:den>
          </m:f>
        </m:oMath>
      </m:oMathPara>
    </w:p>
    <w:p>
      <w:pPr>
        <w:ind w:firstLine="480"/>
        <w:rPr>
          <w:szCs w:val="21"/>
        </w:rPr>
      </w:pPr>
      <w:r>
        <w:rPr>
          <w:rFonts w:hint="eastAsia"/>
        </w:rPr>
        <w:t>式中，</w:t>
      </w:r>
      <w:r>
        <w:rPr>
          <w:szCs w:val="21"/>
        </w:rPr>
        <w:t>α—O’Connor</w:t>
      </w:r>
      <w:r>
        <w:rPr>
          <w:rFonts w:hAnsi="宋体"/>
          <w:szCs w:val="21"/>
        </w:rPr>
        <w:t>数，量纲为</w:t>
      </w:r>
      <w:r>
        <w:rPr>
          <w:szCs w:val="21"/>
        </w:rPr>
        <w:t>1</w:t>
      </w:r>
      <w:r>
        <w:rPr>
          <w:rFonts w:hAnsi="宋体"/>
          <w:szCs w:val="21"/>
        </w:rPr>
        <w:t>，表征物质离散降解通量与移流通量比值；</w:t>
      </w:r>
    </w:p>
    <w:p>
      <w:pPr>
        <w:ind w:firstLine="1200" w:firstLineChars="500"/>
        <w:rPr>
          <w:szCs w:val="21"/>
        </w:rPr>
      </w:pPr>
      <w:r>
        <w:rPr>
          <w:rFonts w:hint="eastAsia"/>
          <w:szCs w:val="21"/>
        </w:rPr>
        <w:t>Pe—贝克来数，量纲为1，表征物质移流通量与离散通量比值；</w:t>
      </w:r>
    </w:p>
    <w:p>
      <w:pPr>
        <w:ind w:firstLine="1200" w:firstLineChars="500"/>
        <w:rPr>
          <w:szCs w:val="21"/>
        </w:rPr>
      </w:pPr>
      <w:r>
        <w:rPr>
          <w:rFonts w:hint="eastAsia"/>
        </w:rPr>
        <w:t>E</w:t>
      </w:r>
      <w:r>
        <w:rPr>
          <w:rFonts w:hint="eastAsia"/>
          <w:vertAlign w:val="subscript"/>
        </w:rPr>
        <w:t>x</w:t>
      </w:r>
      <w:r>
        <w:t>——</w:t>
      </w:r>
      <w:r>
        <w:rPr>
          <w:rFonts w:hint="eastAsia"/>
        </w:rPr>
        <w:t>污染物纵向扩散系数，m</w:t>
      </w:r>
      <w:r>
        <w:rPr>
          <w:rFonts w:hint="eastAsia"/>
          <w:vertAlign w:val="superscript"/>
        </w:rPr>
        <w:t>2</w:t>
      </w:r>
      <w:r>
        <w:rPr>
          <w:rFonts w:hint="eastAsia"/>
        </w:rPr>
        <w:t>/s，根据爱尔德法计算：E</w:t>
      </w:r>
      <w:r>
        <w:rPr>
          <w:rFonts w:hint="eastAsia"/>
          <w:vertAlign w:val="subscript"/>
        </w:rPr>
        <w:t>x</w:t>
      </w:r>
      <w:r>
        <w:rPr>
          <w:rFonts w:hint="eastAsia"/>
        </w:rPr>
        <w:t>=5.93H(gHi)</w:t>
      </w:r>
      <w:r>
        <w:rPr>
          <w:rFonts w:hint="eastAsia"/>
          <w:vertAlign w:val="superscript"/>
        </w:rPr>
        <w:t>1/2</w:t>
      </w:r>
      <w:r>
        <w:rPr>
          <w:rFonts w:hint="eastAsia"/>
          <w:szCs w:val="21"/>
        </w:rPr>
        <w:t>；</w:t>
      </w:r>
    </w:p>
    <w:p>
      <w:pPr>
        <w:ind w:firstLine="1200" w:firstLineChars="500"/>
        <w:rPr>
          <w:szCs w:val="21"/>
        </w:rPr>
      </w:pPr>
      <w:r>
        <w:rPr>
          <w:rFonts w:hint="eastAsia"/>
          <w:szCs w:val="21"/>
        </w:rPr>
        <w:t>H—平均水深，取2.2m；</w:t>
      </w:r>
    </w:p>
    <w:p>
      <w:pPr>
        <w:ind w:firstLine="1200" w:firstLineChars="500"/>
        <w:rPr>
          <w:szCs w:val="21"/>
        </w:rPr>
      </w:pPr>
      <w:r>
        <w:rPr>
          <w:rFonts w:hint="eastAsia"/>
          <w:szCs w:val="21"/>
        </w:rPr>
        <w:t>B—水面宽度，取50m；</w:t>
      </w:r>
    </w:p>
    <w:p>
      <w:pPr>
        <w:ind w:firstLine="1200" w:firstLineChars="500"/>
        <w:rPr>
          <w:szCs w:val="21"/>
        </w:rPr>
      </w:pPr>
      <w:r>
        <w:rPr>
          <w:szCs w:val="21"/>
        </w:rPr>
        <w:t>I</w:t>
      </w:r>
      <w:r>
        <w:rPr>
          <w:rFonts w:hint="eastAsia"/>
          <w:szCs w:val="21"/>
        </w:rPr>
        <w:t>—水力坡降，取0.774</w:t>
      </w:r>
      <w:r>
        <w:rPr>
          <w:szCs w:val="21"/>
        </w:rPr>
        <w:t>‰</w:t>
      </w:r>
      <w:r>
        <w:rPr>
          <w:rFonts w:hint="eastAsia"/>
          <w:szCs w:val="21"/>
        </w:rPr>
        <w:t>；</w:t>
      </w:r>
    </w:p>
    <w:p>
      <w:pPr>
        <w:ind w:firstLine="1200" w:firstLineChars="500"/>
        <w:rPr>
          <w:szCs w:val="21"/>
        </w:rPr>
      </w:pPr>
      <w:r>
        <w:rPr>
          <w:rFonts w:hint="eastAsia"/>
          <w:szCs w:val="21"/>
        </w:rPr>
        <w:t>u—断面流速，取0.05m/s；</w:t>
      </w:r>
    </w:p>
    <w:p>
      <w:pPr>
        <w:ind w:firstLine="1200" w:firstLineChars="500"/>
      </w:pPr>
      <w:r>
        <w:rPr>
          <w:rFonts w:hint="eastAsia"/>
          <w:szCs w:val="21"/>
        </w:rPr>
        <w:t>k—污染物综合衰减系数，1/s，根据</w:t>
      </w:r>
      <w:r>
        <w:rPr>
          <w:szCs w:val="21"/>
        </w:rPr>
        <w:t>《全国地表水水环境容量核定（技术复核要点）》</w:t>
      </w:r>
      <w:r>
        <w:rPr>
          <w:rFonts w:hint="eastAsia"/>
          <w:szCs w:val="21"/>
        </w:rPr>
        <w:t>，澹水属于一般河道，水质为Ⅱ类～劣Ⅴ类，本项目COD</w:t>
      </w:r>
      <w:r>
        <w:rPr>
          <w:rFonts w:hint="eastAsia"/>
          <w:szCs w:val="21"/>
          <w:vertAlign w:val="subscript"/>
        </w:rPr>
        <w:t>Cr</w:t>
      </w:r>
      <w:r>
        <w:rPr>
          <w:rFonts w:hint="eastAsia"/>
          <w:szCs w:val="21"/>
        </w:rPr>
        <w:t>的综合降解系数取0.10/d，氨氮的综合降解系数取0.10/d，总磷的综合降解系数取0.10/d，，即k</w:t>
      </w:r>
      <w:r>
        <w:rPr>
          <w:rFonts w:hint="eastAsia"/>
          <w:szCs w:val="21"/>
          <w:vertAlign w:val="subscript"/>
        </w:rPr>
        <w:t>COD</w:t>
      </w:r>
      <w:r>
        <w:rPr>
          <w:rFonts w:hint="eastAsia"/>
          <w:szCs w:val="21"/>
        </w:rPr>
        <w:t>为1.16×10</w:t>
      </w:r>
      <w:r>
        <w:rPr>
          <w:rFonts w:hint="eastAsia"/>
          <w:szCs w:val="21"/>
          <w:vertAlign w:val="superscript"/>
        </w:rPr>
        <w:t>-6</w:t>
      </w:r>
      <w:r>
        <w:rPr>
          <w:rFonts w:hint="eastAsia"/>
          <w:szCs w:val="21"/>
        </w:rPr>
        <w:t>（1/s）、k</w:t>
      </w:r>
      <w:r>
        <w:rPr>
          <w:rFonts w:hint="eastAsia"/>
          <w:szCs w:val="21"/>
          <w:vertAlign w:val="subscript"/>
        </w:rPr>
        <w:t>氨氮</w:t>
      </w:r>
      <w:r>
        <w:rPr>
          <w:rFonts w:hint="eastAsia"/>
          <w:szCs w:val="21"/>
        </w:rPr>
        <w:t>为1.16×10</w:t>
      </w:r>
      <w:r>
        <w:rPr>
          <w:rFonts w:hint="eastAsia"/>
          <w:szCs w:val="21"/>
          <w:vertAlign w:val="superscript"/>
        </w:rPr>
        <w:t>-6</w:t>
      </w:r>
      <w:r>
        <w:rPr>
          <w:rFonts w:hint="eastAsia"/>
          <w:szCs w:val="21"/>
        </w:rPr>
        <w:t>（1/s）、k</w:t>
      </w:r>
      <w:r>
        <w:rPr>
          <w:rFonts w:hint="eastAsia"/>
          <w:szCs w:val="21"/>
          <w:vertAlign w:val="subscript"/>
        </w:rPr>
        <w:t>总磷</w:t>
      </w:r>
      <w:r>
        <w:rPr>
          <w:rFonts w:hint="eastAsia"/>
          <w:szCs w:val="21"/>
        </w:rPr>
        <w:t>为1.16×10</w:t>
      </w:r>
      <w:r>
        <w:rPr>
          <w:rFonts w:hint="eastAsia"/>
          <w:szCs w:val="21"/>
          <w:vertAlign w:val="superscript"/>
        </w:rPr>
        <w:t>-6</w:t>
      </w:r>
      <w:r>
        <w:rPr>
          <w:rFonts w:hint="eastAsia"/>
          <w:szCs w:val="21"/>
        </w:rPr>
        <w:t>（1/s）。</w:t>
      </w:r>
    </w:p>
    <w:p>
      <w:pPr>
        <w:ind w:firstLine="480"/>
        <w:rPr>
          <w:szCs w:val="21"/>
        </w:rPr>
      </w:pPr>
      <w:r>
        <w:rPr>
          <w:rFonts w:hAnsi="宋体"/>
          <w:szCs w:val="21"/>
        </w:rPr>
        <w:t>经计算</w:t>
      </w:r>
      <w:r>
        <w:rPr>
          <w:rFonts w:hint="eastAsia" w:hAnsi="宋体"/>
          <w:szCs w:val="21"/>
        </w:rPr>
        <w:t>，</w:t>
      </w:r>
      <w:r>
        <w:rPr>
          <w:rFonts w:hAnsi="宋体"/>
          <w:szCs w:val="21"/>
        </w:rPr>
        <w:t>E</w:t>
      </w:r>
      <w:r>
        <w:rPr>
          <w:rFonts w:hAnsi="宋体"/>
          <w:szCs w:val="21"/>
          <w:vertAlign w:val="subscript"/>
        </w:rPr>
        <w:t>x</w:t>
      </w:r>
      <w:r>
        <w:rPr>
          <w:rFonts w:hint="eastAsia" w:hAnsi="宋体"/>
          <w:szCs w:val="21"/>
        </w:rPr>
        <w:t>=1.69</w:t>
      </w:r>
      <w:r>
        <w:rPr>
          <w:rFonts w:hint="eastAsia"/>
          <w:szCs w:val="21"/>
        </w:rPr>
        <w:t>m</w:t>
      </w:r>
      <w:r>
        <w:rPr>
          <w:rFonts w:hint="eastAsia"/>
          <w:szCs w:val="21"/>
          <w:vertAlign w:val="superscript"/>
        </w:rPr>
        <w:t>2</w:t>
      </w:r>
      <w:r>
        <w:rPr>
          <w:rFonts w:hint="eastAsia"/>
          <w:szCs w:val="21"/>
        </w:rPr>
        <w:t>/s，COD</w:t>
      </w:r>
      <w:r>
        <w:rPr>
          <w:rFonts w:hint="eastAsia"/>
          <w:szCs w:val="21"/>
          <w:vertAlign w:val="subscript"/>
        </w:rPr>
        <w:t>Cr</w:t>
      </w:r>
      <w:r>
        <w:rPr>
          <w:rFonts w:hint="eastAsia"/>
          <w:szCs w:val="21"/>
        </w:rPr>
        <w:t>、氨氮、总磷的</w:t>
      </w:r>
      <w:r>
        <w:rPr>
          <w:szCs w:val="21"/>
        </w:rPr>
        <w:t>O’Connor</w:t>
      </w:r>
      <w:r>
        <w:rPr>
          <w:rFonts w:hAnsi="宋体"/>
          <w:szCs w:val="21"/>
        </w:rPr>
        <w:t>数</w:t>
      </w:r>
      <w:r>
        <w:rPr>
          <w:szCs w:val="21"/>
        </w:rPr>
        <w:t>α</w:t>
      </w:r>
      <w:r>
        <w:rPr>
          <w:rFonts w:hint="eastAsia"/>
          <w:szCs w:val="21"/>
        </w:rPr>
        <w:t>均</w:t>
      </w:r>
      <w:r>
        <w:rPr>
          <w:szCs w:val="21"/>
        </w:rPr>
        <w:t>为</w:t>
      </w:r>
      <w:r>
        <w:rPr>
          <w:rFonts w:hint="eastAsia"/>
          <w:szCs w:val="21"/>
        </w:rPr>
        <w:t>0.000306，Pe=2.37。根据</w:t>
      </w:r>
      <w:r>
        <w:rPr>
          <w:szCs w:val="21"/>
        </w:rPr>
        <w:t>《环境影响评价技术导则 地表水环境》（HJ2.3-2018）附录E</w:t>
      </w:r>
      <w:r>
        <w:rPr>
          <w:rFonts w:hint="eastAsia"/>
          <w:szCs w:val="21"/>
        </w:rPr>
        <w:t>，</w:t>
      </w:r>
      <w:r>
        <w:rPr>
          <w:szCs w:val="21"/>
        </w:rPr>
        <w:t>当α</w:t>
      </w:r>
      <w:r>
        <w:rPr>
          <w:rFonts w:ascii="宋体" w:hAnsi="宋体"/>
          <w:szCs w:val="21"/>
        </w:rPr>
        <w:t>≤</w:t>
      </w:r>
      <w:r>
        <w:rPr>
          <w:rFonts w:hint="eastAsia"/>
          <w:szCs w:val="21"/>
        </w:rPr>
        <w:t>0.027、Pe≥1时，适用对流降解模型：</w:t>
      </w:r>
    </w:p>
    <w:p>
      <w:pPr>
        <w:ind w:firstLine="496"/>
        <w:rPr>
          <w:color w:val="000000"/>
          <w:spacing w:val="4"/>
        </w:rPr>
      </w:pPr>
      <m:oMathPara>
        <m:oMath>
          <m:r>
            <m:rPr>
              <m:sty m:val="p"/>
            </m:rPr>
            <w:rPr>
              <w:rFonts w:ascii="Cambria Math" w:hAnsi="Cambria Math"/>
              <w:color w:val="000000"/>
              <w:spacing w:val="4"/>
            </w:rPr>
            <m:t>C=</m:t>
          </m:r>
          <m:sSub>
            <m:sSubPr>
              <m:ctrlPr>
                <w:rPr>
                  <w:rFonts w:ascii="Cambria Math" w:hAnsi="Cambria Math"/>
                  <w:color w:val="000000"/>
                  <w:spacing w:val="4"/>
                </w:rPr>
              </m:ctrlPr>
            </m:sSubPr>
            <m:e>
              <m:r>
                <m:rPr/>
                <w:rPr>
                  <w:rFonts w:ascii="Cambria Math" w:hAnsi="Cambria Math"/>
                  <w:color w:val="000000"/>
                  <w:spacing w:val="4"/>
                </w:rPr>
                <m:t>C</m:t>
              </m:r>
              <m:ctrlPr>
                <w:rPr>
                  <w:rFonts w:ascii="Cambria Math" w:hAnsi="Cambria Math"/>
                  <w:color w:val="000000"/>
                  <w:spacing w:val="4"/>
                </w:rPr>
              </m:ctrlPr>
            </m:e>
            <m:sub>
              <m:r>
                <m:rPr/>
                <w:rPr>
                  <w:rFonts w:ascii="Cambria Math" w:hAnsi="Cambria Math"/>
                  <w:color w:val="000000"/>
                  <w:spacing w:val="4"/>
                </w:rPr>
                <m:t>0</m:t>
              </m:r>
              <m:ctrlPr>
                <w:rPr>
                  <w:rFonts w:ascii="Cambria Math" w:hAnsi="Cambria Math"/>
                  <w:color w:val="000000"/>
                  <w:spacing w:val="4"/>
                </w:rPr>
              </m:ctrlPr>
            </m:sub>
          </m:sSub>
          <m:func>
            <m:funcPr>
              <m:ctrlPr>
                <w:rPr>
                  <w:rFonts w:ascii="Cambria Math" w:hAnsi="Cambria Math"/>
                  <w:i/>
                  <w:color w:val="000000"/>
                  <w:spacing w:val="4"/>
                </w:rPr>
              </m:ctrlPr>
            </m:funcPr>
            <m:fName>
              <m:r>
                <m:rPr>
                  <m:sty m:val="p"/>
                </m:rPr>
                <w:rPr>
                  <w:rFonts w:ascii="Cambria Math" w:hAnsi="Cambria Math"/>
                  <w:color w:val="000000"/>
                  <w:spacing w:val="4"/>
                </w:rPr>
                <m:t>exp</m:t>
              </m:r>
              <m:ctrlPr>
                <w:rPr>
                  <w:rFonts w:ascii="Cambria Math" w:hAnsi="Cambria Math"/>
                  <w:i/>
                  <w:color w:val="000000"/>
                  <w:spacing w:val="4"/>
                </w:rPr>
              </m:ctrlPr>
            </m:fName>
            <m:e>
              <m:d>
                <m:dPr>
                  <m:ctrlPr>
                    <w:rPr>
                      <w:rFonts w:ascii="Cambria Math" w:hAnsi="Cambria Math"/>
                      <w:i/>
                      <w:color w:val="000000"/>
                      <w:spacing w:val="4"/>
                    </w:rPr>
                  </m:ctrlPr>
                </m:dPr>
                <m:e>
                  <m:r>
                    <m:rPr/>
                    <w:rPr>
                      <w:rFonts w:ascii="Cambria Math" w:hAnsi="Cambria Math"/>
                      <w:color w:val="000000"/>
                      <w:spacing w:val="4"/>
                    </w:rPr>
                    <m:t>−</m:t>
                  </m:r>
                  <m:f>
                    <m:fPr>
                      <m:ctrlPr>
                        <w:rPr>
                          <w:rFonts w:ascii="Cambria Math" w:hAnsi="Cambria Math"/>
                          <w:i/>
                          <w:color w:val="000000"/>
                          <w:spacing w:val="4"/>
                        </w:rPr>
                      </m:ctrlPr>
                    </m:fPr>
                    <m:num>
                      <m:r>
                        <m:rPr/>
                        <w:rPr>
                          <w:rFonts w:ascii="Cambria Math" w:hAnsi="Cambria Math"/>
                          <w:color w:val="000000"/>
                          <w:spacing w:val="4"/>
                        </w:rPr>
                        <m:t>kx</m:t>
                      </m:r>
                      <m:ctrlPr>
                        <w:rPr>
                          <w:rFonts w:ascii="Cambria Math" w:hAnsi="Cambria Math"/>
                          <w:i/>
                          <w:color w:val="000000"/>
                          <w:spacing w:val="4"/>
                        </w:rPr>
                      </m:ctrlPr>
                    </m:num>
                    <m:den>
                      <m:r>
                        <m:rPr/>
                        <w:rPr>
                          <w:rFonts w:ascii="Cambria Math" w:hAnsi="Cambria Math"/>
                          <w:color w:val="000000"/>
                          <w:spacing w:val="4"/>
                        </w:rPr>
                        <m:t>u</m:t>
                      </m:r>
                      <m:ctrlPr>
                        <w:rPr>
                          <w:rFonts w:ascii="Cambria Math" w:hAnsi="Cambria Math"/>
                          <w:i/>
                          <w:color w:val="000000"/>
                          <w:spacing w:val="4"/>
                        </w:rPr>
                      </m:ctrlPr>
                    </m:den>
                  </m:f>
                  <m:ctrlPr>
                    <w:rPr>
                      <w:rFonts w:ascii="Cambria Math" w:hAnsi="Cambria Math"/>
                      <w:i/>
                      <w:color w:val="000000"/>
                      <w:spacing w:val="4"/>
                    </w:rPr>
                  </m:ctrlPr>
                </m:e>
              </m:d>
              <m:ctrlPr>
                <w:rPr>
                  <w:rFonts w:ascii="Cambria Math" w:hAnsi="Cambria Math"/>
                  <w:i/>
                  <w:color w:val="000000"/>
                  <w:spacing w:val="4"/>
                </w:rPr>
              </m:ctrlPr>
            </m:e>
          </m:func>
          <m:r>
            <m:rPr/>
            <w:rPr>
              <w:rFonts w:ascii="Cambria Math" w:hAnsi="Cambria Math"/>
              <w:color w:val="000000"/>
              <w:spacing w:val="4"/>
            </w:rPr>
            <m:t xml:space="preserve">            x</m:t>
          </m:r>
          <m:r>
            <m:rPr>
              <m:sty m:val="p"/>
            </m:rPr>
            <w:rPr>
              <w:rFonts w:ascii="Cambria Math" w:hAnsi="Cambria Math"/>
              <w:color w:val="000000"/>
              <w:spacing w:val="4"/>
            </w:rPr>
            <m:t>≥0</m:t>
          </m:r>
        </m:oMath>
      </m:oMathPara>
    </w:p>
    <w:p>
      <w:pPr>
        <w:ind w:firstLine="0" w:firstLineChars="0"/>
        <w:jc w:val="center"/>
        <w:rPr>
          <w:color w:val="000000"/>
          <w:spacing w:val="4"/>
        </w:rPr>
      </w:pPr>
      <w:r>
        <w:rPr>
          <w:rFonts w:hint="eastAsia"/>
        </w:rPr>
        <w:t>C</w:t>
      </w:r>
      <w:r>
        <w:rPr>
          <w:rFonts w:hint="eastAsia"/>
          <w:vertAlign w:val="subscript"/>
        </w:rPr>
        <w:t>0</w:t>
      </w:r>
      <w:r>
        <w:rPr>
          <w:rFonts w:hint="eastAsia"/>
        </w:rPr>
        <w:t>=（C</w:t>
      </w:r>
      <w:r>
        <w:rPr>
          <w:rFonts w:hint="eastAsia"/>
          <w:vertAlign w:val="subscript"/>
        </w:rPr>
        <w:t>p</w:t>
      </w:r>
      <w:r>
        <w:rPr>
          <w:rFonts w:hint="eastAsia"/>
        </w:rPr>
        <w:t>Q</w:t>
      </w:r>
      <w:r>
        <w:rPr>
          <w:rFonts w:hint="eastAsia"/>
          <w:vertAlign w:val="subscript"/>
        </w:rPr>
        <w:t>p</w:t>
      </w:r>
      <w:r>
        <w:rPr>
          <w:rFonts w:hint="eastAsia"/>
        </w:rPr>
        <w:t>+C</w:t>
      </w:r>
      <w:r>
        <w:rPr>
          <w:rFonts w:hint="eastAsia"/>
          <w:vertAlign w:val="subscript"/>
        </w:rPr>
        <w:t>h</w:t>
      </w:r>
      <w:r>
        <w:rPr>
          <w:rFonts w:hint="eastAsia"/>
        </w:rPr>
        <w:t>Q</w:t>
      </w:r>
      <w:r>
        <w:rPr>
          <w:rFonts w:hint="eastAsia"/>
          <w:vertAlign w:val="subscript"/>
        </w:rPr>
        <w:t>h</w:t>
      </w:r>
      <w:r>
        <w:rPr>
          <w:rFonts w:hint="eastAsia"/>
        </w:rPr>
        <w:t>）/（Q</w:t>
      </w:r>
      <w:r>
        <w:rPr>
          <w:rFonts w:hint="eastAsia"/>
          <w:vertAlign w:val="subscript"/>
        </w:rPr>
        <w:t>p</w:t>
      </w:r>
      <w:r>
        <w:rPr>
          <w:rFonts w:hint="eastAsia"/>
        </w:rPr>
        <w:t>+Qh）</w:t>
      </w:r>
    </w:p>
    <w:p>
      <w:pPr>
        <w:ind w:firstLine="480"/>
        <w:rPr>
          <w:rFonts w:hAnsi="宋体"/>
          <w:szCs w:val="21"/>
        </w:rPr>
      </w:pPr>
      <w:r>
        <w:rPr>
          <w:rFonts w:hint="eastAsia" w:hAnsi="宋体"/>
          <w:szCs w:val="21"/>
        </w:rPr>
        <w:t>式中：C——污染物浓度，mg/L；</w:t>
      </w:r>
    </w:p>
    <w:p>
      <w:pPr>
        <w:ind w:firstLine="1200" w:firstLineChars="500"/>
        <w:rPr>
          <w:szCs w:val="21"/>
        </w:rPr>
      </w:pPr>
      <w:r>
        <w:rPr>
          <w:rFonts w:hint="eastAsia"/>
          <w:szCs w:val="21"/>
        </w:rPr>
        <w:t>C</w:t>
      </w:r>
      <w:r>
        <w:rPr>
          <w:rFonts w:hint="eastAsia"/>
          <w:szCs w:val="21"/>
          <w:vertAlign w:val="subscript"/>
        </w:rPr>
        <w:t>0</w:t>
      </w:r>
      <w:r>
        <w:rPr>
          <w:rFonts w:hint="eastAsia"/>
          <w:szCs w:val="21"/>
        </w:rPr>
        <w:t>——河流排放口初始断面混合浓度，mg/L；</w:t>
      </w:r>
    </w:p>
    <w:p>
      <w:pPr>
        <w:ind w:firstLine="1200" w:firstLineChars="500"/>
        <w:rPr>
          <w:szCs w:val="21"/>
        </w:rPr>
      </w:pPr>
      <w:r>
        <w:rPr>
          <w:szCs w:val="21"/>
        </w:rPr>
        <w:t>α—O’Connor数，量纲为1，表征物质离散降解通量与移流通量比值；</w:t>
      </w:r>
    </w:p>
    <w:p>
      <w:pPr>
        <w:ind w:firstLine="1200" w:firstLineChars="500"/>
        <w:rPr>
          <w:szCs w:val="21"/>
        </w:rPr>
      </w:pPr>
      <w:r>
        <w:rPr>
          <w:rFonts w:hint="eastAsia"/>
          <w:szCs w:val="21"/>
        </w:rPr>
        <w:t>x——河流沿程坐标，m。x=0指排放口处，x＞0指排放口下游段，x＜0指排放口上游段；</w:t>
      </w:r>
    </w:p>
    <w:p>
      <w:pPr>
        <w:ind w:firstLine="1200" w:firstLineChars="500"/>
        <w:rPr>
          <w:szCs w:val="21"/>
        </w:rPr>
      </w:pPr>
      <w:r>
        <w:rPr>
          <w:szCs w:val="21"/>
        </w:rPr>
        <w:t>C</w:t>
      </w:r>
      <w:r>
        <w:rPr>
          <w:szCs w:val="21"/>
          <w:vertAlign w:val="subscript"/>
        </w:rPr>
        <w:t>p</w:t>
      </w:r>
      <w:r>
        <w:rPr>
          <w:szCs w:val="21"/>
        </w:rPr>
        <w:t xml:space="preserve"> ——污染物排放浓度，mg/L；</w:t>
      </w:r>
    </w:p>
    <w:p>
      <w:pPr>
        <w:ind w:firstLine="1200" w:firstLineChars="500"/>
        <w:rPr>
          <w:szCs w:val="21"/>
        </w:rPr>
      </w:pPr>
      <w:r>
        <w:rPr>
          <w:szCs w:val="21"/>
        </w:rPr>
        <w:t>Q</w:t>
      </w:r>
      <w:r>
        <w:rPr>
          <w:szCs w:val="21"/>
          <w:vertAlign w:val="subscript"/>
        </w:rPr>
        <w:t>p</w:t>
      </w:r>
      <w:r>
        <w:rPr>
          <w:szCs w:val="21"/>
        </w:rPr>
        <w:t>——污水排放量，m</w:t>
      </w:r>
      <w:r>
        <w:rPr>
          <w:szCs w:val="21"/>
          <w:vertAlign w:val="superscript"/>
        </w:rPr>
        <w:t>3</w:t>
      </w:r>
      <w:r>
        <w:rPr>
          <w:szCs w:val="21"/>
        </w:rPr>
        <w:t>/s；</w:t>
      </w:r>
    </w:p>
    <w:p>
      <w:pPr>
        <w:ind w:firstLine="1200" w:firstLineChars="500"/>
        <w:rPr>
          <w:szCs w:val="21"/>
        </w:rPr>
      </w:pPr>
      <w:r>
        <w:rPr>
          <w:szCs w:val="21"/>
        </w:rPr>
        <w:t>C</w:t>
      </w:r>
      <w:r>
        <w:rPr>
          <w:szCs w:val="21"/>
          <w:vertAlign w:val="subscript"/>
        </w:rPr>
        <w:t>h</w:t>
      </w:r>
      <w:r>
        <w:rPr>
          <w:szCs w:val="21"/>
        </w:rPr>
        <w:t>——河流上游污染物浓度，mg/L；</w:t>
      </w:r>
    </w:p>
    <w:p>
      <w:pPr>
        <w:ind w:firstLine="1200" w:firstLineChars="500"/>
      </w:pPr>
      <w:r>
        <w:rPr>
          <w:szCs w:val="21"/>
        </w:rPr>
        <w:t>Q</w:t>
      </w:r>
      <w:r>
        <w:rPr>
          <w:szCs w:val="21"/>
          <w:vertAlign w:val="subscript"/>
        </w:rPr>
        <w:t>h</w:t>
      </w:r>
      <w:r>
        <w:rPr>
          <w:szCs w:val="21"/>
        </w:rPr>
        <w:t>——河流流量，m</w:t>
      </w:r>
      <w:r>
        <w:rPr>
          <w:szCs w:val="21"/>
          <w:vertAlign w:val="superscript"/>
        </w:rPr>
        <w:t>3</w:t>
      </w:r>
      <w:r>
        <w:rPr>
          <w:szCs w:val="21"/>
        </w:rPr>
        <w:t>/s</w:t>
      </w:r>
      <w:r>
        <w:rPr>
          <w:rFonts w:hint="eastAsia"/>
        </w:rPr>
        <w:t>。</w:t>
      </w:r>
    </w:p>
    <w:p>
      <w:pPr>
        <w:pStyle w:val="4"/>
      </w:pPr>
      <w:r>
        <w:rPr>
          <w:rFonts w:hint="eastAsia"/>
        </w:rPr>
        <w:t>6</w:t>
      </w:r>
      <w:r>
        <w:t xml:space="preserve">.1.4 </w:t>
      </w:r>
      <w:r>
        <w:rPr>
          <w:rFonts w:hint="eastAsia"/>
        </w:rPr>
        <w:t>预测结果</w:t>
      </w:r>
    </w:p>
    <w:p>
      <w:pPr>
        <w:ind w:firstLine="480"/>
        <w:rPr>
          <w:szCs w:val="21"/>
        </w:rPr>
      </w:pPr>
      <w:r>
        <w:rPr>
          <w:rFonts w:hint="eastAsia"/>
          <w:szCs w:val="21"/>
        </w:rPr>
        <w:t>（1）正常排放</w:t>
      </w:r>
      <w:r>
        <w:rPr>
          <w:szCs w:val="21"/>
        </w:rPr>
        <w:t>预测结果及影响分析</w:t>
      </w:r>
    </w:p>
    <w:p>
      <w:pPr>
        <w:ind w:firstLine="480"/>
      </w:pPr>
      <w:r>
        <w:rPr>
          <w:rFonts w:hint="eastAsia"/>
          <w:bCs/>
          <w:color w:val="000000"/>
          <w:szCs w:val="24"/>
        </w:rPr>
        <w:t>一期工程设计规模为60000m</w:t>
      </w:r>
      <w:r>
        <w:rPr>
          <w:rFonts w:hint="eastAsia"/>
          <w:bCs/>
          <w:color w:val="000000"/>
          <w:szCs w:val="24"/>
          <w:vertAlign w:val="superscript"/>
        </w:rPr>
        <w:t>3</w:t>
      </w:r>
      <w:r>
        <w:rPr>
          <w:rFonts w:hint="eastAsia"/>
          <w:bCs/>
          <w:color w:val="000000"/>
          <w:szCs w:val="24"/>
        </w:rPr>
        <w:t>/d，污染物背景浓度为已建成规模30000m</w:t>
      </w:r>
      <w:r>
        <w:rPr>
          <w:rFonts w:hint="eastAsia"/>
          <w:bCs/>
          <w:color w:val="000000"/>
          <w:szCs w:val="24"/>
          <w:vertAlign w:val="superscript"/>
        </w:rPr>
        <w:t>3</w:t>
      </w:r>
      <w:r>
        <w:rPr>
          <w:rFonts w:hint="eastAsia"/>
          <w:bCs/>
          <w:color w:val="000000"/>
          <w:szCs w:val="24"/>
        </w:rPr>
        <w:t>/d废水排入澹水后的浓度，预测则按未建30000m</w:t>
      </w:r>
      <w:r>
        <w:rPr>
          <w:rFonts w:hint="eastAsia"/>
          <w:bCs/>
          <w:color w:val="000000"/>
          <w:szCs w:val="24"/>
          <w:vertAlign w:val="superscript"/>
        </w:rPr>
        <w:t>3</w:t>
      </w:r>
      <w:r>
        <w:rPr>
          <w:rFonts w:hint="eastAsia"/>
          <w:bCs/>
          <w:color w:val="000000"/>
          <w:szCs w:val="24"/>
        </w:rPr>
        <w:t>/d排放量预测。</w:t>
      </w:r>
      <w:r>
        <w:rPr>
          <w:rFonts w:hint="eastAsia"/>
        </w:rPr>
        <w:t>排放</w:t>
      </w:r>
      <w:r>
        <w:t>水质达到</w:t>
      </w:r>
      <w:r>
        <w:rPr>
          <w:color w:val="000000"/>
        </w:rPr>
        <w:t>《城镇污水处理厂污染物排放标准》（GB18918-2002）</w:t>
      </w:r>
      <w:r>
        <w:rPr>
          <w:rFonts w:hint="eastAsia"/>
          <w:color w:val="000000"/>
        </w:rPr>
        <w:t>表1中</w:t>
      </w:r>
      <w:r>
        <w:rPr>
          <w:color w:val="000000"/>
        </w:rPr>
        <w:t>一级A标准</w:t>
      </w:r>
      <w:r>
        <w:t>时，其主要污染物浓度为COD</w:t>
      </w:r>
      <w:r>
        <w:rPr>
          <w:vertAlign w:val="subscript"/>
        </w:rPr>
        <w:t>Cr</w:t>
      </w:r>
      <w:r>
        <w:rPr>
          <w:rFonts w:hint="eastAsia"/>
        </w:rPr>
        <w:t>50</w:t>
      </w:r>
      <w:r>
        <w:t>mg/L</w:t>
      </w:r>
      <w:r>
        <w:rPr>
          <w:rFonts w:hint="eastAsia"/>
        </w:rPr>
        <w:t>、氨氮5mg/L、总磷0.5mg/L，</w:t>
      </w:r>
      <w:r>
        <w:t>依据污染负荷浓度减少值，</w:t>
      </w:r>
      <w:r>
        <w:rPr>
          <w:rFonts w:hint="eastAsia"/>
        </w:rPr>
        <w:t>项目废水</w:t>
      </w:r>
      <w:r>
        <w:t>入</w:t>
      </w:r>
      <w:r>
        <w:rPr>
          <w:rFonts w:hint="eastAsia"/>
        </w:rPr>
        <w:t>澹水</w:t>
      </w:r>
      <w:r>
        <w:t>下游</w:t>
      </w:r>
      <w:r>
        <w:rPr>
          <w:rFonts w:hint="eastAsia"/>
        </w:rPr>
        <w:t>5.6</w:t>
      </w:r>
      <w:r>
        <w:t>km</w:t>
      </w:r>
      <w:r>
        <w:rPr>
          <w:rFonts w:hint="eastAsia"/>
        </w:rPr>
        <w:t>论证</w:t>
      </w:r>
      <w:r>
        <w:t>范围内COD</w:t>
      </w:r>
      <w:r>
        <w:rPr>
          <w:vertAlign w:val="subscript"/>
        </w:rPr>
        <w:t>Cr</w:t>
      </w:r>
      <w:r>
        <w:t>、</w:t>
      </w:r>
      <w:r>
        <w:rPr>
          <w:rFonts w:hint="eastAsia"/>
        </w:rPr>
        <w:t>氨氮、总磷</w:t>
      </w:r>
      <w:r>
        <w:t>污染物浓度的预测情况</w:t>
      </w:r>
      <w:r>
        <w:rPr>
          <w:rFonts w:hint="eastAsia"/>
        </w:rPr>
        <w:t>详见下表。</w:t>
      </w:r>
    </w:p>
    <w:p>
      <w:pPr>
        <w:ind w:firstLine="0" w:firstLineChars="0"/>
        <w:jc w:val="center"/>
        <w:textAlignment w:val="center"/>
        <w:rPr>
          <w:b/>
          <w:bCs/>
          <w:color w:val="000000"/>
          <w:sz w:val="21"/>
          <w:szCs w:val="21"/>
        </w:rPr>
      </w:pPr>
      <w:r>
        <w:rPr>
          <w:b/>
          <w:bCs/>
          <w:color w:val="000000"/>
          <w:sz w:val="21"/>
          <w:szCs w:val="21"/>
        </w:rPr>
        <w:t>表</w:t>
      </w:r>
      <w:r>
        <w:rPr>
          <w:rFonts w:hint="eastAsia"/>
          <w:b/>
          <w:bCs/>
          <w:color w:val="000000"/>
          <w:sz w:val="21"/>
          <w:szCs w:val="21"/>
        </w:rPr>
        <w:t>6-4</w:t>
      </w:r>
      <w:r>
        <w:rPr>
          <w:b/>
          <w:bCs/>
          <w:color w:val="000000"/>
          <w:sz w:val="21"/>
          <w:szCs w:val="21"/>
        </w:rPr>
        <w:t xml:space="preserve">  废水</w:t>
      </w:r>
      <w:r>
        <w:rPr>
          <w:rFonts w:hint="eastAsia"/>
          <w:b/>
          <w:bCs/>
          <w:color w:val="000000"/>
          <w:sz w:val="21"/>
          <w:szCs w:val="21"/>
        </w:rPr>
        <w:t>正常</w:t>
      </w:r>
      <w:r>
        <w:rPr>
          <w:b/>
          <w:bCs/>
          <w:color w:val="000000"/>
          <w:sz w:val="21"/>
          <w:szCs w:val="21"/>
        </w:rPr>
        <w:t xml:space="preserve">排放浓度预测值  </w:t>
      </w:r>
      <w:r>
        <w:rPr>
          <w:rFonts w:hint="eastAsia"/>
          <w:b/>
          <w:bCs/>
          <w:color w:val="000000"/>
          <w:sz w:val="21"/>
          <w:szCs w:val="21"/>
        </w:rPr>
        <w:t xml:space="preserve">  </w:t>
      </w:r>
      <w:r>
        <w:rPr>
          <w:b/>
          <w:bCs/>
          <w:color w:val="000000"/>
          <w:sz w:val="21"/>
          <w:szCs w:val="21"/>
        </w:rPr>
        <w:t>单位mg/L</w:t>
      </w:r>
    </w:p>
    <w:tbl>
      <w:tblPr>
        <w:tblStyle w:val="41"/>
        <w:tblW w:w="873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78"/>
        <w:gridCol w:w="2126"/>
        <w:gridCol w:w="1985"/>
        <w:gridCol w:w="164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vMerge w:val="restart"/>
            <w:tcBorders>
              <w:left w:val="single" w:color="auto" w:sz="4" w:space="0"/>
            </w:tcBorders>
            <w:vAlign w:val="center"/>
          </w:tcPr>
          <w:p>
            <w:pPr>
              <w:spacing w:line="240" w:lineRule="auto"/>
              <w:ind w:firstLine="0" w:firstLineChars="0"/>
              <w:jc w:val="center"/>
              <w:rPr>
                <w:b/>
                <w:bCs/>
                <w:color w:val="000000"/>
                <w:sz w:val="21"/>
                <w:szCs w:val="21"/>
              </w:rPr>
            </w:pPr>
            <w:r>
              <w:rPr>
                <w:b/>
                <w:bCs/>
                <w:color w:val="000000"/>
                <w:sz w:val="21"/>
                <w:szCs w:val="21"/>
              </w:rPr>
              <w:t>X</w:t>
            </w:r>
          </w:p>
        </w:tc>
        <w:tc>
          <w:tcPr>
            <w:tcW w:w="5754" w:type="dxa"/>
            <w:gridSpan w:val="3"/>
            <w:tcBorders>
              <w:right w:val="single" w:color="auto" w:sz="4" w:space="0"/>
            </w:tcBorders>
            <w:vAlign w:val="center"/>
          </w:tcPr>
          <w:p>
            <w:pPr>
              <w:spacing w:line="240" w:lineRule="auto"/>
              <w:ind w:firstLine="0" w:firstLineChars="0"/>
              <w:jc w:val="center"/>
              <w:rPr>
                <w:b/>
                <w:bCs/>
                <w:color w:val="000000"/>
                <w:sz w:val="21"/>
                <w:szCs w:val="21"/>
              </w:rPr>
            </w:pPr>
            <w:r>
              <w:rPr>
                <w:rFonts w:hint="eastAsia"/>
                <w:b/>
                <w:bCs/>
                <w:color w:val="000000"/>
                <w:sz w:val="21"/>
                <w:szCs w:val="21"/>
              </w:rPr>
              <w:t>污染物</w:t>
            </w:r>
            <w:r>
              <w:rPr>
                <w:b/>
                <w:bCs/>
                <w:color w:val="000000"/>
                <w:sz w:val="21"/>
                <w:szCs w:val="21"/>
              </w:rPr>
              <w:t>浓度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vMerge w:val="continue"/>
            <w:tcBorders>
              <w:left w:val="single" w:color="auto" w:sz="4" w:space="0"/>
            </w:tcBorders>
            <w:vAlign w:val="center"/>
          </w:tcPr>
          <w:p>
            <w:pPr>
              <w:spacing w:line="240" w:lineRule="auto"/>
              <w:ind w:firstLine="0" w:firstLineChars="0"/>
              <w:jc w:val="center"/>
              <w:rPr>
                <w:bCs/>
                <w:color w:val="000000"/>
                <w:sz w:val="21"/>
                <w:szCs w:val="21"/>
              </w:rPr>
            </w:pPr>
          </w:p>
        </w:tc>
        <w:tc>
          <w:tcPr>
            <w:tcW w:w="2126" w:type="dxa"/>
            <w:vAlign w:val="center"/>
          </w:tcPr>
          <w:p>
            <w:pPr>
              <w:spacing w:line="240" w:lineRule="auto"/>
              <w:ind w:firstLine="0" w:firstLineChars="0"/>
              <w:jc w:val="center"/>
              <w:rPr>
                <w:bCs/>
                <w:color w:val="000000"/>
                <w:sz w:val="21"/>
                <w:szCs w:val="21"/>
              </w:rPr>
            </w:pPr>
            <w:r>
              <w:rPr>
                <w:rFonts w:hint="eastAsia"/>
                <w:bCs/>
                <w:color w:val="000000"/>
                <w:sz w:val="21"/>
                <w:szCs w:val="21"/>
              </w:rPr>
              <w:t>COD</w:t>
            </w:r>
            <w:r>
              <w:rPr>
                <w:rFonts w:hint="eastAsia"/>
                <w:bCs/>
                <w:color w:val="000000"/>
                <w:sz w:val="21"/>
                <w:szCs w:val="21"/>
                <w:vertAlign w:val="subscript"/>
              </w:rPr>
              <w:t>Cr</w:t>
            </w:r>
          </w:p>
        </w:tc>
        <w:tc>
          <w:tcPr>
            <w:tcW w:w="1985" w:type="dxa"/>
            <w:tcBorders>
              <w:right w:val="single" w:color="auto" w:sz="4" w:space="0"/>
            </w:tcBorders>
            <w:vAlign w:val="center"/>
          </w:tcPr>
          <w:p>
            <w:pPr>
              <w:spacing w:line="240" w:lineRule="auto"/>
              <w:ind w:firstLine="0" w:firstLineChars="0"/>
              <w:jc w:val="center"/>
              <w:rPr>
                <w:bCs/>
                <w:color w:val="000000"/>
                <w:sz w:val="21"/>
                <w:szCs w:val="21"/>
              </w:rPr>
            </w:pPr>
            <w:r>
              <w:rPr>
                <w:rFonts w:hint="eastAsia"/>
                <w:bCs/>
                <w:color w:val="000000"/>
                <w:sz w:val="21"/>
                <w:szCs w:val="21"/>
              </w:rPr>
              <w:t>氨氮</w:t>
            </w:r>
          </w:p>
        </w:tc>
        <w:tc>
          <w:tcPr>
            <w:tcW w:w="1643" w:type="dxa"/>
            <w:tcBorders>
              <w:right w:val="single" w:color="auto" w:sz="4" w:space="0"/>
            </w:tcBorders>
          </w:tcPr>
          <w:p>
            <w:pPr>
              <w:spacing w:line="240" w:lineRule="auto"/>
              <w:ind w:firstLine="0" w:firstLineChars="0"/>
              <w:jc w:val="center"/>
              <w:rPr>
                <w:bCs/>
                <w:color w:val="000000"/>
                <w:sz w:val="21"/>
                <w:szCs w:val="21"/>
              </w:rPr>
            </w:pPr>
            <w:r>
              <w:rPr>
                <w:rFonts w:hint="eastAsia"/>
                <w:bCs/>
                <w:color w:val="000000"/>
                <w:sz w:val="21"/>
                <w:szCs w:val="21"/>
              </w:rPr>
              <w:t>总磷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tcBorders>
              <w:left w:val="single" w:color="auto" w:sz="4" w:space="0"/>
            </w:tcBorders>
            <w:vAlign w:val="bottom"/>
          </w:tcPr>
          <w:p>
            <w:pPr>
              <w:spacing w:line="240" w:lineRule="auto"/>
              <w:ind w:firstLine="0" w:firstLineChars="0"/>
              <w:jc w:val="center"/>
              <w:rPr>
                <w:bCs/>
                <w:color w:val="000000"/>
                <w:sz w:val="21"/>
                <w:szCs w:val="21"/>
              </w:rPr>
            </w:pPr>
            <w:r>
              <w:rPr>
                <w:bCs/>
                <w:color w:val="000000"/>
                <w:sz w:val="21"/>
                <w:szCs w:val="21"/>
              </w:rPr>
              <w:t>0</w:t>
            </w:r>
          </w:p>
        </w:tc>
        <w:tc>
          <w:tcPr>
            <w:tcW w:w="2126"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34.660402 </w:t>
            </w:r>
          </w:p>
        </w:tc>
        <w:tc>
          <w:tcPr>
            <w:tcW w:w="1985" w:type="dxa"/>
            <w:tcBorders>
              <w:right w:val="single" w:color="auto" w:sz="4" w:space="0"/>
            </w:tcBorders>
            <w:vAlign w:val="bottom"/>
          </w:tcPr>
          <w:p>
            <w:pPr>
              <w:spacing w:line="240" w:lineRule="auto"/>
              <w:ind w:firstLine="0" w:firstLineChars="0"/>
              <w:jc w:val="center"/>
              <w:rPr>
                <w:bCs/>
                <w:color w:val="000000"/>
                <w:sz w:val="21"/>
                <w:szCs w:val="21"/>
              </w:rPr>
            </w:pPr>
            <w:r>
              <w:rPr>
                <w:rFonts w:hint="eastAsia"/>
                <w:bCs/>
                <w:color w:val="000000"/>
                <w:sz w:val="21"/>
                <w:szCs w:val="21"/>
              </w:rPr>
              <w:t xml:space="preserve">1.471892 </w:t>
            </w:r>
          </w:p>
        </w:tc>
        <w:tc>
          <w:tcPr>
            <w:tcW w:w="1643" w:type="dxa"/>
            <w:tcBorders>
              <w:right w:val="single" w:color="auto" w:sz="4" w:space="0"/>
            </w:tcBorders>
          </w:tcPr>
          <w:p>
            <w:pPr>
              <w:spacing w:line="240" w:lineRule="auto"/>
              <w:ind w:firstLine="0" w:firstLineChars="0"/>
              <w:jc w:val="center"/>
              <w:rPr>
                <w:bCs/>
                <w:color w:val="000000"/>
                <w:sz w:val="21"/>
                <w:szCs w:val="21"/>
              </w:rPr>
            </w:pPr>
            <w:r>
              <w:rPr>
                <w:rFonts w:hint="eastAsia"/>
                <w:bCs/>
                <w:color w:val="000000"/>
                <w:sz w:val="21"/>
                <w:szCs w:val="21"/>
              </w:rPr>
              <w:t xml:space="preserve">0.327430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2978" w:type="dxa"/>
            <w:tcBorders>
              <w:left w:val="single" w:color="auto" w:sz="4" w:space="0"/>
            </w:tcBorders>
            <w:vAlign w:val="bottom"/>
          </w:tcPr>
          <w:p>
            <w:pPr>
              <w:spacing w:line="240" w:lineRule="auto"/>
              <w:ind w:firstLine="0" w:firstLineChars="0"/>
              <w:jc w:val="center"/>
              <w:rPr>
                <w:bCs/>
                <w:color w:val="000000"/>
                <w:sz w:val="21"/>
                <w:szCs w:val="21"/>
              </w:rPr>
            </w:pPr>
            <w:r>
              <w:rPr>
                <w:rFonts w:hint="eastAsia"/>
                <w:bCs/>
                <w:color w:val="000000"/>
                <w:sz w:val="21"/>
                <w:szCs w:val="21"/>
              </w:rPr>
              <w:t>10</w:t>
            </w:r>
          </w:p>
        </w:tc>
        <w:tc>
          <w:tcPr>
            <w:tcW w:w="2126"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34.655377 </w:t>
            </w:r>
          </w:p>
        </w:tc>
        <w:tc>
          <w:tcPr>
            <w:tcW w:w="1985" w:type="dxa"/>
            <w:tcBorders>
              <w:right w:val="single" w:color="auto" w:sz="4" w:space="0"/>
            </w:tcBorders>
            <w:vAlign w:val="bottom"/>
          </w:tcPr>
          <w:p>
            <w:pPr>
              <w:spacing w:line="240" w:lineRule="auto"/>
              <w:ind w:firstLine="0" w:firstLineChars="0"/>
              <w:jc w:val="center"/>
              <w:rPr>
                <w:bCs/>
                <w:color w:val="000000"/>
                <w:sz w:val="21"/>
                <w:szCs w:val="21"/>
              </w:rPr>
            </w:pPr>
            <w:r>
              <w:rPr>
                <w:rFonts w:hint="eastAsia"/>
                <w:bCs/>
                <w:color w:val="000000"/>
                <w:sz w:val="21"/>
                <w:szCs w:val="21"/>
              </w:rPr>
              <w:t xml:space="preserve">1.471679 </w:t>
            </w:r>
          </w:p>
        </w:tc>
        <w:tc>
          <w:tcPr>
            <w:tcW w:w="1643" w:type="dxa"/>
            <w:tcBorders>
              <w:right w:val="single" w:color="auto" w:sz="4" w:space="0"/>
            </w:tcBorders>
          </w:tcPr>
          <w:p>
            <w:pPr>
              <w:spacing w:line="240" w:lineRule="auto"/>
              <w:ind w:firstLine="0" w:firstLineChars="0"/>
              <w:jc w:val="center"/>
              <w:rPr>
                <w:bCs/>
                <w:color w:val="000000"/>
                <w:sz w:val="21"/>
                <w:szCs w:val="21"/>
              </w:rPr>
            </w:pPr>
            <w:r>
              <w:rPr>
                <w:rFonts w:hint="eastAsia"/>
                <w:bCs/>
                <w:color w:val="000000"/>
                <w:sz w:val="21"/>
                <w:szCs w:val="21"/>
              </w:rPr>
              <w:t xml:space="preserve">0.327382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tcBorders>
              <w:left w:val="single" w:color="auto" w:sz="4" w:space="0"/>
            </w:tcBorders>
            <w:vAlign w:val="bottom"/>
          </w:tcPr>
          <w:p>
            <w:pPr>
              <w:spacing w:line="240" w:lineRule="auto"/>
              <w:ind w:firstLine="0" w:firstLineChars="0"/>
              <w:jc w:val="center"/>
              <w:rPr>
                <w:bCs/>
                <w:color w:val="000000"/>
                <w:sz w:val="21"/>
                <w:szCs w:val="21"/>
              </w:rPr>
            </w:pPr>
            <w:r>
              <w:rPr>
                <w:rFonts w:hint="eastAsia"/>
                <w:bCs/>
                <w:color w:val="000000"/>
                <w:sz w:val="21"/>
                <w:szCs w:val="21"/>
              </w:rPr>
              <w:t>50</w:t>
            </w:r>
          </w:p>
        </w:tc>
        <w:tc>
          <w:tcPr>
            <w:tcW w:w="2126"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34.635282 </w:t>
            </w:r>
          </w:p>
        </w:tc>
        <w:tc>
          <w:tcPr>
            <w:tcW w:w="1985" w:type="dxa"/>
            <w:tcBorders>
              <w:right w:val="single" w:color="auto" w:sz="4" w:space="0"/>
            </w:tcBorders>
            <w:vAlign w:val="bottom"/>
          </w:tcPr>
          <w:p>
            <w:pPr>
              <w:spacing w:line="240" w:lineRule="auto"/>
              <w:ind w:firstLine="0" w:firstLineChars="0"/>
              <w:jc w:val="center"/>
              <w:rPr>
                <w:bCs/>
                <w:color w:val="000000"/>
                <w:sz w:val="21"/>
                <w:szCs w:val="21"/>
              </w:rPr>
            </w:pPr>
            <w:r>
              <w:rPr>
                <w:rFonts w:hint="eastAsia"/>
                <w:bCs/>
                <w:color w:val="000000"/>
                <w:sz w:val="21"/>
                <w:szCs w:val="21"/>
              </w:rPr>
              <w:t xml:space="preserve">1.470826 </w:t>
            </w:r>
          </w:p>
        </w:tc>
        <w:tc>
          <w:tcPr>
            <w:tcW w:w="1643" w:type="dxa"/>
            <w:tcBorders>
              <w:right w:val="single" w:color="auto" w:sz="4" w:space="0"/>
            </w:tcBorders>
          </w:tcPr>
          <w:p>
            <w:pPr>
              <w:spacing w:line="240" w:lineRule="auto"/>
              <w:ind w:firstLine="0" w:firstLineChars="0"/>
              <w:jc w:val="center"/>
              <w:rPr>
                <w:bCs/>
                <w:color w:val="000000"/>
                <w:sz w:val="21"/>
                <w:szCs w:val="21"/>
              </w:rPr>
            </w:pPr>
            <w:r>
              <w:rPr>
                <w:rFonts w:hint="eastAsia"/>
                <w:bCs/>
                <w:color w:val="000000"/>
                <w:sz w:val="21"/>
                <w:szCs w:val="21"/>
              </w:rPr>
              <w:t xml:space="preserve">0.327192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tcBorders>
              <w:left w:val="single" w:color="auto" w:sz="4" w:space="0"/>
            </w:tcBorders>
            <w:vAlign w:val="bottom"/>
          </w:tcPr>
          <w:p>
            <w:pPr>
              <w:spacing w:line="240" w:lineRule="auto"/>
              <w:ind w:firstLine="0" w:firstLineChars="0"/>
              <w:jc w:val="center"/>
              <w:rPr>
                <w:bCs/>
                <w:color w:val="000000"/>
                <w:sz w:val="21"/>
                <w:szCs w:val="21"/>
              </w:rPr>
            </w:pPr>
            <w:r>
              <w:rPr>
                <w:rFonts w:hint="eastAsia"/>
                <w:bCs/>
                <w:color w:val="000000"/>
                <w:sz w:val="21"/>
                <w:szCs w:val="21"/>
              </w:rPr>
              <w:t>100</w:t>
            </w:r>
          </w:p>
        </w:tc>
        <w:tc>
          <w:tcPr>
            <w:tcW w:w="2126"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34.610181 </w:t>
            </w:r>
          </w:p>
        </w:tc>
        <w:tc>
          <w:tcPr>
            <w:tcW w:w="1985" w:type="dxa"/>
            <w:tcBorders>
              <w:right w:val="single" w:color="auto" w:sz="4" w:space="0"/>
            </w:tcBorders>
            <w:vAlign w:val="bottom"/>
          </w:tcPr>
          <w:p>
            <w:pPr>
              <w:spacing w:line="240" w:lineRule="auto"/>
              <w:ind w:firstLine="0" w:firstLineChars="0"/>
              <w:jc w:val="center"/>
              <w:rPr>
                <w:bCs/>
                <w:color w:val="000000"/>
                <w:sz w:val="21"/>
                <w:szCs w:val="21"/>
              </w:rPr>
            </w:pPr>
            <w:r>
              <w:rPr>
                <w:rFonts w:hint="eastAsia"/>
                <w:bCs/>
                <w:color w:val="000000"/>
                <w:sz w:val="21"/>
                <w:szCs w:val="21"/>
              </w:rPr>
              <w:t xml:space="preserve">1.469760 </w:t>
            </w:r>
          </w:p>
        </w:tc>
        <w:tc>
          <w:tcPr>
            <w:tcW w:w="1643" w:type="dxa"/>
            <w:tcBorders>
              <w:right w:val="single" w:color="auto" w:sz="4" w:space="0"/>
            </w:tcBorders>
          </w:tcPr>
          <w:p>
            <w:pPr>
              <w:spacing w:line="240" w:lineRule="auto"/>
              <w:ind w:firstLine="0" w:firstLineChars="0"/>
              <w:jc w:val="center"/>
              <w:rPr>
                <w:bCs/>
                <w:color w:val="000000"/>
                <w:sz w:val="21"/>
                <w:szCs w:val="21"/>
              </w:rPr>
            </w:pPr>
            <w:r>
              <w:rPr>
                <w:rFonts w:hint="eastAsia"/>
                <w:bCs/>
                <w:color w:val="000000"/>
                <w:sz w:val="21"/>
                <w:szCs w:val="21"/>
              </w:rPr>
              <w:t xml:space="preserve">0.326955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tcBorders>
              <w:left w:val="single" w:color="auto" w:sz="4" w:space="0"/>
            </w:tcBorders>
            <w:vAlign w:val="bottom"/>
          </w:tcPr>
          <w:p>
            <w:pPr>
              <w:spacing w:line="240" w:lineRule="auto"/>
              <w:ind w:firstLine="0" w:firstLineChars="0"/>
              <w:jc w:val="center"/>
              <w:rPr>
                <w:bCs/>
                <w:color w:val="000000"/>
                <w:sz w:val="21"/>
                <w:szCs w:val="21"/>
              </w:rPr>
            </w:pPr>
            <w:r>
              <w:rPr>
                <w:rFonts w:hint="eastAsia"/>
                <w:bCs/>
                <w:color w:val="000000"/>
                <w:sz w:val="21"/>
                <w:szCs w:val="21"/>
              </w:rPr>
              <w:t>200</w:t>
            </w:r>
          </w:p>
        </w:tc>
        <w:tc>
          <w:tcPr>
            <w:tcW w:w="2126"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34.560032 </w:t>
            </w:r>
          </w:p>
        </w:tc>
        <w:tc>
          <w:tcPr>
            <w:tcW w:w="1985" w:type="dxa"/>
            <w:tcBorders>
              <w:right w:val="single" w:color="auto" w:sz="4" w:space="0"/>
            </w:tcBorders>
            <w:vAlign w:val="bottom"/>
          </w:tcPr>
          <w:p>
            <w:pPr>
              <w:spacing w:line="240" w:lineRule="auto"/>
              <w:ind w:firstLine="0" w:firstLineChars="0"/>
              <w:jc w:val="center"/>
              <w:rPr>
                <w:bCs/>
                <w:color w:val="000000"/>
                <w:sz w:val="21"/>
                <w:szCs w:val="21"/>
              </w:rPr>
            </w:pPr>
            <w:r>
              <w:rPr>
                <w:rFonts w:hint="eastAsia"/>
                <w:bCs/>
                <w:color w:val="000000"/>
                <w:sz w:val="21"/>
                <w:szCs w:val="21"/>
              </w:rPr>
              <w:t xml:space="preserve">1.467630 </w:t>
            </w:r>
          </w:p>
        </w:tc>
        <w:tc>
          <w:tcPr>
            <w:tcW w:w="1643" w:type="dxa"/>
            <w:tcBorders>
              <w:right w:val="single" w:color="auto" w:sz="4" w:space="0"/>
            </w:tcBorders>
          </w:tcPr>
          <w:p>
            <w:pPr>
              <w:spacing w:line="240" w:lineRule="auto"/>
              <w:ind w:firstLine="0" w:firstLineChars="0"/>
              <w:jc w:val="center"/>
              <w:rPr>
                <w:bCs/>
                <w:color w:val="000000"/>
                <w:sz w:val="21"/>
                <w:szCs w:val="21"/>
              </w:rPr>
            </w:pPr>
            <w:r>
              <w:rPr>
                <w:rFonts w:hint="eastAsia"/>
                <w:bCs/>
                <w:color w:val="000000"/>
                <w:sz w:val="21"/>
                <w:szCs w:val="21"/>
              </w:rPr>
              <w:t xml:space="preserve">0.326481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2978" w:type="dxa"/>
            <w:tcBorders>
              <w:left w:val="single" w:color="auto" w:sz="4" w:space="0"/>
            </w:tcBorders>
            <w:vAlign w:val="bottom"/>
          </w:tcPr>
          <w:p>
            <w:pPr>
              <w:spacing w:line="240" w:lineRule="auto"/>
              <w:ind w:firstLine="0" w:firstLineChars="0"/>
              <w:jc w:val="center"/>
              <w:rPr>
                <w:bCs/>
                <w:color w:val="000000"/>
                <w:sz w:val="21"/>
                <w:szCs w:val="21"/>
              </w:rPr>
            </w:pPr>
            <w:r>
              <w:rPr>
                <w:rFonts w:hint="eastAsia"/>
                <w:bCs/>
                <w:color w:val="000000"/>
                <w:sz w:val="21"/>
                <w:szCs w:val="21"/>
              </w:rPr>
              <w:t>300</w:t>
            </w:r>
          </w:p>
        </w:tc>
        <w:tc>
          <w:tcPr>
            <w:tcW w:w="2126"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34.509957 </w:t>
            </w:r>
          </w:p>
        </w:tc>
        <w:tc>
          <w:tcPr>
            <w:tcW w:w="1985" w:type="dxa"/>
            <w:tcBorders>
              <w:right w:val="single" w:color="auto" w:sz="4" w:space="0"/>
            </w:tcBorders>
            <w:vAlign w:val="bottom"/>
          </w:tcPr>
          <w:p>
            <w:pPr>
              <w:spacing w:line="240" w:lineRule="auto"/>
              <w:ind w:firstLine="0" w:firstLineChars="0"/>
              <w:jc w:val="center"/>
              <w:rPr>
                <w:bCs/>
                <w:color w:val="000000"/>
                <w:sz w:val="21"/>
                <w:szCs w:val="21"/>
              </w:rPr>
            </w:pPr>
            <w:r>
              <w:rPr>
                <w:rFonts w:hint="eastAsia"/>
                <w:bCs/>
                <w:color w:val="000000"/>
                <w:sz w:val="21"/>
                <w:szCs w:val="21"/>
              </w:rPr>
              <w:t xml:space="preserve">1.465504 </w:t>
            </w:r>
          </w:p>
        </w:tc>
        <w:tc>
          <w:tcPr>
            <w:tcW w:w="1643" w:type="dxa"/>
            <w:tcBorders>
              <w:right w:val="single" w:color="auto" w:sz="4" w:space="0"/>
            </w:tcBorders>
          </w:tcPr>
          <w:p>
            <w:pPr>
              <w:spacing w:line="240" w:lineRule="auto"/>
              <w:ind w:firstLine="0" w:firstLineChars="0"/>
              <w:jc w:val="center"/>
              <w:rPr>
                <w:bCs/>
                <w:color w:val="000000"/>
                <w:sz w:val="21"/>
                <w:szCs w:val="21"/>
              </w:rPr>
            </w:pPr>
            <w:r>
              <w:rPr>
                <w:rFonts w:hint="eastAsia"/>
                <w:bCs/>
                <w:color w:val="000000"/>
                <w:sz w:val="21"/>
                <w:szCs w:val="21"/>
              </w:rPr>
              <w:t xml:space="preserve">0.326008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tcBorders>
              <w:left w:val="single" w:color="auto" w:sz="4" w:space="0"/>
            </w:tcBorders>
            <w:vAlign w:val="bottom"/>
          </w:tcPr>
          <w:p>
            <w:pPr>
              <w:spacing w:line="240" w:lineRule="auto"/>
              <w:ind w:firstLine="0" w:firstLineChars="0"/>
              <w:jc w:val="center"/>
              <w:rPr>
                <w:bCs/>
                <w:color w:val="000000"/>
                <w:sz w:val="21"/>
                <w:szCs w:val="21"/>
              </w:rPr>
            </w:pPr>
            <w:r>
              <w:rPr>
                <w:rFonts w:hint="eastAsia"/>
                <w:bCs/>
                <w:color w:val="000000"/>
                <w:sz w:val="21"/>
                <w:szCs w:val="21"/>
              </w:rPr>
              <w:t>500</w:t>
            </w:r>
          </w:p>
        </w:tc>
        <w:tc>
          <w:tcPr>
            <w:tcW w:w="2126"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34.410023 </w:t>
            </w:r>
          </w:p>
        </w:tc>
        <w:tc>
          <w:tcPr>
            <w:tcW w:w="1985" w:type="dxa"/>
            <w:tcBorders>
              <w:right w:val="single" w:color="auto" w:sz="4" w:space="0"/>
            </w:tcBorders>
            <w:vAlign w:val="bottom"/>
          </w:tcPr>
          <w:p>
            <w:pPr>
              <w:spacing w:line="240" w:lineRule="auto"/>
              <w:ind w:firstLine="0" w:firstLineChars="0"/>
              <w:jc w:val="center"/>
              <w:rPr>
                <w:bCs/>
                <w:color w:val="000000"/>
                <w:sz w:val="21"/>
                <w:szCs w:val="21"/>
              </w:rPr>
            </w:pPr>
            <w:r>
              <w:rPr>
                <w:rFonts w:hint="eastAsia"/>
                <w:bCs/>
                <w:color w:val="000000"/>
                <w:sz w:val="21"/>
                <w:szCs w:val="21"/>
              </w:rPr>
              <w:t xml:space="preserve">1.461260 </w:t>
            </w:r>
          </w:p>
        </w:tc>
        <w:tc>
          <w:tcPr>
            <w:tcW w:w="1643" w:type="dxa"/>
            <w:tcBorders>
              <w:right w:val="single" w:color="auto" w:sz="4" w:space="0"/>
            </w:tcBorders>
          </w:tcPr>
          <w:p>
            <w:pPr>
              <w:spacing w:line="240" w:lineRule="auto"/>
              <w:ind w:firstLine="0" w:firstLineChars="0"/>
              <w:jc w:val="center"/>
              <w:rPr>
                <w:bCs/>
                <w:color w:val="000000"/>
                <w:sz w:val="21"/>
                <w:szCs w:val="21"/>
              </w:rPr>
            </w:pPr>
            <w:r>
              <w:rPr>
                <w:rFonts w:hint="eastAsia"/>
                <w:bCs/>
                <w:color w:val="000000"/>
                <w:sz w:val="21"/>
                <w:szCs w:val="21"/>
              </w:rPr>
              <w:t xml:space="preserve">0.325064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tcBorders>
              <w:left w:val="single" w:color="auto" w:sz="4" w:space="0"/>
            </w:tcBorders>
            <w:vAlign w:val="bottom"/>
          </w:tcPr>
          <w:p>
            <w:pPr>
              <w:spacing w:line="240" w:lineRule="auto"/>
              <w:ind w:firstLine="0" w:firstLineChars="0"/>
              <w:jc w:val="center"/>
              <w:rPr>
                <w:bCs/>
                <w:color w:val="000000"/>
                <w:sz w:val="21"/>
                <w:szCs w:val="21"/>
              </w:rPr>
            </w:pPr>
            <w:r>
              <w:rPr>
                <w:rFonts w:hint="eastAsia"/>
                <w:bCs/>
                <w:color w:val="000000"/>
                <w:sz w:val="21"/>
                <w:szCs w:val="21"/>
              </w:rPr>
              <w:t>600（常规监测东洲断面处）</w:t>
            </w:r>
          </w:p>
        </w:tc>
        <w:tc>
          <w:tcPr>
            <w:tcW w:w="2126"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34.360164 </w:t>
            </w:r>
          </w:p>
        </w:tc>
        <w:tc>
          <w:tcPr>
            <w:tcW w:w="1985" w:type="dxa"/>
            <w:tcBorders>
              <w:right w:val="single" w:color="auto" w:sz="4" w:space="0"/>
            </w:tcBorders>
            <w:vAlign w:val="bottom"/>
          </w:tcPr>
          <w:p>
            <w:pPr>
              <w:spacing w:line="240" w:lineRule="auto"/>
              <w:ind w:firstLine="0" w:firstLineChars="0"/>
              <w:jc w:val="center"/>
              <w:rPr>
                <w:bCs/>
                <w:color w:val="000000"/>
                <w:sz w:val="21"/>
                <w:szCs w:val="21"/>
              </w:rPr>
            </w:pPr>
            <w:r>
              <w:rPr>
                <w:rFonts w:hint="eastAsia"/>
                <w:bCs/>
                <w:color w:val="000000"/>
                <w:sz w:val="21"/>
                <w:szCs w:val="21"/>
              </w:rPr>
              <w:t xml:space="preserve">1.459143 </w:t>
            </w:r>
          </w:p>
        </w:tc>
        <w:tc>
          <w:tcPr>
            <w:tcW w:w="1643" w:type="dxa"/>
            <w:tcBorders>
              <w:right w:val="single" w:color="auto" w:sz="4" w:space="0"/>
            </w:tcBorders>
          </w:tcPr>
          <w:p>
            <w:pPr>
              <w:spacing w:line="240" w:lineRule="auto"/>
              <w:ind w:firstLine="0" w:firstLineChars="0"/>
              <w:jc w:val="center"/>
              <w:rPr>
                <w:bCs/>
                <w:color w:val="000000"/>
                <w:sz w:val="21"/>
                <w:szCs w:val="21"/>
              </w:rPr>
            </w:pPr>
            <w:r>
              <w:rPr>
                <w:rFonts w:hint="eastAsia"/>
                <w:bCs/>
                <w:color w:val="000000"/>
                <w:sz w:val="21"/>
                <w:szCs w:val="21"/>
              </w:rPr>
              <w:t xml:space="preserve">0.324593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tcBorders>
              <w:left w:val="single" w:color="auto" w:sz="4" w:space="0"/>
            </w:tcBorders>
            <w:vAlign w:val="bottom"/>
          </w:tcPr>
          <w:p>
            <w:pPr>
              <w:spacing w:line="240" w:lineRule="auto"/>
              <w:ind w:firstLine="0" w:firstLineChars="0"/>
              <w:jc w:val="center"/>
              <w:rPr>
                <w:bCs/>
                <w:color w:val="000000"/>
                <w:sz w:val="21"/>
                <w:szCs w:val="21"/>
              </w:rPr>
            </w:pPr>
            <w:r>
              <w:rPr>
                <w:rFonts w:hint="eastAsia"/>
                <w:bCs/>
                <w:color w:val="000000"/>
                <w:sz w:val="21"/>
                <w:szCs w:val="21"/>
              </w:rPr>
              <w:t>1000</w:t>
            </w:r>
          </w:p>
        </w:tc>
        <w:tc>
          <w:tcPr>
            <w:tcW w:w="2126"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34.161452 </w:t>
            </w:r>
          </w:p>
        </w:tc>
        <w:tc>
          <w:tcPr>
            <w:tcW w:w="1985" w:type="dxa"/>
            <w:tcBorders>
              <w:right w:val="single" w:color="auto" w:sz="4" w:space="0"/>
            </w:tcBorders>
            <w:vAlign w:val="bottom"/>
          </w:tcPr>
          <w:p>
            <w:pPr>
              <w:spacing w:line="240" w:lineRule="auto"/>
              <w:ind w:firstLine="0" w:firstLineChars="0"/>
              <w:jc w:val="center"/>
              <w:rPr>
                <w:bCs/>
                <w:color w:val="000000"/>
                <w:sz w:val="21"/>
                <w:szCs w:val="21"/>
              </w:rPr>
            </w:pPr>
            <w:r>
              <w:rPr>
                <w:rFonts w:hint="eastAsia"/>
                <w:bCs/>
                <w:color w:val="000000"/>
                <w:sz w:val="21"/>
                <w:szCs w:val="21"/>
              </w:rPr>
              <w:t xml:space="preserve">1.450704 </w:t>
            </w:r>
          </w:p>
        </w:tc>
        <w:tc>
          <w:tcPr>
            <w:tcW w:w="1643" w:type="dxa"/>
            <w:tcBorders>
              <w:right w:val="single" w:color="auto" w:sz="4" w:space="0"/>
            </w:tcBorders>
          </w:tcPr>
          <w:p>
            <w:pPr>
              <w:spacing w:line="240" w:lineRule="auto"/>
              <w:ind w:firstLine="0" w:firstLineChars="0"/>
              <w:jc w:val="center"/>
              <w:rPr>
                <w:bCs/>
                <w:color w:val="000000"/>
                <w:sz w:val="21"/>
                <w:szCs w:val="21"/>
              </w:rPr>
            </w:pPr>
            <w:r>
              <w:rPr>
                <w:rFonts w:hint="eastAsia"/>
                <w:bCs/>
                <w:color w:val="000000"/>
                <w:sz w:val="21"/>
                <w:szCs w:val="21"/>
              </w:rPr>
              <w:t xml:space="preserve">0.322716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2978" w:type="dxa"/>
            <w:tcBorders>
              <w:left w:val="single" w:color="auto" w:sz="4" w:space="0"/>
            </w:tcBorders>
            <w:vAlign w:val="bottom"/>
          </w:tcPr>
          <w:p>
            <w:pPr>
              <w:spacing w:line="240" w:lineRule="auto"/>
              <w:ind w:firstLine="0" w:firstLineChars="0"/>
              <w:jc w:val="center"/>
              <w:rPr>
                <w:bCs/>
                <w:color w:val="000000"/>
                <w:sz w:val="21"/>
                <w:szCs w:val="21"/>
              </w:rPr>
            </w:pPr>
            <w:r>
              <w:rPr>
                <w:rFonts w:hint="eastAsia"/>
                <w:bCs/>
                <w:color w:val="000000"/>
                <w:sz w:val="21"/>
                <w:szCs w:val="21"/>
              </w:rPr>
              <w:t>1511.3（项目排放完全混合处）</w:t>
            </w:r>
          </w:p>
        </w:tc>
        <w:tc>
          <w:tcPr>
            <w:tcW w:w="2126"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33.909121 </w:t>
            </w:r>
          </w:p>
        </w:tc>
        <w:tc>
          <w:tcPr>
            <w:tcW w:w="1985" w:type="dxa"/>
            <w:tcBorders>
              <w:right w:val="single" w:color="auto" w:sz="4" w:space="0"/>
            </w:tcBorders>
            <w:vAlign w:val="bottom"/>
          </w:tcPr>
          <w:p>
            <w:pPr>
              <w:spacing w:line="240" w:lineRule="auto"/>
              <w:ind w:firstLine="0" w:firstLineChars="0"/>
              <w:jc w:val="center"/>
              <w:rPr>
                <w:bCs/>
                <w:color w:val="000000"/>
                <w:sz w:val="21"/>
                <w:szCs w:val="21"/>
              </w:rPr>
            </w:pPr>
            <w:r>
              <w:rPr>
                <w:rFonts w:hint="eastAsia"/>
                <w:bCs/>
                <w:color w:val="000000"/>
                <w:sz w:val="21"/>
                <w:szCs w:val="21"/>
              </w:rPr>
              <w:t xml:space="preserve">1.439988 </w:t>
            </w:r>
          </w:p>
        </w:tc>
        <w:tc>
          <w:tcPr>
            <w:tcW w:w="1643" w:type="dxa"/>
            <w:tcBorders>
              <w:right w:val="single" w:color="auto" w:sz="4" w:space="0"/>
            </w:tcBorders>
          </w:tcPr>
          <w:p>
            <w:pPr>
              <w:spacing w:line="240" w:lineRule="auto"/>
              <w:ind w:firstLine="0" w:firstLineChars="0"/>
              <w:jc w:val="center"/>
              <w:rPr>
                <w:bCs/>
                <w:color w:val="000000"/>
                <w:sz w:val="21"/>
                <w:szCs w:val="21"/>
              </w:rPr>
            </w:pPr>
            <w:r>
              <w:rPr>
                <w:rFonts w:hint="eastAsia"/>
                <w:bCs/>
                <w:color w:val="000000"/>
                <w:sz w:val="21"/>
                <w:szCs w:val="21"/>
              </w:rPr>
              <w:t xml:space="preserve">0.320332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tcBorders>
              <w:left w:val="single" w:color="auto" w:sz="4" w:space="0"/>
            </w:tcBorders>
            <w:vAlign w:val="bottom"/>
          </w:tcPr>
          <w:p>
            <w:pPr>
              <w:spacing w:line="240" w:lineRule="auto"/>
              <w:ind w:firstLine="0" w:firstLineChars="0"/>
              <w:jc w:val="center"/>
              <w:rPr>
                <w:bCs/>
                <w:color w:val="000000"/>
                <w:sz w:val="21"/>
                <w:szCs w:val="21"/>
              </w:rPr>
            </w:pPr>
            <w:r>
              <w:rPr>
                <w:rFonts w:hint="eastAsia"/>
                <w:bCs/>
                <w:color w:val="000000"/>
                <w:sz w:val="21"/>
                <w:szCs w:val="21"/>
              </w:rPr>
              <w:t>2000</w:t>
            </w:r>
          </w:p>
        </w:tc>
        <w:tc>
          <w:tcPr>
            <w:tcW w:w="2126"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33.669685 </w:t>
            </w:r>
          </w:p>
        </w:tc>
        <w:tc>
          <w:tcPr>
            <w:tcW w:w="1985" w:type="dxa"/>
            <w:tcBorders>
              <w:right w:val="single" w:color="auto" w:sz="4" w:space="0"/>
            </w:tcBorders>
            <w:vAlign w:val="bottom"/>
          </w:tcPr>
          <w:p>
            <w:pPr>
              <w:spacing w:line="240" w:lineRule="auto"/>
              <w:ind w:firstLine="0" w:firstLineChars="0"/>
              <w:jc w:val="center"/>
              <w:rPr>
                <w:bCs/>
                <w:color w:val="000000"/>
                <w:sz w:val="21"/>
                <w:szCs w:val="21"/>
              </w:rPr>
            </w:pPr>
            <w:r>
              <w:rPr>
                <w:rFonts w:hint="eastAsia"/>
                <w:bCs/>
                <w:color w:val="000000"/>
                <w:sz w:val="21"/>
                <w:szCs w:val="21"/>
              </w:rPr>
              <w:t xml:space="preserve">1.429821 </w:t>
            </w:r>
          </w:p>
        </w:tc>
        <w:tc>
          <w:tcPr>
            <w:tcW w:w="1643" w:type="dxa"/>
            <w:tcBorders>
              <w:right w:val="single" w:color="auto" w:sz="4" w:space="0"/>
            </w:tcBorders>
          </w:tcPr>
          <w:p>
            <w:pPr>
              <w:spacing w:line="240" w:lineRule="auto"/>
              <w:ind w:firstLine="0" w:firstLineChars="0"/>
              <w:jc w:val="center"/>
              <w:rPr>
                <w:bCs/>
                <w:color w:val="000000"/>
                <w:sz w:val="21"/>
                <w:szCs w:val="21"/>
              </w:rPr>
            </w:pPr>
            <w:r>
              <w:rPr>
                <w:rFonts w:hint="eastAsia"/>
                <w:bCs/>
                <w:color w:val="000000"/>
                <w:sz w:val="21"/>
                <w:szCs w:val="21"/>
              </w:rPr>
              <w:t xml:space="preserve">0.318070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tcBorders>
              <w:left w:val="single" w:color="auto" w:sz="4" w:space="0"/>
            </w:tcBorders>
            <w:vAlign w:val="bottom"/>
          </w:tcPr>
          <w:p>
            <w:pPr>
              <w:spacing w:line="240" w:lineRule="auto"/>
              <w:ind w:firstLine="0" w:firstLineChars="0"/>
              <w:jc w:val="center"/>
              <w:rPr>
                <w:bCs/>
                <w:color w:val="000000"/>
                <w:sz w:val="21"/>
                <w:szCs w:val="21"/>
              </w:rPr>
            </w:pPr>
            <w:r>
              <w:rPr>
                <w:rFonts w:hint="eastAsia"/>
                <w:bCs/>
                <w:color w:val="000000"/>
                <w:sz w:val="21"/>
                <w:szCs w:val="21"/>
              </w:rPr>
              <w:t>3000</w:t>
            </w:r>
          </w:p>
        </w:tc>
        <w:tc>
          <w:tcPr>
            <w:tcW w:w="2126"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33.184997 </w:t>
            </w:r>
          </w:p>
        </w:tc>
        <w:tc>
          <w:tcPr>
            <w:tcW w:w="1985" w:type="dxa"/>
            <w:tcBorders>
              <w:right w:val="single" w:color="auto" w:sz="4" w:space="0"/>
            </w:tcBorders>
            <w:vAlign w:val="bottom"/>
          </w:tcPr>
          <w:p>
            <w:pPr>
              <w:spacing w:line="240" w:lineRule="auto"/>
              <w:ind w:firstLine="0" w:firstLineChars="0"/>
              <w:jc w:val="center"/>
              <w:rPr>
                <w:bCs/>
                <w:color w:val="000000"/>
                <w:sz w:val="21"/>
                <w:szCs w:val="21"/>
              </w:rPr>
            </w:pPr>
            <w:r>
              <w:rPr>
                <w:rFonts w:hint="eastAsia"/>
                <w:bCs/>
                <w:color w:val="000000"/>
                <w:sz w:val="21"/>
                <w:szCs w:val="21"/>
              </w:rPr>
              <w:t xml:space="preserve">1.409238 </w:t>
            </w:r>
          </w:p>
        </w:tc>
        <w:tc>
          <w:tcPr>
            <w:tcW w:w="1643" w:type="dxa"/>
            <w:tcBorders>
              <w:right w:val="single" w:color="auto" w:sz="4" w:space="0"/>
            </w:tcBorders>
          </w:tcPr>
          <w:p>
            <w:pPr>
              <w:spacing w:line="240" w:lineRule="auto"/>
              <w:ind w:firstLine="0" w:firstLineChars="0"/>
              <w:jc w:val="center"/>
              <w:rPr>
                <w:bCs/>
                <w:color w:val="000000"/>
                <w:sz w:val="21"/>
                <w:szCs w:val="21"/>
              </w:rPr>
            </w:pPr>
            <w:r>
              <w:rPr>
                <w:rFonts w:hint="eastAsia"/>
                <w:bCs/>
                <w:color w:val="000000"/>
                <w:sz w:val="21"/>
                <w:szCs w:val="21"/>
              </w:rPr>
              <w:t xml:space="preserve">0.313492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tcBorders>
              <w:left w:val="single" w:color="auto" w:sz="4" w:space="0"/>
            </w:tcBorders>
            <w:vAlign w:val="bottom"/>
          </w:tcPr>
          <w:p>
            <w:pPr>
              <w:spacing w:line="240" w:lineRule="auto"/>
              <w:ind w:firstLine="0" w:firstLineChars="0"/>
              <w:jc w:val="center"/>
              <w:rPr>
                <w:bCs/>
                <w:color w:val="000000"/>
                <w:sz w:val="21"/>
                <w:szCs w:val="21"/>
              </w:rPr>
            </w:pPr>
            <w:r>
              <w:rPr>
                <w:rFonts w:hint="eastAsia"/>
                <w:bCs/>
                <w:color w:val="000000"/>
                <w:sz w:val="21"/>
                <w:szCs w:val="21"/>
              </w:rPr>
              <w:t>4000</w:t>
            </w:r>
          </w:p>
        </w:tc>
        <w:tc>
          <w:tcPr>
            <w:tcW w:w="2126"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32.707287 </w:t>
            </w:r>
          </w:p>
        </w:tc>
        <w:tc>
          <w:tcPr>
            <w:tcW w:w="1985" w:type="dxa"/>
            <w:tcBorders>
              <w:right w:val="single" w:color="auto" w:sz="4" w:space="0"/>
            </w:tcBorders>
            <w:vAlign w:val="bottom"/>
          </w:tcPr>
          <w:p>
            <w:pPr>
              <w:spacing w:line="240" w:lineRule="auto"/>
              <w:ind w:firstLine="0" w:firstLineChars="0"/>
              <w:jc w:val="center"/>
              <w:rPr>
                <w:bCs/>
                <w:color w:val="000000"/>
                <w:sz w:val="21"/>
                <w:szCs w:val="21"/>
              </w:rPr>
            </w:pPr>
            <w:r>
              <w:rPr>
                <w:rFonts w:hint="eastAsia"/>
                <w:bCs/>
                <w:color w:val="000000"/>
                <w:sz w:val="21"/>
                <w:szCs w:val="21"/>
              </w:rPr>
              <w:t xml:space="preserve">1.388951 </w:t>
            </w:r>
          </w:p>
        </w:tc>
        <w:tc>
          <w:tcPr>
            <w:tcW w:w="1643" w:type="dxa"/>
            <w:tcBorders>
              <w:right w:val="single" w:color="auto" w:sz="4" w:space="0"/>
            </w:tcBorders>
          </w:tcPr>
          <w:p>
            <w:pPr>
              <w:spacing w:line="240" w:lineRule="auto"/>
              <w:ind w:firstLine="0" w:firstLineChars="0"/>
              <w:jc w:val="center"/>
              <w:rPr>
                <w:bCs/>
                <w:color w:val="000000"/>
                <w:sz w:val="21"/>
                <w:szCs w:val="21"/>
              </w:rPr>
            </w:pPr>
            <w:r>
              <w:rPr>
                <w:rFonts w:hint="eastAsia"/>
                <w:bCs/>
                <w:color w:val="000000"/>
                <w:sz w:val="21"/>
                <w:szCs w:val="21"/>
              </w:rPr>
              <w:t xml:space="preserve">0.308979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2978" w:type="dxa"/>
            <w:tcBorders>
              <w:left w:val="single" w:color="auto" w:sz="4" w:space="0"/>
            </w:tcBorders>
            <w:vAlign w:val="bottom"/>
          </w:tcPr>
          <w:p>
            <w:pPr>
              <w:spacing w:line="240" w:lineRule="auto"/>
              <w:ind w:firstLine="0" w:firstLineChars="0"/>
              <w:jc w:val="center"/>
              <w:rPr>
                <w:bCs/>
                <w:color w:val="000000"/>
                <w:sz w:val="21"/>
                <w:szCs w:val="21"/>
              </w:rPr>
            </w:pPr>
            <w:r>
              <w:rPr>
                <w:rFonts w:hint="eastAsia"/>
                <w:bCs/>
                <w:color w:val="000000"/>
                <w:sz w:val="21"/>
                <w:szCs w:val="21"/>
              </w:rPr>
              <w:t>5000</w:t>
            </w:r>
          </w:p>
        </w:tc>
        <w:tc>
          <w:tcPr>
            <w:tcW w:w="2126"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32.236453 </w:t>
            </w:r>
          </w:p>
        </w:tc>
        <w:tc>
          <w:tcPr>
            <w:tcW w:w="1985" w:type="dxa"/>
            <w:tcBorders>
              <w:right w:val="single" w:color="auto" w:sz="4" w:space="0"/>
            </w:tcBorders>
            <w:vAlign w:val="bottom"/>
          </w:tcPr>
          <w:p>
            <w:pPr>
              <w:spacing w:line="240" w:lineRule="auto"/>
              <w:ind w:firstLine="0" w:firstLineChars="0"/>
              <w:jc w:val="center"/>
              <w:rPr>
                <w:bCs/>
                <w:color w:val="000000"/>
                <w:sz w:val="21"/>
                <w:szCs w:val="21"/>
              </w:rPr>
            </w:pPr>
            <w:r>
              <w:rPr>
                <w:rFonts w:hint="eastAsia"/>
                <w:bCs/>
                <w:color w:val="000000"/>
                <w:sz w:val="21"/>
                <w:szCs w:val="21"/>
              </w:rPr>
              <w:t xml:space="preserve">1.368957 </w:t>
            </w:r>
          </w:p>
        </w:tc>
        <w:tc>
          <w:tcPr>
            <w:tcW w:w="1643" w:type="dxa"/>
            <w:tcBorders>
              <w:right w:val="single" w:color="auto" w:sz="4" w:space="0"/>
            </w:tcBorders>
          </w:tcPr>
          <w:p>
            <w:pPr>
              <w:spacing w:line="240" w:lineRule="auto"/>
              <w:ind w:firstLine="0" w:firstLineChars="0"/>
              <w:jc w:val="center"/>
              <w:rPr>
                <w:bCs/>
                <w:color w:val="000000"/>
                <w:sz w:val="21"/>
                <w:szCs w:val="21"/>
              </w:rPr>
            </w:pPr>
            <w:r>
              <w:rPr>
                <w:rFonts w:hint="eastAsia"/>
                <w:bCs/>
                <w:color w:val="000000"/>
                <w:sz w:val="21"/>
                <w:szCs w:val="21"/>
              </w:rPr>
              <w:t xml:space="preserve">0.304531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tcBorders>
              <w:left w:val="single" w:color="auto" w:sz="4" w:space="0"/>
            </w:tcBorders>
            <w:vAlign w:val="bottom"/>
          </w:tcPr>
          <w:p>
            <w:pPr>
              <w:spacing w:line="240" w:lineRule="auto"/>
              <w:ind w:firstLine="0" w:firstLineChars="0"/>
              <w:jc w:val="center"/>
              <w:rPr>
                <w:bCs/>
                <w:color w:val="000000"/>
                <w:sz w:val="21"/>
                <w:szCs w:val="21"/>
              </w:rPr>
            </w:pPr>
            <w:r>
              <w:rPr>
                <w:rFonts w:hint="eastAsia"/>
                <w:bCs/>
                <w:color w:val="000000"/>
                <w:sz w:val="21"/>
                <w:szCs w:val="21"/>
              </w:rPr>
              <w:t>5600</w:t>
            </w:r>
          </w:p>
        </w:tc>
        <w:tc>
          <w:tcPr>
            <w:tcW w:w="2126"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31.957212 </w:t>
            </w:r>
          </w:p>
        </w:tc>
        <w:tc>
          <w:tcPr>
            <w:tcW w:w="1985" w:type="dxa"/>
            <w:tcBorders>
              <w:right w:val="single" w:color="auto" w:sz="4" w:space="0"/>
            </w:tcBorders>
            <w:vAlign w:val="bottom"/>
          </w:tcPr>
          <w:p>
            <w:pPr>
              <w:spacing w:line="240" w:lineRule="auto"/>
              <w:ind w:firstLine="0" w:firstLineChars="0"/>
              <w:jc w:val="center"/>
              <w:rPr>
                <w:bCs/>
                <w:color w:val="000000"/>
                <w:sz w:val="21"/>
                <w:szCs w:val="21"/>
              </w:rPr>
            </w:pPr>
            <w:r>
              <w:rPr>
                <w:rFonts w:hint="eastAsia"/>
                <w:bCs/>
                <w:color w:val="000000"/>
                <w:sz w:val="21"/>
                <w:szCs w:val="21"/>
              </w:rPr>
              <w:t xml:space="preserve">1.357099 </w:t>
            </w:r>
          </w:p>
        </w:tc>
        <w:tc>
          <w:tcPr>
            <w:tcW w:w="1643" w:type="dxa"/>
            <w:tcBorders>
              <w:right w:val="single" w:color="auto" w:sz="4" w:space="0"/>
            </w:tcBorders>
          </w:tcPr>
          <w:p>
            <w:pPr>
              <w:spacing w:line="240" w:lineRule="auto"/>
              <w:ind w:firstLine="0" w:firstLineChars="0"/>
              <w:jc w:val="center"/>
              <w:rPr>
                <w:bCs/>
                <w:color w:val="000000"/>
                <w:sz w:val="21"/>
                <w:szCs w:val="21"/>
              </w:rPr>
            </w:pPr>
            <w:r>
              <w:rPr>
                <w:rFonts w:hint="eastAsia"/>
                <w:bCs/>
                <w:color w:val="000000"/>
                <w:sz w:val="21"/>
                <w:szCs w:val="21"/>
              </w:rPr>
              <w:t xml:space="preserve">0.301893 </w:t>
            </w:r>
          </w:p>
        </w:tc>
      </w:tr>
    </w:tbl>
    <w:p>
      <w:pPr>
        <w:ind w:firstLine="480"/>
        <w:rPr>
          <w:u w:val="single"/>
        </w:rPr>
      </w:pPr>
      <w:r>
        <w:rPr>
          <w:szCs w:val="24"/>
          <w:u w:val="single"/>
        </w:rPr>
        <w:t>以上预测结果说明，</w:t>
      </w:r>
      <w:r>
        <w:rPr>
          <w:rFonts w:hint="eastAsia"/>
          <w:szCs w:val="24"/>
          <w:u w:val="single"/>
        </w:rPr>
        <w:t>枯水期正常排放，</w:t>
      </w:r>
      <w:r>
        <w:rPr>
          <w:szCs w:val="24"/>
          <w:u w:val="single"/>
        </w:rPr>
        <w:t>岸边排放</w:t>
      </w:r>
      <w:r>
        <w:rPr>
          <w:rFonts w:hint="eastAsia"/>
          <w:snapToGrid w:val="0"/>
          <w:kern w:val="0"/>
          <w:szCs w:val="24"/>
          <w:u w:val="single"/>
        </w:rPr>
        <w:t>污染物排入澹水后</w:t>
      </w:r>
      <w:r>
        <w:rPr>
          <w:rFonts w:hint="eastAsia"/>
          <w:color w:val="000000"/>
          <w:szCs w:val="24"/>
          <w:u w:val="single"/>
        </w:rPr>
        <w:t>1511.3</w:t>
      </w:r>
      <w:r>
        <w:rPr>
          <w:rFonts w:hint="eastAsia"/>
          <w:snapToGrid w:val="0"/>
          <w:kern w:val="0"/>
          <w:szCs w:val="24"/>
          <w:u w:val="single"/>
        </w:rPr>
        <w:t>m河</w:t>
      </w:r>
      <w:r>
        <w:rPr>
          <w:rFonts w:hint="eastAsia"/>
          <w:szCs w:val="24"/>
          <w:u w:val="single"/>
        </w:rPr>
        <w:t>流长度完全混合均匀，混合均匀后</w:t>
      </w:r>
      <w:r>
        <w:rPr>
          <w:szCs w:val="24"/>
          <w:u w:val="single"/>
        </w:rPr>
        <w:t>CODCr、</w:t>
      </w:r>
      <w:r>
        <w:rPr>
          <w:rFonts w:hint="eastAsia"/>
          <w:szCs w:val="24"/>
          <w:u w:val="single"/>
        </w:rPr>
        <w:t>氨氮、总磷</w:t>
      </w:r>
      <w:r>
        <w:rPr>
          <w:szCs w:val="24"/>
          <w:u w:val="single"/>
        </w:rPr>
        <w:t>浓度最大值分别为</w:t>
      </w:r>
      <w:r>
        <w:rPr>
          <w:rFonts w:hint="eastAsia"/>
          <w:szCs w:val="24"/>
          <w:u w:val="single"/>
        </w:rPr>
        <w:t>34.660402</w:t>
      </w:r>
      <w:r>
        <w:rPr>
          <w:szCs w:val="24"/>
          <w:u w:val="single"/>
        </w:rPr>
        <w:t>mg/L、</w:t>
      </w:r>
      <w:r>
        <w:rPr>
          <w:rFonts w:hint="eastAsia"/>
          <w:szCs w:val="24"/>
          <w:u w:val="single"/>
        </w:rPr>
        <w:t xml:space="preserve">1.471892 </w:t>
      </w:r>
      <w:r>
        <w:rPr>
          <w:szCs w:val="24"/>
          <w:u w:val="single"/>
        </w:rPr>
        <w:t>mg/L</w:t>
      </w:r>
      <w:r>
        <w:rPr>
          <w:rFonts w:hint="eastAsia"/>
          <w:szCs w:val="24"/>
          <w:u w:val="single"/>
        </w:rPr>
        <w:t>、0.327430 mg/L；由于背景浓度值已超过</w:t>
      </w:r>
      <w:r>
        <w:rPr>
          <w:rFonts w:hint="eastAsia" w:ascii="宋体" w:hAnsi="宋体"/>
          <w:szCs w:val="24"/>
          <w:u w:val="single"/>
        </w:rPr>
        <w:t>Ⅲ</w:t>
      </w:r>
      <w:r>
        <w:rPr>
          <w:szCs w:val="24"/>
          <w:u w:val="single"/>
        </w:rPr>
        <w:t>类标准</w:t>
      </w:r>
      <w:r>
        <w:rPr>
          <w:rFonts w:hint="eastAsia"/>
          <w:szCs w:val="24"/>
          <w:u w:val="single"/>
        </w:rPr>
        <w:t>限值，常规监测断面处</w:t>
      </w:r>
      <w:r>
        <w:rPr>
          <w:szCs w:val="24"/>
          <w:u w:val="single"/>
        </w:rPr>
        <w:t>COD</w:t>
      </w:r>
      <w:r>
        <w:rPr>
          <w:szCs w:val="24"/>
          <w:u w:val="single"/>
          <w:vertAlign w:val="subscript"/>
        </w:rPr>
        <w:t>Cr</w:t>
      </w:r>
      <w:r>
        <w:rPr>
          <w:rFonts w:hint="eastAsia"/>
          <w:szCs w:val="24"/>
          <w:u w:val="single"/>
        </w:rPr>
        <w:t>、氨氮、总磷均超过</w:t>
      </w:r>
      <w:r>
        <w:rPr>
          <w:szCs w:val="24"/>
          <w:u w:val="single"/>
        </w:rPr>
        <w:t>《地表水环境质量标准》（GB3838-2002）</w:t>
      </w:r>
      <w:r>
        <w:rPr>
          <w:rFonts w:hint="eastAsia" w:ascii="宋体" w:hAnsi="宋体"/>
          <w:szCs w:val="24"/>
          <w:u w:val="single"/>
        </w:rPr>
        <w:t>Ⅲ</w:t>
      </w:r>
      <w:r>
        <w:rPr>
          <w:szCs w:val="24"/>
          <w:u w:val="single"/>
        </w:rPr>
        <w:t>类标准</w:t>
      </w:r>
      <w:r>
        <w:rPr>
          <w:rFonts w:hint="eastAsia"/>
          <w:szCs w:val="24"/>
          <w:u w:val="single"/>
        </w:rPr>
        <w:t>限值</w:t>
      </w:r>
      <w:r>
        <w:rPr>
          <w:szCs w:val="24"/>
          <w:u w:val="single"/>
        </w:rPr>
        <w:t>要求</w:t>
      </w:r>
      <w:r>
        <w:rPr>
          <w:rFonts w:hint="eastAsia"/>
          <w:szCs w:val="24"/>
          <w:u w:val="single"/>
        </w:rPr>
        <w:t>，只能维持</w:t>
      </w:r>
      <w:r>
        <w:rPr>
          <w:rFonts w:hint="eastAsia" w:ascii="宋体" w:hAnsi="宋体"/>
          <w:szCs w:val="24"/>
          <w:u w:val="single"/>
        </w:rPr>
        <w:t>Ⅴ</w:t>
      </w:r>
      <w:r>
        <w:rPr>
          <w:szCs w:val="24"/>
          <w:u w:val="single"/>
        </w:rPr>
        <w:t>类标准</w:t>
      </w:r>
      <w:r>
        <w:rPr>
          <w:rFonts w:hint="eastAsia"/>
          <w:szCs w:val="24"/>
          <w:u w:val="single"/>
        </w:rPr>
        <w:t>限值</w:t>
      </w:r>
      <w:r>
        <w:rPr>
          <w:szCs w:val="24"/>
          <w:u w:val="single"/>
        </w:rPr>
        <w:t>要求</w:t>
      </w:r>
      <w:r>
        <w:rPr>
          <w:rFonts w:hint="eastAsia"/>
          <w:szCs w:val="24"/>
          <w:u w:val="single"/>
        </w:rPr>
        <w:t>。</w:t>
      </w:r>
    </w:p>
    <w:p>
      <w:pPr>
        <w:pStyle w:val="74"/>
        <w:rPr>
          <w:u w:val="single"/>
        </w:rPr>
      </w:pPr>
      <w:r>
        <w:rPr>
          <w:rFonts w:hint="eastAsia"/>
          <w:u w:val="single"/>
        </w:rPr>
        <w:t>枯水期正常排放时，论证范围内</w:t>
      </w:r>
      <w:r>
        <w:rPr>
          <w:u w:val="single"/>
        </w:rPr>
        <w:t>COD</w:t>
      </w:r>
      <w:r>
        <w:rPr>
          <w:u w:val="single"/>
          <w:vertAlign w:val="subscript"/>
        </w:rPr>
        <w:t>Cr</w:t>
      </w:r>
      <w:r>
        <w:rPr>
          <w:rFonts w:hint="eastAsia"/>
          <w:u w:val="single"/>
        </w:rPr>
        <w:t>经1327m河段达到背景值浓度、氨氮均超过背景值、总磷经1583m河段达到背景值。</w:t>
      </w:r>
    </w:p>
    <w:p>
      <w:pPr>
        <w:pStyle w:val="74"/>
        <w:rPr>
          <w:rFonts w:hAnsi="Times New Roman"/>
          <w:szCs w:val="21"/>
        </w:rPr>
      </w:pPr>
      <w:r>
        <w:rPr>
          <w:rFonts w:hint="eastAsia" w:hAnsi="Times New Roman"/>
          <w:szCs w:val="21"/>
        </w:rPr>
        <w:t>（2）</w:t>
      </w:r>
      <w:r>
        <w:rPr>
          <w:rFonts w:hAnsi="Times New Roman"/>
          <w:szCs w:val="21"/>
        </w:rPr>
        <w:t>非正常排放预测结果及影响分析</w:t>
      </w:r>
    </w:p>
    <w:p>
      <w:pPr>
        <w:pStyle w:val="74"/>
        <w:rPr>
          <w:rFonts w:hAnsi="Times New Roman"/>
        </w:rPr>
      </w:pPr>
      <w:r>
        <w:rPr>
          <w:rFonts w:hAnsi="Times New Roman"/>
        </w:rPr>
        <w:t>本项目废水非正常排放时各污染物浓度为COD</w:t>
      </w:r>
      <w:r>
        <w:rPr>
          <w:rFonts w:hAnsi="Times New Roman"/>
          <w:vertAlign w:val="subscript"/>
        </w:rPr>
        <w:t>Cr</w:t>
      </w:r>
      <w:r>
        <w:rPr>
          <w:rFonts w:hint="eastAsia" w:hAnsi="Times New Roman"/>
        </w:rPr>
        <w:t>330</w:t>
      </w:r>
      <w:r>
        <w:rPr>
          <w:rFonts w:hAnsi="Times New Roman"/>
        </w:rPr>
        <w:t>mg/L</w:t>
      </w:r>
      <w:r>
        <w:rPr>
          <w:rFonts w:hint="eastAsia" w:hAnsi="Times New Roman"/>
        </w:rPr>
        <w:t>、氨氮30</w:t>
      </w:r>
      <w:r>
        <w:rPr>
          <w:rFonts w:hAnsi="Times New Roman"/>
        </w:rPr>
        <w:t>mg/L</w:t>
      </w:r>
      <w:r>
        <w:rPr>
          <w:rFonts w:hint="eastAsia" w:hAnsi="Times New Roman"/>
        </w:rPr>
        <w:t>、总磷4mg/L</w:t>
      </w:r>
      <w:r>
        <w:rPr>
          <w:rFonts w:hAnsi="Times New Roman"/>
        </w:rPr>
        <w:t>。依据污染负荷浓度减少值，</w:t>
      </w:r>
      <w:r>
        <w:rPr>
          <w:rFonts w:hint="eastAsia"/>
        </w:rPr>
        <w:t>项目废水</w:t>
      </w:r>
      <w:r>
        <w:t>入</w:t>
      </w:r>
      <w:r>
        <w:rPr>
          <w:rFonts w:hint="eastAsia"/>
        </w:rPr>
        <w:t>澹水</w:t>
      </w:r>
      <w:r>
        <w:t>排口</w:t>
      </w:r>
      <w:r>
        <w:rPr>
          <w:rFonts w:hAnsi="Times New Roman"/>
        </w:rPr>
        <w:t>下游</w:t>
      </w:r>
      <w:r>
        <w:rPr>
          <w:rFonts w:hint="eastAsia" w:hAnsi="Times New Roman"/>
        </w:rPr>
        <w:t>5.6</w:t>
      </w:r>
      <w:r>
        <w:rPr>
          <w:rFonts w:hAnsi="Times New Roman"/>
        </w:rPr>
        <w:t>km</w:t>
      </w:r>
      <w:r>
        <w:rPr>
          <w:rFonts w:hint="eastAsia" w:hAnsi="Times New Roman"/>
        </w:rPr>
        <w:t>论证</w:t>
      </w:r>
      <w:r>
        <w:rPr>
          <w:rFonts w:hAnsi="Times New Roman"/>
        </w:rPr>
        <w:t>范围内COD</w:t>
      </w:r>
      <w:r>
        <w:rPr>
          <w:rFonts w:hAnsi="Times New Roman"/>
          <w:vertAlign w:val="subscript"/>
        </w:rPr>
        <w:t>Cr</w:t>
      </w:r>
      <w:r>
        <w:rPr>
          <w:rFonts w:hAnsi="Times New Roman"/>
        </w:rPr>
        <w:t>、</w:t>
      </w:r>
      <w:r>
        <w:rPr>
          <w:rFonts w:hint="eastAsia" w:hAnsi="Times New Roman"/>
        </w:rPr>
        <w:t>氨氮、总磷</w:t>
      </w:r>
      <w:r>
        <w:rPr>
          <w:rFonts w:hAnsi="Times New Roman"/>
        </w:rPr>
        <w:t>污染物浓度的预测情况见</w:t>
      </w:r>
      <w:r>
        <w:rPr>
          <w:rFonts w:hint="eastAsia" w:hAnsi="Times New Roman"/>
        </w:rPr>
        <w:t>下表。</w:t>
      </w:r>
    </w:p>
    <w:p>
      <w:pPr>
        <w:ind w:firstLine="0" w:firstLineChars="0"/>
        <w:jc w:val="center"/>
        <w:rPr>
          <w:b/>
          <w:bCs/>
          <w:sz w:val="21"/>
          <w:szCs w:val="21"/>
        </w:rPr>
      </w:pPr>
      <w:r>
        <w:rPr>
          <w:b/>
          <w:bCs/>
          <w:sz w:val="21"/>
          <w:szCs w:val="21"/>
        </w:rPr>
        <w:t>表</w:t>
      </w:r>
      <w:r>
        <w:rPr>
          <w:rFonts w:hint="eastAsia"/>
          <w:b/>
          <w:bCs/>
          <w:sz w:val="21"/>
          <w:szCs w:val="21"/>
        </w:rPr>
        <w:t>6-5</w:t>
      </w:r>
      <w:r>
        <w:rPr>
          <w:b/>
          <w:bCs/>
          <w:sz w:val="21"/>
          <w:szCs w:val="21"/>
        </w:rPr>
        <w:t xml:space="preserve">  废</w:t>
      </w:r>
      <w:r>
        <w:rPr>
          <w:rFonts w:hint="eastAsia"/>
          <w:b/>
          <w:bCs/>
          <w:sz w:val="21"/>
          <w:szCs w:val="21"/>
        </w:rPr>
        <w:t>水事故</w:t>
      </w:r>
      <w:r>
        <w:rPr>
          <w:b/>
          <w:bCs/>
          <w:sz w:val="21"/>
          <w:szCs w:val="21"/>
        </w:rPr>
        <w:t xml:space="preserve">排放浓度预测值  </w:t>
      </w:r>
      <w:r>
        <w:rPr>
          <w:rFonts w:hint="eastAsia"/>
          <w:b/>
          <w:bCs/>
          <w:sz w:val="21"/>
          <w:szCs w:val="21"/>
        </w:rPr>
        <w:t xml:space="preserve">  </w:t>
      </w:r>
      <w:r>
        <w:rPr>
          <w:b/>
          <w:bCs/>
          <w:sz w:val="21"/>
          <w:szCs w:val="21"/>
        </w:rPr>
        <w:t>单位mg/L</w:t>
      </w:r>
    </w:p>
    <w:tbl>
      <w:tblPr>
        <w:tblStyle w:val="41"/>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8"/>
        <w:gridCol w:w="2126"/>
        <w:gridCol w:w="1843"/>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vMerge w:val="restart"/>
            <w:vAlign w:val="center"/>
          </w:tcPr>
          <w:p>
            <w:pPr>
              <w:spacing w:line="240" w:lineRule="auto"/>
              <w:ind w:firstLine="0" w:firstLineChars="0"/>
              <w:jc w:val="center"/>
              <w:rPr>
                <w:b/>
                <w:bCs/>
                <w:color w:val="000000"/>
                <w:sz w:val="21"/>
                <w:szCs w:val="21"/>
              </w:rPr>
            </w:pPr>
            <w:r>
              <w:rPr>
                <w:b/>
                <w:bCs/>
                <w:color w:val="000000"/>
                <w:sz w:val="21"/>
                <w:szCs w:val="21"/>
              </w:rPr>
              <w:t>X</w:t>
            </w:r>
          </w:p>
        </w:tc>
        <w:tc>
          <w:tcPr>
            <w:tcW w:w="5754" w:type="dxa"/>
            <w:gridSpan w:val="3"/>
            <w:vAlign w:val="center"/>
          </w:tcPr>
          <w:p>
            <w:pPr>
              <w:spacing w:line="240" w:lineRule="auto"/>
              <w:ind w:firstLine="0" w:firstLineChars="0"/>
              <w:jc w:val="center"/>
              <w:rPr>
                <w:b/>
                <w:bCs/>
                <w:color w:val="000000"/>
                <w:sz w:val="21"/>
                <w:szCs w:val="21"/>
              </w:rPr>
            </w:pPr>
            <w:r>
              <w:rPr>
                <w:rFonts w:hint="eastAsia"/>
                <w:b/>
                <w:bCs/>
                <w:color w:val="000000"/>
                <w:sz w:val="21"/>
                <w:szCs w:val="21"/>
              </w:rPr>
              <w:t>污染物</w:t>
            </w:r>
            <w:r>
              <w:rPr>
                <w:b/>
                <w:bCs/>
                <w:color w:val="000000"/>
                <w:sz w:val="21"/>
                <w:szCs w:val="21"/>
              </w:rPr>
              <w:t>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vMerge w:val="continue"/>
            <w:vAlign w:val="center"/>
          </w:tcPr>
          <w:p>
            <w:pPr>
              <w:spacing w:line="240" w:lineRule="auto"/>
              <w:ind w:firstLine="0" w:firstLineChars="0"/>
              <w:jc w:val="center"/>
              <w:rPr>
                <w:bCs/>
                <w:color w:val="000000"/>
                <w:sz w:val="21"/>
                <w:szCs w:val="21"/>
              </w:rPr>
            </w:pPr>
          </w:p>
        </w:tc>
        <w:tc>
          <w:tcPr>
            <w:tcW w:w="2126" w:type="dxa"/>
            <w:vAlign w:val="center"/>
          </w:tcPr>
          <w:p>
            <w:pPr>
              <w:spacing w:line="240" w:lineRule="auto"/>
              <w:ind w:firstLine="0" w:firstLineChars="0"/>
              <w:jc w:val="center"/>
              <w:rPr>
                <w:bCs/>
                <w:color w:val="000000"/>
                <w:sz w:val="21"/>
                <w:szCs w:val="21"/>
              </w:rPr>
            </w:pPr>
            <w:r>
              <w:rPr>
                <w:rFonts w:hint="eastAsia"/>
                <w:bCs/>
                <w:color w:val="000000"/>
                <w:sz w:val="21"/>
                <w:szCs w:val="21"/>
              </w:rPr>
              <w:t>COD</w:t>
            </w:r>
            <w:r>
              <w:rPr>
                <w:rFonts w:hint="eastAsia"/>
                <w:bCs/>
                <w:color w:val="000000"/>
                <w:sz w:val="21"/>
                <w:szCs w:val="21"/>
                <w:vertAlign w:val="subscript"/>
              </w:rPr>
              <w:t>Cr</w:t>
            </w:r>
          </w:p>
        </w:tc>
        <w:tc>
          <w:tcPr>
            <w:tcW w:w="1843" w:type="dxa"/>
            <w:vAlign w:val="center"/>
          </w:tcPr>
          <w:p>
            <w:pPr>
              <w:spacing w:line="240" w:lineRule="auto"/>
              <w:ind w:firstLine="0" w:firstLineChars="0"/>
              <w:jc w:val="center"/>
              <w:rPr>
                <w:bCs/>
                <w:color w:val="000000"/>
                <w:sz w:val="21"/>
                <w:szCs w:val="21"/>
              </w:rPr>
            </w:pPr>
            <w:r>
              <w:rPr>
                <w:rFonts w:hint="eastAsia"/>
                <w:bCs/>
                <w:color w:val="000000"/>
                <w:sz w:val="21"/>
                <w:szCs w:val="21"/>
              </w:rPr>
              <w:t>氨氮</w:t>
            </w:r>
          </w:p>
        </w:tc>
        <w:tc>
          <w:tcPr>
            <w:tcW w:w="1785" w:type="dxa"/>
          </w:tcPr>
          <w:p>
            <w:pPr>
              <w:spacing w:line="240" w:lineRule="auto"/>
              <w:ind w:firstLine="0" w:firstLineChars="0"/>
              <w:jc w:val="center"/>
              <w:rPr>
                <w:bCs/>
                <w:color w:val="000000"/>
                <w:sz w:val="21"/>
                <w:szCs w:val="21"/>
              </w:rPr>
            </w:pPr>
            <w:r>
              <w:rPr>
                <w:rFonts w:hint="eastAsia"/>
                <w:bCs/>
                <w:color w:val="000000"/>
                <w:sz w:val="21"/>
                <w:szCs w:val="21"/>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vAlign w:val="bottom"/>
          </w:tcPr>
          <w:p>
            <w:pPr>
              <w:spacing w:line="240" w:lineRule="auto"/>
              <w:ind w:firstLine="0" w:firstLineChars="0"/>
              <w:jc w:val="center"/>
              <w:rPr>
                <w:bCs/>
                <w:color w:val="000000"/>
                <w:sz w:val="21"/>
                <w:szCs w:val="21"/>
              </w:rPr>
            </w:pPr>
            <w:r>
              <w:rPr>
                <w:bCs/>
                <w:color w:val="000000"/>
                <w:sz w:val="21"/>
                <w:szCs w:val="21"/>
              </w:rPr>
              <w:t>0</w:t>
            </w:r>
          </w:p>
        </w:tc>
        <w:tc>
          <w:tcPr>
            <w:tcW w:w="2126"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46.217438 </w:t>
            </w:r>
          </w:p>
        </w:tc>
        <w:tc>
          <w:tcPr>
            <w:tcW w:w="1843"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2.503771 </w:t>
            </w:r>
          </w:p>
        </w:tc>
        <w:tc>
          <w:tcPr>
            <w:tcW w:w="1785" w:type="dxa"/>
          </w:tcPr>
          <w:p>
            <w:pPr>
              <w:spacing w:line="240" w:lineRule="auto"/>
              <w:ind w:firstLine="0" w:firstLineChars="0"/>
              <w:jc w:val="center"/>
              <w:rPr>
                <w:bCs/>
                <w:color w:val="000000"/>
                <w:sz w:val="21"/>
                <w:szCs w:val="21"/>
              </w:rPr>
            </w:pPr>
            <w:r>
              <w:rPr>
                <w:rFonts w:hint="eastAsia"/>
                <w:bCs/>
                <w:color w:val="000000"/>
                <w:sz w:val="21"/>
                <w:szCs w:val="21"/>
              </w:rPr>
              <w:t xml:space="preserve">0.471892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78" w:type="dxa"/>
            <w:vAlign w:val="bottom"/>
          </w:tcPr>
          <w:p>
            <w:pPr>
              <w:spacing w:line="240" w:lineRule="auto"/>
              <w:ind w:firstLine="0" w:firstLineChars="0"/>
              <w:jc w:val="center"/>
              <w:rPr>
                <w:bCs/>
                <w:color w:val="000000"/>
                <w:sz w:val="21"/>
                <w:szCs w:val="21"/>
              </w:rPr>
            </w:pPr>
            <w:r>
              <w:rPr>
                <w:rFonts w:hint="eastAsia"/>
                <w:bCs/>
                <w:color w:val="000000"/>
                <w:sz w:val="21"/>
                <w:szCs w:val="21"/>
              </w:rPr>
              <w:t>10</w:t>
            </w:r>
          </w:p>
        </w:tc>
        <w:tc>
          <w:tcPr>
            <w:tcW w:w="2126"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46.210737 </w:t>
            </w:r>
          </w:p>
        </w:tc>
        <w:tc>
          <w:tcPr>
            <w:tcW w:w="1843"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2.503408 </w:t>
            </w:r>
          </w:p>
        </w:tc>
        <w:tc>
          <w:tcPr>
            <w:tcW w:w="1785" w:type="dxa"/>
          </w:tcPr>
          <w:p>
            <w:pPr>
              <w:spacing w:line="240" w:lineRule="auto"/>
              <w:ind w:firstLine="0" w:firstLineChars="0"/>
              <w:jc w:val="center"/>
              <w:rPr>
                <w:bCs/>
                <w:color w:val="000000"/>
                <w:sz w:val="21"/>
                <w:szCs w:val="21"/>
              </w:rPr>
            </w:pPr>
            <w:r>
              <w:rPr>
                <w:rFonts w:hint="eastAsia"/>
                <w:bCs/>
                <w:color w:val="000000"/>
                <w:sz w:val="21"/>
                <w:szCs w:val="21"/>
              </w:rPr>
              <w:t xml:space="preserve">0.471824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vAlign w:val="bottom"/>
          </w:tcPr>
          <w:p>
            <w:pPr>
              <w:spacing w:line="240" w:lineRule="auto"/>
              <w:ind w:firstLine="0" w:firstLineChars="0"/>
              <w:jc w:val="center"/>
              <w:rPr>
                <w:bCs/>
                <w:color w:val="000000"/>
                <w:sz w:val="21"/>
                <w:szCs w:val="21"/>
              </w:rPr>
            </w:pPr>
            <w:r>
              <w:rPr>
                <w:rFonts w:hint="eastAsia"/>
                <w:bCs/>
                <w:color w:val="000000"/>
                <w:sz w:val="21"/>
                <w:szCs w:val="21"/>
              </w:rPr>
              <w:t>50</w:t>
            </w:r>
          </w:p>
        </w:tc>
        <w:tc>
          <w:tcPr>
            <w:tcW w:w="2126"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46.183942 </w:t>
            </w:r>
          </w:p>
        </w:tc>
        <w:tc>
          <w:tcPr>
            <w:tcW w:w="1843"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2.501956 </w:t>
            </w:r>
          </w:p>
        </w:tc>
        <w:tc>
          <w:tcPr>
            <w:tcW w:w="1785" w:type="dxa"/>
          </w:tcPr>
          <w:p>
            <w:pPr>
              <w:spacing w:line="240" w:lineRule="auto"/>
              <w:ind w:firstLine="0" w:firstLineChars="0"/>
              <w:jc w:val="center"/>
              <w:rPr>
                <w:bCs/>
                <w:color w:val="000000"/>
                <w:sz w:val="21"/>
                <w:szCs w:val="21"/>
              </w:rPr>
            </w:pPr>
            <w:r>
              <w:rPr>
                <w:rFonts w:hint="eastAsia"/>
                <w:bCs/>
                <w:color w:val="000000"/>
                <w:sz w:val="21"/>
                <w:szCs w:val="21"/>
              </w:rPr>
              <w:t xml:space="preserve">0.471550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vAlign w:val="bottom"/>
          </w:tcPr>
          <w:p>
            <w:pPr>
              <w:spacing w:line="240" w:lineRule="auto"/>
              <w:ind w:firstLine="0" w:firstLineChars="0"/>
              <w:jc w:val="center"/>
              <w:rPr>
                <w:bCs/>
                <w:color w:val="000000"/>
                <w:sz w:val="21"/>
                <w:szCs w:val="21"/>
              </w:rPr>
            </w:pPr>
            <w:r>
              <w:rPr>
                <w:rFonts w:hint="eastAsia"/>
                <w:bCs/>
                <w:color w:val="000000"/>
                <w:sz w:val="21"/>
                <w:szCs w:val="21"/>
              </w:rPr>
              <w:t>100</w:t>
            </w:r>
          </w:p>
        </w:tc>
        <w:tc>
          <w:tcPr>
            <w:tcW w:w="2126"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46.150471 </w:t>
            </w:r>
          </w:p>
        </w:tc>
        <w:tc>
          <w:tcPr>
            <w:tcW w:w="1843"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2.500143 </w:t>
            </w:r>
          </w:p>
        </w:tc>
        <w:tc>
          <w:tcPr>
            <w:tcW w:w="1785" w:type="dxa"/>
          </w:tcPr>
          <w:p>
            <w:pPr>
              <w:spacing w:line="240" w:lineRule="auto"/>
              <w:ind w:firstLine="0" w:firstLineChars="0"/>
              <w:jc w:val="center"/>
              <w:rPr>
                <w:bCs/>
                <w:color w:val="000000"/>
                <w:sz w:val="21"/>
                <w:szCs w:val="21"/>
              </w:rPr>
            </w:pPr>
            <w:r>
              <w:rPr>
                <w:rFonts w:hint="eastAsia"/>
                <w:bCs/>
                <w:color w:val="000000"/>
                <w:sz w:val="21"/>
                <w:szCs w:val="21"/>
              </w:rPr>
              <w:t xml:space="preserve">0.471209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vAlign w:val="bottom"/>
          </w:tcPr>
          <w:p>
            <w:pPr>
              <w:spacing w:line="240" w:lineRule="auto"/>
              <w:ind w:firstLine="0" w:firstLineChars="0"/>
              <w:jc w:val="center"/>
              <w:rPr>
                <w:bCs/>
                <w:color w:val="000000"/>
                <w:sz w:val="21"/>
                <w:szCs w:val="21"/>
              </w:rPr>
            </w:pPr>
            <w:r>
              <w:rPr>
                <w:rFonts w:hint="eastAsia"/>
                <w:bCs/>
                <w:color w:val="000000"/>
                <w:sz w:val="21"/>
                <w:szCs w:val="21"/>
              </w:rPr>
              <w:t>200</w:t>
            </w:r>
          </w:p>
        </w:tc>
        <w:tc>
          <w:tcPr>
            <w:tcW w:w="2126"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46.083601 </w:t>
            </w:r>
          </w:p>
        </w:tc>
        <w:tc>
          <w:tcPr>
            <w:tcW w:w="1843"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2.496520 </w:t>
            </w:r>
          </w:p>
        </w:tc>
        <w:tc>
          <w:tcPr>
            <w:tcW w:w="1785" w:type="dxa"/>
          </w:tcPr>
          <w:p>
            <w:pPr>
              <w:spacing w:line="240" w:lineRule="auto"/>
              <w:ind w:firstLine="0" w:firstLineChars="0"/>
              <w:jc w:val="center"/>
              <w:rPr>
                <w:bCs/>
                <w:color w:val="000000"/>
                <w:sz w:val="21"/>
                <w:szCs w:val="21"/>
              </w:rPr>
            </w:pPr>
            <w:r>
              <w:rPr>
                <w:rFonts w:hint="eastAsia"/>
                <w:bCs/>
                <w:color w:val="000000"/>
                <w:sz w:val="21"/>
                <w:szCs w:val="21"/>
              </w:rPr>
              <w:t xml:space="preserve">0.470526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78" w:type="dxa"/>
            <w:vAlign w:val="bottom"/>
          </w:tcPr>
          <w:p>
            <w:pPr>
              <w:spacing w:line="240" w:lineRule="auto"/>
              <w:ind w:firstLine="0" w:firstLineChars="0"/>
              <w:jc w:val="center"/>
              <w:rPr>
                <w:bCs/>
                <w:color w:val="000000"/>
                <w:sz w:val="21"/>
                <w:szCs w:val="21"/>
              </w:rPr>
            </w:pPr>
            <w:r>
              <w:rPr>
                <w:rFonts w:hint="eastAsia"/>
                <w:bCs/>
                <w:color w:val="000000"/>
                <w:sz w:val="21"/>
                <w:szCs w:val="21"/>
              </w:rPr>
              <w:t>300</w:t>
            </w:r>
          </w:p>
        </w:tc>
        <w:tc>
          <w:tcPr>
            <w:tcW w:w="2126"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46.016829 </w:t>
            </w:r>
          </w:p>
        </w:tc>
        <w:tc>
          <w:tcPr>
            <w:tcW w:w="1843"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2.492903 </w:t>
            </w:r>
          </w:p>
        </w:tc>
        <w:tc>
          <w:tcPr>
            <w:tcW w:w="1785" w:type="dxa"/>
          </w:tcPr>
          <w:p>
            <w:pPr>
              <w:spacing w:line="240" w:lineRule="auto"/>
              <w:ind w:firstLine="0" w:firstLineChars="0"/>
              <w:jc w:val="center"/>
              <w:rPr>
                <w:bCs/>
                <w:color w:val="000000"/>
                <w:sz w:val="21"/>
                <w:szCs w:val="21"/>
              </w:rPr>
            </w:pPr>
            <w:r>
              <w:rPr>
                <w:rFonts w:hint="eastAsia"/>
                <w:bCs/>
                <w:color w:val="000000"/>
                <w:sz w:val="21"/>
                <w:szCs w:val="21"/>
              </w:rPr>
              <w:t xml:space="preserve">0.469844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vAlign w:val="bottom"/>
          </w:tcPr>
          <w:p>
            <w:pPr>
              <w:spacing w:line="240" w:lineRule="auto"/>
              <w:ind w:firstLine="0" w:firstLineChars="0"/>
              <w:jc w:val="center"/>
              <w:rPr>
                <w:bCs/>
                <w:color w:val="000000"/>
                <w:sz w:val="21"/>
                <w:szCs w:val="21"/>
              </w:rPr>
            </w:pPr>
            <w:r>
              <w:rPr>
                <w:rFonts w:hint="eastAsia"/>
                <w:bCs/>
                <w:color w:val="000000"/>
                <w:sz w:val="21"/>
                <w:szCs w:val="21"/>
              </w:rPr>
              <w:t>500</w:t>
            </w:r>
          </w:p>
        </w:tc>
        <w:tc>
          <w:tcPr>
            <w:tcW w:w="2126"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45.883573 </w:t>
            </w:r>
          </w:p>
        </w:tc>
        <w:tc>
          <w:tcPr>
            <w:tcW w:w="1843"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2.485684 </w:t>
            </w:r>
          </w:p>
        </w:tc>
        <w:tc>
          <w:tcPr>
            <w:tcW w:w="1785" w:type="dxa"/>
          </w:tcPr>
          <w:p>
            <w:pPr>
              <w:spacing w:line="240" w:lineRule="auto"/>
              <w:ind w:firstLine="0" w:firstLineChars="0"/>
              <w:jc w:val="center"/>
              <w:rPr>
                <w:bCs/>
                <w:color w:val="000000"/>
                <w:sz w:val="21"/>
                <w:szCs w:val="21"/>
              </w:rPr>
            </w:pPr>
            <w:r>
              <w:rPr>
                <w:rFonts w:hint="eastAsia"/>
                <w:bCs/>
                <w:color w:val="000000"/>
                <w:sz w:val="21"/>
                <w:szCs w:val="21"/>
              </w:rPr>
              <w:t xml:space="preserve">0.468484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vAlign w:val="bottom"/>
          </w:tcPr>
          <w:p>
            <w:pPr>
              <w:spacing w:line="240" w:lineRule="auto"/>
              <w:ind w:firstLine="0" w:firstLineChars="0"/>
              <w:jc w:val="center"/>
              <w:rPr>
                <w:bCs/>
                <w:color w:val="000000"/>
                <w:sz w:val="21"/>
                <w:szCs w:val="21"/>
              </w:rPr>
            </w:pPr>
            <w:r>
              <w:rPr>
                <w:rFonts w:hint="eastAsia"/>
                <w:bCs/>
                <w:color w:val="000000"/>
                <w:sz w:val="21"/>
                <w:szCs w:val="21"/>
              </w:rPr>
              <w:t>600（常规监测东洲断面处）</w:t>
            </w:r>
          </w:p>
        </w:tc>
        <w:tc>
          <w:tcPr>
            <w:tcW w:w="2126"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45.817090 </w:t>
            </w:r>
          </w:p>
        </w:tc>
        <w:tc>
          <w:tcPr>
            <w:tcW w:w="1843"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2.482082 </w:t>
            </w:r>
          </w:p>
        </w:tc>
        <w:tc>
          <w:tcPr>
            <w:tcW w:w="1785" w:type="dxa"/>
          </w:tcPr>
          <w:p>
            <w:pPr>
              <w:spacing w:line="240" w:lineRule="auto"/>
              <w:ind w:firstLine="0" w:firstLineChars="0"/>
              <w:jc w:val="center"/>
              <w:rPr>
                <w:bCs/>
                <w:color w:val="000000"/>
                <w:sz w:val="21"/>
                <w:szCs w:val="21"/>
              </w:rPr>
            </w:pPr>
            <w:r>
              <w:rPr>
                <w:rFonts w:hint="eastAsia"/>
                <w:bCs/>
                <w:color w:val="000000"/>
                <w:sz w:val="21"/>
                <w:szCs w:val="21"/>
              </w:rPr>
              <w:t xml:space="preserve">0.467805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vAlign w:val="bottom"/>
          </w:tcPr>
          <w:p>
            <w:pPr>
              <w:spacing w:line="240" w:lineRule="auto"/>
              <w:ind w:firstLine="0" w:firstLineChars="0"/>
              <w:jc w:val="center"/>
              <w:rPr>
                <w:bCs/>
                <w:color w:val="000000"/>
                <w:sz w:val="21"/>
                <w:szCs w:val="21"/>
              </w:rPr>
            </w:pPr>
            <w:r>
              <w:rPr>
                <w:rFonts w:hint="eastAsia"/>
                <w:bCs/>
                <w:color w:val="000000"/>
                <w:sz w:val="21"/>
                <w:szCs w:val="21"/>
              </w:rPr>
              <w:t>1000</w:t>
            </w:r>
          </w:p>
        </w:tc>
        <w:tc>
          <w:tcPr>
            <w:tcW w:w="2126"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45.552120 </w:t>
            </w:r>
          </w:p>
        </w:tc>
        <w:tc>
          <w:tcPr>
            <w:tcW w:w="1843"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2.467728 </w:t>
            </w:r>
          </w:p>
        </w:tc>
        <w:tc>
          <w:tcPr>
            <w:tcW w:w="1785" w:type="dxa"/>
          </w:tcPr>
          <w:p>
            <w:pPr>
              <w:spacing w:line="240" w:lineRule="auto"/>
              <w:ind w:firstLine="0" w:firstLineChars="0"/>
              <w:jc w:val="center"/>
              <w:rPr>
                <w:bCs/>
                <w:color w:val="000000"/>
                <w:sz w:val="21"/>
                <w:szCs w:val="21"/>
              </w:rPr>
            </w:pPr>
            <w:r>
              <w:rPr>
                <w:rFonts w:hint="eastAsia"/>
                <w:bCs/>
                <w:color w:val="000000"/>
                <w:sz w:val="21"/>
                <w:szCs w:val="21"/>
              </w:rPr>
              <w:t xml:space="preserve">0.465099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78" w:type="dxa"/>
            <w:vAlign w:val="bottom"/>
          </w:tcPr>
          <w:p>
            <w:pPr>
              <w:spacing w:line="240" w:lineRule="auto"/>
              <w:ind w:firstLine="0" w:firstLineChars="0"/>
              <w:jc w:val="center"/>
              <w:rPr>
                <w:bCs/>
                <w:color w:val="000000"/>
                <w:sz w:val="21"/>
                <w:szCs w:val="21"/>
              </w:rPr>
            </w:pPr>
            <w:r>
              <w:rPr>
                <w:rFonts w:hint="eastAsia"/>
                <w:bCs/>
                <w:color w:val="000000"/>
                <w:sz w:val="21"/>
                <w:szCs w:val="21"/>
              </w:rPr>
              <w:t>1511.3（项目排放完全混合处）</w:t>
            </w:r>
          </w:p>
        </w:tc>
        <w:tc>
          <w:tcPr>
            <w:tcW w:w="2126"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45.215652 </w:t>
            </w:r>
          </w:p>
        </w:tc>
        <w:tc>
          <w:tcPr>
            <w:tcW w:w="1843"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2.449500 </w:t>
            </w:r>
          </w:p>
        </w:tc>
        <w:tc>
          <w:tcPr>
            <w:tcW w:w="1785" w:type="dxa"/>
          </w:tcPr>
          <w:p>
            <w:pPr>
              <w:spacing w:line="240" w:lineRule="auto"/>
              <w:ind w:firstLine="0" w:firstLineChars="0"/>
              <w:jc w:val="center"/>
              <w:rPr>
                <w:bCs/>
                <w:color w:val="000000"/>
                <w:sz w:val="21"/>
                <w:szCs w:val="21"/>
              </w:rPr>
            </w:pPr>
            <w:r>
              <w:rPr>
                <w:rFonts w:hint="eastAsia"/>
                <w:bCs/>
                <w:color w:val="000000"/>
                <w:sz w:val="21"/>
                <w:szCs w:val="21"/>
              </w:rPr>
              <w:t xml:space="preserve">0.461664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vAlign w:val="bottom"/>
          </w:tcPr>
          <w:p>
            <w:pPr>
              <w:spacing w:line="240" w:lineRule="auto"/>
              <w:ind w:firstLine="0" w:firstLineChars="0"/>
              <w:jc w:val="center"/>
              <w:rPr>
                <w:bCs/>
                <w:color w:val="000000"/>
                <w:sz w:val="21"/>
                <w:szCs w:val="21"/>
              </w:rPr>
            </w:pPr>
            <w:r>
              <w:rPr>
                <w:rFonts w:hint="eastAsia"/>
                <w:bCs/>
                <w:color w:val="000000"/>
                <w:sz w:val="21"/>
                <w:szCs w:val="21"/>
              </w:rPr>
              <w:t>2000</w:t>
            </w:r>
          </w:p>
        </w:tc>
        <w:tc>
          <w:tcPr>
            <w:tcW w:w="2126"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44.896380 </w:t>
            </w:r>
          </w:p>
        </w:tc>
        <w:tc>
          <w:tcPr>
            <w:tcW w:w="1843"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2.432204 </w:t>
            </w:r>
          </w:p>
        </w:tc>
        <w:tc>
          <w:tcPr>
            <w:tcW w:w="1785" w:type="dxa"/>
          </w:tcPr>
          <w:p>
            <w:pPr>
              <w:spacing w:line="240" w:lineRule="auto"/>
              <w:ind w:firstLine="0" w:firstLineChars="0"/>
              <w:jc w:val="center"/>
              <w:rPr>
                <w:bCs/>
                <w:color w:val="000000"/>
                <w:sz w:val="21"/>
                <w:szCs w:val="21"/>
              </w:rPr>
            </w:pPr>
            <w:r>
              <w:rPr>
                <w:rFonts w:hint="eastAsia"/>
                <w:bCs/>
                <w:color w:val="000000"/>
                <w:sz w:val="21"/>
                <w:szCs w:val="21"/>
              </w:rPr>
              <w:t xml:space="preserve">0.458404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vAlign w:val="bottom"/>
          </w:tcPr>
          <w:p>
            <w:pPr>
              <w:spacing w:line="240" w:lineRule="auto"/>
              <w:ind w:firstLine="0" w:firstLineChars="0"/>
              <w:jc w:val="center"/>
              <w:rPr>
                <w:bCs/>
                <w:color w:val="000000"/>
                <w:sz w:val="21"/>
                <w:szCs w:val="21"/>
              </w:rPr>
            </w:pPr>
            <w:r>
              <w:rPr>
                <w:rFonts w:hint="eastAsia"/>
                <w:bCs/>
                <w:color w:val="000000"/>
                <w:sz w:val="21"/>
                <w:szCs w:val="21"/>
              </w:rPr>
              <w:t>3000</w:t>
            </w:r>
          </w:p>
        </w:tc>
        <w:tc>
          <w:tcPr>
            <w:tcW w:w="2126"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44.250080 </w:t>
            </w:r>
          </w:p>
        </w:tc>
        <w:tc>
          <w:tcPr>
            <w:tcW w:w="1843"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2.397192 </w:t>
            </w:r>
          </w:p>
        </w:tc>
        <w:tc>
          <w:tcPr>
            <w:tcW w:w="1785" w:type="dxa"/>
          </w:tcPr>
          <w:p>
            <w:pPr>
              <w:spacing w:line="240" w:lineRule="auto"/>
              <w:ind w:firstLine="0" w:firstLineChars="0"/>
              <w:jc w:val="center"/>
              <w:rPr>
                <w:bCs/>
                <w:color w:val="000000"/>
                <w:sz w:val="21"/>
                <w:szCs w:val="21"/>
              </w:rPr>
            </w:pPr>
            <w:r>
              <w:rPr>
                <w:rFonts w:hint="eastAsia"/>
                <w:bCs/>
                <w:color w:val="000000"/>
                <w:sz w:val="21"/>
                <w:szCs w:val="21"/>
              </w:rPr>
              <w:t xml:space="preserve">0.451805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vAlign w:val="bottom"/>
          </w:tcPr>
          <w:p>
            <w:pPr>
              <w:spacing w:line="240" w:lineRule="auto"/>
              <w:ind w:firstLine="0" w:firstLineChars="0"/>
              <w:jc w:val="center"/>
              <w:rPr>
                <w:bCs/>
                <w:color w:val="000000"/>
                <w:sz w:val="21"/>
                <w:szCs w:val="21"/>
              </w:rPr>
            </w:pPr>
            <w:r>
              <w:rPr>
                <w:rFonts w:hint="eastAsia"/>
                <w:bCs/>
                <w:color w:val="000000"/>
                <w:sz w:val="21"/>
                <w:szCs w:val="21"/>
              </w:rPr>
              <w:t>4000</w:t>
            </w:r>
          </w:p>
        </w:tc>
        <w:tc>
          <w:tcPr>
            <w:tcW w:w="2126"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43.613083 </w:t>
            </w:r>
          </w:p>
        </w:tc>
        <w:tc>
          <w:tcPr>
            <w:tcW w:w="1843"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2.362683 </w:t>
            </w:r>
          </w:p>
        </w:tc>
        <w:tc>
          <w:tcPr>
            <w:tcW w:w="1785" w:type="dxa"/>
          </w:tcPr>
          <w:p>
            <w:pPr>
              <w:spacing w:line="240" w:lineRule="auto"/>
              <w:ind w:firstLine="0" w:firstLineChars="0"/>
              <w:jc w:val="center"/>
              <w:rPr>
                <w:bCs/>
                <w:color w:val="000000"/>
                <w:sz w:val="21"/>
                <w:szCs w:val="21"/>
              </w:rPr>
            </w:pPr>
            <w:r>
              <w:rPr>
                <w:rFonts w:hint="eastAsia"/>
                <w:bCs/>
                <w:color w:val="000000"/>
                <w:sz w:val="21"/>
                <w:szCs w:val="21"/>
              </w:rPr>
              <w:t xml:space="preserve">0.445301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78" w:type="dxa"/>
            <w:vAlign w:val="bottom"/>
          </w:tcPr>
          <w:p>
            <w:pPr>
              <w:spacing w:line="240" w:lineRule="auto"/>
              <w:ind w:firstLine="0" w:firstLineChars="0"/>
              <w:jc w:val="center"/>
              <w:rPr>
                <w:bCs/>
                <w:color w:val="000000"/>
                <w:sz w:val="21"/>
                <w:szCs w:val="21"/>
              </w:rPr>
            </w:pPr>
            <w:r>
              <w:rPr>
                <w:rFonts w:hint="eastAsia"/>
                <w:bCs/>
                <w:color w:val="000000"/>
                <w:sz w:val="21"/>
                <w:szCs w:val="21"/>
              </w:rPr>
              <w:t>5000</w:t>
            </w:r>
          </w:p>
        </w:tc>
        <w:tc>
          <w:tcPr>
            <w:tcW w:w="2126"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42.985256 </w:t>
            </w:r>
          </w:p>
        </w:tc>
        <w:tc>
          <w:tcPr>
            <w:tcW w:w="1843"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2.328671 </w:t>
            </w:r>
          </w:p>
        </w:tc>
        <w:tc>
          <w:tcPr>
            <w:tcW w:w="1785" w:type="dxa"/>
          </w:tcPr>
          <w:p>
            <w:pPr>
              <w:spacing w:line="240" w:lineRule="auto"/>
              <w:ind w:firstLine="0" w:firstLineChars="0"/>
              <w:jc w:val="center"/>
              <w:rPr>
                <w:bCs/>
                <w:color w:val="000000"/>
                <w:sz w:val="21"/>
                <w:szCs w:val="21"/>
              </w:rPr>
            </w:pPr>
            <w:r>
              <w:rPr>
                <w:rFonts w:hint="eastAsia"/>
                <w:bCs/>
                <w:color w:val="000000"/>
                <w:sz w:val="21"/>
                <w:szCs w:val="21"/>
              </w:rPr>
              <w:t xml:space="preserve">0.438891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vAlign w:val="bottom"/>
          </w:tcPr>
          <w:p>
            <w:pPr>
              <w:spacing w:line="240" w:lineRule="auto"/>
              <w:ind w:firstLine="0" w:firstLineChars="0"/>
              <w:jc w:val="center"/>
              <w:rPr>
                <w:bCs/>
                <w:color w:val="000000"/>
                <w:sz w:val="21"/>
                <w:szCs w:val="21"/>
              </w:rPr>
            </w:pPr>
            <w:r>
              <w:rPr>
                <w:rFonts w:hint="eastAsia"/>
                <w:bCs/>
                <w:color w:val="000000"/>
                <w:sz w:val="21"/>
                <w:szCs w:val="21"/>
              </w:rPr>
              <w:t>5600</w:t>
            </w:r>
          </w:p>
        </w:tc>
        <w:tc>
          <w:tcPr>
            <w:tcW w:w="2126"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42.612906 </w:t>
            </w:r>
          </w:p>
        </w:tc>
        <w:tc>
          <w:tcPr>
            <w:tcW w:w="1843" w:type="dxa"/>
            <w:vAlign w:val="bottom"/>
          </w:tcPr>
          <w:p>
            <w:pPr>
              <w:spacing w:line="240" w:lineRule="auto"/>
              <w:ind w:firstLine="0" w:firstLineChars="0"/>
              <w:jc w:val="center"/>
              <w:rPr>
                <w:bCs/>
                <w:color w:val="000000"/>
                <w:sz w:val="21"/>
                <w:szCs w:val="21"/>
              </w:rPr>
            </w:pPr>
            <w:r>
              <w:rPr>
                <w:rFonts w:hint="eastAsia"/>
                <w:bCs/>
                <w:color w:val="000000"/>
                <w:sz w:val="21"/>
                <w:szCs w:val="21"/>
              </w:rPr>
              <w:t xml:space="preserve">2.308500 </w:t>
            </w:r>
          </w:p>
        </w:tc>
        <w:tc>
          <w:tcPr>
            <w:tcW w:w="1785" w:type="dxa"/>
          </w:tcPr>
          <w:p>
            <w:pPr>
              <w:spacing w:line="240" w:lineRule="auto"/>
              <w:ind w:firstLine="0" w:firstLineChars="0"/>
              <w:jc w:val="center"/>
              <w:rPr>
                <w:bCs/>
                <w:color w:val="000000"/>
                <w:sz w:val="21"/>
                <w:szCs w:val="21"/>
              </w:rPr>
            </w:pPr>
            <w:r>
              <w:rPr>
                <w:rFonts w:hint="eastAsia"/>
                <w:bCs/>
                <w:color w:val="000000"/>
                <w:sz w:val="21"/>
                <w:szCs w:val="21"/>
              </w:rPr>
              <w:t xml:space="preserve">0.435089 </w:t>
            </w:r>
          </w:p>
        </w:tc>
      </w:tr>
    </w:tbl>
    <w:p>
      <w:pPr>
        <w:ind w:firstLine="480"/>
        <w:rPr>
          <w:szCs w:val="24"/>
          <w:u w:val="single"/>
        </w:rPr>
      </w:pPr>
      <w:r>
        <w:rPr>
          <w:u w:val="single"/>
        </w:rPr>
        <w:t>以上预测结果说明，</w:t>
      </w:r>
      <w:r>
        <w:rPr>
          <w:rFonts w:hint="eastAsia"/>
          <w:u w:val="single"/>
        </w:rPr>
        <w:t>枯水期废水</w:t>
      </w:r>
      <w:r>
        <w:rPr>
          <w:u w:val="single"/>
        </w:rPr>
        <w:t>非正常排放，岸边排放</w:t>
      </w:r>
      <w:r>
        <w:rPr>
          <w:rFonts w:hint="eastAsia"/>
          <w:snapToGrid w:val="0"/>
          <w:kern w:val="0"/>
          <w:u w:val="single"/>
        </w:rPr>
        <w:t>污染物排入澹水后</w:t>
      </w:r>
      <w:r>
        <w:rPr>
          <w:rFonts w:hint="eastAsia"/>
          <w:color w:val="000000"/>
          <w:u w:val="single"/>
        </w:rPr>
        <w:t>1511.3</w:t>
      </w:r>
      <w:r>
        <w:rPr>
          <w:rFonts w:hint="eastAsia"/>
          <w:snapToGrid w:val="0"/>
          <w:kern w:val="0"/>
          <w:u w:val="single"/>
        </w:rPr>
        <w:t>m河流长度完全混</w:t>
      </w:r>
      <w:r>
        <w:rPr>
          <w:rFonts w:hint="eastAsia"/>
          <w:bCs/>
          <w:color w:val="000000"/>
          <w:szCs w:val="21"/>
          <w:u w:val="single"/>
        </w:rPr>
        <w:t>合均匀，</w:t>
      </w:r>
      <w:r>
        <w:rPr>
          <w:rFonts w:hint="eastAsia"/>
          <w:bCs/>
          <w:color w:val="000000"/>
          <w:szCs w:val="24"/>
          <w:u w:val="single"/>
        </w:rPr>
        <w:t>混合均匀后</w:t>
      </w:r>
      <w:r>
        <w:rPr>
          <w:bCs/>
          <w:color w:val="000000"/>
          <w:szCs w:val="24"/>
          <w:u w:val="single"/>
        </w:rPr>
        <w:t>COD</w:t>
      </w:r>
      <w:r>
        <w:rPr>
          <w:bCs/>
          <w:color w:val="000000"/>
          <w:szCs w:val="24"/>
          <w:u w:val="single"/>
          <w:vertAlign w:val="subscript"/>
        </w:rPr>
        <w:t>Cr</w:t>
      </w:r>
      <w:r>
        <w:rPr>
          <w:bCs/>
          <w:color w:val="000000"/>
          <w:szCs w:val="24"/>
          <w:u w:val="single"/>
        </w:rPr>
        <w:t>、</w:t>
      </w:r>
      <w:r>
        <w:rPr>
          <w:rFonts w:hint="eastAsia"/>
          <w:bCs/>
          <w:color w:val="000000"/>
          <w:szCs w:val="24"/>
          <w:u w:val="single"/>
        </w:rPr>
        <w:t>氨氮、总磷</w:t>
      </w:r>
      <w:r>
        <w:rPr>
          <w:bCs/>
          <w:color w:val="000000"/>
          <w:szCs w:val="24"/>
          <w:u w:val="single"/>
        </w:rPr>
        <w:t>浓度最大值分别为</w:t>
      </w:r>
      <w:r>
        <w:rPr>
          <w:rFonts w:hint="eastAsia"/>
          <w:bCs/>
          <w:color w:val="000000"/>
          <w:szCs w:val="24"/>
          <w:u w:val="single"/>
        </w:rPr>
        <w:t xml:space="preserve">46.217438 </w:t>
      </w:r>
      <w:r>
        <w:rPr>
          <w:bCs/>
          <w:color w:val="000000"/>
          <w:szCs w:val="24"/>
          <w:u w:val="single"/>
        </w:rPr>
        <w:t>mg/L、</w:t>
      </w:r>
      <w:r>
        <w:rPr>
          <w:rFonts w:hint="eastAsia"/>
          <w:bCs/>
          <w:color w:val="000000"/>
          <w:szCs w:val="24"/>
          <w:u w:val="single"/>
        </w:rPr>
        <w:t>2.503771</w:t>
      </w:r>
      <w:r>
        <w:rPr>
          <w:bCs/>
          <w:color w:val="000000"/>
          <w:szCs w:val="24"/>
          <w:u w:val="single"/>
        </w:rPr>
        <w:t>mg/L</w:t>
      </w:r>
      <w:r>
        <w:rPr>
          <w:rFonts w:hint="eastAsia"/>
          <w:bCs/>
          <w:color w:val="000000"/>
          <w:szCs w:val="24"/>
          <w:u w:val="single"/>
        </w:rPr>
        <w:t>、0.471892mg/L；</w:t>
      </w:r>
      <w:r>
        <w:rPr>
          <w:rFonts w:hint="eastAsia"/>
          <w:szCs w:val="24"/>
          <w:u w:val="single"/>
        </w:rPr>
        <w:t>由于背景浓度值已超过</w:t>
      </w:r>
      <w:r>
        <w:rPr>
          <w:rFonts w:hint="eastAsia" w:ascii="宋体" w:hAnsi="宋体"/>
          <w:szCs w:val="24"/>
          <w:u w:val="single"/>
        </w:rPr>
        <w:t>Ⅲ</w:t>
      </w:r>
      <w:r>
        <w:rPr>
          <w:szCs w:val="24"/>
          <w:u w:val="single"/>
        </w:rPr>
        <w:t>类标准</w:t>
      </w:r>
      <w:r>
        <w:rPr>
          <w:rFonts w:hint="eastAsia"/>
          <w:szCs w:val="24"/>
          <w:u w:val="single"/>
        </w:rPr>
        <w:t>限值，常规监测断面处</w:t>
      </w:r>
      <w:r>
        <w:rPr>
          <w:szCs w:val="24"/>
          <w:u w:val="single"/>
        </w:rPr>
        <w:t>COD</w:t>
      </w:r>
      <w:r>
        <w:rPr>
          <w:szCs w:val="24"/>
          <w:u w:val="single"/>
          <w:vertAlign w:val="subscript"/>
        </w:rPr>
        <w:t>Cr</w:t>
      </w:r>
      <w:r>
        <w:rPr>
          <w:rFonts w:hint="eastAsia"/>
          <w:szCs w:val="24"/>
          <w:u w:val="single"/>
        </w:rPr>
        <w:t>、氨氮、总磷均超过</w:t>
      </w:r>
      <w:r>
        <w:rPr>
          <w:szCs w:val="24"/>
          <w:u w:val="single"/>
        </w:rPr>
        <w:t>《地表水环境质量标准》（GB3838-2002）</w:t>
      </w:r>
      <w:r>
        <w:rPr>
          <w:rFonts w:hint="eastAsia" w:ascii="宋体" w:hAnsi="宋体"/>
          <w:szCs w:val="24"/>
          <w:u w:val="single"/>
        </w:rPr>
        <w:t>Ⅲ</w:t>
      </w:r>
      <w:r>
        <w:rPr>
          <w:szCs w:val="24"/>
          <w:u w:val="single"/>
        </w:rPr>
        <w:t>类标准</w:t>
      </w:r>
      <w:r>
        <w:rPr>
          <w:rFonts w:hint="eastAsia"/>
          <w:szCs w:val="24"/>
          <w:u w:val="single"/>
        </w:rPr>
        <w:t>限值</w:t>
      </w:r>
      <w:r>
        <w:rPr>
          <w:szCs w:val="24"/>
          <w:u w:val="single"/>
        </w:rPr>
        <w:t>要求</w:t>
      </w:r>
      <w:r>
        <w:rPr>
          <w:rFonts w:hint="eastAsia"/>
          <w:szCs w:val="24"/>
          <w:u w:val="single"/>
        </w:rPr>
        <w:t>，且超过</w:t>
      </w:r>
      <w:r>
        <w:rPr>
          <w:rFonts w:hint="eastAsia" w:ascii="宋体" w:hAnsi="宋体"/>
          <w:szCs w:val="24"/>
          <w:u w:val="single"/>
        </w:rPr>
        <w:t>Ⅴ</w:t>
      </w:r>
      <w:r>
        <w:rPr>
          <w:szCs w:val="24"/>
          <w:u w:val="single"/>
        </w:rPr>
        <w:t>类标准</w:t>
      </w:r>
      <w:r>
        <w:rPr>
          <w:rFonts w:hint="eastAsia"/>
          <w:szCs w:val="24"/>
          <w:u w:val="single"/>
        </w:rPr>
        <w:t>限值</w:t>
      </w:r>
      <w:r>
        <w:rPr>
          <w:szCs w:val="24"/>
          <w:u w:val="single"/>
        </w:rPr>
        <w:t>要求</w:t>
      </w:r>
      <w:r>
        <w:rPr>
          <w:rFonts w:hint="eastAsia"/>
          <w:szCs w:val="24"/>
          <w:u w:val="single"/>
        </w:rPr>
        <w:t>，事故排放</w:t>
      </w:r>
      <w:r>
        <w:rPr>
          <w:szCs w:val="24"/>
          <w:u w:val="single"/>
        </w:rPr>
        <w:t>对</w:t>
      </w:r>
      <w:r>
        <w:rPr>
          <w:rFonts w:hint="eastAsia"/>
          <w:szCs w:val="24"/>
          <w:u w:val="single"/>
        </w:rPr>
        <w:t>澹水</w:t>
      </w:r>
      <w:r>
        <w:rPr>
          <w:szCs w:val="24"/>
          <w:u w:val="single"/>
        </w:rPr>
        <w:t>水质影响</w:t>
      </w:r>
      <w:r>
        <w:rPr>
          <w:rFonts w:hint="eastAsia"/>
          <w:szCs w:val="24"/>
          <w:u w:val="single"/>
        </w:rPr>
        <w:t>较大</w:t>
      </w:r>
      <w:r>
        <w:rPr>
          <w:szCs w:val="24"/>
          <w:u w:val="single"/>
        </w:rPr>
        <w:t>。</w:t>
      </w:r>
    </w:p>
    <w:p>
      <w:pPr>
        <w:pStyle w:val="3"/>
      </w:pPr>
      <w:bookmarkStart w:id="55" w:name="_Toc166145946"/>
      <w:r>
        <w:rPr>
          <w:rFonts w:hint="eastAsia"/>
        </w:rPr>
        <w:t>6.2 对水功能区水质影响分析</w:t>
      </w:r>
      <w:bookmarkEnd w:id="55"/>
    </w:p>
    <w:p>
      <w:pPr>
        <w:ind w:firstLine="480"/>
        <w:rPr>
          <w:szCs w:val="21"/>
        </w:rPr>
      </w:pPr>
      <w:r>
        <w:rPr>
          <w:rFonts w:hint="eastAsia"/>
          <w:szCs w:val="24"/>
        </w:rPr>
        <w:t>根据《澧县水功能区划》2015年到2018年水质管理目标为</w:t>
      </w:r>
      <w:r>
        <w:t>Ⅲ～Ⅳ</w:t>
      </w:r>
      <w:r>
        <w:rPr>
          <w:rFonts w:hint="eastAsia"/>
        </w:rPr>
        <w:t>类</w:t>
      </w:r>
      <w:r>
        <w:rPr>
          <w:rFonts w:hint="eastAsia"/>
          <w:szCs w:val="24"/>
        </w:rPr>
        <w:t>。</w:t>
      </w:r>
      <w:r>
        <w:rPr>
          <w:szCs w:val="21"/>
        </w:rPr>
        <w:t>根据常德市生态环境局发布的</w:t>
      </w:r>
      <w:r>
        <w:rPr>
          <w:rFonts w:hint="eastAsia"/>
          <w:szCs w:val="21"/>
        </w:rPr>
        <w:t>全市环境质量状况的通报</w:t>
      </w:r>
      <w:r>
        <w:t>，</w:t>
      </w:r>
      <w:r>
        <w:rPr>
          <w:rFonts w:hint="eastAsia"/>
        </w:rPr>
        <w:t>澹水东洲</w:t>
      </w:r>
      <w:r>
        <w:t>断面</w:t>
      </w:r>
      <w:r>
        <w:rPr>
          <w:szCs w:val="21"/>
        </w:rPr>
        <w:t>20</w:t>
      </w:r>
      <w:r>
        <w:rPr>
          <w:rFonts w:hint="eastAsia"/>
          <w:szCs w:val="21"/>
        </w:rPr>
        <w:t>23</w:t>
      </w:r>
      <w:r>
        <w:rPr>
          <w:szCs w:val="21"/>
        </w:rPr>
        <w:t>年</w:t>
      </w:r>
      <w:r>
        <w:rPr>
          <w:rFonts w:hint="eastAsia"/>
          <w:szCs w:val="21"/>
        </w:rPr>
        <w:t>1月</w:t>
      </w:r>
      <w:r>
        <w:rPr>
          <w:szCs w:val="21"/>
        </w:rPr>
        <w:t>至</w:t>
      </w:r>
      <w:r>
        <w:rPr>
          <w:rFonts w:hint="eastAsia"/>
          <w:szCs w:val="21"/>
        </w:rPr>
        <w:t>12月</w:t>
      </w:r>
      <w:r>
        <w:t>水质类别为</w:t>
      </w:r>
      <w:r>
        <w:rPr>
          <w:rFonts w:hint="eastAsia" w:ascii="宋体" w:hAnsi="宋体" w:cs="宋体"/>
        </w:rPr>
        <w:t>Ⅱ</w:t>
      </w:r>
      <w:r>
        <w:t>类</w:t>
      </w:r>
      <w:r>
        <w:rPr>
          <w:rFonts w:hint="eastAsia"/>
        </w:rPr>
        <w:t>～劣Ⅴ类。</w:t>
      </w:r>
    </w:p>
    <w:p>
      <w:pPr>
        <w:pStyle w:val="79"/>
        <w:ind w:firstLine="0" w:firstLineChars="0"/>
        <w:contextualSpacing/>
        <w:jc w:val="center"/>
        <w:rPr>
          <w:b/>
          <w:sz w:val="21"/>
          <w:szCs w:val="21"/>
        </w:rPr>
      </w:pPr>
      <w:r>
        <w:rPr>
          <w:b/>
          <w:sz w:val="21"/>
          <w:szCs w:val="21"/>
        </w:rPr>
        <w:t>表</w:t>
      </w:r>
      <w:r>
        <w:rPr>
          <w:rFonts w:hint="eastAsia"/>
          <w:b/>
          <w:sz w:val="21"/>
          <w:szCs w:val="21"/>
        </w:rPr>
        <w:t xml:space="preserve">6-6 </w:t>
      </w:r>
      <w:r>
        <w:rPr>
          <w:b/>
          <w:sz w:val="21"/>
          <w:szCs w:val="21"/>
        </w:rPr>
        <w:t xml:space="preserve"> 分析范围内水功能区划表</w:t>
      </w:r>
    </w:p>
    <w:tbl>
      <w:tblPr>
        <w:tblStyle w:val="41"/>
        <w:tblW w:w="873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2"/>
        <w:gridCol w:w="1278"/>
        <w:gridCol w:w="2125"/>
        <w:gridCol w:w="1560"/>
        <w:gridCol w:w="852"/>
        <w:gridCol w:w="15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91" w:type="pct"/>
            <w:vMerge w:val="restart"/>
            <w:vAlign w:val="center"/>
          </w:tcPr>
          <w:p>
            <w:pPr>
              <w:spacing w:line="300" w:lineRule="exact"/>
              <w:ind w:firstLine="0" w:firstLineChars="0"/>
              <w:jc w:val="center"/>
              <w:rPr>
                <w:b/>
                <w:color w:val="000000"/>
                <w:sz w:val="21"/>
                <w:szCs w:val="21"/>
              </w:rPr>
            </w:pPr>
            <w:r>
              <w:rPr>
                <w:b/>
                <w:color w:val="000000"/>
                <w:sz w:val="21"/>
                <w:szCs w:val="21"/>
              </w:rPr>
              <w:t>水功能区划名称</w:t>
            </w:r>
          </w:p>
        </w:tc>
        <w:tc>
          <w:tcPr>
            <w:tcW w:w="732" w:type="pct"/>
            <w:vMerge w:val="restart"/>
            <w:vAlign w:val="center"/>
          </w:tcPr>
          <w:p>
            <w:pPr>
              <w:spacing w:line="300" w:lineRule="exact"/>
              <w:ind w:firstLine="0" w:firstLineChars="0"/>
              <w:jc w:val="center"/>
              <w:rPr>
                <w:b/>
                <w:color w:val="000000"/>
                <w:sz w:val="21"/>
                <w:szCs w:val="21"/>
              </w:rPr>
            </w:pPr>
            <w:r>
              <w:rPr>
                <w:b/>
                <w:color w:val="000000"/>
                <w:sz w:val="21"/>
                <w:szCs w:val="21"/>
              </w:rPr>
              <w:t>功能区名称</w:t>
            </w:r>
          </w:p>
        </w:tc>
        <w:tc>
          <w:tcPr>
            <w:tcW w:w="2110" w:type="pct"/>
            <w:gridSpan w:val="2"/>
            <w:vAlign w:val="center"/>
          </w:tcPr>
          <w:p>
            <w:pPr>
              <w:spacing w:line="300" w:lineRule="exact"/>
              <w:ind w:firstLine="0" w:firstLineChars="0"/>
              <w:jc w:val="center"/>
              <w:rPr>
                <w:b/>
                <w:color w:val="000000"/>
                <w:sz w:val="21"/>
                <w:szCs w:val="21"/>
              </w:rPr>
            </w:pPr>
            <w:r>
              <w:rPr>
                <w:b/>
                <w:color w:val="000000"/>
                <w:sz w:val="21"/>
                <w:szCs w:val="21"/>
              </w:rPr>
              <w:t>范围</w:t>
            </w:r>
          </w:p>
        </w:tc>
        <w:tc>
          <w:tcPr>
            <w:tcW w:w="488" w:type="pct"/>
            <w:vMerge w:val="restart"/>
            <w:vAlign w:val="center"/>
          </w:tcPr>
          <w:p>
            <w:pPr>
              <w:spacing w:line="300" w:lineRule="exact"/>
              <w:ind w:firstLine="0" w:firstLineChars="0"/>
              <w:jc w:val="center"/>
              <w:rPr>
                <w:b/>
                <w:color w:val="000000"/>
                <w:sz w:val="21"/>
                <w:szCs w:val="21"/>
              </w:rPr>
            </w:pPr>
            <w:r>
              <w:rPr>
                <w:b/>
                <w:color w:val="000000"/>
                <w:sz w:val="21"/>
                <w:szCs w:val="21"/>
              </w:rPr>
              <w:t>长度（km）</w:t>
            </w:r>
          </w:p>
        </w:tc>
        <w:tc>
          <w:tcPr>
            <w:tcW w:w="880" w:type="pct"/>
            <w:vMerge w:val="restart"/>
            <w:vAlign w:val="center"/>
          </w:tcPr>
          <w:p>
            <w:pPr>
              <w:spacing w:line="300" w:lineRule="exact"/>
              <w:ind w:firstLine="0" w:firstLineChars="0"/>
              <w:jc w:val="center"/>
              <w:rPr>
                <w:b/>
                <w:color w:val="000000"/>
                <w:sz w:val="21"/>
                <w:szCs w:val="21"/>
              </w:rPr>
            </w:pPr>
            <w:r>
              <w:rPr>
                <w:b/>
                <w:color w:val="000000"/>
                <w:sz w:val="21"/>
                <w:szCs w:val="21"/>
              </w:rPr>
              <w:t>水质</w:t>
            </w:r>
          </w:p>
          <w:p>
            <w:pPr>
              <w:spacing w:line="300" w:lineRule="exact"/>
              <w:ind w:firstLine="0" w:firstLineChars="0"/>
              <w:jc w:val="center"/>
              <w:rPr>
                <w:b/>
                <w:color w:val="000000"/>
                <w:sz w:val="21"/>
                <w:szCs w:val="21"/>
              </w:rPr>
            </w:pPr>
            <w:r>
              <w:rPr>
                <w:b/>
                <w:color w:val="000000"/>
                <w:sz w:val="21"/>
                <w:szCs w:val="21"/>
              </w:rPr>
              <w:t>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91" w:type="pct"/>
            <w:vMerge w:val="continue"/>
            <w:vAlign w:val="center"/>
          </w:tcPr>
          <w:p>
            <w:pPr>
              <w:spacing w:line="300" w:lineRule="exact"/>
              <w:ind w:firstLine="0" w:firstLineChars="0"/>
              <w:jc w:val="center"/>
              <w:rPr>
                <w:b/>
                <w:color w:val="000000"/>
                <w:sz w:val="21"/>
                <w:szCs w:val="21"/>
              </w:rPr>
            </w:pPr>
          </w:p>
        </w:tc>
        <w:tc>
          <w:tcPr>
            <w:tcW w:w="732" w:type="pct"/>
            <w:vMerge w:val="continue"/>
            <w:vAlign w:val="center"/>
          </w:tcPr>
          <w:p>
            <w:pPr>
              <w:spacing w:line="300" w:lineRule="exact"/>
              <w:ind w:firstLine="0" w:firstLineChars="0"/>
              <w:jc w:val="center"/>
              <w:rPr>
                <w:b/>
                <w:color w:val="000000"/>
                <w:sz w:val="21"/>
                <w:szCs w:val="21"/>
              </w:rPr>
            </w:pPr>
          </w:p>
        </w:tc>
        <w:tc>
          <w:tcPr>
            <w:tcW w:w="1217" w:type="pct"/>
            <w:vAlign w:val="center"/>
          </w:tcPr>
          <w:p>
            <w:pPr>
              <w:spacing w:line="300" w:lineRule="exact"/>
              <w:ind w:firstLine="0" w:firstLineChars="0"/>
              <w:jc w:val="center"/>
              <w:rPr>
                <w:b/>
                <w:color w:val="000000"/>
                <w:sz w:val="21"/>
                <w:szCs w:val="21"/>
              </w:rPr>
            </w:pPr>
            <w:r>
              <w:rPr>
                <w:b/>
                <w:color w:val="000000"/>
                <w:sz w:val="21"/>
                <w:szCs w:val="21"/>
              </w:rPr>
              <w:t>起始断面</w:t>
            </w:r>
          </w:p>
        </w:tc>
        <w:tc>
          <w:tcPr>
            <w:tcW w:w="893" w:type="pct"/>
            <w:vAlign w:val="center"/>
          </w:tcPr>
          <w:p>
            <w:pPr>
              <w:spacing w:line="300" w:lineRule="exact"/>
              <w:ind w:firstLine="0" w:firstLineChars="0"/>
              <w:jc w:val="center"/>
              <w:rPr>
                <w:b/>
                <w:color w:val="000000"/>
                <w:sz w:val="21"/>
                <w:szCs w:val="21"/>
              </w:rPr>
            </w:pPr>
            <w:r>
              <w:rPr>
                <w:b/>
                <w:color w:val="000000"/>
                <w:sz w:val="21"/>
                <w:szCs w:val="21"/>
              </w:rPr>
              <w:t>终止断面</w:t>
            </w:r>
          </w:p>
        </w:tc>
        <w:tc>
          <w:tcPr>
            <w:tcW w:w="488" w:type="pct"/>
            <w:vMerge w:val="continue"/>
            <w:vAlign w:val="center"/>
          </w:tcPr>
          <w:p>
            <w:pPr>
              <w:spacing w:line="300" w:lineRule="exact"/>
              <w:ind w:firstLine="0" w:firstLineChars="0"/>
              <w:jc w:val="center"/>
              <w:rPr>
                <w:b/>
                <w:color w:val="000000"/>
                <w:sz w:val="21"/>
                <w:szCs w:val="21"/>
              </w:rPr>
            </w:pPr>
          </w:p>
        </w:tc>
        <w:tc>
          <w:tcPr>
            <w:tcW w:w="880" w:type="pct"/>
            <w:vMerge w:val="continue"/>
            <w:vAlign w:val="center"/>
          </w:tcPr>
          <w:p>
            <w:pPr>
              <w:spacing w:line="300" w:lineRule="exact"/>
              <w:ind w:firstLine="0" w:firstLineChars="0"/>
              <w:jc w:val="center"/>
              <w:rPr>
                <w:b/>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91" w:type="pct"/>
            <w:vAlign w:val="center"/>
          </w:tcPr>
          <w:p>
            <w:pPr>
              <w:spacing w:line="300" w:lineRule="exact"/>
              <w:ind w:firstLine="0" w:firstLineChars="0"/>
              <w:jc w:val="center"/>
              <w:rPr>
                <w:b/>
                <w:color w:val="000000"/>
                <w:sz w:val="21"/>
                <w:szCs w:val="21"/>
              </w:rPr>
            </w:pPr>
            <w:r>
              <w:rPr>
                <w:rFonts w:hint="eastAsia"/>
                <w:color w:val="000000"/>
                <w:sz w:val="21"/>
                <w:szCs w:val="21"/>
              </w:rPr>
              <w:t>《澧县水功能区划》</w:t>
            </w:r>
          </w:p>
        </w:tc>
        <w:tc>
          <w:tcPr>
            <w:tcW w:w="732" w:type="pct"/>
            <w:vAlign w:val="center"/>
          </w:tcPr>
          <w:p>
            <w:pPr>
              <w:spacing w:line="300" w:lineRule="exact"/>
              <w:ind w:firstLine="0" w:firstLineChars="0"/>
              <w:jc w:val="center"/>
              <w:rPr>
                <w:color w:val="000000"/>
                <w:sz w:val="21"/>
                <w:szCs w:val="21"/>
              </w:rPr>
            </w:pPr>
            <w:r>
              <w:rPr>
                <w:rFonts w:hint="eastAsia"/>
                <w:color w:val="000000"/>
                <w:sz w:val="21"/>
                <w:szCs w:val="21"/>
              </w:rPr>
              <w:t>澹水开发利用区</w:t>
            </w:r>
          </w:p>
        </w:tc>
        <w:tc>
          <w:tcPr>
            <w:tcW w:w="1217" w:type="pct"/>
            <w:vAlign w:val="center"/>
          </w:tcPr>
          <w:p>
            <w:pPr>
              <w:spacing w:line="300" w:lineRule="exact"/>
              <w:ind w:firstLine="0" w:firstLineChars="0"/>
              <w:jc w:val="center"/>
              <w:rPr>
                <w:color w:val="000000"/>
                <w:sz w:val="21"/>
                <w:szCs w:val="21"/>
              </w:rPr>
            </w:pPr>
            <w:r>
              <w:rPr>
                <w:rFonts w:hint="eastAsia"/>
                <w:color w:val="000000"/>
                <w:sz w:val="21"/>
                <w:szCs w:val="21"/>
              </w:rPr>
              <w:t>澧县澧澹街道任家港</w:t>
            </w:r>
          </w:p>
        </w:tc>
        <w:tc>
          <w:tcPr>
            <w:tcW w:w="893" w:type="pct"/>
            <w:vAlign w:val="center"/>
          </w:tcPr>
          <w:p>
            <w:pPr>
              <w:spacing w:line="300" w:lineRule="exact"/>
              <w:ind w:firstLine="0" w:firstLineChars="0"/>
              <w:jc w:val="center"/>
              <w:rPr>
                <w:color w:val="000000"/>
                <w:sz w:val="21"/>
                <w:szCs w:val="21"/>
              </w:rPr>
            </w:pPr>
            <w:r>
              <w:rPr>
                <w:rFonts w:hint="eastAsia"/>
                <w:color w:val="000000"/>
                <w:sz w:val="21"/>
                <w:szCs w:val="21"/>
              </w:rPr>
              <w:t>澧澹街道东洲</w:t>
            </w:r>
          </w:p>
        </w:tc>
        <w:tc>
          <w:tcPr>
            <w:tcW w:w="488" w:type="pct"/>
            <w:vAlign w:val="center"/>
          </w:tcPr>
          <w:p>
            <w:pPr>
              <w:spacing w:line="300" w:lineRule="exact"/>
              <w:ind w:firstLine="0" w:firstLineChars="0"/>
              <w:jc w:val="center"/>
              <w:rPr>
                <w:color w:val="000000"/>
                <w:sz w:val="21"/>
                <w:szCs w:val="21"/>
              </w:rPr>
            </w:pPr>
            <w:r>
              <w:rPr>
                <w:rFonts w:hint="eastAsia"/>
                <w:color w:val="000000"/>
                <w:sz w:val="21"/>
                <w:szCs w:val="21"/>
              </w:rPr>
              <w:t>15.93</w:t>
            </w:r>
          </w:p>
        </w:tc>
        <w:tc>
          <w:tcPr>
            <w:tcW w:w="880" w:type="pct"/>
            <w:vAlign w:val="center"/>
          </w:tcPr>
          <w:p>
            <w:pPr>
              <w:spacing w:line="300" w:lineRule="exact"/>
              <w:ind w:firstLine="0" w:firstLineChars="0"/>
              <w:jc w:val="center"/>
              <w:rPr>
                <w:color w:val="000000"/>
                <w:sz w:val="21"/>
                <w:szCs w:val="21"/>
              </w:rPr>
            </w:pPr>
            <w:r>
              <w:rPr>
                <w:color w:val="000000"/>
                <w:sz w:val="21"/>
                <w:szCs w:val="21"/>
              </w:rPr>
              <w:t>Ⅲ～Ⅳ</w:t>
            </w:r>
            <w:r>
              <w:rPr>
                <w:rFonts w:hint="eastAsia"/>
                <w:color w:val="000000"/>
                <w:sz w:val="21"/>
                <w:szCs w:val="21"/>
              </w:rPr>
              <w:t>类，本次论证按Ⅲ类</w:t>
            </w:r>
          </w:p>
        </w:tc>
      </w:tr>
    </w:tbl>
    <w:p>
      <w:pPr>
        <w:ind w:firstLine="480"/>
        <w:rPr>
          <w:szCs w:val="24"/>
        </w:rPr>
      </w:pPr>
      <w:r>
        <w:rPr>
          <w:rFonts w:hint="eastAsia"/>
        </w:rPr>
        <w:t>根据预测结果，枯水期正常排放时，污水汇入澹水后经</w:t>
      </w:r>
      <w:r>
        <w:rPr>
          <w:rFonts w:hint="eastAsia"/>
          <w:color w:val="000000"/>
        </w:rPr>
        <w:t>1511.3</w:t>
      </w:r>
      <w:r>
        <w:rPr>
          <w:rFonts w:hint="eastAsia"/>
          <w:snapToGrid w:val="0"/>
          <w:kern w:val="0"/>
        </w:rPr>
        <w:t>m河流长度完全混合均匀</w:t>
      </w:r>
      <w:r>
        <w:rPr>
          <w:rFonts w:hint="eastAsia"/>
        </w:rPr>
        <w:t>，</w:t>
      </w:r>
      <w:r>
        <w:rPr>
          <w:rFonts w:hint="eastAsia"/>
          <w:szCs w:val="24"/>
        </w:rPr>
        <w:t>由于背景浓度值已超过</w:t>
      </w:r>
      <w:r>
        <w:rPr>
          <w:rFonts w:hint="eastAsia" w:ascii="宋体" w:hAnsi="宋体"/>
          <w:szCs w:val="24"/>
        </w:rPr>
        <w:t>Ⅲ</w:t>
      </w:r>
      <w:r>
        <w:rPr>
          <w:szCs w:val="24"/>
        </w:rPr>
        <w:t>类标准</w:t>
      </w:r>
      <w:r>
        <w:rPr>
          <w:rFonts w:hint="eastAsia"/>
          <w:szCs w:val="24"/>
        </w:rPr>
        <w:t>限值，</w:t>
      </w:r>
      <w:r>
        <w:rPr>
          <w:rFonts w:hint="eastAsia"/>
        </w:rPr>
        <w:t>论证范围内</w:t>
      </w:r>
      <w:r>
        <w:rPr>
          <w:szCs w:val="24"/>
        </w:rPr>
        <w:t>COD</w:t>
      </w:r>
      <w:r>
        <w:rPr>
          <w:szCs w:val="24"/>
          <w:vertAlign w:val="subscript"/>
        </w:rPr>
        <w:t>Cr</w:t>
      </w:r>
      <w:r>
        <w:rPr>
          <w:rFonts w:hint="eastAsia"/>
          <w:szCs w:val="24"/>
        </w:rPr>
        <w:t>、氨氮、总磷均超过</w:t>
      </w:r>
      <w:r>
        <w:rPr>
          <w:szCs w:val="24"/>
        </w:rPr>
        <w:t>《地表水环境质量标准》（GB3838-2002）</w:t>
      </w:r>
      <w:r>
        <w:rPr>
          <w:rFonts w:hint="eastAsia" w:ascii="宋体" w:hAnsi="宋体"/>
          <w:szCs w:val="24"/>
        </w:rPr>
        <w:t>Ⅲ</w:t>
      </w:r>
      <w:r>
        <w:rPr>
          <w:szCs w:val="24"/>
        </w:rPr>
        <w:t>类标准</w:t>
      </w:r>
      <w:r>
        <w:rPr>
          <w:rFonts w:hint="eastAsia"/>
          <w:szCs w:val="24"/>
        </w:rPr>
        <w:t>限值</w:t>
      </w:r>
      <w:r>
        <w:rPr>
          <w:szCs w:val="24"/>
        </w:rPr>
        <w:t>要求</w:t>
      </w:r>
      <w:r>
        <w:rPr>
          <w:rFonts w:hint="eastAsia"/>
          <w:szCs w:val="24"/>
        </w:rPr>
        <w:t>，只能维持</w:t>
      </w:r>
      <w:r>
        <w:rPr>
          <w:rFonts w:hint="eastAsia" w:ascii="宋体" w:hAnsi="宋体"/>
          <w:szCs w:val="24"/>
        </w:rPr>
        <w:t>Ⅴ</w:t>
      </w:r>
      <w:r>
        <w:rPr>
          <w:szCs w:val="24"/>
        </w:rPr>
        <w:t>类标准</w:t>
      </w:r>
      <w:r>
        <w:rPr>
          <w:rFonts w:hint="eastAsia"/>
          <w:szCs w:val="24"/>
        </w:rPr>
        <w:t>限值</w:t>
      </w:r>
      <w:r>
        <w:rPr>
          <w:szCs w:val="24"/>
        </w:rPr>
        <w:t>要求</w:t>
      </w:r>
      <w:r>
        <w:rPr>
          <w:rFonts w:hint="eastAsia"/>
          <w:szCs w:val="24"/>
        </w:rPr>
        <w:t>。</w:t>
      </w:r>
    </w:p>
    <w:p>
      <w:pPr>
        <w:ind w:firstLine="480"/>
        <w:rPr>
          <w:szCs w:val="24"/>
        </w:rPr>
      </w:pPr>
      <w:r>
        <w:rPr>
          <w:rFonts w:hint="eastAsia"/>
        </w:rPr>
        <w:t>事故排放下</w:t>
      </w:r>
      <w:r>
        <w:rPr>
          <w:szCs w:val="21"/>
        </w:rPr>
        <w:t>，岸边排放</w:t>
      </w:r>
      <w:r>
        <w:rPr>
          <w:rFonts w:hint="eastAsia"/>
          <w:szCs w:val="21"/>
        </w:rPr>
        <w:t>时</w:t>
      </w:r>
      <w:r>
        <w:rPr>
          <w:rFonts w:hint="eastAsia"/>
          <w:snapToGrid w:val="0"/>
          <w:kern w:val="0"/>
        </w:rPr>
        <w:t>排入澹水后经</w:t>
      </w:r>
      <w:r>
        <w:rPr>
          <w:rFonts w:hint="eastAsia"/>
          <w:color w:val="000000"/>
        </w:rPr>
        <w:t>1511.3</w:t>
      </w:r>
      <w:r>
        <w:rPr>
          <w:rFonts w:hint="eastAsia"/>
          <w:snapToGrid w:val="0"/>
          <w:kern w:val="0"/>
        </w:rPr>
        <w:t>m河流长度完全混合均匀，</w:t>
      </w:r>
      <w:r>
        <w:rPr>
          <w:rFonts w:hint="eastAsia"/>
          <w:szCs w:val="24"/>
        </w:rPr>
        <w:t>由于背景浓度值已超过</w:t>
      </w:r>
      <w:r>
        <w:rPr>
          <w:rFonts w:hint="eastAsia" w:ascii="宋体" w:hAnsi="宋体"/>
          <w:szCs w:val="24"/>
        </w:rPr>
        <w:t>Ⅲ</w:t>
      </w:r>
      <w:r>
        <w:rPr>
          <w:szCs w:val="24"/>
        </w:rPr>
        <w:t>类标准</w:t>
      </w:r>
      <w:r>
        <w:rPr>
          <w:rFonts w:hint="eastAsia"/>
          <w:szCs w:val="24"/>
        </w:rPr>
        <w:t>限值，</w:t>
      </w:r>
      <w:r>
        <w:rPr>
          <w:rFonts w:hint="eastAsia"/>
          <w:snapToGrid w:val="0"/>
          <w:kern w:val="0"/>
        </w:rPr>
        <w:t>论证范围内</w:t>
      </w:r>
      <w:r>
        <w:rPr>
          <w:szCs w:val="24"/>
        </w:rPr>
        <w:t>COD</w:t>
      </w:r>
      <w:r>
        <w:rPr>
          <w:szCs w:val="24"/>
          <w:vertAlign w:val="subscript"/>
        </w:rPr>
        <w:t>Cr</w:t>
      </w:r>
      <w:r>
        <w:rPr>
          <w:rFonts w:hint="eastAsia"/>
          <w:szCs w:val="24"/>
        </w:rPr>
        <w:t>、氨氮、总磷均超过</w:t>
      </w:r>
      <w:r>
        <w:rPr>
          <w:szCs w:val="24"/>
        </w:rPr>
        <w:t>《地表水环境质量标准》（GB3838-2002）</w:t>
      </w:r>
      <w:r>
        <w:rPr>
          <w:rFonts w:hint="eastAsia" w:ascii="宋体" w:hAnsi="宋体"/>
          <w:szCs w:val="24"/>
        </w:rPr>
        <w:t>Ⅲ</w:t>
      </w:r>
      <w:r>
        <w:rPr>
          <w:szCs w:val="24"/>
        </w:rPr>
        <w:t>类标准</w:t>
      </w:r>
      <w:r>
        <w:rPr>
          <w:rFonts w:hint="eastAsia"/>
          <w:szCs w:val="24"/>
        </w:rPr>
        <w:t>限值</w:t>
      </w:r>
      <w:r>
        <w:rPr>
          <w:szCs w:val="24"/>
        </w:rPr>
        <w:t>要求</w:t>
      </w:r>
      <w:r>
        <w:rPr>
          <w:rFonts w:hint="eastAsia"/>
          <w:szCs w:val="24"/>
        </w:rPr>
        <w:t>，且超过</w:t>
      </w:r>
      <w:r>
        <w:rPr>
          <w:rFonts w:hint="eastAsia" w:ascii="宋体" w:hAnsi="宋体"/>
          <w:szCs w:val="24"/>
        </w:rPr>
        <w:t>Ⅴ</w:t>
      </w:r>
      <w:r>
        <w:rPr>
          <w:szCs w:val="24"/>
        </w:rPr>
        <w:t>类标准</w:t>
      </w:r>
      <w:r>
        <w:rPr>
          <w:rFonts w:hint="eastAsia"/>
          <w:szCs w:val="24"/>
        </w:rPr>
        <w:t>限值</w:t>
      </w:r>
      <w:r>
        <w:rPr>
          <w:szCs w:val="24"/>
        </w:rPr>
        <w:t>要求</w:t>
      </w:r>
      <w:r>
        <w:rPr>
          <w:rFonts w:hint="eastAsia"/>
          <w:szCs w:val="24"/>
        </w:rPr>
        <w:t>。事故排放</w:t>
      </w:r>
      <w:r>
        <w:rPr>
          <w:szCs w:val="24"/>
        </w:rPr>
        <w:t>对</w:t>
      </w:r>
      <w:r>
        <w:rPr>
          <w:rFonts w:hint="eastAsia"/>
          <w:szCs w:val="24"/>
        </w:rPr>
        <w:t>澹水</w:t>
      </w:r>
      <w:r>
        <w:rPr>
          <w:szCs w:val="24"/>
        </w:rPr>
        <w:t>水质影响</w:t>
      </w:r>
      <w:r>
        <w:rPr>
          <w:rFonts w:hint="eastAsia"/>
          <w:szCs w:val="24"/>
        </w:rPr>
        <w:t>较大</w:t>
      </w:r>
      <w:r>
        <w:rPr>
          <w:szCs w:val="24"/>
        </w:rPr>
        <w:t>。</w:t>
      </w:r>
    </w:p>
    <w:p>
      <w:pPr>
        <w:ind w:firstLine="480"/>
        <w:rPr>
          <w:szCs w:val="24"/>
        </w:rPr>
      </w:pPr>
      <w:r>
        <w:rPr>
          <w:rFonts w:hint="eastAsia"/>
        </w:rPr>
        <w:t>根据《湖南省入河（湖）排污口监督管理工作方案》（湘环发[2023]31号）第三条重点任务——（三）严格规范设置审批“对于工矿企业、工业及其他各类园区污水处理厂、城镇污水处理厂等排污口的设置依法依规实行审批制。</w:t>
      </w:r>
      <w:r>
        <w:rPr>
          <w:rFonts w:hint="eastAsia"/>
          <w:b/>
        </w:rPr>
        <w:t>对未达到水质目标的水功能区，除城镇污水处理厂排污口外，应当严格控制新设、改设或者扩大排污口</w:t>
      </w:r>
      <w:r>
        <w:rPr>
          <w:rFonts w:hint="eastAsia"/>
        </w:rPr>
        <w:t>”。</w:t>
      </w:r>
      <w:r>
        <w:rPr>
          <w:rFonts w:hint="eastAsia"/>
          <w:szCs w:val="21"/>
        </w:rPr>
        <w:t>本项目纳污水体澹水为澧水一级支流，</w:t>
      </w:r>
      <w:r>
        <w:rPr>
          <w:szCs w:val="21"/>
        </w:rPr>
        <w:t>水质类别为</w:t>
      </w:r>
      <w:r>
        <w:rPr>
          <w:rFonts w:hint="eastAsia"/>
          <w:szCs w:val="21"/>
        </w:rPr>
        <w:t>Ⅱ</w:t>
      </w:r>
      <w:r>
        <w:rPr>
          <w:szCs w:val="21"/>
        </w:rPr>
        <w:t>类</w:t>
      </w:r>
      <w:r>
        <w:rPr>
          <w:rFonts w:hint="eastAsia"/>
          <w:szCs w:val="21"/>
        </w:rPr>
        <w:t>～劣Ⅴ类，属于</w:t>
      </w:r>
      <w:r>
        <w:rPr>
          <w:szCs w:val="21"/>
        </w:rPr>
        <w:t>未达到水质目标的水功能区</w:t>
      </w:r>
      <w:r>
        <w:rPr>
          <w:rFonts w:hint="eastAsia"/>
          <w:szCs w:val="21"/>
        </w:rPr>
        <w:t>，由于本项目为</w:t>
      </w:r>
      <w:r>
        <w:rPr>
          <w:rFonts w:hint="eastAsia"/>
        </w:rPr>
        <w:t>城镇污水处理厂</w:t>
      </w:r>
      <w:r>
        <w:t>排污口</w:t>
      </w:r>
      <w:r>
        <w:rPr>
          <w:rFonts w:hint="eastAsia"/>
          <w:szCs w:val="21"/>
        </w:rPr>
        <w:t>，不属于</w:t>
      </w:r>
      <w:r>
        <w:rPr>
          <w:szCs w:val="21"/>
        </w:rPr>
        <w:t>严格控制新设、改设或者扩大排污口</w:t>
      </w:r>
      <w:r>
        <w:rPr>
          <w:rFonts w:hint="eastAsia"/>
          <w:szCs w:val="21"/>
        </w:rPr>
        <w:t>的范围，</w:t>
      </w:r>
      <w:r>
        <w:rPr>
          <w:rFonts w:hint="eastAsia"/>
        </w:rPr>
        <w:t>可新设入河排污口</w:t>
      </w:r>
      <w:r>
        <w:rPr>
          <w:rFonts w:hint="eastAsia"/>
          <w:szCs w:val="21"/>
        </w:rPr>
        <w:t>。</w:t>
      </w:r>
    </w:p>
    <w:p>
      <w:pPr>
        <w:pStyle w:val="3"/>
      </w:pPr>
      <w:bookmarkStart w:id="56" w:name="_Toc166145947"/>
      <w:bookmarkStart w:id="57" w:name="_Toc23423"/>
      <w:r>
        <w:rPr>
          <w:rFonts w:hint="eastAsia"/>
        </w:rPr>
        <w:t>6</w:t>
      </w:r>
      <w:r>
        <w:t>.3</w:t>
      </w:r>
      <w:r>
        <w:rPr>
          <w:rFonts w:hint="eastAsia"/>
        </w:rPr>
        <w:t xml:space="preserve"> </w:t>
      </w:r>
      <w:r>
        <w:t>对水域纳污能力影响分析</w:t>
      </w:r>
      <w:bookmarkEnd w:id="56"/>
      <w:bookmarkEnd w:id="57"/>
    </w:p>
    <w:p>
      <w:pPr>
        <w:ind w:firstLine="480"/>
      </w:pPr>
      <w:r>
        <w:t>本工程排污口位于</w:t>
      </w:r>
      <w:r>
        <w:rPr>
          <w:rFonts w:hint="eastAsia"/>
          <w:szCs w:val="24"/>
        </w:rPr>
        <w:t>澹水开发利用区</w:t>
      </w:r>
      <w:r>
        <w:t>，根据</w:t>
      </w:r>
      <w:r>
        <w:rPr>
          <w:rFonts w:hint="eastAsia"/>
        </w:rPr>
        <w:t>前述</w:t>
      </w:r>
      <w:r>
        <w:t>章节</w:t>
      </w:r>
      <w:r>
        <w:rPr>
          <w:rFonts w:hint="eastAsia"/>
          <w:b/>
        </w:rPr>
        <w:t>3.3水功能区纳污能力及限制排放总量</w:t>
      </w:r>
      <w:r>
        <w:t>对水域纳污能力的计算，本项目论证范围河段</w:t>
      </w:r>
      <w:r>
        <w:rPr>
          <w:rFonts w:hint="eastAsia"/>
          <w:szCs w:val="21"/>
        </w:rPr>
        <w:t>（</w:t>
      </w:r>
      <w:r>
        <w:rPr>
          <w:rFonts w:hint="eastAsia"/>
        </w:rPr>
        <w:t>按</w:t>
      </w:r>
      <w:r>
        <w:rPr>
          <w:rFonts w:hint="eastAsia" w:ascii="宋体" w:hAnsi="宋体" w:cs="宋体"/>
        </w:rPr>
        <w:t>Ⅲ</w:t>
      </w:r>
      <w:r>
        <w:rPr>
          <w:rFonts w:hint="eastAsia"/>
        </w:rPr>
        <w:t>类水质</w:t>
      </w:r>
      <w:r>
        <w:rPr>
          <w:rFonts w:hint="eastAsia"/>
          <w:szCs w:val="21"/>
        </w:rPr>
        <w:t>）</w:t>
      </w:r>
      <w:r>
        <w:t>COD纳污能力为</w:t>
      </w:r>
      <w:r>
        <w:rPr>
          <w:rFonts w:hint="eastAsia"/>
        </w:rPr>
        <w:t>1745.05</w:t>
      </w:r>
      <w:r>
        <w:t>t/a，202</w:t>
      </w:r>
      <w:r>
        <w:rPr>
          <w:rFonts w:hint="eastAsia"/>
        </w:rPr>
        <w:t>3</w:t>
      </w:r>
      <w:r>
        <w:t>年COD限制排放总量为</w:t>
      </w:r>
      <w:r>
        <w:rPr>
          <w:rFonts w:hint="eastAsia"/>
        </w:rPr>
        <w:t>1745.05</w:t>
      </w:r>
      <w:r>
        <w:t>t/a；</w:t>
      </w:r>
      <w:r>
        <w:rPr>
          <w:rFonts w:hint="eastAsia"/>
        </w:rPr>
        <w:t>氨氮</w:t>
      </w:r>
      <w:r>
        <w:t>的纳污能力为</w:t>
      </w:r>
      <w:r>
        <w:rPr>
          <w:rFonts w:hint="eastAsia"/>
        </w:rPr>
        <w:t>161.85</w:t>
      </w:r>
      <w:r>
        <w:t>t/a，202</w:t>
      </w:r>
      <w:r>
        <w:rPr>
          <w:rFonts w:hint="eastAsia"/>
        </w:rPr>
        <w:t>3</w:t>
      </w:r>
      <w:r>
        <w:t>年</w:t>
      </w:r>
      <w:r>
        <w:rPr>
          <w:rFonts w:hint="eastAsia"/>
        </w:rPr>
        <w:t>氨氮</w:t>
      </w:r>
      <w:r>
        <w:t>限制排放总量为</w:t>
      </w:r>
      <w:r>
        <w:rPr>
          <w:rFonts w:hint="eastAsia"/>
        </w:rPr>
        <w:t>161.85</w:t>
      </w:r>
      <w:r>
        <w:t>t/a</w:t>
      </w:r>
      <w:r>
        <w:rPr>
          <w:rFonts w:hint="eastAsia"/>
        </w:rPr>
        <w:t>；总磷</w:t>
      </w:r>
      <w:r>
        <w:t>的纳污能力为</w:t>
      </w:r>
      <w:r>
        <w:rPr>
          <w:rFonts w:hint="eastAsia"/>
        </w:rPr>
        <w:t>14.18</w:t>
      </w:r>
      <w:r>
        <w:t>t/a，202</w:t>
      </w:r>
      <w:r>
        <w:rPr>
          <w:rFonts w:hint="eastAsia"/>
        </w:rPr>
        <w:t>3</w:t>
      </w:r>
      <w:r>
        <w:t>年</w:t>
      </w:r>
      <w:r>
        <w:rPr>
          <w:rFonts w:hint="eastAsia"/>
        </w:rPr>
        <w:t>总磷</w:t>
      </w:r>
      <w:r>
        <w:t>限制排放总量为</w:t>
      </w:r>
      <w:r>
        <w:rPr>
          <w:rFonts w:hint="eastAsia"/>
        </w:rPr>
        <w:t>14.18</w:t>
      </w:r>
      <w:r>
        <w:t>t/a</w:t>
      </w:r>
      <w:r>
        <w:rPr>
          <w:rFonts w:hint="eastAsia"/>
        </w:rPr>
        <w:t>。</w:t>
      </w:r>
    </w:p>
    <w:p>
      <w:pPr>
        <w:ind w:firstLine="480"/>
      </w:pPr>
      <w:r>
        <w:rPr>
          <w:rFonts w:hint="eastAsia"/>
        </w:rPr>
        <w:t>澧县东部新区污水处理厂一期设计处理规模</w:t>
      </w:r>
      <w:r>
        <w:t>为</w:t>
      </w:r>
      <w:r>
        <w:rPr>
          <w:rFonts w:hint="eastAsia"/>
        </w:rPr>
        <w:t>600</w:t>
      </w:r>
      <w:r>
        <w:t>00m</w:t>
      </w:r>
      <w:r>
        <w:rPr>
          <w:vertAlign w:val="superscript"/>
        </w:rPr>
        <w:t>3</w:t>
      </w:r>
      <w:r>
        <w:t>/d，</w:t>
      </w:r>
      <w:r>
        <w:rPr>
          <w:rFonts w:hint="eastAsia"/>
          <w:szCs w:val="24"/>
        </w:rPr>
        <w:t>目前</w:t>
      </w:r>
      <w:r>
        <w:rPr>
          <w:rFonts w:hint="eastAsia"/>
          <w:bCs/>
          <w:color w:val="000000"/>
          <w:szCs w:val="24"/>
        </w:rPr>
        <w:t>已建成排入澹水的废水量为</w:t>
      </w:r>
      <w:r>
        <w:rPr>
          <w:bCs/>
          <w:color w:val="000000"/>
          <w:szCs w:val="24"/>
        </w:rPr>
        <w:t>30000m</w:t>
      </w:r>
      <w:r>
        <w:rPr>
          <w:bCs/>
          <w:color w:val="000000"/>
          <w:szCs w:val="24"/>
          <w:vertAlign w:val="superscript"/>
        </w:rPr>
        <w:t>3</w:t>
      </w:r>
      <w:r>
        <w:rPr>
          <w:bCs/>
          <w:color w:val="000000"/>
          <w:szCs w:val="24"/>
        </w:rPr>
        <w:t>/d</w:t>
      </w:r>
      <w:r>
        <w:rPr>
          <w:rFonts w:hint="eastAsia"/>
          <w:bCs/>
          <w:color w:val="000000"/>
          <w:sz w:val="21"/>
          <w:szCs w:val="21"/>
        </w:rPr>
        <w:t>，</w:t>
      </w:r>
      <w:r>
        <w:rPr>
          <w:rFonts w:hint="eastAsia"/>
          <w:bCs/>
          <w:color w:val="000000"/>
          <w:szCs w:val="24"/>
        </w:rPr>
        <w:t>则未建30000m</w:t>
      </w:r>
      <w:r>
        <w:rPr>
          <w:rFonts w:hint="eastAsia"/>
          <w:bCs/>
          <w:color w:val="000000"/>
          <w:szCs w:val="24"/>
          <w:vertAlign w:val="superscript"/>
        </w:rPr>
        <w:t>3</w:t>
      </w:r>
      <w:r>
        <w:rPr>
          <w:rFonts w:hint="eastAsia"/>
          <w:bCs/>
          <w:color w:val="000000"/>
          <w:szCs w:val="24"/>
        </w:rPr>
        <w:t>/d废水</w:t>
      </w:r>
      <w:r>
        <w:t>通过入河排污口排入</w:t>
      </w:r>
      <w:r>
        <w:rPr>
          <w:rFonts w:hint="eastAsia"/>
        </w:rPr>
        <w:t>澹水</w:t>
      </w:r>
      <w:r>
        <w:t>COD排放量为</w:t>
      </w:r>
      <w:r>
        <w:rPr>
          <w:rFonts w:hint="eastAsia"/>
          <w:szCs w:val="21"/>
        </w:rPr>
        <w:t>547.5</w:t>
      </w:r>
      <w:r>
        <w:t>t/a＜</w:t>
      </w:r>
      <w:r>
        <w:rPr>
          <w:rFonts w:hint="eastAsia"/>
        </w:rPr>
        <w:t>1745.05</w:t>
      </w:r>
      <w:r>
        <w:t>t/a</w:t>
      </w:r>
      <w:r>
        <w:rPr>
          <w:rFonts w:hint="eastAsia"/>
        </w:rPr>
        <w:t>，氨氮</w:t>
      </w:r>
      <w:r>
        <w:t>排放量为</w:t>
      </w:r>
      <w:r>
        <w:rPr>
          <w:rFonts w:hint="eastAsia"/>
          <w:szCs w:val="21"/>
        </w:rPr>
        <w:t>54.75</w:t>
      </w:r>
      <w:r>
        <w:t>t/a＜</w:t>
      </w:r>
      <w:r>
        <w:rPr>
          <w:rFonts w:hint="eastAsia"/>
        </w:rPr>
        <w:t>161.85</w:t>
      </w:r>
      <w:r>
        <w:t>t/a，</w:t>
      </w:r>
      <w:r>
        <w:rPr>
          <w:rFonts w:hint="eastAsia"/>
        </w:rPr>
        <w:t>总磷</w:t>
      </w:r>
      <w:r>
        <w:t>排放量为</w:t>
      </w:r>
      <w:r>
        <w:rPr>
          <w:rFonts w:hint="eastAsia"/>
          <w:szCs w:val="21"/>
        </w:rPr>
        <w:t>5.475</w:t>
      </w:r>
      <w:r>
        <w:t>t/a＜</w:t>
      </w:r>
      <w:r>
        <w:rPr>
          <w:rFonts w:hint="eastAsia"/>
        </w:rPr>
        <w:t>14.18</w:t>
      </w:r>
      <w:r>
        <w:t>t/a</w:t>
      </w:r>
      <w:r>
        <w:rPr>
          <w:rFonts w:hint="eastAsia"/>
        </w:rPr>
        <w:t>，</w:t>
      </w:r>
      <w:r>
        <w:t>小于论证范围流域剩余纳污能力</w:t>
      </w:r>
      <w:r>
        <w:rPr>
          <w:rFonts w:hint="eastAsia"/>
        </w:rPr>
        <w:t>，</w:t>
      </w:r>
      <w:r>
        <w:t>故</w:t>
      </w:r>
      <w:r>
        <w:rPr>
          <w:rFonts w:hint="eastAsia"/>
        </w:rPr>
        <w:t>澧县东部新区污水处理厂污水</w:t>
      </w:r>
      <w:r>
        <w:t>排放满足水域纳污能力和限制排放总量要求。</w:t>
      </w:r>
    </w:p>
    <w:p>
      <w:pPr>
        <w:pStyle w:val="3"/>
      </w:pPr>
      <w:bookmarkStart w:id="58" w:name="_Toc166145948"/>
      <w:r>
        <w:rPr>
          <w:rFonts w:hint="eastAsia"/>
        </w:rPr>
        <w:t>6.4 对生态的影响分析</w:t>
      </w:r>
      <w:bookmarkEnd w:id="58"/>
    </w:p>
    <w:p>
      <w:pPr>
        <w:ind w:firstLine="480"/>
      </w:pPr>
      <w:r>
        <w:t>从预测结果来看，正常情况下本项目排污对下游水质并没有太大影响，但是废水中污染物对水生生物生长起到一定的抑制作用，二者相互影响的结果使水生生物群落中的耐污性种类的数量逐渐增多；而一些不耐污、清水性的种类减少或逐渐消失，使影响区域的水生生物群落结构由清水性向污水性群落演变，生物的多样性减少，群落趋向不稳定，最终演化结果可能是排污口附近局部水域的富营养化，对下游局部河段生态环境有一定影响。</w:t>
      </w:r>
    </w:p>
    <w:p>
      <w:pPr>
        <w:ind w:firstLine="480"/>
      </w:pPr>
      <w:r>
        <w:t xml:space="preserve">（1）对鱼类的影响分析 </w:t>
      </w:r>
    </w:p>
    <w:p>
      <w:pPr>
        <w:ind w:firstLine="480"/>
      </w:pPr>
      <w:r>
        <w:t xml:space="preserve">本项目正常情况下外排废水水质较简单，出水水质可达到《城镇污水处理厂污染物排放标准》（GB18918-2002）中一级A标准限值要求。 </w:t>
      </w:r>
    </w:p>
    <w:p>
      <w:pPr>
        <w:ind w:firstLine="480"/>
      </w:pPr>
      <w:r>
        <w:t>项目主要污染因子为COD、氨氮和总磷，不含第一类污染物。正常工况废水经处理后进入</w:t>
      </w:r>
      <w:r>
        <w:rPr>
          <w:rFonts w:hint="eastAsia"/>
        </w:rPr>
        <w:t>澹水</w:t>
      </w:r>
      <w:r>
        <w:t>后，经自然降解稀释后可满足水质要求，不会对鱼类产生较大影响。</w:t>
      </w:r>
    </w:p>
    <w:p>
      <w:pPr>
        <w:ind w:firstLine="480"/>
      </w:pPr>
      <w:r>
        <w:t xml:space="preserve">（2）对其他水生生物的影响分析 </w:t>
      </w:r>
    </w:p>
    <w:p>
      <w:pPr>
        <w:ind w:firstLine="480"/>
      </w:pPr>
      <w:r>
        <w:rPr>
          <w:rFonts w:hint="eastAsia"/>
        </w:rPr>
        <w:t>澹水</w:t>
      </w:r>
      <w:r>
        <w:t>以</w:t>
      </w:r>
      <w:r>
        <w:rPr>
          <w:rFonts w:hint="eastAsia"/>
        </w:rPr>
        <w:t>景观娱乐用水、</w:t>
      </w:r>
      <w:r>
        <w:t>农业灌溉为主要功能，水生生物量极少。经过论证计算可知，正常的排放情况下水质类别没有发生显著变化，影响范围非常有限，不会对下游生物群落结构和生物量产生明显影响；在非正常排放情况下，</w:t>
      </w:r>
      <w:r>
        <w:rPr>
          <w:rFonts w:hint="eastAsia"/>
        </w:rPr>
        <w:t>可能</w:t>
      </w:r>
      <w:r>
        <w:t>会造成</w:t>
      </w:r>
      <w:r>
        <w:rPr>
          <w:rFonts w:hint="eastAsia"/>
        </w:rPr>
        <w:t>澹水</w:t>
      </w:r>
      <w:r>
        <w:t xml:space="preserve">水质超标，对下游水质造成一定影响，可能会引起浮游植物与浮游动物数量和组成的变化，因此需要建设单位加强风险管控，杜绝废水的事故排放。 </w:t>
      </w:r>
    </w:p>
    <w:p>
      <w:pPr>
        <w:ind w:firstLine="480"/>
      </w:pPr>
      <w:r>
        <w:t xml:space="preserve">（3）对重要水生态保护目标的影响分析 </w:t>
      </w:r>
    </w:p>
    <w:p>
      <w:pPr>
        <w:ind w:firstLine="480"/>
      </w:pPr>
      <w:r>
        <w:t>经调查，论证范围内水域无珍稀水生生物和鱼类，未发现重要水生生物的产卵场、索饵场、越冬场和洄游通道等，不涉及水产种质资源保护区、湿地保护区等生态敏感因素和水生生态保护目标。</w:t>
      </w:r>
      <w:r>
        <w:rPr>
          <w:rFonts w:hint="eastAsia"/>
        </w:rPr>
        <w:t>澹水</w:t>
      </w:r>
      <w:r>
        <w:t>现状水质类别为</w:t>
      </w:r>
      <w:r>
        <w:rPr>
          <w:rFonts w:hint="eastAsia" w:ascii="宋体" w:hAnsi="宋体" w:cs="宋体"/>
        </w:rPr>
        <w:t>Ⅱ</w:t>
      </w:r>
      <w:r>
        <w:t>类</w:t>
      </w:r>
      <w:r>
        <w:rPr>
          <w:rFonts w:hint="eastAsia"/>
        </w:rPr>
        <w:t>～劣Ⅴ类</w:t>
      </w:r>
      <w:r>
        <w:t>，</w:t>
      </w:r>
      <w:r>
        <w:rPr>
          <w:rFonts w:hint="eastAsia"/>
        </w:rPr>
        <w:t>部分时段</w:t>
      </w:r>
      <w:r>
        <w:t>水质较</w:t>
      </w:r>
      <w:r>
        <w:rPr>
          <w:rFonts w:hint="eastAsia"/>
        </w:rPr>
        <w:t>差</w:t>
      </w:r>
      <w:r>
        <w:t>，入河排污口污染物</w:t>
      </w:r>
      <w:r>
        <w:rPr>
          <w:rFonts w:hint="eastAsia"/>
        </w:rPr>
        <w:t>可能</w:t>
      </w:r>
      <w:r>
        <w:t xml:space="preserve">会对水体造成富营养化影响。 </w:t>
      </w:r>
    </w:p>
    <w:p>
      <w:pPr>
        <w:ind w:firstLine="480"/>
      </w:pPr>
      <w:r>
        <w:t>（4）对邻近水功能区的水生态影响分析</w:t>
      </w:r>
    </w:p>
    <w:p>
      <w:pPr>
        <w:ind w:firstLine="480"/>
      </w:pPr>
      <w:r>
        <w:t>入河排污口位于</w:t>
      </w:r>
      <w:r>
        <w:rPr>
          <w:rFonts w:hint="eastAsia"/>
        </w:rPr>
        <w:t>澹水</w:t>
      </w:r>
      <w:r>
        <w:t>，现状水质类别为</w:t>
      </w:r>
      <w:r>
        <w:rPr>
          <w:rFonts w:hint="eastAsia" w:ascii="宋体" w:hAnsi="宋体" w:cs="宋体"/>
        </w:rPr>
        <w:t>Ⅱ</w:t>
      </w:r>
      <w:r>
        <w:t>类</w:t>
      </w:r>
      <w:r>
        <w:rPr>
          <w:rFonts w:hint="eastAsia"/>
        </w:rPr>
        <w:t>～劣Ⅴ类</w:t>
      </w:r>
      <w:r>
        <w:t>。根据项目入河排污口污染物影响范围和对评价河段水质预测结果分析，正常工况下，</w:t>
      </w:r>
      <w:r>
        <w:rPr>
          <w:rFonts w:hint="eastAsia"/>
        </w:rPr>
        <w:t>枯水期</w:t>
      </w:r>
      <w:r>
        <w:rPr>
          <w:rFonts w:hint="eastAsia"/>
          <w:szCs w:val="24"/>
        </w:rPr>
        <w:t>由于背景浓度值已超过</w:t>
      </w:r>
      <w:r>
        <w:rPr>
          <w:rFonts w:hint="eastAsia" w:ascii="宋体" w:hAnsi="宋体"/>
          <w:szCs w:val="24"/>
        </w:rPr>
        <w:t>Ⅲ</w:t>
      </w:r>
      <w:r>
        <w:rPr>
          <w:szCs w:val="24"/>
        </w:rPr>
        <w:t>类标准</w:t>
      </w:r>
      <w:r>
        <w:rPr>
          <w:rFonts w:hint="eastAsia"/>
          <w:szCs w:val="24"/>
        </w:rPr>
        <w:t>限值，论证范围内</w:t>
      </w:r>
      <w:r>
        <w:rPr>
          <w:szCs w:val="24"/>
        </w:rPr>
        <w:t>COD</w:t>
      </w:r>
      <w:r>
        <w:rPr>
          <w:szCs w:val="24"/>
          <w:vertAlign w:val="subscript"/>
        </w:rPr>
        <w:t>Cr</w:t>
      </w:r>
      <w:r>
        <w:rPr>
          <w:rFonts w:hint="eastAsia"/>
          <w:szCs w:val="24"/>
        </w:rPr>
        <w:t>、氨氮、总磷均超过</w:t>
      </w:r>
      <w:r>
        <w:rPr>
          <w:szCs w:val="24"/>
        </w:rPr>
        <w:t>《地表水环境质量标准》（GB3838-2002）</w:t>
      </w:r>
      <w:r>
        <w:rPr>
          <w:rFonts w:hint="eastAsia" w:ascii="宋体" w:hAnsi="宋体"/>
          <w:szCs w:val="24"/>
        </w:rPr>
        <w:t>Ⅲ</w:t>
      </w:r>
      <w:r>
        <w:rPr>
          <w:szCs w:val="24"/>
        </w:rPr>
        <w:t>类标准</w:t>
      </w:r>
      <w:r>
        <w:rPr>
          <w:rFonts w:hint="eastAsia"/>
          <w:szCs w:val="24"/>
        </w:rPr>
        <w:t>限值</w:t>
      </w:r>
      <w:r>
        <w:rPr>
          <w:szCs w:val="24"/>
        </w:rPr>
        <w:t>要求</w:t>
      </w:r>
      <w:r>
        <w:rPr>
          <w:rFonts w:hint="eastAsia"/>
          <w:szCs w:val="24"/>
        </w:rPr>
        <w:t>，只能维持</w:t>
      </w:r>
      <w:r>
        <w:rPr>
          <w:rFonts w:hint="eastAsia" w:ascii="宋体" w:hAnsi="宋体"/>
          <w:szCs w:val="24"/>
        </w:rPr>
        <w:t>Ⅴ</w:t>
      </w:r>
      <w:r>
        <w:rPr>
          <w:szCs w:val="24"/>
        </w:rPr>
        <w:t>类标准</w:t>
      </w:r>
      <w:r>
        <w:rPr>
          <w:rFonts w:hint="eastAsia"/>
          <w:szCs w:val="24"/>
        </w:rPr>
        <w:t>限值</w:t>
      </w:r>
      <w:r>
        <w:rPr>
          <w:szCs w:val="24"/>
        </w:rPr>
        <w:t>要求</w:t>
      </w:r>
      <w:r>
        <w:t>。</w:t>
      </w:r>
      <w:r>
        <w:rPr>
          <w:rFonts w:hint="eastAsia"/>
        </w:rPr>
        <w:t>正常排放下，</w:t>
      </w:r>
      <w:r>
        <w:t>入河排口污染物没有改变下游水质类别，对下游水功能区水质影响</w:t>
      </w:r>
      <w:r>
        <w:rPr>
          <w:rFonts w:hint="eastAsia"/>
        </w:rPr>
        <w:t>不大</w:t>
      </w:r>
      <w:r>
        <w:t>，对下游水生生物造成不利影响</w:t>
      </w:r>
      <w:r>
        <w:rPr>
          <w:rFonts w:hint="eastAsia"/>
        </w:rPr>
        <w:t>较小</w:t>
      </w:r>
      <w:r>
        <w:t>。</w:t>
      </w:r>
    </w:p>
    <w:p>
      <w:pPr>
        <w:pStyle w:val="3"/>
      </w:pPr>
      <w:bookmarkStart w:id="59" w:name="_Toc166145949"/>
      <w:r>
        <w:rPr>
          <w:rFonts w:hint="eastAsia"/>
        </w:rPr>
        <w:t>6</w:t>
      </w:r>
      <w:r>
        <w:t>.</w:t>
      </w:r>
      <w:r>
        <w:rPr>
          <w:rFonts w:hint="eastAsia"/>
        </w:rPr>
        <w:t xml:space="preserve">5 </w:t>
      </w:r>
      <w:r>
        <w:t>对河流水温的影响分析</w:t>
      </w:r>
      <w:bookmarkEnd w:id="59"/>
    </w:p>
    <w:p>
      <w:pPr>
        <w:ind w:firstLine="480"/>
      </w:pPr>
      <w:r>
        <w:rPr>
          <w:rFonts w:hint="eastAsia"/>
        </w:rPr>
        <w:t>澧县东部新区污水处理厂</w:t>
      </w:r>
      <w:r>
        <w:t>污水经污水</w:t>
      </w:r>
      <w:r>
        <w:rPr>
          <w:rFonts w:hint="eastAsia"/>
        </w:rPr>
        <w:t>管网</w:t>
      </w:r>
      <w:r>
        <w:t>收集、混合及</w:t>
      </w:r>
      <w:r>
        <w:rPr>
          <w:rFonts w:hint="eastAsia"/>
        </w:rPr>
        <w:t>采用氧化沟工艺</w:t>
      </w:r>
      <w:r>
        <w:t>处理后，排水与河水水温相差无几，因此本项目排水对河流水温基本无影响。</w:t>
      </w:r>
    </w:p>
    <w:p>
      <w:pPr>
        <w:pStyle w:val="3"/>
      </w:pPr>
      <w:bookmarkStart w:id="60" w:name="_Toc166145950"/>
      <w:r>
        <w:rPr>
          <w:rFonts w:hint="eastAsia"/>
        </w:rPr>
        <w:t>6.6 对地下水影响的分析</w:t>
      </w:r>
      <w:bookmarkEnd w:id="60"/>
    </w:p>
    <w:p>
      <w:pPr>
        <w:ind w:firstLine="480"/>
        <w:rPr>
          <w:szCs w:val="21"/>
        </w:rPr>
      </w:pPr>
      <w:r>
        <w:rPr>
          <w:rFonts w:hint="eastAsia"/>
          <w:szCs w:val="21"/>
        </w:rPr>
        <w:t>项目所在地不涉及集中式饮用水源（包括已建成的在用、备用、应急水源、在建和规划的饮用水水源）准保护区，除集中式饮用水水源以外的国家或地方政府设定的与地下水环境相关的其他保护区，也不涉及集中式饮用水源（包括已建成的在用、备用、应急水源、在建和规划的饮用水水源）以外的补给径流区、特殊地下水资源保护区及其以外的分布区等地下水环境敏感区。故本项目不会对当地水源保护地产生影响。</w:t>
      </w:r>
    </w:p>
    <w:p>
      <w:pPr>
        <w:ind w:firstLine="480"/>
        <w:rPr>
          <w:szCs w:val="21"/>
        </w:rPr>
      </w:pPr>
      <w:r>
        <w:rPr>
          <w:rFonts w:hint="eastAsia"/>
          <w:szCs w:val="21"/>
        </w:rPr>
        <w:t>项目所在区域地下水主要由大气降水、地表水渗流等方式补给，其补给量受季节、时空分布影响较大。当河床处于丰水期，地表水位高于地下水位时，地表水补给地下水；当处于枯水期，地表水位低于地下水位时，地下水补给地表水。两者水量存在动态过程，在这个过程中存在水质的相互影响。由于本项目排污口排污量较小，对该功能区水位影响甚小。在地表水和地下水的水量交换上，由于河道底部淤积层的存在，其渗透性较差。因此，即使在丰水期，所设排污口对地下水基本没有影响。</w:t>
      </w:r>
    </w:p>
    <w:p>
      <w:pPr>
        <w:ind w:firstLine="480"/>
        <w:rPr>
          <w:szCs w:val="21"/>
        </w:rPr>
        <w:sectPr>
          <w:pgSz w:w="11906" w:h="16838"/>
          <w:pgMar w:top="1418" w:right="1588" w:bottom="1418" w:left="1588" w:header="851" w:footer="992" w:gutter="0"/>
          <w:pgNumType w:fmt="numberInDash"/>
          <w:cols w:space="425" w:num="1"/>
          <w:docGrid w:type="lines" w:linePitch="326" w:charSpace="0"/>
        </w:sectPr>
      </w:pPr>
      <w:r>
        <w:rPr>
          <w:szCs w:val="21"/>
        </w:rPr>
        <w:t>综上，本入河排污口正常排水对本区域地下水基本无影响。但在污水处理过程中，易通过土层，进入厂区周边地下水，从而对厂区周边地下水环境造成影响，因此应对各种污水处理设施建构筑物进行防渗处理，阻隔污染物进入地下水体中，做到废水不下渗。厂内污泥临时堆放场地，地面必须采取硬化、防渗处理，避免非正常排放情况的发生。</w:t>
      </w:r>
    </w:p>
    <w:p>
      <w:pPr>
        <w:pStyle w:val="2"/>
      </w:pPr>
      <w:bookmarkStart w:id="61" w:name="_Toc166145951"/>
      <w:r>
        <w:rPr>
          <w:rFonts w:hint="eastAsia"/>
        </w:rPr>
        <w:t>7. 对有利害关系的第三者权益的影响分析</w:t>
      </w:r>
      <w:bookmarkEnd w:id="61"/>
    </w:p>
    <w:p>
      <w:pPr>
        <w:pStyle w:val="3"/>
      </w:pPr>
      <w:bookmarkStart w:id="62" w:name="_Toc4079"/>
      <w:bookmarkStart w:id="63" w:name="_Toc14304"/>
      <w:bookmarkStart w:id="64" w:name="_Toc2241"/>
      <w:bookmarkStart w:id="65" w:name="_Toc166145952"/>
      <w:r>
        <w:rPr>
          <w:rFonts w:hint="eastAsia"/>
        </w:rPr>
        <w:t xml:space="preserve">7.1 </w:t>
      </w:r>
      <w:r>
        <w:t>对水质监控断面水质</w:t>
      </w:r>
      <w:r>
        <w:rPr>
          <w:rFonts w:hint="eastAsia"/>
        </w:rPr>
        <w:t>的</w:t>
      </w:r>
      <w:r>
        <w:t>影响分析</w:t>
      </w:r>
      <w:bookmarkEnd w:id="62"/>
      <w:bookmarkEnd w:id="63"/>
      <w:bookmarkEnd w:id="64"/>
      <w:bookmarkEnd w:id="65"/>
    </w:p>
    <w:p>
      <w:pPr>
        <w:ind w:firstLine="480"/>
        <w:rPr>
          <w:szCs w:val="21"/>
        </w:rPr>
      </w:pPr>
      <w:r>
        <w:rPr>
          <w:rFonts w:hint="eastAsia"/>
          <w:szCs w:val="21"/>
        </w:rPr>
        <w:t>（1）澧县澹水东洲市控考核</w:t>
      </w:r>
      <w:r>
        <w:rPr>
          <w:szCs w:val="21"/>
        </w:rPr>
        <w:t>断面</w:t>
      </w:r>
    </w:p>
    <w:p>
      <w:pPr>
        <w:ind w:firstLine="480"/>
        <w:rPr>
          <w:szCs w:val="21"/>
          <w:u w:val="single"/>
        </w:rPr>
      </w:pPr>
      <w:r>
        <w:rPr>
          <w:rFonts w:hint="eastAsia" w:hAnsi="宋体"/>
          <w:szCs w:val="21"/>
          <w:u w:val="single"/>
        </w:rPr>
        <w:t>东洲机埠电排</w:t>
      </w:r>
      <w:r>
        <w:rPr>
          <w:rFonts w:hint="eastAsia"/>
          <w:u w:val="single"/>
        </w:rPr>
        <w:t>入澹水处下游约600m处设置市控考核断面澧县澹水东洲断面，</w:t>
      </w:r>
      <w:r>
        <w:rPr>
          <w:szCs w:val="21"/>
          <w:u w:val="single"/>
        </w:rPr>
        <w:t>坐标为</w:t>
      </w:r>
      <w:r>
        <w:rPr>
          <w:u w:val="single"/>
        </w:rPr>
        <w:t>E 111.872555°</w:t>
      </w:r>
      <w:r>
        <w:rPr>
          <w:rFonts w:hint="eastAsia"/>
          <w:u w:val="single"/>
        </w:rPr>
        <w:t>，</w:t>
      </w:r>
      <w:r>
        <w:rPr>
          <w:u w:val="single"/>
        </w:rPr>
        <w:t>N29.641993°</w:t>
      </w:r>
      <w:r>
        <w:rPr>
          <w:rFonts w:hint="eastAsia"/>
          <w:u w:val="single"/>
        </w:rPr>
        <w:t>。</w:t>
      </w:r>
      <w:r>
        <w:rPr>
          <w:rFonts w:hint="eastAsia"/>
          <w:szCs w:val="21"/>
          <w:u w:val="single"/>
        </w:rPr>
        <w:t>本项目</w:t>
      </w:r>
      <w:r>
        <w:rPr>
          <w:szCs w:val="21"/>
          <w:u w:val="single"/>
        </w:rPr>
        <w:t>入河排污口污水流量为0.</w:t>
      </w:r>
      <w:r>
        <w:rPr>
          <w:rFonts w:hint="eastAsia"/>
          <w:szCs w:val="21"/>
          <w:u w:val="single"/>
        </w:rPr>
        <w:t>694</w:t>
      </w:r>
      <w:r>
        <w:rPr>
          <w:szCs w:val="21"/>
          <w:u w:val="single"/>
        </w:rPr>
        <w:t>m</w:t>
      </w:r>
      <w:r>
        <w:rPr>
          <w:szCs w:val="21"/>
          <w:u w:val="single"/>
          <w:vertAlign w:val="superscript"/>
        </w:rPr>
        <w:t>3</w:t>
      </w:r>
      <w:r>
        <w:rPr>
          <w:szCs w:val="21"/>
          <w:u w:val="single"/>
        </w:rPr>
        <w:t>/s</w:t>
      </w:r>
      <w:r>
        <w:rPr>
          <w:rFonts w:hint="eastAsia"/>
          <w:szCs w:val="21"/>
          <w:u w:val="single"/>
        </w:rPr>
        <w:t>（60000m</w:t>
      </w:r>
      <w:r>
        <w:rPr>
          <w:rFonts w:hint="eastAsia"/>
          <w:szCs w:val="21"/>
          <w:u w:val="single"/>
          <w:vertAlign w:val="superscript"/>
        </w:rPr>
        <w:t>3</w:t>
      </w:r>
      <w:r>
        <w:rPr>
          <w:rFonts w:hint="eastAsia"/>
          <w:szCs w:val="21"/>
          <w:u w:val="single"/>
        </w:rPr>
        <w:t>/d）</w:t>
      </w:r>
      <w:r>
        <w:rPr>
          <w:szCs w:val="21"/>
          <w:u w:val="single"/>
        </w:rPr>
        <w:t>，为</w:t>
      </w:r>
      <w:r>
        <w:rPr>
          <w:rFonts w:hint="eastAsia"/>
          <w:szCs w:val="21"/>
          <w:u w:val="single"/>
        </w:rPr>
        <w:t>澹水枯水期</w:t>
      </w:r>
      <w:r>
        <w:rPr>
          <w:szCs w:val="21"/>
          <w:u w:val="single"/>
        </w:rPr>
        <w:t>流量</w:t>
      </w:r>
      <w:r>
        <w:rPr>
          <w:rFonts w:hint="eastAsia"/>
          <w:szCs w:val="21"/>
          <w:u w:val="single"/>
        </w:rPr>
        <w:t>8.06</w:t>
      </w:r>
      <w:r>
        <w:rPr>
          <w:szCs w:val="21"/>
          <w:u w:val="single"/>
        </w:rPr>
        <w:t>m</w:t>
      </w:r>
      <w:r>
        <w:rPr>
          <w:szCs w:val="21"/>
          <w:u w:val="single"/>
          <w:vertAlign w:val="superscript"/>
        </w:rPr>
        <w:t>3</w:t>
      </w:r>
      <w:r>
        <w:rPr>
          <w:szCs w:val="21"/>
          <w:u w:val="single"/>
        </w:rPr>
        <w:t>/s的</w:t>
      </w:r>
      <w:r>
        <w:rPr>
          <w:rFonts w:hint="eastAsia"/>
          <w:szCs w:val="21"/>
          <w:u w:val="single"/>
        </w:rPr>
        <w:t>8.61</w:t>
      </w:r>
      <w:r>
        <w:rPr>
          <w:szCs w:val="21"/>
          <w:u w:val="single"/>
        </w:rPr>
        <w:t>%，不会产生回水</w:t>
      </w:r>
      <w:r>
        <w:rPr>
          <w:rFonts w:hint="eastAsia"/>
          <w:szCs w:val="21"/>
          <w:u w:val="single"/>
        </w:rPr>
        <w:t>。</w:t>
      </w:r>
    </w:p>
    <w:p>
      <w:pPr>
        <w:ind w:firstLine="480"/>
        <w:rPr>
          <w:szCs w:val="21"/>
          <w:u w:val="single"/>
        </w:rPr>
      </w:pPr>
      <w:r>
        <w:rPr>
          <w:rFonts w:hint="eastAsia"/>
          <w:szCs w:val="21"/>
          <w:u w:val="single"/>
        </w:rPr>
        <w:t>根据预测，枯水期</w:t>
      </w:r>
      <w:r>
        <w:rPr>
          <w:szCs w:val="21"/>
          <w:u w:val="single"/>
        </w:rPr>
        <w:t>正常</w:t>
      </w:r>
      <w:r>
        <w:rPr>
          <w:rFonts w:hint="eastAsia"/>
          <w:szCs w:val="21"/>
          <w:u w:val="single"/>
        </w:rPr>
        <w:t>排放下</w:t>
      </w:r>
      <w:r>
        <w:rPr>
          <w:szCs w:val="21"/>
          <w:u w:val="single"/>
        </w:rPr>
        <w:t>，</w:t>
      </w:r>
      <w:r>
        <w:rPr>
          <w:rFonts w:hint="eastAsia"/>
          <w:snapToGrid w:val="0"/>
          <w:kern w:val="0"/>
          <w:u w:val="single"/>
        </w:rPr>
        <w:t>排入澹水后</w:t>
      </w:r>
      <w:r>
        <w:rPr>
          <w:rFonts w:hint="eastAsia"/>
          <w:color w:val="000000"/>
          <w:u w:val="single"/>
        </w:rPr>
        <w:t>1511.3</w:t>
      </w:r>
      <w:r>
        <w:rPr>
          <w:rFonts w:hint="eastAsia"/>
          <w:snapToGrid w:val="0"/>
          <w:kern w:val="0"/>
          <w:u w:val="single"/>
        </w:rPr>
        <w:t>m河流长度完全混合均匀，</w:t>
      </w:r>
      <w:r>
        <w:rPr>
          <w:rFonts w:hint="eastAsia"/>
          <w:szCs w:val="24"/>
          <w:u w:val="single"/>
        </w:rPr>
        <w:t>由于背景浓度值已超过</w:t>
      </w:r>
      <w:r>
        <w:rPr>
          <w:rFonts w:hint="eastAsia" w:ascii="宋体" w:hAnsi="宋体"/>
          <w:szCs w:val="24"/>
          <w:u w:val="single"/>
        </w:rPr>
        <w:t>Ⅲ</w:t>
      </w:r>
      <w:r>
        <w:rPr>
          <w:szCs w:val="24"/>
          <w:u w:val="single"/>
        </w:rPr>
        <w:t>类标准</w:t>
      </w:r>
      <w:r>
        <w:rPr>
          <w:rFonts w:hint="eastAsia"/>
          <w:szCs w:val="24"/>
          <w:u w:val="single"/>
        </w:rPr>
        <w:t>限值，东洲断面</w:t>
      </w:r>
      <w:r>
        <w:rPr>
          <w:szCs w:val="24"/>
          <w:u w:val="single"/>
        </w:rPr>
        <w:t>COD</w:t>
      </w:r>
      <w:r>
        <w:rPr>
          <w:szCs w:val="24"/>
          <w:u w:val="single"/>
          <w:vertAlign w:val="subscript"/>
        </w:rPr>
        <w:t>Cr</w:t>
      </w:r>
      <w:r>
        <w:rPr>
          <w:rFonts w:hint="eastAsia"/>
          <w:szCs w:val="24"/>
          <w:u w:val="single"/>
        </w:rPr>
        <w:t>、氨氮、总磷均超过</w:t>
      </w:r>
      <w:r>
        <w:rPr>
          <w:szCs w:val="24"/>
          <w:u w:val="single"/>
        </w:rPr>
        <w:t>《地表水环境质量标准》（GB3838-2002）</w:t>
      </w:r>
      <w:r>
        <w:rPr>
          <w:rFonts w:hint="eastAsia" w:ascii="宋体" w:hAnsi="宋体"/>
          <w:szCs w:val="24"/>
          <w:u w:val="single"/>
        </w:rPr>
        <w:t>Ⅲ</w:t>
      </w:r>
      <w:r>
        <w:rPr>
          <w:szCs w:val="24"/>
          <w:u w:val="single"/>
        </w:rPr>
        <w:t>类标准</w:t>
      </w:r>
      <w:r>
        <w:rPr>
          <w:rFonts w:hint="eastAsia"/>
          <w:szCs w:val="24"/>
          <w:u w:val="single"/>
        </w:rPr>
        <w:t>限值</w:t>
      </w:r>
      <w:r>
        <w:rPr>
          <w:szCs w:val="24"/>
          <w:u w:val="single"/>
        </w:rPr>
        <w:t>要求</w:t>
      </w:r>
      <w:r>
        <w:rPr>
          <w:rFonts w:hint="eastAsia"/>
          <w:szCs w:val="24"/>
          <w:u w:val="single"/>
        </w:rPr>
        <w:t>，只能维持</w:t>
      </w:r>
      <w:r>
        <w:rPr>
          <w:rFonts w:hint="eastAsia" w:ascii="宋体" w:hAnsi="宋体"/>
          <w:szCs w:val="24"/>
          <w:u w:val="single"/>
        </w:rPr>
        <w:t>Ⅴ</w:t>
      </w:r>
      <w:r>
        <w:rPr>
          <w:szCs w:val="24"/>
          <w:u w:val="single"/>
        </w:rPr>
        <w:t>类标准</w:t>
      </w:r>
      <w:r>
        <w:rPr>
          <w:rFonts w:hint="eastAsia"/>
          <w:szCs w:val="24"/>
          <w:u w:val="single"/>
        </w:rPr>
        <w:t>限值</w:t>
      </w:r>
      <w:r>
        <w:rPr>
          <w:szCs w:val="24"/>
          <w:u w:val="single"/>
        </w:rPr>
        <w:t>要求</w:t>
      </w:r>
      <w:r>
        <w:rPr>
          <w:rFonts w:hint="eastAsia"/>
          <w:szCs w:val="21"/>
          <w:u w:val="single"/>
        </w:rPr>
        <w:t>；事故排放下，</w:t>
      </w:r>
      <w:r>
        <w:rPr>
          <w:rFonts w:hint="eastAsia"/>
          <w:szCs w:val="24"/>
          <w:u w:val="single"/>
        </w:rPr>
        <w:t>由于背景浓度值已超过</w:t>
      </w:r>
      <w:r>
        <w:rPr>
          <w:rFonts w:hint="eastAsia" w:ascii="宋体" w:hAnsi="宋体"/>
          <w:szCs w:val="24"/>
          <w:u w:val="single"/>
        </w:rPr>
        <w:t>Ⅲ</w:t>
      </w:r>
      <w:r>
        <w:rPr>
          <w:szCs w:val="24"/>
          <w:u w:val="single"/>
        </w:rPr>
        <w:t>类标准</w:t>
      </w:r>
      <w:r>
        <w:rPr>
          <w:rFonts w:hint="eastAsia"/>
          <w:szCs w:val="24"/>
          <w:u w:val="single"/>
        </w:rPr>
        <w:t>限值，常规监测断面处</w:t>
      </w:r>
      <w:r>
        <w:rPr>
          <w:szCs w:val="24"/>
          <w:u w:val="single"/>
        </w:rPr>
        <w:t>COD</w:t>
      </w:r>
      <w:r>
        <w:rPr>
          <w:szCs w:val="24"/>
          <w:u w:val="single"/>
          <w:vertAlign w:val="subscript"/>
        </w:rPr>
        <w:t>Cr</w:t>
      </w:r>
      <w:r>
        <w:rPr>
          <w:rFonts w:hint="eastAsia"/>
          <w:szCs w:val="24"/>
          <w:u w:val="single"/>
        </w:rPr>
        <w:t>、氨氮、总磷均超过</w:t>
      </w:r>
      <w:r>
        <w:rPr>
          <w:szCs w:val="24"/>
          <w:u w:val="single"/>
        </w:rPr>
        <w:t>《地表水环境质量标准》（GB3838-2002）</w:t>
      </w:r>
      <w:r>
        <w:rPr>
          <w:rFonts w:hint="eastAsia" w:ascii="宋体" w:hAnsi="宋体"/>
          <w:szCs w:val="24"/>
          <w:u w:val="single"/>
        </w:rPr>
        <w:t>Ⅲ</w:t>
      </w:r>
      <w:r>
        <w:rPr>
          <w:szCs w:val="24"/>
          <w:u w:val="single"/>
        </w:rPr>
        <w:t>类标准</w:t>
      </w:r>
      <w:r>
        <w:rPr>
          <w:rFonts w:hint="eastAsia"/>
          <w:szCs w:val="24"/>
          <w:u w:val="single"/>
        </w:rPr>
        <w:t>限值</w:t>
      </w:r>
      <w:r>
        <w:rPr>
          <w:szCs w:val="24"/>
          <w:u w:val="single"/>
        </w:rPr>
        <w:t>要求</w:t>
      </w:r>
      <w:r>
        <w:rPr>
          <w:rFonts w:hint="eastAsia"/>
          <w:szCs w:val="24"/>
          <w:u w:val="single"/>
        </w:rPr>
        <w:t>，且超过</w:t>
      </w:r>
      <w:r>
        <w:rPr>
          <w:rFonts w:hint="eastAsia" w:ascii="宋体" w:hAnsi="宋体"/>
          <w:szCs w:val="24"/>
          <w:u w:val="single"/>
        </w:rPr>
        <w:t>Ⅴ</w:t>
      </w:r>
      <w:r>
        <w:rPr>
          <w:szCs w:val="24"/>
          <w:u w:val="single"/>
        </w:rPr>
        <w:t>类标准</w:t>
      </w:r>
      <w:r>
        <w:rPr>
          <w:rFonts w:hint="eastAsia"/>
          <w:szCs w:val="24"/>
          <w:u w:val="single"/>
        </w:rPr>
        <w:t>限值</w:t>
      </w:r>
      <w:r>
        <w:rPr>
          <w:szCs w:val="24"/>
          <w:u w:val="single"/>
        </w:rPr>
        <w:t>要求</w:t>
      </w:r>
      <w:r>
        <w:rPr>
          <w:rFonts w:hint="eastAsia"/>
          <w:szCs w:val="24"/>
          <w:u w:val="single"/>
        </w:rPr>
        <w:t>，事故排放</w:t>
      </w:r>
      <w:r>
        <w:rPr>
          <w:szCs w:val="24"/>
          <w:u w:val="single"/>
        </w:rPr>
        <w:t>对</w:t>
      </w:r>
      <w:r>
        <w:rPr>
          <w:rFonts w:hint="eastAsia"/>
          <w:szCs w:val="24"/>
          <w:u w:val="single"/>
        </w:rPr>
        <w:t>澹水</w:t>
      </w:r>
      <w:r>
        <w:rPr>
          <w:szCs w:val="24"/>
          <w:u w:val="single"/>
        </w:rPr>
        <w:t>水质影响</w:t>
      </w:r>
      <w:r>
        <w:rPr>
          <w:rFonts w:hint="eastAsia"/>
          <w:szCs w:val="24"/>
          <w:u w:val="single"/>
        </w:rPr>
        <w:t>较大</w:t>
      </w:r>
      <w:r>
        <w:rPr>
          <w:rFonts w:hint="eastAsia"/>
          <w:szCs w:val="21"/>
          <w:u w:val="single"/>
        </w:rPr>
        <w:t>。</w:t>
      </w:r>
    </w:p>
    <w:p>
      <w:pPr>
        <w:ind w:firstLine="480"/>
        <w:rPr>
          <w:szCs w:val="21"/>
        </w:rPr>
      </w:pPr>
      <w:r>
        <w:rPr>
          <w:rFonts w:hint="eastAsia"/>
          <w:szCs w:val="21"/>
          <w:u w:val="single"/>
        </w:rPr>
        <w:t>另</w:t>
      </w:r>
      <w:r>
        <w:rPr>
          <w:szCs w:val="21"/>
          <w:u w:val="single"/>
        </w:rPr>
        <w:t>根据常德市生态环境局20</w:t>
      </w:r>
      <w:r>
        <w:rPr>
          <w:rFonts w:hint="eastAsia"/>
          <w:szCs w:val="21"/>
          <w:u w:val="single"/>
        </w:rPr>
        <w:t>23</w:t>
      </w:r>
      <w:r>
        <w:rPr>
          <w:szCs w:val="21"/>
          <w:u w:val="single"/>
        </w:rPr>
        <w:t>年</w:t>
      </w:r>
      <w:r>
        <w:rPr>
          <w:rFonts w:hint="eastAsia"/>
          <w:szCs w:val="21"/>
          <w:u w:val="single"/>
        </w:rPr>
        <w:t>1月</w:t>
      </w:r>
      <w:r>
        <w:rPr>
          <w:szCs w:val="21"/>
          <w:u w:val="single"/>
        </w:rPr>
        <w:t>至</w:t>
      </w:r>
      <w:r>
        <w:rPr>
          <w:rFonts w:hint="eastAsia"/>
          <w:szCs w:val="21"/>
          <w:u w:val="single"/>
        </w:rPr>
        <w:t>12月</w:t>
      </w:r>
      <w:r>
        <w:rPr>
          <w:szCs w:val="21"/>
          <w:u w:val="single"/>
        </w:rPr>
        <w:t>发布的</w:t>
      </w:r>
      <w:r>
        <w:rPr>
          <w:rFonts w:hint="eastAsia"/>
          <w:szCs w:val="21"/>
          <w:u w:val="single"/>
        </w:rPr>
        <w:t>全市环境质量状况的通报</w:t>
      </w:r>
      <w:r>
        <w:rPr>
          <w:szCs w:val="21"/>
          <w:u w:val="single"/>
        </w:rPr>
        <w:t>可知，</w:t>
      </w:r>
      <w:r>
        <w:rPr>
          <w:rFonts w:hint="eastAsia"/>
          <w:szCs w:val="21"/>
          <w:u w:val="single"/>
        </w:rPr>
        <w:t>澹水东洲</w:t>
      </w:r>
      <w:r>
        <w:rPr>
          <w:szCs w:val="21"/>
          <w:u w:val="single"/>
        </w:rPr>
        <w:t>断面水质</w:t>
      </w:r>
      <w:r>
        <w:rPr>
          <w:rFonts w:hint="eastAsia" w:ascii="宋体" w:hAnsi="宋体" w:cs="宋体"/>
          <w:u w:val="single"/>
        </w:rPr>
        <w:t>Ⅱ</w:t>
      </w:r>
      <w:r>
        <w:rPr>
          <w:u w:val="single"/>
        </w:rPr>
        <w:t>类</w:t>
      </w:r>
      <w:r>
        <w:rPr>
          <w:rFonts w:hint="eastAsia"/>
          <w:u w:val="single"/>
        </w:rPr>
        <w:t>～劣Ⅴ类</w:t>
      </w:r>
      <w:r>
        <w:rPr>
          <w:rFonts w:hint="eastAsia"/>
          <w:szCs w:val="21"/>
          <w:u w:val="single"/>
        </w:rPr>
        <w:t>，属于</w:t>
      </w:r>
      <w:r>
        <w:rPr>
          <w:szCs w:val="24"/>
          <w:u w:val="single"/>
        </w:rPr>
        <w:t>未达到水质目标的水功能区</w:t>
      </w:r>
      <w:r>
        <w:rPr>
          <w:rFonts w:hint="eastAsia"/>
          <w:szCs w:val="21"/>
          <w:u w:val="single"/>
        </w:rPr>
        <w:t>。</w:t>
      </w:r>
      <w:r>
        <w:rPr>
          <w:szCs w:val="21"/>
          <w:u w:val="single"/>
        </w:rPr>
        <w:t>故</w:t>
      </w:r>
      <w:r>
        <w:rPr>
          <w:rFonts w:hint="eastAsia"/>
          <w:szCs w:val="21"/>
          <w:u w:val="single"/>
        </w:rPr>
        <w:t>本项目入河排污口设置可能</w:t>
      </w:r>
      <w:r>
        <w:rPr>
          <w:szCs w:val="21"/>
          <w:u w:val="single"/>
        </w:rPr>
        <w:t>会对下游</w:t>
      </w:r>
      <w:r>
        <w:rPr>
          <w:rFonts w:hint="eastAsia"/>
          <w:szCs w:val="21"/>
          <w:u w:val="single"/>
        </w:rPr>
        <w:t>市控考核澹水东洲断面</w:t>
      </w:r>
      <w:r>
        <w:rPr>
          <w:szCs w:val="21"/>
          <w:u w:val="single"/>
        </w:rPr>
        <w:t>的控制、考核造成</w:t>
      </w:r>
      <w:r>
        <w:rPr>
          <w:rFonts w:hint="eastAsia"/>
          <w:szCs w:val="21"/>
          <w:u w:val="single"/>
        </w:rPr>
        <w:t>一定</w:t>
      </w:r>
      <w:r>
        <w:rPr>
          <w:szCs w:val="21"/>
          <w:u w:val="single"/>
        </w:rPr>
        <w:t>影响。</w:t>
      </w:r>
    </w:p>
    <w:p>
      <w:pPr>
        <w:pStyle w:val="3"/>
      </w:pPr>
      <w:bookmarkStart w:id="66" w:name="_Toc166145953"/>
      <w:bookmarkStart w:id="67" w:name="_Toc6442"/>
      <w:bookmarkStart w:id="68" w:name="_Toc2199"/>
      <w:r>
        <w:rPr>
          <w:rFonts w:hint="eastAsia"/>
        </w:rPr>
        <w:t xml:space="preserve">7.2 </w:t>
      </w:r>
      <w:r>
        <w:t>对</w:t>
      </w:r>
      <w:r>
        <w:rPr>
          <w:rFonts w:hint="eastAsia"/>
        </w:rPr>
        <w:t>排污口下游取水单位的影响</w:t>
      </w:r>
      <w:r>
        <w:t>分析</w:t>
      </w:r>
      <w:bookmarkEnd w:id="66"/>
      <w:bookmarkEnd w:id="67"/>
      <w:bookmarkEnd w:id="68"/>
    </w:p>
    <w:p>
      <w:pPr>
        <w:ind w:firstLine="480"/>
        <w:rPr>
          <w:szCs w:val="21"/>
          <w:u w:val="single"/>
        </w:rPr>
      </w:pPr>
      <w:r>
        <w:rPr>
          <w:szCs w:val="21"/>
          <w:u w:val="single"/>
        </w:rPr>
        <w:t>论证范围内涉及的取水口主要为农业取水口，东洲机埠电排</w:t>
      </w:r>
      <w:r>
        <w:rPr>
          <w:rFonts w:hint="eastAsia"/>
          <w:szCs w:val="21"/>
          <w:u w:val="single"/>
        </w:rPr>
        <w:t>下游85m处设置有羊湖口节制闸</w:t>
      </w:r>
      <w:r>
        <w:rPr>
          <w:szCs w:val="21"/>
          <w:u w:val="single"/>
        </w:rPr>
        <w:t>。</w:t>
      </w:r>
      <w:r>
        <w:rPr>
          <w:rFonts w:hint="eastAsia"/>
          <w:szCs w:val="21"/>
          <w:u w:val="single"/>
        </w:rPr>
        <w:t>根据预测，</w:t>
      </w:r>
      <w:r>
        <w:rPr>
          <w:szCs w:val="21"/>
          <w:u w:val="single"/>
        </w:rPr>
        <w:t>排污口正常和非正常排放时，COD</w:t>
      </w:r>
      <w:r>
        <w:rPr>
          <w:rFonts w:hint="eastAsia"/>
          <w:szCs w:val="21"/>
          <w:u w:val="single"/>
          <w:vertAlign w:val="subscript"/>
        </w:rPr>
        <w:t>Cr</w:t>
      </w:r>
      <w:r>
        <w:rPr>
          <w:szCs w:val="21"/>
          <w:u w:val="single"/>
        </w:rPr>
        <w:t>等污染物在</w:t>
      </w:r>
      <w:r>
        <w:rPr>
          <w:rFonts w:hint="eastAsia"/>
          <w:szCs w:val="21"/>
          <w:u w:val="single"/>
        </w:rPr>
        <w:t>论证分析范围内</w:t>
      </w:r>
      <w:r>
        <w:rPr>
          <w:szCs w:val="21"/>
          <w:u w:val="single"/>
        </w:rPr>
        <w:t>均可达《农田灌溉水质标准》（GB 5084-2021）</w:t>
      </w:r>
      <w:r>
        <w:rPr>
          <w:rFonts w:hint="eastAsia"/>
          <w:szCs w:val="21"/>
          <w:u w:val="single"/>
        </w:rPr>
        <w:t>中</w:t>
      </w:r>
      <w:r>
        <w:rPr>
          <w:rFonts w:hint="eastAsia"/>
          <w:u w:val="single"/>
        </w:rPr>
        <w:t>水田作物</w:t>
      </w:r>
      <w:r>
        <w:rPr>
          <w:u w:val="single"/>
        </w:rPr>
        <w:t>限值</w:t>
      </w:r>
      <w:r>
        <w:rPr>
          <w:rFonts w:hint="eastAsia"/>
          <w:u w:val="single"/>
        </w:rPr>
        <w:t>要求</w:t>
      </w:r>
      <w:r>
        <w:rPr>
          <w:szCs w:val="21"/>
          <w:u w:val="single"/>
        </w:rPr>
        <w:t>。</w:t>
      </w:r>
    </w:p>
    <w:p>
      <w:pPr>
        <w:ind w:firstLine="480"/>
        <w:rPr>
          <w:u w:val="single"/>
        </w:rPr>
      </w:pPr>
      <w:r>
        <w:rPr>
          <w:rFonts w:hint="eastAsia"/>
          <w:u w:val="single"/>
        </w:rPr>
        <w:t>另根据对农灌渠水质监测结果，正常排放时废水总排口下游150m处农灌渠水质符合</w:t>
      </w:r>
      <w:r>
        <w:rPr>
          <w:u w:val="single"/>
        </w:rPr>
        <w:t>《农田灌溉水质标准》（GB 5084-2021）</w:t>
      </w:r>
      <w:r>
        <w:rPr>
          <w:rFonts w:hint="eastAsia"/>
          <w:u w:val="single"/>
        </w:rPr>
        <w:t>中水田作物</w:t>
      </w:r>
      <w:r>
        <w:rPr>
          <w:u w:val="single"/>
        </w:rPr>
        <w:t>限值</w:t>
      </w:r>
      <w:r>
        <w:rPr>
          <w:rFonts w:hint="eastAsia"/>
          <w:u w:val="single"/>
        </w:rPr>
        <w:t>要求</w:t>
      </w:r>
      <w:r>
        <w:rPr>
          <w:u w:val="single"/>
        </w:rPr>
        <w:t>。</w:t>
      </w:r>
    </w:p>
    <w:p>
      <w:pPr>
        <w:pStyle w:val="3"/>
      </w:pPr>
      <w:bookmarkStart w:id="69" w:name="_Toc166145954"/>
      <w:r>
        <w:rPr>
          <w:rFonts w:hint="eastAsia"/>
        </w:rPr>
        <w:t xml:space="preserve">7.3 </w:t>
      </w:r>
      <w:r>
        <w:t>对其它生产经营活动的影响分析</w:t>
      </w:r>
      <w:bookmarkEnd w:id="69"/>
      <w:r>
        <w:t xml:space="preserve"> </w:t>
      </w:r>
    </w:p>
    <w:p>
      <w:pPr>
        <w:ind w:firstLine="480"/>
        <w:rPr>
          <w:szCs w:val="21"/>
        </w:rPr>
        <w:sectPr>
          <w:pgSz w:w="11906" w:h="16838"/>
          <w:pgMar w:top="1418" w:right="1588" w:bottom="1418" w:left="1588" w:header="851" w:footer="992" w:gutter="0"/>
          <w:pgNumType w:fmt="numberInDash"/>
          <w:cols w:space="425" w:num="1"/>
          <w:docGrid w:type="lines" w:linePitch="326" w:charSpace="0"/>
        </w:sectPr>
      </w:pPr>
      <w:r>
        <w:rPr>
          <w:szCs w:val="21"/>
        </w:rPr>
        <w:t>本项目论证范围内无水面生产作业单位，也没有渔业养殖单位和个人</w:t>
      </w:r>
      <w:r>
        <w:rPr>
          <w:rFonts w:hint="eastAsia"/>
          <w:szCs w:val="21"/>
        </w:rPr>
        <w:t>，</w:t>
      </w:r>
      <w:r>
        <w:rPr>
          <w:szCs w:val="21"/>
        </w:rPr>
        <w:t>故不会对其它生产经营活动产生影响</w:t>
      </w:r>
      <w:r>
        <w:rPr>
          <w:rFonts w:hint="eastAsia"/>
          <w:szCs w:val="21"/>
        </w:rPr>
        <w:t>。</w:t>
      </w:r>
    </w:p>
    <w:p>
      <w:pPr>
        <w:pStyle w:val="2"/>
      </w:pPr>
      <w:bookmarkStart w:id="70" w:name="_Toc166145955"/>
      <w:bookmarkStart w:id="71" w:name="_Toc3412"/>
      <w:r>
        <w:rPr>
          <w:rFonts w:hint="eastAsia"/>
        </w:rPr>
        <w:t xml:space="preserve">8. </w:t>
      </w:r>
      <w:r>
        <w:t>对排污的限制要求和措施</w:t>
      </w:r>
      <w:bookmarkEnd w:id="70"/>
      <w:bookmarkEnd w:id="71"/>
    </w:p>
    <w:p>
      <w:pPr>
        <w:pStyle w:val="3"/>
      </w:pPr>
      <w:bookmarkStart w:id="72" w:name="_Toc166145956"/>
      <w:bookmarkStart w:id="73" w:name="_Toc13906"/>
      <w:bookmarkStart w:id="74" w:name="_Toc8346"/>
      <w:bookmarkStart w:id="75" w:name="_Toc9383"/>
      <w:bookmarkStart w:id="76" w:name="_Toc13197"/>
      <w:r>
        <w:rPr>
          <w:rFonts w:hint="eastAsia"/>
        </w:rPr>
        <w:t>8</w:t>
      </w:r>
      <w:r>
        <w:t>.1</w:t>
      </w:r>
      <w:r>
        <w:rPr>
          <w:rFonts w:hint="eastAsia"/>
        </w:rPr>
        <w:t xml:space="preserve"> </w:t>
      </w:r>
      <w:r>
        <w:t>总量控制</w:t>
      </w:r>
      <w:bookmarkEnd w:id="72"/>
      <w:bookmarkEnd w:id="73"/>
      <w:bookmarkEnd w:id="74"/>
      <w:bookmarkEnd w:id="75"/>
      <w:bookmarkEnd w:id="76"/>
    </w:p>
    <w:p>
      <w:pPr>
        <w:ind w:firstLine="480"/>
      </w:pPr>
      <w:r>
        <w:rPr>
          <w:rFonts w:hint="eastAsia"/>
        </w:rPr>
        <w:t>澧县东部新区污水处理厂一期设计处理规模600</w:t>
      </w:r>
      <w:r>
        <w:t>00m</w:t>
      </w:r>
      <w:r>
        <w:rPr>
          <w:vertAlign w:val="superscript"/>
        </w:rPr>
        <w:t>3</w:t>
      </w:r>
      <w:r>
        <w:t>/d，</w:t>
      </w:r>
      <w:r>
        <w:rPr>
          <w:szCs w:val="21"/>
        </w:rPr>
        <w:t>按最大满负荷计算，</w:t>
      </w:r>
      <w:r>
        <w:rPr>
          <w:rFonts w:hint="eastAsia" w:hAnsi="宋体"/>
        </w:rPr>
        <w:t>排入</w:t>
      </w:r>
      <w:r>
        <w:rPr>
          <w:rFonts w:hint="eastAsia"/>
        </w:rPr>
        <w:t>澹水开发利用区</w:t>
      </w:r>
      <w:r>
        <w:t>的COD排放量为</w:t>
      </w:r>
      <w:r>
        <w:rPr>
          <w:rFonts w:hint="eastAsia"/>
        </w:rPr>
        <w:t>547.5</w:t>
      </w:r>
      <w:r>
        <w:t>t/a＜</w:t>
      </w:r>
      <w:r>
        <w:rPr>
          <w:rFonts w:hint="eastAsia"/>
        </w:rPr>
        <w:t>1745.05</w:t>
      </w:r>
      <w:r>
        <w:t>t/a</w:t>
      </w:r>
      <w:r>
        <w:rPr>
          <w:rFonts w:hint="eastAsia"/>
        </w:rPr>
        <w:t>，氨氮</w:t>
      </w:r>
      <w:r>
        <w:t>排放量为</w:t>
      </w:r>
      <w:r>
        <w:rPr>
          <w:rFonts w:hint="eastAsia"/>
        </w:rPr>
        <w:t>54.75</w:t>
      </w:r>
      <w:r>
        <w:t>t/a＜</w:t>
      </w:r>
      <w:r>
        <w:rPr>
          <w:rFonts w:hint="eastAsia"/>
        </w:rPr>
        <w:t>161.85</w:t>
      </w:r>
      <w:r>
        <w:t>t/a，</w:t>
      </w:r>
      <w:r>
        <w:rPr>
          <w:rFonts w:hint="eastAsia"/>
        </w:rPr>
        <w:t>总磷</w:t>
      </w:r>
      <w:r>
        <w:t>排放量为</w:t>
      </w:r>
      <w:r>
        <w:rPr>
          <w:rFonts w:hint="eastAsia"/>
        </w:rPr>
        <w:t>5.475</w:t>
      </w:r>
      <w:r>
        <w:t>t/a＜</w:t>
      </w:r>
      <w:r>
        <w:rPr>
          <w:rFonts w:hint="eastAsia"/>
        </w:rPr>
        <w:t>14.18</w:t>
      </w:r>
      <w:r>
        <w:t>t/a，小于论证范围流域剩余纳污能力</w:t>
      </w:r>
      <w:r>
        <w:rPr>
          <w:rFonts w:hint="eastAsia"/>
        </w:rPr>
        <w:t>，</w:t>
      </w:r>
      <w:r>
        <w:t>故</w:t>
      </w:r>
      <w:r>
        <w:rPr>
          <w:rFonts w:hint="eastAsia"/>
        </w:rPr>
        <w:t>澧县东部新区污水处理厂污水</w:t>
      </w:r>
      <w:r>
        <w:t>排放满足水域纳污能力和限制排放总量要求。</w:t>
      </w:r>
    </w:p>
    <w:p>
      <w:pPr>
        <w:pStyle w:val="3"/>
      </w:pPr>
      <w:bookmarkStart w:id="77" w:name="_Toc166145957"/>
      <w:bookmarkStart w:id="78" w:name="_Toc21176"/>
      <w:bookmarkStart w:id="79" w:name="_Toc706"/>
      <w:bookmarkStart w:id="80" w:name="_Toc24854"/>
      <w:bookmarkStart w:id="81" w:name="_Toc8344"/>
      <w:r>
        <w:rPr>
          <w:rFonts w:hint="eastAsia"/>
        </w:rPr>
        <w:t>8</w:t>
      </w:r>
      <w:r>
        <w:t>.2</w:t>
      </w:r>
      <w:r>
        <w:rPr>
          <w:rFonts w:hint="eastAsia"/>
        </w:rPr>
        <w:t xml:space="preserve"> </w:t>
      </w:r>
      <w:r>
        <w:t>日常管理</w:t>
      </w:r>
      <w:bookmarkEnd w:id="77"/>
      <w:bookmarkEnd w:id="78"/>
      <w:bookmarkEnd w:id="79"/>
      <w:bookmarkEnd w:id="80"/>
      <w:bookmarkEnd w:id="81"/>
    </w:p>
    <w:p>
      <w:pPr>
        <w:pStyle w:val="4"/>
      </w:pPr>
      <w:bookmarkStart w:id="82" w:name="_Toc20058"/>
      <w:bookmarkStart w:id="83" w:name="_Toc26147"/>
      <w:bookmarkStart w:id="84" w:name="_Toc23111"/>
      <w:bookmarkStart w:id="85" w:name="_Toc14039"/>
      <w:r>
        <w:rPr>
          <w:rFonts w:hint="eastAsia"/>
        </w:rPr>
        <w:t>8</w:t>
      </w:r>
      <w:r>
        <w:t>.2.1健全运行管理规章制度</w:t>
      </w:r>
      <w:bookmarkEnd w:id="82"/>
      <w:bookmarkEnd w:id="83"/>
      <w:bookmarkEnd w:id="84"/>
      <w:bookmarkEnd w:id="85"/>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为了保证污水处理</w:t>
      </w:r>
      <w:r>
        <w:rPr>
          <w:rFonts w:ascii="Times New Roman" w:hAnsi="Times New Roman"/>
          <w:sz w:val="24"/>
          <w:szCs w:val="22"/>
        </w:rPr>
        <w:t>设施</w:t>
      </w:r>
      <w:r>
        <w:rPr>
          <w:rFonts w:hint="default" w:ascii="Times New Roman" w:hAnsi="Times New Roman"/>
          <w:sz w:val="24"/>
          <w:szCs w:val="22"/>
        </w:rPr>
        <w:t>安全、稳定、达标运行，必须制定岗位责任制、设施设备巡视制度、运行调度制度、设施设备管理制度、交接班制度、设施设备操作规程、维护保养手册等一系列规章制度和操作手册。要编制进水水质严重超标准、停电造成污水处理</w:t>
      </w:r>
      <w:r>
        <w:rPr>
          <w:rFonts w:ascii="Times New Roman" w:hAnsi="Times New Roman"/>
          <w:sz w:val="24"/>
          <w:szCs w:val="22"/>
        </w:rPr>
        <w:t>设施</w:t>
      </w:r>
      <w:r>
        <w:rPr>
          <w:rFonts w:hint="default" w:ascii="Times New Roman" w:hAnsi="Times New Roman"/>
          <w:sz w:val="24"/>
          <w:szCs w:val="22"/>
        </w:rPr>
        <w:t>停运、暴雨造成污水处理</w:t>
      </w:r>
      <w:r>
        <w:rPr>
          <w:rFonts w:ascii="Times New Roman" w:hAnsi="Times New Roman"/>
          <w:sz w:val="24"/>
          <w:szCs w:val="22"/>
        </w:rPr>
        <w:t>设施</w:t>
      </w:r>
      <w:r>
        <w:rPr>
          <w:rFonts w:hint="default" w:ascii="Times New Roman" w:hAnsi="Times New Roman"/>
          <w:sz w:val="24"/>
          <w:szCs w:val="22"/>
        </w:rPr>
        <w:t>淹泡、设施设备故障、人员触电、有毒有害气体中毒等突发事件的应急预案。根据实际情况和要求，定期对规章制度、操作手册和应急预案进行更新。</w:t>
      </w:r>
    </w:p>
    <w:p>
      <w:pPr>
        <w:pStyle w:val="4"/>
      </w:pPr>
      <w:bookmarkStart w:id="86" w:name="_Toc19510"/>
      <w:bookmarkStart w:id="87" w:name="_Toc9678"/>
      <w:bookmarkStart w:id="88" w:name="_Toc11023"/>
      <w:bookmarkStart w:id="89" w:name="_Toc8203"/>
      <w:r>
        <w:rPr>
          <w:rFonts w:hint="eastAsia"/>
        </w:rPr>
        <w:t>8</w:t>
      </w:r>
      <w:r>
        <w:t>.2.2加强设备日常管理</w:t>
      </w:r>
      <w:bookmarkEnd w:id="86"/>
      <w:bookmarkEnd w:id="87"/>
      <w:bookmarkEnd w:id="88"/>
      <w:bookmarkEnd w:id="89"/>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设备日常管理包括建立和完善设备管理制度、台帐资料、操作规程；进行设备分类、主要设备的性能评估、重要设备进行一机一档管理等内容。</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设备使用过程中，运行人员应严格按照操作规程、注意事项进行操作和使用，以确保设备安全使用；并记录每天设备的运行台时、核心设备运行参数等运行情况。同时设备管理人员应每天定期对设备进行巡检，及时发现设备异常情况，采取必要措施及时处理，避免带病运行影响设备的使用寿命。</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设备运行一段时间后（一般以半年或一年为周期）需定期对主要设备进行性能评估，分析其运行状况、存在的问题以及可能出现的故障等；并结合评估情况，合理安排设备维修、维护保养计划。</w:t>
      </w:r>
    </w:p>
    <w:p>
      <w:pPr>
        <w:pStyle w:val="4"/>
      </w:pPr>
      <w:bookmarkStart w:id="90" w:name="_Toc2486"/>
      <w:bookmarkStart w:id="91" w:name="_Toc21237"/>
      <w:bookmarkStart w:id="92" w:name="_Toc30100"/>
      <w:bookmarkStart w:id="93" w:name="_Toc27128"/>
      <w:r>
        <w:rPr>
          <w:rFonts w:hint="eastAsia"/>
        </w:rPr>
        <w:t>8</w:t>
      </w:r>
      <w:r>
        <w:t>.2.3加强设备维护保养</w:t>
      </w:r>
      <w:bookmarkEnd w:id="90"/>
      <w:bookmarkEnd w:id="91"/>
      <w:bookmarkEnd w:id="92"/>
      <w:bookmarkEnd w:id="93"/>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定期、定时做好设备维护保养，不仅能保持设备完好，延长设备使用寿命；还保持设备良好的运行状态有利于节省能耗。污水处理</w:t>
      </w:r>
      <w:r>
        <w:rPr>
          <w:rFonts w:ascii="Times New Roman" w:hAnsi="Times New Roman"/>
          <w:sz w:val="24"/>
          <w:szCs w:val="22"/>
        </w:rPr>
        <w:t>设施</w:t>
      </w:r>
      <w:r>
        <w:rPr>
          <w:rFonts w:hint="default" w:ascii="Times New Roman" w:hAnsi="Times New Roman"/>
          <w:sz w:val="24"/>
          <w:szCs w:val="22"/>
        </w:rPr>
        <w:t>管理过程中应高度重视设备维护保养；有计划、定期、定时对各类设备进行维护保养。</w:t>
      </w:r>
    </w:p>
    <w:p>
      <w:pPr>
        <w:pStyle w:val="4"/>
      </w:pPr>
      <w:bookmarkStart w:id="94" w:name="_Toc29933"/>
      <w:bookmarkStart w:id="95" w:name="_Toc14650"/>
      <w:bookmarkStart w:id="96" w:name="_Toc17856"/>
      <w:bookmarkStart w:id="97" w:name="_Toc22847"/>
      <w:r>
        <w:rPr>
          <w:rFonts w:hint="eastAsia"/>
        </w:rPr>
        <w:t>8</w:t>
      </w:r>
      <w:r>
        <w:t>.2.4加强运行管理人员和操作人员的专业培训和素质提升</w:t>
      </w:r>
      <w:bookmarkEnd w:id="94"/>
      <w:bookmarkEnd w:id="95"/>
      <w:bookmarkEnd w:id="96"/>
      <w:bookmarkEnd w:id="97"/>
    </w:p>
    <w:p>
      <w:pPr>
        <w:ind w:firstLine="480"/>
      </w:pPr>
      <w:r>
        <w:t>污水处理</w:t>
      </w:r>
      <w:r>
        <w:rPr>
          <w:rFonts w:hint="eastAsia"/>
        </w:rPr>
        <w:t>设施</w:t>
      </w:r>
      <w:r>
        <w:t>的管理人员和操作人员对污水处理</w:t>
      </w:r>
      <w:r>
        <w:rPr>
          <w:rFonts w:hint="eastAsia"/>
        </w:rPr>
        <w:t>设施</w:t>
      </w:r>
      <w:r>
        <w:t>的持续正常运行起到直接且重要的影响。因此各岗位的运行管理人员和设备操作人员都应该持有相关职业技能上岗的证书，并且在上岗前对其进行一定的培训，使其了解设备的各种功能特性，并能独立操作。在上岗工作后也应定期对工作人员进行相关测试，以提高技术水平和运行管理水平。</w:t>
      </w:r>
    </w:p>
    <w:p>
      <w:pPr>
        <w:pStyle w:val="3"/>
      </w:pPr>
      <w:bookmarkStart w:id="98" w:name="_Toc22968"/>
      <w:bookmarkStart w:id="99" w:name="_Toc26281"/>
      <w:bookmarkStart w:id="100" w:name="_Toc17486"/>
      <w:bookmarkStart w:id="101" w:name="_Toc19287"/>
      <w:bookmarkStart w:id="102" w:name="_Toc166145958"/>
      <w:r>
        <w:rPr>
          <w:rFonts w:hint="eastAsia"/>
        </w:rPr>
        <w:t>8</w:t>
      </w:r>
      <w:r>
        <w:t>.3</w:t>
      </w:r>
      <w:r>
        <w:rPr>
          <w:rFonts w:hint="eastAsia"/>
        </w:rPr>
        <w:t xml:space="preserve"> </w:t>
      </w:r>
      <w:r>
        <w:t>风险防范</w:t>
      </w:r>
      <w:bookmarkEnd w:id="98"/>
      <w:bookmarkEnd w:id="99"/>
      <w:bookmarkEnd w:id="100"/>
      <w:bookmarkEnd w:id="101"/>
      <w:bookmarkEnd w:id="102"/>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重视过程监管。无论是前端污水预处理、危险化学品管理、厂界噪声，还是末端出水在线监测、污泥处置，都应严格规范管理，不能有丝毫放松。此外，还应严禁伪造监测数据、不正常运行水污染防治设施等违法行为，推动提升运营管理水平。</w:t>
      </w:r>
    </w:p>
    <w:p>
      <w:pPr>
        <w:ind w:firstLine="480"/>
      </w:pPr>
      <w:r>
        <w:t>工作人员时刻绷紧环境风险防范这根弦，把责任落实到岗位、落实到人、落实到每一个生产环节，构建层层负责、人人有责、各负其责的环境风险防范责任体系。把环境安全主体责任落实情况、应急预案编制及演练情况作为现场检查的重要内容。重点关注污水处理</w:t>
      </w:r>
      <w:r>
        <w:rPr>
          <w:rFonts w:hint="eastAsia"/>
        </w:rPr>
        <w:t>设施出</w:t>
      </w:r>
      <w:r>
        <w:t>水浓度异常升高等突发情况，及时查清原因，将风险隐患消除在萌芽状态。</w:t>
      </w:r>
    </w:p>
    <w:p>
      <w:pPr>
        <w:ind w:firstLine="480"/>
        <w:rPr>
          <w:u w:val="single"/>
        </w:rPr>
      </w:pPr>
      <w:r>
        <w:rPr>
          <w:rFonts w:hint="eastAsia"/>
          <w:u w:val="single"/>
        </w:rPr>
        <w:t>项目生产过程中存在的环境风险主要为污水事故排放风险。加强监控和管理，企业已安装污水在线监测设备实现动态监控，及时发现和处理问题，避免污水事故性排放。当污水处理系统设备自身出现故障时，导致污水处理无法正常稳定运行，短时间内，其影响在厂区局部，严重时，导致废水处理不达标外排。发生此种情景时，立即报告通知相关的人员，启用备用设备，污水处理系统短时间内恢复正常运行工作，对出水水质未达标的废水重新回流污水处理系统进行处理，最终保证污水达标稳定排放，从而将影响范围控制在厂区内。一旦设备出现扩大化规模故障短时间内无法恢复正常时，立即向常德市生态环境局澧县分局等相关行政主管部门汇报相关情况，采取应急处理机制，减少事故排放的环境风险影响范围。</w:t>
      </w:r>
    </w:p>
    <w:p>
      <w:pPr>
        <w:pStyle w:val="3"/>
      </w:pPr>
      <w:bookmarkStart w:id="103" w:name="_Toc10609"/>
      <w:bookmarkStart w:id="104" w:name="_Toc24078"/>
      <w:bookmarkStart w:id="105" w:name="_Toc17221"/>
      <w:bookmarkStart w:id="106" w:name="_Toc341"/>
      <w:bookmarkStart w:id="107" w:name="_Toc166145959"/>
      <w:r>
        <w:rPr>
          <w:rFonts w:hint="eastAsia"/>
        </w:rPr>
        <w:t>8</w:t>
      </w:r>
      <w:r>
        <w:t>.4</w:t>
      </w:r>
      <w:r>
        <w:rPr>
          <w:rFonts w:hint="eastAsia"/>
        </w:rPr>
        <w:t xml:space="preserve"> </w:t>
      </w:r>
      <w:r>
        <w:t>在线监测</w:t>
      </w:r>
      <w:bookmarkEnd w:id="103"/>
      <w:bookmarkEnd w:id="104"/>
      <w:bookmarkEnd w:id="105"/>
      <w:bookmarkEnd w:id="106"/>
      <w:bookmarkEnd w:id="107"/>
    </w:p>
    <w:p>
      <w:pPr>
        <w:pStyle w:val="4"/>
      </w:pPr>
      <w:bookmarkStart w:id="108" w:name="_Toc21869"/>
      <w:bookmarkStart w:id="109" w:name="_Toc15742"/>
      <w:bookmarkStart w:id="110" w:name="_Toc2112"/>
      <w:bookmarkStart w:id="111" w:name="_Toc15705"/>
      <w:r>
        <w:rPr>
          <w:rFonts w:hint="eastAsia"/>
        </w:rPr>
        <w:t>8.</w:t>
      </w:r>
      <w:r>
        <w:t>4.1水质在线监测系统运行管理办法</w:t>
      </w:r>
      <w:bookmarkEnd w:id="108"/>
      <w:bookmarkEnd w:id="109"/>
      <w:bookmarkEnd w:id="110"/>
      <w:bookmarkEnd w:id="111"/>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1、根据水质监测运营维护要求</w:t>
      </w:r>
      <w:r>
        <w:rPr>
          <w:rFonts w:ascii="Times New Roman" w:hAnsi="Times New Roman"/>
          <w:sz w:val="24"/>
          <w:szCs w:val="22"/>
        </w:rPr>
        <w:t>，</w:t>
      </w:r>
      <w:r>
        <w:rPr>
          <w:rFonts w:hint="default" w:ascii="Times New Roman" w:hAnsi="Times New Roman"/>
          <w:sz w:val="24"/>
          <w:szCs w:val="22"/>
        </w:rPr>
        <w:t>编制并执行每周一次的周期维护工作</w:t>
      </w:r>
      <w:r>
        <w:rPr>
          <w:rFonts w:ascii="Times New Roman" w:hAnsi="Times New Roman"/>
          <w:sz w:val="24"/>
          <w:szCs w:val="22"/>
        </w:rPr>
        <w:t>，</w:t>
      </w:r>
      <w:r>
        <w:rPr>
          <w:rFonts w:hint="default" w:ascii="Times New Roman" w:hAnsi="Times New Roman"/>
          <w:sz w:val="24"/>
          <w:szCs w:val="22"/>
        </w:rPr>
        <w:t>按照规定的内容派出有经验的工程技术人员进行维护</w:t>
      </w:r>
      <w:r>
        <w:rPr>
          <w:rFonts w:ascii="Times New Roman" w:hAnsi="Times New Roman"/>
          <w:sz w:val="24"/>
          <w:szCs w:val="22"/>
        </w:rPr>
        <w:t>，</w:t>
      </w:r>
      <w:r>
        <w:rPr>
          <w:rFonts w:hint="default" w:ascii="Times New Roman" w:hAnsi="Times New Roman"/>
          <w:sz w:val="24"/>
          <w:szCs w:val="22"/>
        </w:rPr>
        <w:t>并在规定的时间内完成相应项目的巡视维护工作﹐确保系统设备稳定运行。</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2、每天安排专人查看在线监测的运行情况信息</w:t>
      </w:r>
      <w:r>
        <w:rPr>
          <w:rFonts w:ascii="Times New Roman" w:hAnsi="Times New Roman"/>
          <w:sz w:val="24"/>
          <w:szCs w:val="22"/>
        </w:rPr>
        <w:t>，</w:t>
      </w:r>
      <w:r>
        <w:rPr>
          <w:rFonts w:hint="default" w:ascii="Times New Roman" w:hAnsi="Times New Roman"/>
          <w:sz w:val="24"/>
          <w:szCs w:val="22"/>
        </w:rPr>
        <w:t>要求每天早晚各调一次数据与日志，当发现异常时必须立即进行记录并报告维护人员。</w:t>
      </w:r>
    </w:p>
    <w:p>
      <w:pPr>
        <w:pStyle w:val="15"/>
        <w:overflowPunct w:val="0"/>
        <w:spacing w:before="0" w:line="360" w:lineRule="auto"/>
        <w:ind w:left="0" w:firstLine="480" w:firstLineChars="200"/>
        <w:jc w:val="both"/>
        <w:rPr>
          <w:rFonts w:hint="default" w:ascii="Times New Roman" w:hAnsi="Times New Roman"/>
          <w:sz w:val="24"/>
          <w:szCs w:val="22"/>
        </w:rPr>
      </w:pPr>
      <w:bookmarkStart w:id="112" w:name="_Toc5196"/>
      <w:bookmarkStart w:id="113" w:name="_Toc28197"/>
      <w:r>
        <w:rPr>
          <w:rFonts w:hint="default" w:ascii="Times New Roman" w:hAnsi="Times New Roman"/>
          <w:sz w:val="24"/>
          <w:szCs w:val="22"/>
        </w:rPr>
        <w:t>3、按照在线监测仪器说明书的要求制定监测仪器校准计划﹐规定每季度进行一次仪器校准测试</w:t>
      </w:r>
      <w:r>
        <w:rPr>
          <w:rFonts w:ascii="Times New Roman" w:hAnsi="Times New Roman"/>
          <w:sz w:val="24"/>
          <w:szCs w:val="22"/>
        </w:rPr>
        <w:t>，</w:t>
      </w:r>
      <w:r>
        <w:rPr>
          <w:rFonts w:hint="default" w:ascii="Times New Roman" w:hAnsi="Times New Roman"/>
          <w:sz w:val="24"/>
          <w:szCs w:val="22"/>
        </w:rPr>
        <w:t>必要时增加仪器校准测试次数;当校准测试误差较大时</w:t>
      </w:r>
      <w:r>
        <w:rPr>
          <w:rFonts w:ascii="Times New Roman" w:hAnsi="Times New Roman"/>
          <w:sz w:val="24"/>
          <w:szCs w:val="22"/>
        </w:rPr>
        <w:t>，</w:t>
      </w:r>
      <w:r>
        <w:rPr>
          <w:rFonts w:hint="default" w:ascii="Times New Roman" w:hAnsi="Times New Roman"/>
          <w:sz w:val="24"/>
          <w:szCs w:val="22"/>
        </w:rPr>
        <w:t>必须对检测仪器进行重新标定。</w:t>
      </w:r>
      <w:bookmarkEnd w:id="112"/>
      <w:bookmarkEnd w:id="113"/>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4、按照仪器说明书的要求配制仪器检测用分析试剂</w:t>
      </w:r>
      <w:r>
        <w:rPr>
          <w:rFonts w:ascii="Times New Roman" w:hAnsi="Times New Roman"/>
          <w:sz w:val="24"/>
          <w:szCs w:val="22"/>
        </w:rPr>
        <w:t>，</w:t>
      </w:r>
      <w:r>
        <w:rPr>
          <w:rFonts w:hint="default" w:ascii="Times New Roman" w:hAnsi="Times New Roman"/>
          <w:sz w:val="24"/>
          <w:szCs w:val="22"/>
        </w:rPr>
        <w:t>所用分析试剂等级要求与期限符合规范标准</w:t>
      </w:r>
      <w:r>
        <w:rPr>
          <w:rFonts w:ascii="Times New Roman" w:hAnsi="Times New Roman"/>
          <w:sz w:val="24"/>
          <w:szCs w:val="22"/>
        </w:rPr>
        <w:t>，</w:t>
      </w:r>
      <w:r>
        <w:rPr>
          <w:rFonts w:hint="default" w:ascii="Times New Roman" w:hAnsi="Times New Roman"/>
          <w:sz w:val="24"/>
          <w:szCs w:val="22"/>
        </w:rPr>
        <w:t>定期对运行试剂进行采购与补充。按要求定期进行试剂添加、易损件更换</w:t>
      </w:r>
      <w:r>
        <w:rPr>
          <w:rFonts w:ascii="Times New Roman" w:hAnsi="Times New Roman"/>
          <w:sz w:val="24"/>
          <w:szCs w:val="22"/>
        </w:rPr>
        <w:t>，</w:t>
      </w:r>
      <w:r>
        <w:rPr>
          <w:rFonts w:hint="default" w:ascii="Times New Roman" w:hAnsi="Times New Roman"/>
          <w:sz w:val="24"/>
          <w:szCs w:val="22"/>
        </w:rPr>
        <w:t>并进行记录。</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5、当出现监测仪器或监测房其她部分异常时</w:t>
      </w:r>
      <w:r>
        <w:rPr>
          <w:rFonts w:ascii="Times New Roman" w:hAnsi="Times New Roman"/>
          <w:sz w:val="24"/>
          <w:szCs w:val="22"/>
        </w:rPr>
        <w:t>，</w:t>
      </w:r>
      <w:r>
        <w:rPr>
          <w:rFonts w:hint="default" w:ascii="Times New Roman" w:hAnsi="Times New Roman"/>
          <w:sz w:val="24"/>
          <w:szCs w:val="22"/>
        </w:rPr>
        <w:t>仔细观察异常情况</w:t>
      </w:r>
      <w:r>
        <w:rPr>
          <w:rFonts w:ascii="Times New Roman" w:hAnsi="Times New Roman"/>
          <w:sz w:val="24"/>
          <w:szCs w:val="22"/>
        </w:rPr>
        <w:t>，</w:t>
      </w:r>
      <w:r>
        <w:rPr>
          <w:rFonts w:hint="default" w:ascii="Times New Roman" w:hAnsi="Times New Roman"/>
          <w:sz w:val="24"/>
          <w:szCs w:val="22"/>
        </w:rPr>
        <w:t>并在24小时内排除故障并做好异常情况处理记录。</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6、当监测仪器或其它部分出现故障无法正常测试时﹐为保证监测数据的连续性</w:t>
      </w:r>
      <w:r>
        <w:rPr>
          <w:rFonts w:ascii="Times New Roman" w:hAnsi="Times New Roman"/>
          <w:sz w:val="24"/>
          <w:szCs w:val="22"/>
        </w:rPr>
        <w:t>，</w:t>
      </w:r>
      <w:r>
        <w:rPr>
          <w:rFonts w:hint="default" w:ascii="Times New Roman" w:hAnsi="Times New Roman"/>
          <w:sz w:val="24"/>
          <w:szCs w:val="22"/>
        </w:rPr>
        <w:t>在维修的同时取得当时水样带回实验室进行手工分析</w:t>
      </w:r>
      <w:r>
        <w:rPr>
          <w:rFonts w:ascii="Times New Roman" w:hAnsi="Times New Roman"/>
          <w:sz w:val="24"/>
          <w:szCs w:val="22"/>
        </w:rPr>
        <w:t>，</w:t>
      </w:r>
      <w:r>
        <w:rPr>
          <w:rFonts w:hint="default" w:ascii="Times New Roman" w:hAnsi="Times New Roman"/>
          <w:sz w:val="24"/>
          <w:szCs w:val="22"/>
        </w:rPr>
        <w:t>并将结果纪录。</w:t>
      </w:r>
    </w:p>
    <w:p>
      <w:pPr>
        <w:pStyle w:val="15"/>
        <w:overflowPunct w:val="0"/>
        <w:spacing w:before="0" w:line="360" w:lineRule="auto"/>
        <w:ind w:left="0" w:firstLine="480" w:firstLineChars="200"/>
        <w:jc w:val="both"/>
        <w:rPr>
          <w:rFonts w:hint="default" w:ascii="Times New Roman" w:hAnsi="Times New Roman"/>
          <w:sz w:val="22"/>
          <w:szCs w:val="22"/>
        </w:rPr>
      </w:pPr>
      <w:r>
        <w:rPr>
          <w:rFonts w:hint="default" w:ascii="Times New Roman" w:hAnsi="Times New Roman"/>
          <w:sz w:val="24"/>
          <w:szCs w:val="22"/>
        </w:rPr>
        <w:t>7、当出现突发事件时﹐按照《运行突发事件处理办法》执行。</w:t>
      </w:r>
    </w:p>
    <w:p>
      <w:pPr>
        <w:pStyle w:val="4"/>
      </w:pPr>
      <w:bookmarkStart w:id="114" w:name="_Toc15430"/>
      <w:bookmarkStart w:id="115" w:name="_Toc18024"/>
      <w:bookmarkStart w:id="116" w:name="_Toc3624"/>
      <w:bookmarkStart w:id="117" w:name="_Toc29298"/>
      <w:r>
        <w:rPr>
          <w:rFonts w:hint="eastAsia"/>
        </w:rPr>
        <w:t>8.</w:t>
      </w:r>
      <w:r>
        <w:t>4.2在线监测系统管理制度</w:t>
      </w:r>
      <w:bookmarkEnd w:id="114"/>
      <w:bookmarkEnd w:id="115"/>
      <w:bookmarkEnd w:id="116"/>
      <w:bookmarkEnd w:id="117"/>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1、在线监测由指定的专业人员操作、使用</w:t>
      </w:r>
      <w:r>
        <w:rPr>
          <w:rFonts w:ascii="Times New Roman" w:hAnsi="Times New Roman"/>
          <w:sz w:val="24"/>
          <w:szCs w:val="22"/>
        </w:rPr>
        <w:t>，</w:t>
      </w:r>
      <w:r>
        <w:rPr>
          <w:rFonts w:hint="default" w:ascii="Times New Roman" w:hAnsi="Times New Roman"/>
          <w:sz w:val="24"/>
          <w:szCs w:val="22"/>
        </w:rPr>
        <w:t>严禁非专业或非相关技术人员操作与使用。</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2、对在线监测设备使用情况定期进行检查</w:t>
      </w:r>
      <w:r>
        <w:rPr>
          <w:rFonts w:ascii="Times New Roman" w:hAnsi="Times New Roman"/>
          <w:sz w:val="24"/>
          <w:szCs w:val="22"/>
        </w:rPr>
        <w:t>，</w:t>
      </w:r>
      <w:r>
        <w:rPr>
          <w:rFonts w:hint="default" w:ascii="Times New Roman" w:hAnsi="Times New Roman"/>
          <w:sz w:val="24"/>
          <w:szCs w:val="22"/>
        </w:rPr>
        <w:t>保证在线监测系统正常稳定的运行</w:t>
      </w:r>
      <w:r>
        <w:rPr>
          <w:rFonts w:ascii="Times New Roman" w:hAnsi="Times New Roman"/>
          <w:sz w:val="24"/>
          <w:szCs w:val="22"/>
        </w:rPr>
        <w:t>，</w:t>
      </w:r>
      <w:r>
        <w:rPr>
          <w:rFonts w:hint="default" w:ascii="Times New Roman" w:hAnsi="Times New Roman"/>
          <w:sz w:val="24"/>
          <w:szCs w:val="22"/>
        </w:rPr>
        <w:t>获取最多的有效数据与信息。</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3、对在线监测系统获得的监测数据、统计报告、图表等与污水处理单位有关的重要资料</w:t>
      </w:r>
      <w:r>
        <w:rPr>
          <w:rFonts w:ascii="Times New Roman" w:hAnsi="Times New Roman"/>
          <w:sz w:val="24"/>
          <w:szCs w:val="22"/>
        </w:rPr>
        <w:t>，</w:t>
      </w:r>
      <w:r>
        <w:rPr>
          <w:rFonts w:hint="default" w:ascii="Times New Roman" w:hAnsi="Times New Roman"/>
          <w:sz w:val="24"/>
          <w:szCs w:val="22"/>
        </w:rPr>
        <w:t>必须严格保密</w:t>
      </w:r>
      <w:r>
        <w:rPr>
          <w:rFonts w:ascii="Times New Roman" w:hAnsi="Times New Roman"/>
          <w:sz w:val="24"/>
          <w:szCs w:val="22"/>
        </w:rPr>
        <w:t>，</w:t>
      </w:r>
      <w:r>
        <w:rPr>
          <w:rFonts w:hint="default" w:ascii="Times New Roman" w:hAnsi="Times New Roman"/>
          <w:sz w:val="24"/>
          <w:szCs w:val="22"/>
        </w:rPr>
        <w:t>未经许可﹐不准向其她第三方机构提供。</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4、操作与使用各种在线监测设备及配置各种化学试剂</w:t>
      </w:r>
      <w:r>
        <w:rPr>
          <w:rFonts w:ascii="Times New Roman" w:hAnsi="Times New Roman"/>
          <w:sz w:val="24"/>
          <w:szCs w:val="22"/>
        </w:rPr>
        <w:t>，</w:t>
      </w:r>
      <w:r>
        <w:rPr>
          <w:rFonts w:hint="default" w:ascii="Times New Roman" w:hAnsi="Times New Roman"/>
          <w:sz w:val="24"/>
          <w:szCs w:val="22"/>
        </w:rPr>
        <w:t>必须严格遵守安全使用规则与操作规程</w:t>
      </w:r>
      <w:r>
        <w:rPr>
          <w:rFonts w:ascii="Times New Roman" w:hAnsi="Times New Roman"/>
          <w:sz w:val="24"/>
          <w:szCs w:val="22"/>
        </w:rPr>
        <w:t>，</w:t>
      </w:r>
      <w:r>
        <w:rPr>
          <w:rFonts w:hint="default" w:ascii="Times New Roman" w:hAnsi="Times New Roman"/>
          <w:sz w:val="24"/>
          <w:szCs w:val="22"/>
        </w:rPr>
        <w:t>并认真填写使用状况与操作记录。</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5、配置试剂或清洗器皿的废液</w:t>
      </w:r>
      <w:r>
        <w:rPr>
          <w:rFonts w:ascii="Times New Roman" w:hAnsi="Times New Roman"/>
          <w:sz w:val="24"/>
          <w:szCs w:val="22"/>
        </w:rPr>
        <w:t>，</w:t>
      </w:r>
      <w:r>
        <w:rPr>
          <w:rFonts w:hint="default" w:ascii="Times New Roman" w:hAnsi="Times New Roman"/>
          <w:sz w:val="24"/>
          <w:szCs w:val="22"/>
        </w:rPr>
        <w:t>以及在线监测仪器排放的废液</w:t>
      </w:r>
      <w:r>
        <w:rPr>
          <w:rFonts w:ascii="Times New Roman" w:hAnsi="Times New Roman"/>
          <w:sz w:val="24"/>
          <w:szCs w:val="22"/>
        </w:rPr>
        <w:t>，</w:t>
      </w:r>
      <w:r>
        <w:rPr>
          <w:rFonts w:hint="default" w:ascii="Times New Roman" w:hAnsi="Times New Roman"/>
          <w:sz w:val="24"/>
          <w:szCs w:val="22"/>
        </w:rPr>
        <w:t>必须统一收集</w:t>
      </w:r>
      <w:r>
        <w:rPr>
          <w:rFonts w:ascii="Times New Roman" w:hAnsi="Times New Roman"/>
          <w:sz w:val="24"/>
          <w:szCs w:val="22"/>
        </w:rPr>
        <w:t>，</w:t>
      </w:r>
      <w:r>
        <w:rPr>
          <w:rFonts w:hint="default" w:ascii="Times New Roman" w:hAnsi="Times New Roman"/>
          <w:sz w:val="24"/>
          <w:szCs w:val="22"/>
        </w:rPr>
        <w:t>不得随意排放。</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6、各种仪器设备、器皿、工具、试剂、手册等应放在规定的场所</w:t>
      </w:r>
      <w:r>
        <w:rPr>
          <w:rFonts w:ascii="Times New Roman" w:hAnsi="Times New Roman"/>
          <w:sz w:val="24"/>
          <w:szCs w:val="22"/>
        </w:rPr>
        <w:t>，</w:t>
      </w:r>
      <w:r>
        <w:rPr>
          <w:rFonts w:hint="default" w:ascii="Times New Roman" w:hAnsi="Times New Roman"/>
          <w:sz w:val="24"/>
          <w:szCs w:val="22"/>
        </w:rPr>
        <w:t>以提高工作效率与避免错拿错用</w:t>
      </w:r>
      <w:r>
        <w:rPr>
          <w:rFonts w:ascii="Times New Roman" w:hAnsi="Times New Roman"/>
          <w:sz w:val="24"/>
          <w:szCs w:val="22"/>
        </w:rPr>
        <w:t>，</w:t>
      </w:r>
      <w:r>
        <w:rPr>
          <w:rFonts w:hint="default" w:ascii="Times New Roman" w:hAnsi="Times New Roman"/>
          <w:sz w:val="24"/>
          <w:szCs w:val="22"/>
        </w:rPr>
        <w:t>造成安全等事故。</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7、定期检查在线监测子站房内配备的各种必要的安全设施(通风、恒温、恒湿、消防等设施</w:t>
      </w:r>
      <w:r>
        <w:rPr>
          <w:rFonts w:ascii="Times New Roman" w:hAnsi="Times New Roman"/>
          <w:sz w:val="24"/>
          <w:szCs w:val="22"/>
        </w:rPr>
        <w:t>），</w:t>
      </w:r>
      <w:r>
        <w:rPr>
          <w:rFonts w:hint="default" w:ascii="Times New Roman" w:hAnsi="Times New Roman"/>
          <w:sz w:val="24"/>
          <w:szCs w:val="22"/>
        </w:rPr>
        <w:t>保证随时可以使用。</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8、在在线监测房内使用电、气、水、火时</w:t>
      </w:r>
      <w:r>
        <w:rPr>
          <w:rFonts w:ascii="Times New Roman" w:hAnsi="Times New Roman"/>
          <w:sz w:val="24"/>
          <w:szCs w:val="22"/>
        </w:rPr>
        <w:t>，</w:t>
      </w:r>
      <w:r>
        <w:rPr>
          <w:rFonts w:hint="default" w:ascii="Times New Roman" w:hAnsi="Times New Roman"/>
          <w:sz w:val="24"/>
          <w:szCs w:val="22"/>
        </w:rPr>
        <w:t>应按有关规定进行操作</w:t>
      </w:r>
      <w:r>
        <w:rPr>
          <w:rFonts w:ascii="Times New Roman" w:hAnsi="Times New Roman"/>
          <w:sz w:val="24"/>
          <w:szCs w:val="22"/>
        </w:rPr>
        <w:t>，</w:t>
      </w:r>
      <w:r>
        <w:rPr>
          <w:rFonts w:hint="default" w:ascii="Times New Roman" w:hAnsi="Times New Roman"/>
          <w:sz w:val="24"/>
          <w:szCs w:val="22"/>
        </w:rPr>
        <w:t>保证安全。</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9、不得在在线监测子站房内吸烟、喧哗、饮食等。</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10、发生意外事故</w:t>
      </w:r>
      <w:r>
        <w:rPr>
          <w:rFonts w:ascii="Times New Roman" w:hAnsi="Times New Roman"/>
          <w:sz w:val="24"/>
          <w:szCs w:val="22"/>
        </w:rPr>
        <w:t>，</w:t>
      </w:r>
      <w:r>
        <w:rPr>
          <w:rFonts w:hint="default" w:ascii="Times New Roman" w:hAnsi="Times New Roman"/>
          <w:sz w:val="24"/>
          <w:szCs w:val="22"/>
        </w:rPr>
        <w:t>根据事故种类</w:t>
      </w:r>
      <w:r>
        <w:rPr>
          <w:rFonts w:ascii="Times New Roman" w:hAnsi="Times New Roman"/>
          <w:sz w:val="24"/>
          <w:szCs w:val="22"/>
        </w:rPr>
        <w:t>，</w:t>
      </w:r>
      <w:r>
        <w:rPr>
          <w:rFonts w:hint="default" w:ascii="Times New Roman" w:hAnsi="Times New Roman"/>
          <w:sz w:val="24"/>
          <w:szCs w:val="22"/>
        </w:rPr>
        <w:t>必要时应迅速切断电源、水源、火源</w:t>
      </w:r>
      <w:r>
        <w:rPr>
          <w:rFonts w:ascii="Times New Roman" w:hAnsi="Times New Roman"/>
          <w:sz w:val="24"/>
          <w:szCs w:val="22"/>
        </w:rPr>
        <w:t>，</w:t>
      </w:r>
      <w:r>
        <w:rPr>
          <w:rFonts w:hint="default" w:ascii="Times New Roman" w:hAnsi="Times New Roman"/>
          <w:sz w:val="24"/>
          <w:szCs w:val="22"/>
        </w:rPr>
        <w:t>应立即采取有效措施</w:t>
      </w:r>
      <w:r>
        <w:rPr>
          <w:rFonts w:ascii="Times New Roman" w:hAnsi="Times New Roman"/>
          <w:sz w:val="24"/>
          <w:szCs w:val="22"/>
        </w:rPr>
        <w:t>，</w:t>
      </w:r>
      <w:r>
        <w:rPr>
          <w:rFonts w:hint="default" w:ascii="Times New Roman" w:hAnsi="Times New Roman"/>
          <w:sz w:val="24"/>
          <w:szCs w:val="22"/>
        </w:rPr>
        <w:t>及时处理</w:t>
      </w:r>
      <w:r>
        <w:rPr>
          <w:rFonts w:ascii="Times New Roman" w:hAnsi="Times New Roman"/>
          <w:sz w:val="24"/>
          <w:szCs w:val="22"/>
        </w:rPr>
        <w:t>，</w:t>
      </w:r>
      <w:r>
        <w:rPr>
          <w:rFonts w:hint="default" w:ascii="Times New Roman" w:hAnsi="Times New Roman"/>
          <w:sz w:val="24"/>
          <w:szCs w:val="22"/>
        </w:rPr>
        <w:t>并报告上级领导。</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11、妥善保管好消防器材及其她安全防范、处理、急救用品</w:t>
      </w:r>
      <w:r>
        <w:rPr>
          <w:rFonts w:ascii="Times New Roman" w:hAnsi="Times New Roman"/>
          <w:sz w:val="24"/>
          <w:szCs w:val="22"/>
        </w:rPr>
        <w:t>，</w:t>
      </w:r>
      <w:r>
        <w:rPr>
          <w:rFonts w:hint="default" w:ascii="Times New Roman" w:hAnsi="Times New Roman"/>
          <w:sz w:val="24"/>
          <w:szCs w:val="22"/>
        </w:rPr>
        <w:t>不得随意挪用。操作人员须掌握相关安全用品的使用与维护技术</w:t>
      </w:r>
      <w:r>
        <w:rPr>
          <w:rFonts w:ascii="Times New Roman" w:hAnsi="Times New Roman"/>
          <w:sz w:val="24"/>
          <w:szCs w:val="22"/>
        </w:rPr>
        <w:t>，</w:t>
      </w:r>
      <w:r>
        <w:rPr>
          <w:rFonts w:hint="eastAsia" w:ascii="Times New Roman" w:hAnsi="Times New Roman"/>
          <w:sz w:val="24"/>
          <w:szCs w:val="22"/>
          <w:lang w:val="en-US" w:eastAsia="zh-CN"/>
        </w:rPr>
        <w:t>防患</w:t>
      </w:r>
      <w:bookmarkStart w:id="171" w:name="_GoBack"/>
      <w:bookmarkEnd w:id="171"/>
      <w:r>
        <w:rPr>
          <w:rFonts w:hint="default" w:ascii="Times New Roman" w:hAnsi="Times New Roman"/>
          <w:sz w:val="24"/>
          <w:szCs w:val="22"/>
        </w:rPr>
        <w:t>于未然。</w:t>
      </w:r>
    </w:p>
    <w:p>
      <w:pPr>
        <w:pStyle w:val="4"/>
      </w:pPr>
      <w:bookmarkStart w:id="118" w:name="_Toc1588"/>
      <w:bookmarkStart w:id="119" w:name="_Toc4182"/>
      <w:bookmarkStart w:id="120" w:name="_Toc16478"/>
      <w:bookmarkStart w:id="121" w:name="_Toc32146"/>
      <w:r>
        <w:rPr>
          <w:rFonts w:hint="eastAsia"/>
        </w:rPr>
        <w:t>8.</w:t>
      </w:r>
      <w:r>
        <w:t>4.3水质自动在线监测系统管理人员岗位职责</w:t>
      </w:r>
      <w:bookmarkEnd w:id="118"/>
      <w:bookmarkEnd w:id="119"/>
      <w:bookmarkEnd w:id="120"/>
      <w:bookmarkEnd w:id="121"/>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1、对监测站点的各组成部分进行维护、维修与保养</w:t>
      </w:r>
      <w:r>
        <w:rPr>
          <w:rFonts w:ascii="Times New Roman" w:hAnsi="Times New Roman"/>
          <w:sz w:val="24"/>
          <w:szCs w:val="22"/>
        </w:rPr>
        <w:t>，</w:t>
      </w:r>
      <w:r>
        <w:rPr>
          <w:rFonts w:hint="default" w:ascii="Times New Roman" w:hAnsi="Times New Roman"/>
          <w:sz w:val="24"/>
          <w:szCs w:val="22"/>
        </w:rPr>
        <w:t>定期更换易损易耗件。</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2、每周巡视监测站点1次</w:t>
      </w:r>
      <w:r>
        <w:rPr>
          <w:rFonts w:ascii="Times New Roman" w:hAnsi="Times New Roman"/>
          <w:sz w:val="24"/>
          <w:szCs w:val="22"/>
        </w:rPr>
        <w:t>，</w:t>
      </w:r>
      <w:r>
        <w:rPr>
          <w:rFonts w:hint="default" w:ascii="Times New Roman" w:hAnsi="Times New Roman"/>
          <w:sz w:val="24"/>
          <w:szCs w:val="22"/>
        </w:rPr>
        <w:t>做好各种现场记录。</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3、通过专用维护软件每天查看各监测站点的运行情况</w:t>
      </w:r>
      <w:r>
        <w:rPr>
          <w:rFonts w:ascii="Times New Roman" w:hAnsi="Times New Roman"/>
          <w:sz w:val="24"/>
          <w:szCs w:val="22"/>
        </w:rPr>
        <w:t>，</w:t>
      </w:r>
      <w:r>
        <w:rPr>
          <w:rFonts w:hint="default" w:ascii="Times New Roman" w:hAnsi="Times New Roman"/>
          <w:sz w:val="24"/>
          <w:szCs w:val="22"/>
        </w:rPr>
        <w:t>做好记录。</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4、定期更换监测站点所需各种试剂</w:t>
      </w:r>
      <w:r>
        <w:rPr>
          <w:rFonts w:ascii="Times New Roman" w:hAnsi="Times New Roman"/>
          <w:sz w:val="24"/>
          <w:szCs w:val="22"/>
        </w:rPr>
        <w:t>，</w:t>
      </w:r>
      <w:r>
        <w:rPr>
          <w:rFonts w:hint="default" w:ascii="Times New Roman" w:hAnsi="Times New Roman"/>
          <w:sz w:val="24"/>
          <w:szCs w:val="22"/>
        </w:rPr>
        <w:t>所需仪器使用的蒸馏水、试剂、标准溶液等。</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5、认真填写各项运行记录并妥善保存。</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6、定期上报各监测站点的数据、图表、统计等。</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7、定期对信息管理中心与整体通讯进行测试与调试</w:t>
      </w:r>
      <w:r>
        <w:rPr>
          <w:rFonts w:ascii="Times New Roman" w:hAnsi="Times New Roman"/>
          <w:sz w:val="24"/>
          <w:szCs w:val="22"/>
        </w:rPr>
        <w:t>，</w:t>
      </w:r>
      <w:r>
        <w:rPr>
          <w:rFonts w:hint="default" w:ascii="Times New Roman" w:hAnsi="Times New Roman"/>
          <w:sz w:val="24"/>
          <w:szCs w:val="22"/>
        </w:rPr>
        <w:t>并做好记录。8、定期对监测仪器进行标样校准与实际水样对比校准</w:t>
      </w:r>
      <w:r>
        <w:rPr>
          <w:rFonts w:ascii="Times New Roman" w:hAnsi="Times New Roman"/>
          <w:sz w:val="24"/>
          <w:szCs w:val="22"/>
        </w:rPr>
        <w:t>，</w:t>
      </w:r>
      <w:r>
        <w:rPr>
          <w:rFonts w:hint="default" w:ascii="Times New Roman" w:hAnsi="Times New Roman"/>
          <w:sz w:val="24"/>
          <w:szCs w:val="22"/>
        </w:rPr>
        <w:t>并做好记录。</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9、做好固定资产的管理</w:t>
      </w:r>
      <w:r>
        <w:rPr>
          <w:rFonts w:ascii="Times New Roman" w:hAnsi="Times New Roman"/>
          <w:sz w:val="24"/>
          <w:szCs w:val="22"/>
        </w:rPr>
        <w:t>，</w:t>
      </w:r>
      <w:r>
        <w:rPr>
          <w:rFonts w:hint="default" w:ascii="Times New Roman" w:hAnsi="Times New Roman"/>
          <w:sz w:val="24"/>
          <w:szCs w:val="22"/>
        </w:rPr>
        <w:t>备品备件的登记与使用管理等工作。</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10、发现故障应及时解决</w:t>
      </w:r>
      <w:r>
        <w:rPr>
          <w:rFonts w:ascii="Times New Roman" w:hAnsi="Times New Roman"/>
          <w:sz w:val="24"/>
          <w:szCs w:val="22"/>
        </w:rPr>
        <w:t>，</w:t>
      </w:r>
      <w:r>
        <w:rPr>
          <w:rFonts w:hint="default" w:ascii="Times New Roman" w:hAnsi="Times New Roman"/>
          <w:sz w:val="24"/>
          <w:szCs w:val="22"/>
        </w:rPr>
        <w:t>超过24小时不能及时解决的向公司本部与业主方报告</w:t>
      </w:r>
      <w:r>
        <w:rPr>
          <w:rFonts w:ascii="Times New Roman" w:hAnsi="Times New Roman"/>
          <w:sz w:val="24"/>
          <w:szCs w:val="22"/>
        </w:rPr>
        <w:t>，</w:t>
      </w:r>
      <w:r>
        <w:rPr>
          <w:rFonts w:hint="default" w:ascii="Times New Roman" w:hAnsi="Times New Roman"/>
          <w:sz w:val="24"/>
          <w:szCs w:val="22"/>
        </w:rPr>
        <w:t>同时做好手工留样</w:t>
      </w:r>
      <w:r>
        <w:rPr>
          <w:rFonts w:ascii="Times New Roman" w:hAnsi="Times New Roman"/>
          <w:sz w:val="24"/>
          <w:szCs w:val="22"/>
        </w:rPr>
        <w:t>，</w:t>
      </w:r>
      <w:r>
        <w:rPr>
          <w:rFonts w:hint="default" w:ascii="Times New Roman" w:hAnsi="Times New Roman"/>
          <w:sz w:val="24"/>
          <w:szCs w:val="22"/>
        </w:rPr>
        <w:t>进行实验室分析等应急补救措施。</w:t>
      </w:r>
    </w:p>
    <w:p>
      <w:pPr>
        <w:pStyle w:val="15"/>
        <w:overflowPunct w:val="0"/>
        <w:spacing w:before="0" w:line="360" w:lineRule="auto"/>
        <w:ind w:left="0" w:firstLine="480" w:firstLineChars="200"/>
        <w:jc w:val="both"/>
        <w:rPr>
          <w:rFonts w:hint="default" w:ascii="Times New Roman" w:hAnsi="Times New Roman"/>
          <w:sz w:val="22"/>
          <w:szCs w:val="22"/>
        </w:rPr>
      </w:pPr>
      <w:r>
        <w:rPr>
          <w:rFonts w:hint="default" w:ascii="Times New Roman" w:hAnsi="Times New Roman"/>
          <w:sz w:val="24"/>
          <w:szCs w:val="22"/>
        </w:rPr>
        <w:t>11、做好监测站点的安全保卫上作</w:t>
      </w:r>
      <w:r>
        <w:rPr>
          <w:rFonts w:ascii="Times New Roman" w:hAnsi="Times New Roman"/>
          <w:sz w:val="24"/>
          <w:szCs w:val="22"/>
        </w:rPr>
        <w:t>，</w:t>
      </w:r>
      <w:r>
        <w:rPr>
          <w:rFonts w:hint="default" w:ascii="Times New Roman" w:hAnsi="Times New Roman"/>
          <w:sz w:val="24"/>
          <w:szCs w:val="22"/>
        </w:rPr>
        <w:t>切实做好防盗、防火措施。</w:t>
      </w:r>
    </w:p>
    <w:p>
      <w:pPr>
        <w:pStyle w:val="4"/>
      </w:pPr>
      <w:bookmarkStart w:id="122" w:name="_Toc517"/>
      <w:bookmarkStart w:id="123" w:name="_Toc28138"/>
      <w:bookmarkStart w:id="124" w:name="_Toc16588"/>
      <w:bookmarkStart w:id="125" w:name="_Toc32415"/>
      <w:r>
        <w:rPr>
          <w:rFonts w:hint="eastAsia"/>
        </w:rPr>
        <w:t>8.</w:t>
      </w:r>
      <w:r>
        <w:t>4.4日常巡检制度</w:t>
      </w:r>
      <w:bookmarkEnd w:id="122"/>
      <w:bookmarkEnd w:id="123"/>
      <w:bookmarkEnd w:id="124"/>
      <w:bookmarkEnd w:id="125"/>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1、巡查前必须调阅所需站点的运行数据与日志信息</w:t>
      </w:r>
      <w:r>
        <w:rPr>
          <w:rFonts w:ascii="Times New Roman" w:hAnsi="Times New Roman"/>
          <w:sz w:val="24"/>
          <w:szCs w:val="22"/>
        </w:rPr>
        <w:t>，</w:t>
      </w:r>
      <w:r>
        <w:rPr>
          <w:rFonts w:hint="default" w:ascii="Times New Roman" w:hAnsi="Times New Roman"/>
          <w:sz w:val="24"/>
          <w:szCs w:val="22"/>
        </w:rPr>
        <w:t>准备好各种试剂与材料。</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2、检查监测站点供电系统、接地线路与通讯线路就是否正常。</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3、检查监测站点采水系统、配水系统</w:t>
      </w:r>
      <w:r>
        <w:rPr>
          <w:rFonts w:ascii="Times New Roman" w:hAnsi="Times New Roman"/>
          <w:sz w:val="24"/>
          <w:szCs w:val="22"/>
        </w:rPr>
        <w:t>，</w:t>
      </w:r>
      <w:r>
        <w:rPr>
          <w:rFonts w:hint="default" w:ascii="Times New Roman" w:hAnsi="Times New Roman"/>
          <w:sz w:val="24"/>
          <w:szCs w:val="22"/>
        </w:rPr>
        <w:t>各种控制设备部件运行就是否正常。</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4、根据系统要求对系统流路、预处理装置、取样装置等进行清洗与维护。</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5、根据仪器维护手册的要求与维护工作周期安排表对仪器进行日常的维护工作。</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6、仔细观察每台仪器的运行状态及每台仪器的部件运转情况、试剂的消耗情况</w:t>
      </w:r>
      <w:r>
        <w:rPr>
          <w:rFonts w:ascii="Times New Roman" w:hAnsi="Times New Roman"/>
          <w:sz w:val="24"/>
          <w:szCs w:val="22"/>
        </w:rPr>
        <w:t>，</w:t>
      </w:r>
      <w:r>
        <w:rPr>
          <w:rFonts w:hint="default" w:ascii="Times New Roman" w:hAnsi="Times New Roman"/>
          <w:sz w:val="24"/>
          <w:szCs w:val="22"/>
        </w:rPr>
        <w:t>做到及时消除隐患</w:t>
      </w:r>
      <w:r>
        <w:rPr>
          <w:rFonts w:ascii="Times New Roman" w:hAnsi="Times New Roman"/>
          <w:sz w:val="24"/>
          <w:szCs w:val="22"/>
        </w:rPr>
        <w:t>，</w:t>
      </w:r>
      <w:r>
        <w:rPr>
          <w:rFonts w:hint="default" w:ascii="Times New Roman" w:hAnsi="Times New Roman"/>
          <w:sz w:val="24"/>
          <w:szCs w:val="22"/>
        </w:rPr>
        <w:t>确保运行的稳定与正常。</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7、根据维护工作周期安排表对仪器进行试剂更换、标样校正与实际水样对比校正等工作。</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8、认真查瞧各分析仪器及设备的状态与数据信息</w:t>
      </w:r>
      <w:r>
        <w:rPr>
          <w:rFonts w:ascii="Times New Roman" w:hAnsi="Times New Roman"/>
          <w:sz w:val="24"/>
          <w:szCs w:val="22"/>
        </w:rPr>
        <w:t>，</w:t>
      </w:r>
      <w:r>
        <w:rPr>
          <w:rFonts w:hint="default" w:ascii="Times New Roman" w:hAnsi="Times New Roman"/>
          <w:sz w:val="24"/>
          <w:szCs w:val="22"/>
        </w:rPr>
        <w:t>判断运行就是否正常。</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9、认真做好站点的日常巡查工作记录</w:t>
      </w:r>
      <w:r>
        <w:rPr>
          <w:rFonts w:ascii="Times New Roman" w:hAnsi="Times New Roman"/>
          <w:sz w:val="24"/>
          <w:szCs w:val="22"/>
        </w:rPr>
        <w:t>，</w:t>
      </w:r>
      <w:r>
        <w:rPr>
          <w:rFonts w:hint="default" w:ascii="Times New Roman" w:hAnsi="Times New Roman"/>
          <w:sz w:val="24"/>
          <w:szCs w:val="22"/>
        </w:rPr>
        <w:t>特殊情况下应加强巡视监测子站的频次</w:t>
      </w:r>
      <w:r>
        <w:rPr>
          <w:rFonts w:ascii="Times New Roman" w:hAnsi="Times New Roman"/>
          <w:sz w:val="24"/>
          <w:szCs w:val="22"/>
        </w:rPr>
        <w:t>，</w:t>
      </w:r>
      <w:r>
        <w:rPr>
          <w:rFonts w:hint="default" w:ascii="Times New Roman" w:hAnsi="Times New Roman"/>
          <w:sz w:val="24"/>
          <w:szCs w:val="22"/>
        </w:rPr>
        <w:t>及时发现存在的问题并妥善解决。</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10、发现故障时应及时排除</w:t>
      </w:r>
      <w:r>
        <w:rPr>
          <w:rFonts w:ascii="Times New Roman" w:hAnsi="Times New Roman"/>
          <w:sz w:val="24"/>
          <w:szCs w:val="22"/>
        </w:rPr>
        <w:t>，</w:t>
      </w:r>
      <w:r>
        <w:rPr>
          <w:rFonts w:hint="default" w:ascii="Times New Roman" w:hAnsi="Times New Roman"/>
          <w:sz w:val="24"/>
          <w:szCs w:val="22"/>
        </w:rPr>
        <w:t>不能解决的应及时向上级领导汇报</w:t>
      </w:r>
      <w:r>
        <w:rPr>
          <w:rFonts w:ascii="Times New Roman" w:hAnsi="Times New Roman"/>
          <w:sz w:val="24"/>
          <w:szCs w:val="22"/>
        </w:rPr>
        <w:t>，</w:t>
      </w:r>
      <w:r>
        <w:rPr>
          <w:rFonts w:hint="default" w:ascii="Times New Roman" w:hAnsi="Times New Roman"/>
          <w:sz w:val="24"/>
          <w:szCs w:val="22"/>
        </w:rPr>
        <w:t>同时应做好手工采样、实验室分析的应急补救措施。</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11、在经常出现强风暴雨的时节</w:t>
      </w:r>
      <w:r>
        <w:rPr>
          <w:rFonts w:ascii="Times New Roman" w:hAnsi="Times New Roman"/>
          <w:sz w:val="24"/>
          <w:szCs w:val="22"/>
        </w:rPr>
        <w:t>，</w:t>
      </w:r>
      <w:r>
        <w:rPr>
          <w:rFonts w:hint="default" w:ascii="Times New Roman" w:hAnsi="Times New Roman"/>
          <w:sz w:val="24"/>
          <w:szCs w:val="22"/>
        </w:rPr>
        <w:t>应检查避雷设施就是否正常</w:t>
      </w:r>
      <w:r>
        <w:rPr>
          <w:rFonts w:ascii="Times New Roman" w:hAnsi="Times New Roman"/>
          <w:sz w:val="24"/>
          <w:szCs w:val="22"/>
        </w:rPr>
        <w:t>，</w:t>
      </w:r>
      <w:r>
        <w:rPr>
          <w:rFonts w:hint="default" w:ascii="Times New Roman" w:hAnsi="Times New Roman"/>
          <w:sz w:val="24"/>
          <w:szCs w:val="22"/>
        </w:rPr>
        <w:t>监测站房就是否有积水漏雨的现象</w:t>
      </w:r>
    </w:p>
    <w:p>
      <w:pPr>
        <w:pStyle w:val="4"/>
      </w:pPr>
      <w:bookmarkStart w:id="126" w:name="_Toc14934"/>
      <w:bookmarkStart w:id="127" w:name="_Toc8961"/>
      <w:bookmarkStart w:id="128" w:name="_Toc22275"/>
      <w:bookmarkStart w:id="129" w:name="_Toc31031"/>
      <w:r>
        <w:rPr>
          <w:rFonts w:hint="eastAsia"/>
        </w:rPr>
        <w:t>8.</w:t>
      </w:r>
      <w:r>
        <w:t>4.5运营报告与报表制度</w:t>
      </w:r>
      <w:bookmarkEnd w:id="126"/>
      <w:bookmarkEnd w:id="127"/>
      <w:bookmarkEnd w:id="128"/>
      <w:bookmarkEnd w:id="129"/>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运营公司对在线监测运行情况执行报告制度</w:t>
      </w:r>
      <w:r>
        <w:rPr>
          <w:rFonts w:ascii="Times New Roman" w:hAnsi="Times New Roman"/>
          <w:sz w:val="24"/>
          <w:szCs w:val="22"/>
        </w:rPr>
        <w:t>，</w:t>
      </w:r>
      <w:r>
        <w:rPr>
          <w:rFonts w:hint="default" w:ascii="Times New Roman" w:hAnsi="Times New Roman"/>
          <w:sz w:val="24"/>
          <w:szCs w:val="22"/>
        </w:rPr>
        <w:t>监测报告分为数据型与文字型两种:据型报告就是指根据监测原始数据编制的各种报表等；文字型报告就是指依据各种测数据及综合计算结果进行文字表述为主的报告。</w:t>
      </w:r>
    </w:p>
    <w:p>
      <w:pPr>
        <w:pStyle w:val="15"/>
        <w:overflowPunct w:val="0"/>
        <w:spacing w:before="0" w:line="360" w:lineRule="auto"/>
        <w:ind w:left="0" w:firstLine="480" w:firstLineChars="200"/>
        <w:jc w:val="both"/>
        <w:rPr>
          <w:rFonts w:hint="default" w:ascii="Times New Roman" w:hAnsi="Times New Roman"/>
          <w:sz w:val="24"/>
          <w:szCs w:val="22"/>
        </w:rPr>
      </w:pPr>
      <w:r>
        <w:rPr>
          <w:rFonts w:cs="宋体"/>
          <w:sz w:val="24"/>
          <w:szCs w:val="22"/>
        </w:rPr>
        <w:t>◆</w:t>
      </w:r>
      <w:r>
        <w:rPr>
          <w:rFonts w:hint="default" w:ascii="Times New Roman" w:hAnsi="Times New Roman"/>
          <w:sz w:val="24"/>
          <w:szCs w:val="22"/>
        </w:rPr>
        <w:t>对仪器故障的发生及排除实行一事一报。</w:t>
      </w:r>
    </w:p>
    <w:p>
      <w:pPr>
        <w:pStyle w:val="15"/>
        <w:overflowPunct w:val="0"/>
        <w:spacing w:before="0" w:line="360" w:lineRule="auto"/>
        <w:ind w:left="0" w:firstLine="480" w:firstLineChars="200"/>
        <w:jc w:val="both"/>
        <w:rPr>
          <w:rFonts w:hint="default" w:ascii="Times New Roman" w:hAnsi="Times New Roman"/>
          <w:sz w:val="24"/>
          <w:szCs w:val="22"/>
        </w:rPr>
      </w:pPr>
      <w:r>
        <w:rPr>
          <w:rFonts w:cs="宋体"/>
          <w:sz w:val="24"/>
          <w:szCs w:val="22"/>
        </w:rPr>
        <w:t>◆</w:t>
      </w:r>
      <w:r>
        <w:rPr>
          <w:rFonts w:hint="default" w:ascii="Times New Roman" w:hAnsi="Times New Roman"/>
          <w:sz w:val="24"/>
          <w:szCs w:val="22"/>
        </w:rPr>
        <w:t>对日常运行情况逐项记录</w:t>
      </w:r>
      <w:r>
        <w:rPr>
          <w:rFonts w:ascii="Times New Roman" w:hAnsi="Times New Roman"/>
          <w:sz w:val="24"/>
          <w:szCs w:val="22"/>
        </w:rPr>
        <w:t>，</w:t>
      </w:r>
      <w:r>
        <w:rPr>
          <w:rFonts w:hint="default" w:ascii="Times New Roman" w:hAnsi="Times New Roman"/>
          <w:sz w:val="24"/>
          <w:szCs w:val="22"/>
        </w:rPr>
        <w:t>一月一报。</w:t>
      </w:r>
    </w:p>
    <w:p>
      <w:pPr>
        <w:pStyle w:val="15"/>
        <w:overflowPunct w:val="0"/>
        <w:spacing w:before="0" w:line="360" w:lineRule="auto"/>
        <w:ind w:left="0" w:firstLine="480" w:firstLineChars="200"/>
        <w:jc w:val="both"/>
        <w:rPr>
          <w:rFonts w:hint="default" w:ascii="Times New Roman" w:hAnsi="Times New Roman"/>
          <w:sz w:val="24"/>
          <w:szCs w:val="22"/>
        </w:rPr>
      </w:pPr>
      <w:r>
        <w:rPr>
          <w:rFonts w:cs="宋体"/>
          <w:sz w:val="24"/>
          <w:szCs w:val="22"/>
        </w:rPr>
        <w:t>◆</w:t>
      </w:r>
      <w:r>
        <w:rPr>
          <w:rFonts w:hint="default" w:ascii="Times New Roman" w:hAnsi="Times New Roman"/>
          <w:sz w:val="24"/>
          <w:szCs w:val="22"/>
        </w:rPr>
        <w:t>对在线监测总体运行情况实行一年一报。</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1、原始记录</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要求认真填写【日常巡检记录】、【故障处理记录】、【设备更换记录】、【仪校正与校准记录】、【年度检修记录】、【突发事件处理记录】。</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2、月报制度</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对年度的维护记录、维修记录、配件更换记录等进行统计与分析形成报告</w:t>
      </w:r>
      <w:r>
        <w:rPr>
          <w:rFonts w:ascii="Times New Roman" w:hAnsi="Times New Roman"/>
          <w:sz w:val="24"/>
          <w:szCs w:val="22"/>
        </w:rPr>
        <w:t>，</w:t>
      </w:r>
      <w:r>
        <w:rPr>
          <w:rFonts w:hint="default" w:ascii="Times New Roman" w:hAnsi="Times New Roman"/>
          <w:sz w:val="24"/>
          <w:szCs w:val="22"/>
        </w:rPr>
        <w:t>对年度整体的工作情况进行总结</w:t>
      </w:r>
      <w:r>
        <w:rPr>
          <w:rFonts w:ascii="Times New Roman" w:hAnsi="Times New Roman"/>
          <w:sz w:val="24"/>
          <w:szCs w:val="22"/>
        </w:rPr>
        <w:t>，</w:t>
      </w:r>
      <w:r>
        <w:rPr>
          <w:rFonts w:hint="default" w:ascii="Times New Roman" w:hAnsi="Times New Roman"/>
          <w:sz w:val="24"/>
          <w:szCs w:val="22"/>
        </w:rPr>
        <w:t>提出整改意见</w:t>
      </w:r>
      <w:r>
        <w:rPr>
          <w:rFonts w:ascii="Times New Roman" w:hAnsi="Times New Roman"/>
          <w:sz w:val="24"/>
          <w:szCs w:val="22"/>
        </w:rPr>
        <w:t>，</w:t>
      </w:r>
      <w:r>
        <w:rPr>
          <w:rFonts w:hint="default" w:ascii="Times New Roman" w:hAnsi="Times New Roman"/>
          <w:sz w:val="24"/>
          <w:szCs w:val="22"/>
        </w:rPr>
        <w:t>对下年的工作提出建议</w:t>
      </w:r>
      <w:r>
        <w:rPr>
          <w:rFonts w:ascii="Times New Roman" w:hAnsi="Times New Roman"/>
          <w:sz w:val="24"/>
          <w:szCs w:val="22"/>
        </w:rPr>
        <w:t>，</w:t>
      </w:r>
      <w:r>
        <w:rPr>
          <w:rFonts w:hint="default" w:ascii="Times New Roman" w:hAnsi="Times New Roman"/>
          <w:sz w:val="24"/>
          <w:szCs w:val="22"/>
        </w:rPr>
        <w:t>提交下年度整体的工作安排。交公司备份</w:t>
      </w:r>
      <w:r>
        <w:rPr>
          <w:rFonts w:ascii="Times New Roman" w:hAnsi="Times New Roman"/>
          <w:sz w:val="24"/>
          <w:szCs w:val="22"/>
        </w:rPr>
        <w:t>，</w:t>
      </w:r>
      <w:r>
        <w:rPr>
          <w:rFonts w:hint="default" w:ascii="Times New Roman" w:hAnsi="Times New Roman"/>
          <w:sz w:val="24"/>
          <w:szCs w:val="22"/>
        </w:rPr>
        <w:t>并抄送业主方。</w:t>
      </w:r>
    </w:p>
    <w:p>
      <w:pPr>
        <w:pStyle w:val="4"/>
      </w:pPr>
      <w:bookmarkStart w:id="130" w:name="_Toc12124"/>
      <w:bookmarkStart w:id="131" w:name="_Toc9306"/>
      <w:bookmarkStart w:id="132" w:name="_Toc11626"/>
      <w:bookmarkStart w:id="133" w:name="_Toc8472"/>
      <w:r>
        <w:rPr>
          <w:rFonts w:hint="eastAsia"/>
        </w:rPr>
        <w:t>8.</w:t>
      </w:r>
      <w:r>
        <w:t>4.6水质在线监测运行突发事件处理办法</w:t>
      </w:r>
      <w:bookmarkEnd w:id="130"/>
      <w:bookmarkEnd w:id="131"/>
      <w:bookmarkEnd w:id="132"/>
      <w:bookmarkEnd w:id="133"/>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水质在线监测运行突发事件指两类事件：一类就是指由于不可抗力因素而发生的事件</w:t>
      </w:r>
      <w:r>
        <w:rPr>
          <w:rFonts w:ascii="Times New Roman" w:hAnsi="Times New Roman"/>
          <w:sz w:val="24"/>
          <w:szCs w:val="22"/>
        </w:rPr>
        <w:t>，</w:t>
      </w:r>
      <w:r>
        <w:rPr>
          <w:rFonts w:hint="default" w:ascii="Times New Roman" w:hAnsi="Times New Roman"/>
          <w:sz w:val="24"/>
          <w:szCs w:val="22"/>
        </w:rPr>
        <w:t>如：火灾、水灾、山体滑坡等自然灾害类；另一类就是指被监测水体发生重大污染事件。</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1、自然灾害类突发事件的处理</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（1）当发生自然灾害等突发事件时</w:t>
      </w:r>
      <w:r>
        <w:rPr>
          <w:rFonts w:ascii="Times New Roman" w:hAnsi="Times New Roman"/>
          <w:sz w:val="24"/>
          <w:szCs w:val="22"/>
        </w:rPr>
        <w:t>，</w:t>
      </w:r>
      <w:r>
        <w:rPr>
          <w:rFonts w:hint="default" w:ascii="Times New Roman" w:hAnsi="Times New Roman"/>
          <w:sz w:val="24"/>
          <w:szCs w:val="22"/>
        </w:rPr>
        <w:t>应立即采取相应措施(如切断电源、请求援助等)</w:t>
      </w:r>
      <w:r>
        <w:rPr>
          <w:rFonts w:ascii="Times New Roman" w:hAnsi="Times New Roman"/>
          <w:sz w:val="24"/>
          <w:szCs w:val="22"/>
        </w:rPr>
        <w:t>，</w:t>
      </w:r>
      <w:r>
        <w:rPr>
          <w:rFonts w:hint="default" w:ascii="Times New Roman" w:hAnsi="Times New Roman"/>
          <w:sz w:val="24"/>
          <w:szCs w:val="22"/>
        </w:rPr>
        <w:t>尽量减少损失并及时记录。同时</w:t>
      </w:r>
      <w:r>
        <w:rPr>
          <w:rFonts w:ascii="Times New Roman" w:hAnsi="Times New Roman"/>
          <w:sz w:val="24"/>
          <w:szCs w:val="22"/>
        </w:rPr>
        <w:t>，</w:t>
      </w:r>
      <w:r>
        <w:rPr>
          <w:rFonts w:hint="default" w:ascii="Times New Roman" w:hAnsi="Times New Roman"/>
          <w:sz w:val="24"/>
          <w:szCs w:val="22"/>
        </w:rPr>
        <w:t>应时刻保持与运营公司与业主方的联系，及时汇报事件的发展情况</w:t>
      </w:r>
      <w:r>
        <w:rPr>
          <w:rFonts w:ascii="Times New Roman" w:hAnsi="Times New Roman"/>
          <w:sz w:val="24"/>
          <w:szCs w:val="22"/>
        </w:rPr>
        <w:t>，</w:t>
      </w:r>
      <w:r>
        <w:rPr>
          <w:rFonts w:hint="default" w:ascii="Times New Roman" w:hAnsi="Times New Roman"/>
          <w:sz w:val="24"/>
          <w:szCs w:val="22"/>
        </w:rPr>
        <w:t>以便采取处理措施。</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（2）事件发生后必须提交事件过程报告</w:t>
      </w:r>
      <w:r>
        <w:rPr>
          <w:rFonts w:ascii="Times New Roman" w:hAnsi="Times New Roman"/>
          <w:sz w:val="24"/>
          <w:szCs w:val="22"/>
        </w:rPr>
        <w:t>，</w:t>
      </w:r>
      <w:r>
        <w:rPr>
          <w:rFonts w:hint="default" w:ascii="Times New Roman" w:hAnsi="Times New Roman"/>
          <w:sz w:val="24"/>
          <w:szCs w:val="22"/>
        </w:rPr>
        <w:t>与业主方共同协商事件的处理方式与措施。</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（3）对整个事件进行全程记录。</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（4）所有记录、报告等资料必须存档保存。</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2、突发重大污染事件的处理</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（1）当自动监测系统监测到被监测水体出现重大超标</w:t>
      </w:r>
      <w:r>
        <w:rPr>
          <w:rFonts w:ascii="Times New Roman" w:hAnsi="Times New Roman"/>
          <w:sz w:val="24"/>
          <w:szCs w:val="22"/>
        </w:rPr>
        <w:t>，</w:t>
      </w:r>
      <w:r>
        <w:rPr>
          <w:rFonts w:hint="default" w:ascii="Times New Roman" w:hAnsi="Times New Roman"/>
          <w:sz w:val="24"/>
          <w:szCs w:val="22"/>
        </w:rPr>
        <w:t>可能引起重大环境污染事故时</w:t>
      </w:r>
      <w:r>
        <w:rPr>
          <w:rFonts w:ascii="Times New Roman" w:hAnsi="Times New Roman"/>
          <w:sz w:val="24"/>
          <w:szCs w:val="22"/>
        </w:rPr>
        <w:t>，</w:t>
      </w:r>
      <w:r>
        <w:rPr>
          <w:rFonts w:hint="default" w:ascii="Times New Roman" w:hAnsi="Times New Roman"/>
          <w:sz w:val="24"/>
          <w:szCs w:val="22"/>
        </w:rPr>
        <w:t>应自得到监测结果起两小时内对监测结果进行判定(人工取样手工分析、仪器紧急监测)</w:t>
      </w:r>
      <w:r>
        <w:rPr>
          <w:rFonts w:ascii="Times New Roman" w:hAnsi="Times New Roman"/>
          <w:sz w:val="24"/>
          <w:szCs w:val="22"/>
        </w:rPr>
        <w:t>，</w:t>
      </w:r>
      <w:r>
        <w:rPr>
          <w:rFonts w:hint="default" w:ascii="Times New Roman" w:hAnsi="Times New Roman"/>
          <w:sz w:val="24"/>
          <w:szCs w:val="22"/>
        </w:rPr>
        <w:t>当判定结果属实时</w:t>
      </w:r>
      <w:r>
        <w:rPr>
          <w:rFonts w:ascii="Times New Roman" w:hAnsi="Times New Roman"/>
          <w:sz w:val="24"/>
          <w:szCs w:val="22"/>
        </w:rPr>
        <w:t>，</w:t>
      </w:r>
      <w:r>
        <w:rPr>
          <w:rFonts w:hint="default" w:ascii="Times New Roman" w:hAnsi="Times New Roman"/>
          <w:sz w:val="24"/>
          <w:szCs w:val="22"/>
        </w:rPr>
        <w:t>立即通知业主方、运营公司及生态环境部门等</w:t>
      </w:r>
      <w:r>
        <w:rPr>
          <w:rFonts w:ascii="Times New Roman" w:hAnsi="Times New Roman"/>
          <w:sz w:val="24"/>
          <w:szCs w:val="22"/>
        </w:rPr>
        <w:t>，</w:t>
      </w:r>
      <w:r>
        <w:rPr>
          <w:rFonts w:hint="default" w:ascii="Times New Roman" w:hAnsi="Times New Roman"/>
          <w:sz w:val="24"/>
          <w:szCs w:val="22"/>
        </w:rPr>
        <w:t>并对通知进行记录。</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（2）加快自动监测频次</w:t>
      </w:r>
      <w:r>
        <w:rPr>
          <w:rFonts w:ascii="Times New Roman" w:hAnsi="Times New Roman"/>
          <w:sz w:val="24"/>
          <w:szCs w:val="22"/>
        </w:rPr>
        <w:t>，</w:t>
      </w:r>
      <w:r>
        <w:rPr>
          <w:rFonts w:hint="default" w:ascii="Times New Roman" w:hAnsi="Times New Roman"/>
          <w:sz w:val="24"/>
          <w:szCs w:val="22"/>
        </w:rPr>
        <w:t>随时关注事件的进展情况。</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（3）根据相关方(业主方、运营公司及生态环境部门)的要求</w:t>
      </w:r>
      <w:r>
        <w:rPr>
          <w:rFonts w:ascii="Times New Roman" w:hAnsi="Times New Roman"/>
          <w:sz w:val="24"/>
          <w:szCs w:val="22"/>
        </w:rPr>
        <w:t>，</w:t>
      </w:r>
      <w:r>
        <w:rPr>
          <w:rFonts w:hint="default" w:ascii="Times New Roman" w:hAnsi="Times New Roman"/>
          <w:sz w:val="24"/>
          <w:szCs w:val="22"/>
        </w:rPr>
        <w:t>及时提供现场监测的实际水样。</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（4）自动监测与人工分析24小时连续同时进行</w:t>
      </w:r>
      <w:r>
        <w:rPr>
          <w:rFonts w:ascii="Times New Roman" w:hAnsi="Times New Roman"/>
          <w:sz w:val="24"/>
          <w:szCs w:val="22"/>
        </w:rPr>
        <w:t>，</w:t>
      </w:r>
      <w:r>
        <w:rPr>
          <w:rFonts w:hint="default" w:ascii="Times New Roman" w:hAnsi="Times New Roman"/>
          <w:sz w:val="24"/>
          <w:szCs w:val="22"/>
        </w:rPr>
        <w:t>同时为保证监测结果的真实性</w:t>
      </w:r>
      <w:r>
        <w:rPr>
          <w:rFonts w:ascii="Times New Roman" w:hAnsi="Times New Roman"/>
          <w:sz w:val="24"/>
          <w:szCs w:val="22"/>
        </w:rPr>
        <w:t>，</w:t>
      </w:r>
      <w:r>
        <w:rPr>
          <w:rFonts w:hint="default" w:ascii="Times New Roman" w:hAnsi="Times New Roman"/>
          <w:sz w:val="24"/>
          <w:szCs w:val="22"/>
        </w:rPr>
        <w:t>水存留标记</w:t>
      </w:r>
      <w:r>
        <w:rPr>
          <w:rFonts w:ascii="Times New Roman" w:hAnsi="Times New Roman"/>
          <w:sz w:val="24"/>
          <w:szCs w:val="22"/>
        </w:rPr>
        <w:t>，</w:t>
      </w:r>
      <w:r>
        <w:rPr>
          <w:rFonts w:hint="default" w:ascii="Times New Roman" w:hAnsi="Times New Roman"/>
          <w:sz w:val="24"/>
          <w:szCs w:val="22"/>
        </w:rPr>
        <w:t>以各补查。</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（5）每天出具24小时自动在线监测与人工分析结果报告</w:t>
      </w:r>
      <w:r>
        <w:rPr>
          <w:rFonts w:ascii="Times New Roman" w:hAnsi="Times New Roman"/>
          <w:sz w:val="24"/>
          <w:szCs w:val="22"/>
        </w:rPr>
        <w:t>，</w:t>
      </w:r>
      <w:r>
        <w:rPr>
          <w:rFonts w:hint="default" w:ascii="Times New Roman" w:hAnsi="Times New Roman"/>
          <w:sz w:val="24"/>
          <w:szCs w:val="22"/>
        </w:rPr>
        <w:t>送交各相关方(包括业主方、运营公司)。</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（6）当突发事件过去之后</w:t>
      </w:r>
      <w:r>
        <w:rPr>
          <w:rFonts w:ascii="Times New Roman" w:hAnsi="Times New Roman"/>
          <w:sz w:val="24"/>
          <w:szCs w:val="22"/>
        </w:rPr>
        <w:t>，</w:t>
      </w:r>
      <w:r>
        <w:rPr>
          <w:rFonts w:hint="default" w:ascii="Times New Roman" w:hAnsi="Times New Roman"/>
          <w:sz w:val="24"/>
          <w:szCs w:val="22"/>
        </w:rPr>
        <w:t>根据事件的发生过程情况与持续时间</w:t>
      </w:r>
      <w:r>
        <w:rPr>
          <w:rFonts w:ascii="Times New Roman" w:hAnsi="Times New Roman"/>
          <w:sz w:val="24"/>
          <w:szCs w:val="22"/>
        </w:rPr>
        <w:t>，</w:t>
      </w:r>
      <w:r>
        <w:rPr>
          <w:rFonts w:hint="default" w:ascii="Times New Roman" w:hAnsi="Times New Roman"/>
          <w:sz w:val="24"/>
          <w:szCs w:val="22"/>
        </w:rPr>
        <w:t>对事件进行分析，提交事件的分析报告。</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（7）对事件发生过程的所有记录、分析报告等进行汇总备案保存。</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3、对突发事件的处理原则</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（1）及时原则</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必须在第一时间确认事件的真实性</w:t>
      </w:r>
      <w:r>
        <w:rPr>
          <w:rFonts w:ascii="Times New Roman" w:hAnsi="Times New Roman"/>
          <w:sz w:val="24"/>
          <w:szCs w:val="22"/>
        </w:rPr>
        <w:t>，</w:t>
      </w:r>
      <w:r>
        <w:rPr>
          <w:rFonts w:hint="default" w:ascii="Times New Roman" w:hAnsi="Times New Roman"/>
          <w:sz w:val="24"/>
          <w:szCs w:val="22"/>
        </w:rPr>
        <w:t>并随时进行事件的通报。</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（2）真实原则</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必须反映真实的客观情况</w:t>
      </w:r>
      <w:r>
        <w:rPr>
          <w:rFonts w:ascii="Times New Roman" w:hAnsi="Times New Roman"/>
          <w:sz w:val="24"/>
          <w:szCs w:val="22"/>
        </w:rPr>
        <w:t>，</w:t>
      </w:r>
      <w:r>
        <w:rPr>
          <w:rFonts w:hint="default" w:ascii="Times New Roman" w:hAnsi="Times New Roman"/>
          <w:sz w:val="24"/>
          <w:szCs w:val="22"/>
        </w:rPr>
        <w:t>不允许对事件进行夸大或缩小。</w:t>
      </w:r>
    </w:p>
    <w:p>
      <w:pPr>
        <w:pStyle w:val="15"/>
        <w:overflowPunct w:val="0"/>
        <w:spacing w:before="0" w:line="360" w:lineRule="auto"/>
        <w:ind w:left="0" w:firstLine="480" w:firstLineChars="200"/>
        <w:jc w:val="both"/>
        <w:rPr>
          <w:rFonts w:hint="default" w:ascii="Times New Roman" w:hAnsi="Times New Roman"/>
          <w:sz w:val="24"/>
          <w:szCs w:val="22"/>
        </w:rPr>
      </w:pPr>
      <w:r>
        <w:rPr>
          <w:rFonts w:hint="default" w:ascii="Times New Roman" w:hAnsi="Times New Roman"/>
          <w:sz w:val="24"/>
          <w:szCs w:val="22"/>
        </w:rPr>
        <w:t>（3）准备原则</w:t>
      </w:r>
    </w:p>
    <w:p>
      <w:pPr>
        <w:ind w:firstLine="480"/>
      </w:pPr>
      <w:r>
        <w:t>必须在日常运行时做好充分的准备工作，减少事件发生时的忙乱与出错。</w:t>
      </w:r>
    </w:p>
    <w:p>
      <w:pPr>
        <w:pStyle w:val="3"/>
      </w:pPr>
      <w:bookmarkStart w:id="134" w:name="_Toc139"/>
      <w:bookmarkStart w:id="135" w:name="_Toc22758"/>
      <w:bookmarkStart w:id="136" w:name="_Toc15910"/>
      <w:bookmarkStart w:id="137" w:name="_Toc16790"/>
      <w:bookmarkStart w:id="138" w:name="_Toc166145960"/>
      <w:r>
        <w:rPr>
          <w:rFonts w:hint="eastAsia"/>
        </w:rPr>
        <w:t>8</w:t>
      </w:r>
      <w:r>
        <w:t>.5</w:t>
      </w:r>
      <w:r>
        <w:rPr>
          <w:rFonts w:hint="eastAsia"/>
        </w:rPr>
        <w:t xml:space="preserve"> </w:t>
      </w:r>
      <w:r>
        <w:t>排污口规范化</w:t>
      </w:r>
      <w:bookmarkEnd w:id="134"/>
      <w:bookmarkEnd w:id="135"/>
      <w:bookmarkEnd w:id="136"/>
      <w:bookmarkEnd w:id="137"/>
      <w:bookmarkEnd w:id="138"/>
    </w:p>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sz w:val="24"/>
          <w:szCs w:val="22"/>
          <w:u w:val="single"/>
        </w:rPr>
        <w:t>根据《入河入海排污口监督管理技术指南 入河排污口规范化建设》（HJ 1309-2023）要求规范化建设排污口。</w:t>
      </w:r>
    </w:p>
    <w:p>
      <w:pPr>
        <w:pStyle w:val="4"/>
        <w:keepNext w:val="0"/>
        <w:keepLines w:val="0"/>
        <w:rPr>
          <w:u w:val="single"/>
        </w:rPr>
      </w:pPr>
      <w:bookmarkStart w:id="139" w:name="_Toc32733"/>
      <w:bookmarkStart w:id="140" w:name="_Toc23412"/>
      <w:bookmarkStart w:id="141" w:name="_Toc19134"/>
      <w:bookmarkStart w:id="142" w:name="_Toc6215"/>
      <w:r>
        <w:rPr>
          <w:rFonts w:hint="eastAsia"/>
          <w:u w:val="single"/>
        </w:rPr>
        <w:t>8.</w:t>
      </w:r>
      <w:r>
        <w:rPr>
          <w:u w:val="single"/>
        </w:rPr>
        <w:t>5.1</w:t>
      </w:r>
      <w:bookmarkEnd w:id="139"/>
      <w:bookmarkEnd w:id="140"/>
      <w:bookmarkEnd w:id="141"/>
      <w:bookmarkEnd w:id="142"/>
      <w:r>
        <w:rPr>
          <w:rFonts w:hint="eastAsia"/>
          <w:u w:val="single"/>
        </w:rPr>
        <w:t>总体要求</w:t>
      </w:r>
    </w:p>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sz w:val="24"/>
          <w:szCs w:val="22"/>
          <w:u w:val="single"/>
        </w:rPr>
        <w:t>（1）便于采集样品、计量监控、设施安装及维护、日常现场监督检查、公众参与监督管理。</w:t>
      </w:r>
    </w:p>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sz w:val="24"/>
          <w:szCs w:val="22"/>
          <w:u w:val="single"/>
        </w:rPr>
        <w:t>（2）充分考虑安全生产要求，统筹防洪、供水、堤防安全、航运、渔业生产等方面需要，避免破坏周围环境或造成二次污染。</w:t>
      </w:r>
    </w:p>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sz w:val="24"/>
          <w:szCs w:val="22"/>
          <w:u w:val="single"/>
        </w:rPr>
        <w:t>（3）分类施策，规范建设。排污口建立档案；设置标识牌、监测采样点。</w:t>
      </w:r>
    </w:p>
    <w:p>
      <w:pPr>
        <w:pStyle w:val="4"/>
        <w:rPr>
          <w:u w:val="single"/>
        </w:rPr>
      </w:pPr>
      <w:bookmarkStart w:id="143" w:name="_Toc5767"/>
      <w:bookmarkStart w:id="144" w:name="_Toc29151"/>
      <w:bookmarkStart w:id="145" w:name="_Toc23758"/>
      <w:bookmarkStart w:id="146" w:name="_Toc12463"/>
      <w:r>
        <w:rPr>
          <w:rFonts w:hint="eastAsia"/>
          <w:u w:val="single"/>
        </w:rPr>
        <w:t>8.</w:t>
      </w:r>
      <w:r>
        <w:rPr>
          <w:u w:val="single"/>
        </w:rPr>
        <w:t>5.</w:t>
      </w:r>
      <w:r>
        <w:rPr>
          <w:rFonts w:hint="eastAsia"/>
          <w:u w:val="single"/>
        </w:rPr>
        <w:t>2</w:t>
      </w:r>
      <w:bookmarkEnd w:id="143"/>
      <w:bookmarkEnd w:id="144"/>
      <w:bookmarkEnd w:id="145"/>
      <w:bookmarkEnd w:id="146"/>
      <w:bookmarkStart w:id="147" w:name="_Toc32508"/>
      <w:bookmarkStart w:id="148" w:name="_Toc11824"/>
      <w:bookmarkStart w:id="149" w:name="_Toc30363"/>
      <w:bookmarkStart w:id="150" w:name="_Toc9783"/>
      <w:r>
        <w:rPr>
          <w:rFonts w:hint="eastAsia"/>
          <w:u w:val="single"/>
        </w:rPr>
        <w:t>监测采样点设置</w:t>
      </w:r>
    </w:p>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sz w:val="24"/>
          <w:szCs w:val="22"/>
          <w:u w:val="single"/>
        </w:rPr>
        <w:t>（1）监测采样点设置在厂区外、污水入河前。</w:t>
      </w:r>
    </w:p>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sz w:val="24"/>
          <w:szCs w:val="22"/>
          <w:u w:val="single"/>
        </w:rPr>
        <w:t>（2）根据排污口入河方式和污水量大小，选择适宜的监测采样点设置形式。监测采样点设置应考虑实际采样的可行性和便利性。污水排放管道或渠道监测断面应为矩形、圆形、梯形等规则形状。测流段水流应平直、稳定、有一定水位高度。</w:t>
      </w:r>
    </w:p>
    <w:p>
      <w:pPr>
        <w:pStyle w:val="4"/>
        <w:rPr>
          <w:u w:val="single"/>
        </w:rPr>
      </w:pPr>
      <w:r>
        <w:rPr>
          <w:u w:val="single"/>
        </w:rPr>
        <w:t>8.5.3</w:t>
      </w:r>
      <w:r>
        <w:rPr>
          <w:rFonts w:hint="eastAsia"/>
          <w:u w:val="single"/>
        </w:rPr>
        <w:t>标识牌设置</w:t>
      </w:r>
    </w:p>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sz w:val="24"/>
          <w:szCs w:val="22"/>
          <w:u w:val="single"/>
        </w:rPr>
        <w:t>（1）标识牌设置在污水入河处或监测采样点等位置，便于公众监督。</w:t>
      </w:r>
    </w:p>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sz w:val="24"/>
          <w:szCs w:val="22"/>
          <w:u w:val="single"/>
        </w:rPr>
        <w:t>（2）标识牌公示信息包含但不限于排污口名称、编码、类型、管理单位、责任主体、监督电话等，可根据实际需求采用文字或二维码等形式展示。标识牌可选用立柱式、平面式等。</w:t>
      </w:r>
    </w:p>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sz w:val="24"/>
          <w:szCs w:val="22"/>
          <w:u w:val="single"/>
        </w:rPr>
        <w:t>（3）标识牌应具有耐候、耐腐蚀等理化性能，保证一定的使用寿命。</w:t>
      </w:r>
    </w:p>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sz w:val="24"/>
          <w:szCs w:val="22"/>
          <w:u w:val="single"/>
        </w:rPr>
        <w:t>（4）标识牌公示信息发生变化的，责任主体应及时更新或更换标识牌。</w:t>
      </w:r>
    </w:p>
    <w:p>
      <w:pPr>
        <w:pStyle w:val="4"/>
        <w:rPr>
          <w:u w:val="single"/>
        </w:rPr>
      </w:pPr>
      <w:r>
        <w:rPr>
          <w:rFonts w:hint="eastAsia"/>
          <w:u w:val="single"/>
        </w:rPr>
        <w:t>8.5.4视频监控系统及水质流量在线监测系统设置</w:t>
      </w:r>
    </w:p>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sz w:val="24"/>
          <w:szCs w:val="22"/>
          <w:u w:val="single"/>
        </w:rPr>
        <w:t>（1）设置视频监控系统对监测采样点和污水出流状况进行监控和摄录的，设置应满足以下要求：</w:t>
      </w:r>
    </w:p>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sz w:val="24"/>
          <w:szCs w:val="22"/>
          <w:u w:val="single"/>
        </w:rPr>
        <w:t>a）基座宜采用混凝土材质，基座的浇筑应满足后期线缆敷设需要，基座埋设在基坑内，基坑的开挖深度满足立杆抗风、抗震等稳定性要求；</w:t>
      </w:r>
    </w:p>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sz w:val="24"/>
          <w:szCs w:val="22"/>
          <w:u w:val="single"/>
        </w:rPr>
        <w:t>b）立杆高度满足前端视频监控器使用及检修需要，立杆表层应进行防腐防锈处理，底部与基座稳固连接，设置防雷及接地系统；</w:t>
      </w:r>
    </w:p>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sz w:val="24"/>
          <w:szCs w:val="22"/>
          <w:u w:val="single"/>
        </w:rPr>
        <w:t>c）高清数字摄像头水平分辨率不低于1080P，网络视频录像机硬盘满足当前站点90 天的视频存储容量要求；</w:t>
      </w:r>
    </w:p>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sz w:val="24"/>
          <w:szCs w:val="22"/>
          <w:u w:val="single"/>
        </w:rPr>
        <w:t>d）设备箱空间尺寸满足所有箱体内设备的安装布线要求，箱体宜采用不锈钢材质，设置百叶窗散热，并满足防水、防虫、防盗等要求；</w:t>
      </w:r>
    </w:p>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sz w:val="24"/>
          <w:szCs w:val="22"/>
          <w:u w:val="single"/>
        </w:rPr>
        <w:t>e）路由器应支持多种数据采集和视频监控设备，满足4G 及以上通信要求，支持全网通信制式；</w:t>
      </w:r>
    </w:p>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sz w:val="24"/>
          <w:szCs w:val="22"/>
          <w:u w:val="single"/>
        </w:rPr>
        <w:t>f）优先采用双路供电，可选供电方式包括太阳能供电、风力供电、有线供电等，保证设备稳定持续运行，同时预留远程控制和设备重启功能接口，提高设备的可维护性。</w:t>
      </w:r>
    </w:p>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sz w:val="24"/>
          <w:szCs w:val="22"/>
          <w:u w:val="single"/>
        </w:rPr>
        <w:t>（2）按照国家有关规定开展摄影、摄像等活动，做好安全保密工作。</w:t>
      </w:r>
    </w:p>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sz w:val="24"/>
          <w:szCs w:val="22"/>
          <w:u w:val="single"/>
        </w:rPr>
        <w:t>（3）水质和流量在线监测系统安装在监测采样点处，安装、验收、运行、数据有效性判别等要求参照HJ 353、HJ 354、HJ 355、HJ 356 规定。</w:t>
      </w:r>
    </w:p>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sz w:val="24"/>
          <w:szCs w:val="22"/>
          <w:u w:val="single"/>
        </w:rPr>
        <w:t>（4）鼓励利用现有公安、交通等视频监控系统开展排污口监控，统筹安装排污口视频监控系统与公安、交通等视频监控系统。</w:t>
      </w:r>
    </w:p>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sz w:val="24"/>
          <w:szCs w:val="22"/>
          <w:u w:val="single"/>
        </w:rPr>
        <w:t>（5）鼓励规模以上工矿企业、工业及其他各类园区污水处理厂、城镇污水处理厂排污口设置视频监控系统及水质流量在线监测系统。</w:t>
      </w:r>
    </w:p>
    <w:p>
      <w:pPr>
        <w:pStyle w:val="4"/>
        <w:rPr>
          <w:u w:val="single"/>
        </w:rPr>
      </w:pPr>
      <w:r>
        <w:rPr>
          <w:u w:val="single"/>
        </w:rPr>
        <w:t>8.5.5</w:t>
      </w:r>
      <w:r>
        <w:rPr>
          <w:rFonts w:hint="eastAsia"/>
          <w:u w:val="single"/>
        </w:rPr>
        <w:t>档案建设</w:t>
      </w:r>
    </w:p>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sz w:val="24"/>
          <w:szCs w:val="22"/>
          <w:u w:val="single"/>
        </w:rPr>
        <w:t>（1）排污口档案应当真实、完整和规范。</w:t>
      </w:r>
    </w:p>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sz w:val="24"/>
          <w:szCs w:val="22"/>
          <w:u w:val="single"/>
        </w:rPr>
        <w:t>（2）排污口文件材料、影像资料等的形成与积累、整理、归档及档案的管理与利用等其他要求参照HJ/T 8.4 规定。</w:t>
      </w:r>
    </w:p>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sz w:val="24"/>
          <w:szCs w:val="22"/>
          <w:u w:val="single"/>
        </w:rPr>
        <w:t>（3）下列文件、记录和数据属于归档范围：</w:t>
      </w:r>
    </w:p>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sz w:val="24"/>
          <w:szCs w:val="22"/>
          <w:u w:val="single"/>
        </w:rPr>
        <w:t>a）排污口基本信息资料；</w:t>
      </w:r>
    </w:p>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sz w:val="24"/>
          <w:szCs w:val="22"/>
          <w:u w:val="single"/>
        </w:rPr>
        <w:t>b）排污口设置审批相关文件（包括申请文件或登记表、同意或不予同意设置决定书、管理部门盖章的证明文件、排污口设置论证报告等）；</w:t>
      </w:r>
    </w:p>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sz w:val="24"/>
          <w:szCs w:val="22"/>
          <w:u w:val="single"/>
        </w:rPr>
        <w:t>c）排污口监督检查资料；</w:t>
      </w:r>
    </w:p>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sz w:val="24"/>
          <w:szCs w:val="22"/>
          <w:u w:val="single"/>
        </w:rPr>
        <w:t>d）排污口监测资料；</w:t>
      </w:r>
    </w:p>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sz w:val="24"/>
          <w:szCs w:val="22"/>
          <w:u w:val="single"/>
        </w:rPr>
        <w:t>e）其他有关文件和资料。</w:t>
      </w:r>
    </w:p>
    <w:bookmarkEnd w:id="147"/>
    <w:bookmarkEnd w:id="148"/>
    <w:bookmarkEnd w:id="149"/>
    <w:bookmarkEnd w:id="150"/>
    <w:p>
      <w:pPr>
        <w:pStyle w:val="4"/>
        <w:rPr>
          <w:u w:val="single"/>
        </w:rPr>
      </w:pPr>
      <w:r>
        <w:rPr>
          <w:rFonts w:hint="eastAsia"/>
          <w:u w:val="single"/>
        </w:rPr>
        <w:t>8.5.6其他要求</w:t>
      </w:r>
    </w:p>
    <w:p>
      <w:pPr>
        <w:pStyle w:val="15"/>
        <w:overflowPunct w:val="0"/>
        <w:spacing w:before="0" w:line="360" w:lineRule="auto"/>
        <w:ind w:left="0" w:firstLine="480" w:firstLineChars="200"/>
        <w:jc w:val="both"/>
        <w:rPr>
          <w:rFonts w:hint="default" w:ascii="Times New Roman" w:hAnsi="Times New Roman"/>
          <w:sz w:val="24"/>
          <w:szCs w:val="22"/>
          <w:u w:val="single"/>
        </w:rPr>
      </w:pPr>
      <w:r>
        <w:rPr>
          <w:rFonts w:ascii="Times New Roman" w:hAnsi="Times New Roman"/>
          <w:sz w:val="24"/>
          <w:szCs w:val="22"/>
          <w:u w:val="single"/>
        </w:rPr>
        <w:t>（1）本标准发布前已经建设入河排污口污水排放监测采样点、检查井、标识牌、视频监控系统及水质流量在线监测系统，且符合本标准相关要求的，不重复建设。</w:t>
      </w:r>
    </w:p>
    <w:p>
      <w:pPr>
        <w:pStyle w:val="15"/>
        <w:overflowPunct w:val="0"/>
        <w:spacing w:before="0" w:line="360" w:lineRule="auto"/>
        <w:ind w:left="0" w:firstLine="480" w:firstLineChars="200"/>
        <w:jc w:val="both"/>
        <w:rPr>
          <w:rFonts w:hint="default" w:ascii="Times New Roman" w:hAnsi="Times New Roman"/>
          <w:sz w:val="24"/>
          <w:szCs w:val="22"/>
        </w:rPr>
      </w:pPr>
      <w:r>
        <w:rPr>
          <w:rFonts w:ascii="Times New Roman" w:hAnsi="Times New Roman"/>
          <w:sz w:val="24"/>
          <w:szCs w:val="22"/>
          <w:u w:val="single"/>
        </w:rPr>
        <w:t>（2）入河排污口与单个已核发排污许可证的排污单位厂界排污口位置相同的，入河排污口的监管、监测、二维码等要求应符合其排污许可证相关要求。</w:t>
      </w:r>
    </w:p>
    <w:p>
      <w:pPr>
        <w:pStyle w:val="3"/>
      </w:pPr>
      <w:bookmarkStart w:id="151" w:name="_Toc166145961"/>
      <w:r>
        <w:rPr>
          <w:rFonts w:hint="eastAsia"/>
        </w:rPr>
        <w:t>8.6 水环境保护措施</w:t>
      </w:r>
      <w:bookmarkEnd w:id="151"/>
    </w:p>
    <w:p>
      <w:pPr>
        <w:pStyle w:val="4"/>
      </w:pPr>
      <w:r>
        <w:rPr>
          <w:rFonts w:hint="eastAsia"/>
        </w:rPr>
        <w:t>8.6.1 水生态保护措施</w:t>
      </w:r>
    </w:p>
    <w:p>
      <w:pPr>
        <w:ind w:firstLine="480"/>
        <w:rPr>
          <w:szCs w:val="21"/>
        </w:rPr>
      </w:pPr>
      <w:r>
        <w:rPr>
          <w:rFonts w:hint="eastAsia"/>
          <w:szCs w:val="21"/>
        </w:rPr>
        <w:t>1、运行期间保护措施</w:t>
      </w:r>
    </w:p>
    <w:p>
      <w:pPr>
        <w:ind w:firstLine="480"/>
        <w:rPr>
          <w:szCs w:val="21"/>
        </w:rPr>
      </w:pPr>
      <w:r>
        <w:rPr>
          <w:rFonts w:hint="eastAsia"/>
          <w:szCs w:val="21"/>
        </w:rPr>
        <w:t>①本项目运行期间必须严格遵守国家和地方有关水环境保护先关法律、法规；</w:t>
      </w:r>
    </w:p>
    <w:p>
      <w:pPr>
        <w:ind w:firstLine="480"/>
        <w:rPr>
          <w:szCs w:val="21"/>
        </w:rPr>
      </w:pPr>
      <w:r>
        <w:rPr>
          <w:rFonts w:hint="eastAsia"/>
          <w:szCs w:val="21"/>
        </w:rPr>
        <w:t>②安排专人负责污水处理站的运行，对操作人员必须进行专业化培训和考核；</w:t>
      </w:r>
    </w:p>
    <w:p>
      <w:pPr>
        <w:ind w:firstLine="480"/>
        <w:rPr>
          <w:szCs w:val="21"/>
        </w:rPr>
      </w:pPr>
      <w:r>
        <w:rPr>
          <w:rFonts w:hint="eastAsia"/>
          <w:szCs w:val="21"/>
        </w:rPr>
        <w:t>③严格管理制度，保证出水水质，要制定切实可行的事故防范措施，避免污水的事故排放影响澹水的水质；</w:t>
      </w:r>
    </w:p>
    <w:p>
      <w:pPr>
        <w:ind w:firstLine="480"/>
        <w:rPr>
          <w:szCs w:val="21"/>
        </w:rPr>
      </w:pPr>
      <w:r>
        <w:rPr>
          <w:rFonts w:hint="eastAsia"/>
          <w:szCs w:val="21"/>
        </w:rPr>
        <w:t>④加强污水处理设施的管理和维护，加强场区内污水处理站各种设施设备的检查维护，管理好各种运营各种，保障设备和整个工艺系统正常稳定地发挥作用，杜绝事故性排放；</w:t>
      </w:r>
    </w:p>
    <w:p>
      <w:pPr>
        <w:ind w:firstLine="480"/>
        <w:rPr>
          <w:szCs w:val="21"/>
        </w:rPr>
      </w:pPr>
      <w:r>
        <w:rPr>
          <w:rFonts w:hint="eastAsia"/>
          <w:szCs w:val="21"/>
        </w:rPr>
        <w:t>⑤建立污水处理设施监测系统和预警系统。在废水总排口安装自动计量装置和在线监测装置，对污水出水水质实施预警，并严格执行内控指标控制制度，更好保证出水水质；</w:t>
      </w:r>
    </w:p>
    <w:p>
      <w:pPr>
        <w:ind w:firstLine="480"/>
        <w:rPr>
          <w:szCs w:val="21"/>
        </w:rPr>
      </w:pPr>
      <w:r>
        <w:rPr>
          <w:rFonts w:hint="eastAsia"/>
          <w:szCs w:val="21"/>
        </w:rPr>
        <w:t>⑥厂区内做到雨污分流，加强污水收集管网维护和管理，确保管道畅通，最大限度地收集污水，同时防止污水跑、冒、滴、漏现象的发生；</w:t>
      </w:r>
    </w:p>
    <w:p>
      <w:pPr>
        <w:ind w:firstLine="480"/>
        <w:rPr>
          <w:szCs w:val="21"/>
        </w:rPr>
      </w:pPr>
      <w:r>
        <w:rPr>
          <w:rFonts w:hint="eastAsia"/>
          <w:szCs w:val="21"/>
        </w:rPr>
        <w:t>⑦制定停电、停水、水质异常等方面的应急预案，避免出现紧急情况时无可依据的操作规程，引起出水水质恶化，污染环境；</w:t>
      </w:r>
    </w:p>
    <w:p>
      <w:pPr>
        <w:ind w:firstLine="480"/>
        <w:rPr>
          <w:szCs w:val="21"/>
        </w:rPr>
      </w:pPr>
      <w:r>
        <w:rPr>
          <w:rFonts w:hint="eastAsia"/>
          <w:szCs w:val="21"/>
        </w:rPr>
        <w:t>⑧项目污水处理系统排放口设置关闭阀门，一旦出现污水超标，立即关闭阀门，杜绝废水不经处理直接排放；</w:t>
      </w:r>
    </w:p>
    <w:p>
      <w:pPr>
        <w:ind w:firstLine="480"/>
      </w:pPr>
      <w:r>
        <w:rPr>
          <w:rFonts w:hint="eastAsia"/>
          <w:szCs w:val="21"/>
        </w:rPr>
        <w:t>⑨采取有效措施，控制污染物泄露、渗漏，防治污染周边地下水。具体措施有：对污水处理装置区等处均采取硬化防渗措施，场区污水池做好防腐防渗措施，场区内除绿化用地外全部地面进行水泥固化处理，完善污、雨水及项目排水的收集设施，以防下渗污染</w:t>
      </w:r>
      <w:r>
        <w:rPr>
          <w:rFonts w:hint="eastAsia"/>
        </w:rPr>
        <w:t>。</w:t>
      </w:r>
    </w:p>
    <w:p>
      <w:pPr>
        <w:ind w:firstLine="480"/>
        <w:rPr>
          <w:szCs w:val="21"/>
        </w:rPr>
      </w:pPr>
      <w:r>
        <w:rPr>
          <w:rFonts w:hint="eastAsia"/>
          <w:szCs w:val="21"/>
        </w:rPr>
        <w:t>2、监测要求</w:t>
      </w:r>
    </w:p>
    <w:p>
      <w:pPr>
        <w:ind w:firstLine="480"/>
        <w:rPr>
          <w:szCs w:val="21"/>
        </w:rPr>
      </w:pPr>
      <w:r>
        <w:rPr>
          <w:rFonts w:hint="eastAsia"/>
          <w:szCs w:val="21"/>
        </w:rPr>
        <w:t>①在线监测</w:t>
      </w:r>
    </w:p>
    <w:p>
      <w:pPr>
        <w:ind w:firstLine="480"/>
        <w:rPr>
          <w:szCs w:val="21"/>
        </w:rPr>
      </w:pPr>
      <w:r>
        <w:rPr>
          <w:rFonts w:hint="eastAsia"/>
          <w:szCs w:val="21"/>
        </w:rPr>
        <w:t>企业应安装污水总排口在线监测设备，对污水的出厂水质情况实时进行监测，对出厂的水质进行监控。确保进出水水质符合设计要求，主要监测指标为流量、pH值、COD、氨氮、总磷、总氮等。</w:t>
      </w:r>
    </w:p>
    <w:p>
      <w:pPr>
        <w:ind w:firstLine="480"/>
        <w:rPr>
          <w:szCs w:val="21"/>
        </w:rPr>
      </w:pPr>
      <w:r>
        <w:rPr>
          <w:rFonts w:hint="eastAsia"/>
          <w:szCs w:val="21"/>
        </w:rPr>
        <w:t>②常规监测</w:t>
      </w:r>
    </w:p>
    <w:p>
      <w:pPr>
        <w:ind w:firstLine="480"/>
        <w:rPr>
          <w:szCs w:val="21"/>
        </w:rPr>
      </w:pPr>
      <w:r>
        <w:rPr>
          <w:rFonts w:hint="eastAsia"/>
          <w:szCs w:val="21"/>
        </w:rPr>
        <w:t>运行期间要求对出厂污水定期开展常规监测。选择具有资质的第三方检测机构开展常规监测工作，监测出厂水质的变化情况，各监测项目的监测方法、手段、频次等均按国家有关规定进行。</w:t>
      </w:r>
    </w:p>
    <w:p>
      <w:pPr>
        <w:ind w:firstLine="480"/>
        <w:rPr>
          <w:szCs w:val="21"/>
        </w:rPr>
      </w:pPr>
      <w:r>
        <w:rPr>
          <w:rFonts w:hint="eastAsia"/>
          <w:szCs w:val="21"/>
        </w:rPr>
        <w:t>为了便于项目建成后采集水样，在项目设计时应预设采样口或采样阀，采样口或采样阀设置要有利于废水的流量测量，采样时记录生产运行的工况。</w:t>
      </w:r>
    </w:p>
    <w:p>
      <w:pPr>
        <w:ind w:firstLine="480"/>
        <w:rPr>
          <w:szCs w:val="21"/>
        </w:rPr>
      </w:pPr>
      <w:r>
        <w:rPr>
          <w:rFonts w:hint="eastAsia"/>
          <w:szCs w:val="21"/>
        </w:rPr>
        <w:t>根据《排污单位自行监测技术指南 水处理》（HJ1083-2020），监测计划详见下表：</w:t>
      </w:r>
    </w:p>
    <w:p>
      <w:pPr>
        <w:ind w:firstLine="422"/>
        <w:jc w:val="center"/>
        <w:rPr>
          <w:rFonts w:hAnsi="宋体"/>
          <w:kern w:val="18"/>
          <w:sz w:val="21"/>
          <w:szCs w:val="21"/>
        </w:rPr>
      </w:pPr>
      <w:r>
        <w:rPr>
          <w:rFonts w:hint="eastAsia" w:hAnsi="宋体"/>
          <w:b/>
          <w:bCs/>
          <w:kern w:val="18"/>
          <w:sz w:val="21"/>
          <w:szCs w:val="21"/>
        </w:rPr>
        <w:t>表8-1  项目监测计划一览表</w:t>
      </w:r>
    </w:p>
    <w:tbl>
      <w:tblPr>
        <w:tblStyle w:val="41"/>
        <w:tblW w:w="873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844"/>
        <w:gridCol w:w="5490"/>
        <w:gridCol w:w="13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844" w:type="dxa"/>
            <w:tcBorders>
              <w:tl2br w:val="nil"/>
              <w:tr2bl w:val="nil"/>
            </w:tcBorders>
            <w:vAlign w:val="center"/>
          </w:tcPr>
          <w:p>
            <w:pPr>
              <w:spacing w:line="240" w:lineRule="auto"/>
              <w:ind w:firstLine="0" w:firstLineChars="0"/>
              <w:jc w:val="center"/>
              <w:rPr>
                <w:b/>
                <w:bCs/>
                <w:sz w:val="21"/>
                <w:szCs w:val="21"/>
              </w:rPr>
            </w:pPr>
            <w:r>
              <w:rPr>
                <w:rFonts w:hint="eastAsia"/>
                <w:b/>
                <w:bCs/>
                <w:sz w:val="21"/>
                <w:szCs w:val="21"/>
              </w:rPr>
              <w:t>监测点位置</w:t>
            </w:r>
          </w:p>
        </w:tc>
        <w:tc>
          <w:tcPr>
            <w:tcW w:w="5490" w:type="dxa"/>
            <w:tcBorders>
              <w:tl2br w:val="nil"/>
              <w:tr2bl w:val="nil"/>
            </w:tcBorders>
            <w:vAlign w:val="center"/>
          </w:tcPr>
          <w:p>
            <w:pPr>
              <w:spacing w:line="240" w:lineRule="auto"/>
              <w:ind w:firstLine="0" w:firstLineChars="0"/>
              <w:jc w:val="center"/>
              <w:rPr>
                <w:b/>
                <w:bCs/>
                <w:sz w:val="21"/>
                <w:szCs w:val="21"/>
              </w:rPr>
            </w:pPr>
            <w:r>
              <w:rPr>
                <w:rFonts w:hint="eastAsia"/>
                <w:b/>
                <w:bCs/>
                <w:sz w:val="21"/>
                <w:szCs w:val="21"/>
              </w:rPr>
              <w:t>监测项目</w:t>
            </w:r>
          </w:p>
        </w:tc>
        <w:tc>
          <w:tcPr>
            <w:tcW w:w="1398" w:type="dxa"/>
            <w:tcBorders>
              <w:tl2br w:val="nil"/>
              <w:tr2bl w:val="nil"/>
            </w:tcBorders>
            <w:vAlign w:val="center"/>
          </w:tcPr>
          <w:p>
            <w:pPr>
              <w:spacing w:line="240" w:lineRule="auto"/>
              <w:ind w:firstLine="0" w:firstLineChars="0"/>
              <w:jc w:val="center"/>
              <w:rPr>
                <w:b/>
                <w:bCs/>
                <w:sz w:val="21"/>
                <w:szCs w:val="21"/>
              </w:rPr>
            </w:pPr>
            <w:r>
              <w:rPr>
                <w:rFonts w:hint="eastAsia"/>
                <w:b/>
                <w:bCs/>
                <w:sz w:val="21"/>
                <w:szCs w:val="21"/>
              </w:rPr>
              <w:t>监测频次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844" w:type="dxa"/>
            <w:vMerge w:val="restart"/>
            <w:tcBorders>
              <w:tl2br w:val="nil"/>
              <w:tr2bl w:val="nil"/>
            </w:tcBorders>
            <w:vAlign w:val="center"/>
          </w:tcPr>
          <w:p>
            <w:pPr>
              <w:spacing w:line="240" w:lineRule="auto"/>
              <w:ind w:firstLine="0" w:firstLineChars="0"/>
              <w:jc w:val="center"/>
              <w:rPr>
                <w:bCs/>
                <w:sz w:val="21"/>
                <w:szCs w:val="21"/>
              </w:rPr>
            </w:pPr>
            <w:r>
              <w:rPr>
                <w:rFonts w:hint="eastAsia"/>
                <w:bCs/>
                <w:sz w:val="21"/>
                <w:szCs w:val="21"/>
              </w:rPr>
              <w:t>废水总排放口</w:t>
            </w:r>
          </w:p>
        </w:tc>
        <w:tc>
          <w:tcPr>
            <w:tcW w:w="5490" w:type="dxa"/>
            <w:tcBorders>
              <w:tl2br w:val="nil"/>
              <w:tr2bl w:val="nil"/>
            </w:tcBorders>
            <w:vAlign w:val="center"/>
          </w:tcPr>
          <w:p>
            <w:pPr>
              <w:spacing w:line="240" w:lineRule="auto"/>
              <w:ind w:firstLine="0" w:firstLineChars="0"/>
              <w:jc w:val="center"/>
              <w:rPr>
                <w:bCs/>
                <w:sz w:val="21"/>
                <w:szCs w:val="21"/>
              </w:rPr>
            </w:pPr>
            <w:r>
              <w:rPr>
                <w:rFonts w:hint="eastAsia"/>
                <w:sz w:val="21"/>
                <w:szCs w:val="21"/>
              </w:rPr>
              <w:t>pH、COD</w:t>
            </w:r>
            <w:r>
              <w:rPr>
                <w:rFonts w:hint="eastAsia"/>
                <w:sz w:val="21"/>
                <w:szCs w:val="21"/>
                <w:vertAlign w:val="subscript"/>
              </w:rPr>
              <w:t>Cr</w:t>
            </w:r>
            <w:r>
              <w:rPr>
                <w:rFonts w:hint="eastAsia"/>
                <w:sz w:val="21"/>
                <w:szCs w:val="21"/>
              </w:rPr>
              <w:t>、氨氮、总氮、总磷</w:t>
            </w:r>
          </w:p>
        </w:tc>
        <w:tc>
          <w:tcPr>
            <w:tcW w:w="1398" w:type="dxa"/>
            <w:tcBorders>
              <w:tl2br w:val="nil"/>
              <w:tr2bl w:val="nil"/>
            </w:tcBorders>
            <w:vAlign w:val="center"/>
          </w:tcPr>
          <w:p>
            <w:pPr>
              <w:spacing w:line="240" w:lineRule="auto"/>
              <w:ind w:firstLine="0" w:firstLineChars="0"/>
              <w:jc w:val="center"/>
              <w:rPr>
                <w:bCs/>
                <w:sz w:val="21"/>
                <w:szCs w:val="21"/>
              </w:rPr>
            </w:pPr>
            <w:r>
              <w:rPr>
                <w:rFonts w:hint="eastAsia"/>
                <w:bCs/>
                <w:sz w:val="21"/>
                <w:szCs w:val="21"/>
              </w:rPr>
              <w:t>自动监测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844" w:type="dxa"/>
            <w:vMerge w:val="continue"/>
            <w:tcBorders>
              <w:tl2br w:val="nil"/>
              <w:tr2bl w:val="nil"/>
            </w:tcBorders>
            <w:vAlign w:val="center"/>
          </w:tcPr>
          <w:p>
            <w:pPr>
              <w:spacing w:line="240" w:lineRule="auto"/>
              <w:ind w:firstLine="0" w:firstLineChars="0"/>
              <w:jc w:val="center"/>
              <w:rPr>
                <w:sz w:val="21"/>
                <w:szCs w:val="21"/>
              </w:rPr>
            </w:pPr>
          </w:p>
        </w:tc>
        <w:tc>
          <w:tcPr>
            <w:tcW w:w="5490" w:type="dxa"/>
            <w:tcBorders>
              <w:tl2br w:val="nil"/>
              <w:tr2bl w:val="nil"/>
            </w:tcBorders>
            <w:vAlign w:val="center"/>
          </w:tcPr>
          <w:p>
            <w:pPr>
              <w:spacing w:line="240" w:lineRule="auto"/>
              <w:ind w:firstLine="0" w:firstLineChars="0"/>
              <w:jc w:val="center"/>
              <w:rPr>
                <w:sz w:val="21"/>
                <w:szCs w:val="21"/>
              </w:rPr>
            </w:pPr>
            <w:r>
              <w:rPr>
                <w:rFonts w:hint="eastAsia"/>
                <w:sz w:val="21"/>
                <w:szCs w:val="21"/>
              </w:rPr>
              <w:t>BOD</w:t>
            </w:r>
            <w:r>
              <w:rPr>
                <w:rFonts w:hint="eastAsia"/>
                <w:sz w:val="21"/>
                <w:szCs w:val="21"/>
                <w:vertAlign w:val="subscript"/>
              </w:rPr>
              <w:t>5</w:t>
            </w:r>
            <w:r>
              <w:rPr>
                <w:rFonts w:hint="eastAsia"/>
                <w:sz w:val="21"/>
                <w:szCs w:val="21"/>
              </w:rPr>
              <w:t>、SS、色度、动植物油、石油类、LAS、粪大肠菌群</w:t>
            </w:r>
          </w:p>
        </w:tc>
        <w:tc>
          <w:tcPr>
            <w:tcW w:w="1398" w:type="dxa"/>
            <w:tcBorders>
              <w:tl2br w:val="nil"/>
              <w:tr2bl w:val="nil"/>
            </w:tcBorders>
            <w:vAlign w:val="center"/>
          </w:tcPr>
          <w:p>
            <w:pPr>
              <w:spacing w:line="240" w:lineRule="auto"/>
              <w:ind w:firstLine="0" w:firstLineChars="0"/>
              <w:jc w:val="center"/>
              <w:rPr>
                <w:sz w:val="21"/>
                <w:szCs w:val="21"/>
              </w:rPr>
            </w:pPr>
            <w:r>
              <w:rPr>
                <w:rFonts w:hint="eastAsia"/>
                <w:sz w:val="21"/>
                <w:szCs w:val="21"/>
              </w:rPr>
              <w:t>1次/月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844" w:type="dxa"/>
            <w:vMerge w:val="continue"/>
            <w:tcBorders>
              <w:tl2br w:val="nil"/>
              <w:tr2bl w:val="nil"/>
            </w:tcBorders>
            <w:vAlign w:val="center"/>
          </w:tcPr>
          <w:p>
            <w:pPr>
              <w:spacing w:line="240" w:lineRule="auto"/>
              <w:ind w:firstLine="0" w:firstLineChars="0"/>
              <w:jc w:val="center"/>
              <w:rPr>
                <w:sz w:val="21"/>
                <w:szCs w:val="21"/>
              </w:rPr>
            </w:pPr>
          </w:p>
        </w:tc>
        <w:tc>
          <w:tcPr>
            <w:tcW w:w="5490" w:type="dxa"/>
            <w:tcBorders>
              <w:tl2br w:val="nil"/>
              <w:tr2bl w:val="nil"/>
            </w:tcBorders>
            <w:vAlign w:val="center"/>
          </w:tcPr>
          <w:p>
            <w:pPr>
              <w:spacing w:line="240" w:lineRule="auto"/>
              <w:ind w:firstLine="0" w:firstLineChars="0"/>
              <w:jc w:val="center"/>
              <w:rPr>
                <w:sz w:val="21"/>
                <w:szCs w:val="21"/>
              </w:rPr>
            </w:pPr>
            <w:r>
              <w:rPr>
                <w:rFonts w:hint="eastAsia"/>
                <w:sz w:val="21"/>
                <w:szCs w:val="21"/>
              </w:rPr>
              <w:t>总镉、总铬、总汞、总铅、总砷、六价铬</w:t>
            </w:r>
          </w:p>
        </w:tc>
        <w:tc>
          <w:tcPr>
            <w:tcW w:w="1398" w:type="dxa"/>
            <w:tcBorders>
              <w:tl2br w:val="nil"/>
              <w:tr2bl w:val="nil"/>
            </w:tcBorders>
            <w:vAlign w:val="center"/>
          </w:tcPr>
          <w:p>
            <w:pPr>
              <w:spacing w:line="240" w:lineRule="auto"/>
              <w:ind w:firstLine="0" w:firstLineChars="0"/>
              <w:jc w:val="center"/>
              <w:rPr>
                <w:sz w:val="21"/>
                <w:szCs w:val="21"/>
              </w:rPr>
            </w:pPr>
            <w:r>
              <w:rPr>
                <w:rFonts w:hint="eastAsia"/>
                <w:sz w:val="21"/>
                <w:szCs w:val="21"/>
              </w:rPr>
              <w:t>1次/季度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844" w:type="dxa"/>
            <w:vMerge w:val="continue"/>
            <w:tcBorders>
              <w:tl2br w:val="nil"/>
              <w:tr2bl w:val="nil"/>
            </w:tcBorders>
            <w:vAlign w:val="center"/>
          </w:tcPr>
          <w:p>
            <w:pPr>
              <w:spacing w:line="240" w:lineRule="auto"/>
              <w:ind w:firstLine="0" w:firstLineChars="0"/>
              <w:jc w:val="center"/>
              <w:rPr>
                <w:sz w:val="21"/>
                <w:szCs w:val="21"/>
              </w:rPr>
            </w:pPr>
          </w:p>
        </w:tc>
        <w:tc>
          <w:tcPr>
            <w:tcW w:w="5490" w:type="dxa"/>
            <w:tcBorders>
              <w:tl2br w:val="nil"/>
              <w:tr2bl w:val="nil"/>
            </w:tcBorders>
            <w:vAlign w:val="center"/>
          </w:tcPr>
          <w:p>
            <w:pPr>
              <w:spacing w:line="240" w:lineRule="auto"/>
              <w:ind w:firstLine="0" w:firstLineChars="0"/>
              <w:jc w:val="center"/>
              <w:rPr>
                <w:sz w:val="21"/>
                <w:szCs w:val="21"/>
              </w:rPr>
            </w:pPr>
            <w:r>
              <w:rPr>
                <w:rFonts w:hint="eastAsia"/>
                <w:sz w:val="21"/>
                <w:szCs w:val="21"/>
              </w:rPr>
              <w:t>烷基汞</w:t>
            </w:r>
          </w:p>
        </w:tc>
        <w:tc>
          <w:tcPr>
            <w:tcW w:w="1398" w:type="dxa"/>
            <w:tcBorders>
              <w:tl2br w:val="nil"/>
              <w:tr2bl w:val="nil"/>
            </w:tcBorders>
            <w:vAlign w:val="center"/>
          </w:tcPr>
          <w:p>
            <w:pPr>
              <w:spacing w:line="240" w:lineRule="auto"/>
              <w:ind w:firstLine="0" w:firstLineChars="0"/>
              <w:jc w:val="center"/>
              <w:rPr>
                <w:sz w:val="21"/>
                <w:szCs w:val="21"/>
              </w:rPr>
            </w:pPr>
            <w:r>
              <w:rPr>
                <w:rFonts w:hint="eastAsia"/>
                <w:sz w:val="21"/>
                <w:szCs w:val="21"/>
              </w:rPr>
              <w:t>1次/半年</w:t>
            </w:r>
          </w:p>
        </w:tc>
      </w:tr>
    </w:tbl>
    <w:p>
      <w:pPr>
        <w:ind w:firstLine="480"/>
        <w:rPr>
          <w:szCs w:val="21"/>
        </w:rPr>
      </w:pPr>
      <w:r>
        <w:rPr>
          <w:rFonts w:hint="eastAsia"/>
          <w:szCs w:val="21"/>
        </w:rPr>
        <w:t>③应急监测</w:t>
      </w:r>
    </w:p>
    <w:p>
      <w:pPr>
        <w:ind w:firstLine="480"/>
        <w:rPr>
          <w:szCs w:val="21"/>
        </w:rPr>
      </w:pPr>
      <w:r>
        <w:rPr>
          <w:rFonts w:hint="eastAsia"/>
          <w:szCs w:val="21"/>
        </w:rPr>
        <w:t>突发性环境污染事故包含了许多不确定要素。为了能够快速掌握和了解污染物的类型、浓度分布和发展趋势，有效地控制污染范围，缩短污染持续时间，需要确立一个完整的应急监测体系。</w:t>
      </w:r>
    </w:p>
    <w:p>
      <w:pPr>
        <w:ind w:firstLine="480"/>
        <w:rPr>
          <w:szCs w:val="21"/>
        </w:rPr>
      </w:pPr>
      <w:r>
        <w:rPr>
          <w:rFonts w:hint="eastAsia"/>
          <w:szCs w:val="21"/>
        </w:rPr>
        <w:t>明确应急监测的操作过程是解决突发性环境污染事故的首要要求，一个完整、科学的流程安排能使监测人员在事故发生的第一时间有条不紊地展开监测工作，循序渐进地完成监测任务。只有保证每一环节的顺利进行，严格控制各个部分的运行效果，才能实现整个监测体系稳定、高效的运行，从而确保对突发性事故的妥善处理。</w:t>
      </w:r>
    </w:p>
    <w:p>
      <w:pPr>
        <w:ind w:firstLine="480"/>
      </w:pPr>
      <w:r>
        <w:rPr>
          <w:rFonts w:hint="eastAsia"/>
          <w:szCs w:val="21"/>
        </w:rPr>
        <w:t>企业应制定切实可行的应急监测方案，设立应急监测小组，小组各成员要明确自己的任务和职责，在处理应急污染时做到有条不紊、各司其职，有效提高处理应急污染事故的能力和效率</w:t>
      </w:r>
      <w:r>
        <w:rPr>
          <w:rFonts w:hint="eastAsia"/>
        </w:rPr>
        <w:t>。</w:t>
      </w:r>
    </w:p>
    <w:p>
      <w:pPr>
        <w:ind w:firstLine="480"/>
        <w:rPr>
          <w:szCs w:val="21"/>
        </w:rPr>
      </w:pPr>
      <w:r>
        <w:rPr>
          <w:rFonts w:hint="eastAsia"/>
          <w:szCs w:val="21"/>
        </w:rPr>
        <w:t>3、对排污的限制要求和措施</w:t>
      </w:r>
    </w:p>
    <w:p>
      <w:pPr>
        <w:ind w:firstLine="480"/>
        <w:rPr>
          <w:rFonts w:hAnsi="宋体"/>
          <w:kern w:val="18"/>
        </w:rPr>
      </w:pPr>
      <w:r>
        <w:rPr>
          <w:rFonts w:hint="eastAsia" w:hAnsi="宋体"/>
          <w:kern w:val="18"/>
        </w:rPr>
        <w:t>开展环境监测是环境保护的重要内容。环境监测是环境保护的眼睛，是发现和解决环境问题的前提。建设单位可配备必要设备和人员对污染源和污染物的排放情况进行定期监测，亦可委托有监测资质的单位进行监测，以便污染源的监控，发现问题及时整改，确保各项污染设施的正常运转和污染物的达标排放，各排放口需预留监测平台。监测报告应定期上报环境管理部门。</w:t>
      </w:r>
    </w:p>
    <w:p>
      <w:pPr>
        <w:ind w:firstLine="422"/>
        <w:jc w:val="center"/>
        <w:rPr>
          <w:rFonts w:hAnsi="宋体"/>
          <w:kern w:val="18"/>
          <w:sz w:val="21"/>
          <w:szCs w:val="21"/>
        </w:rPr>
      </w:pPr>
      <w:r>
        <w:rPr>
          <w:rFonts w:hint="eastAsia" w:hAnsi="宋体"/>
          <w:b/>
          <w:bCs/>
          <w:kern w:val="18"/>
          <w:sz w:val="21"/>
          <w:szCs w:val="21"/>
        </w:rPr>
        <w:t>表8-2  排污的限制要求和措施一览表</w:t>
      </w:r>
    </w:p>
    <w:tbl>
      <w:tblPr>
        <w:tblStyle w:val="41"/>
        <w:tblW w:w="861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17"/>
        <w:gridCol w:w="1962"/>
        <w:gridCol w:w="1837"/>
        <w:gridCol w:w="1582"/>
        <w:gridCol w:w="241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17" w:type="dxa"/>
            <w:tcBorders>
              <w:tl2br w:val="nil"/>
              <w:tr2bl w:val="nil"/>
            </w:tcBorders>
            <w:vAlign w:val="center"/>
          </w:tcPr>
          <w:p>
            <w:pPr>
              <w:spacing w:line="240" w:lineRule="auto"/>
              <w:ind w:firstLine="0" w:firstLineChars="0"/>
              <w:jc w:val="center"/>
              <w:rPr>
                <w:b/>
                <w:bCs/>
                <w:sz w:val="21"/>
                <w:szCs w:val="21"/>
              </w:rPr>
            </w:pPr>
            <w:r>
              <w:rPr>
                <w:rFonts w:hint="eastAsia"/>
                <w:b/>
                <w:bCs/>
                <w:sz w:val="21"/>
                <w:szCs w:val="21"/>
              </w:rPr>
              <w:t>类别</w:t>
            </w:r>
          </w:p>
        </w:tc>
        <w:tc>
          <w:tcPr>
            <w:tcW w:w="1962" w:type="dxa"/>
            <w:tcBorders>
              <w:tl2br w:val="nil"/>
              <w:tr2bl w:val="nil"/>
            </w:tcBorders>
            <w:vAlign w:val="center"/>
          </w:tcPr>
          <w:p>
            <w:pPr>
              <w:spacing w:line="240" w:lineRule="auto"/>
              <w:ind w:firstLine="0" w:firstLineChars="0"/>
              <w:jc w:val="center"/>
              <w:rPr>
                <w:b/>
                <w:bCs/>
                <w:sz w:val="21"/>
                <w:szCs w:val="21"/>
              </w:rPr>
            </w:pPr>
            <w:r>
              <w:rPr>
                <w:rFonts w:hint="eastAsia"/>
                <w:b/>
                <w:bCs/>
                <w:sz w:val="21"/>
                <w:szCs w:val="21"/>
              </w:rPr>
              <w:t>污水排放量</w:t>
            </w:r>
          </w:p>
        </w:tc>
        <w:tc>
          <w:tcPr>
            <w:tcW w:w="3419" w:type="dxa"/>
            <w:gridSpan w:val="2"/>
            <w:tcBorders>
              <w:tl2br w:val="nil"/>
              <w:tr2bl w:val="nil"/>
            </w:tcBorders>
            <w:vAlign w:val="center"/>
          </w:tcPr>
          <w:p>
            <w:pPr>
              <w:spacing w:line="240" w:lineRule="auto"/>
              <w:ind w:firstLine="0" w:firstLineChars="0"/>
              <w:jc w:val="center"/>
              <w:rPr>
                <w:b/>
                <w:bCs/>
                <w:sz w:val="21"/>
                <w:szCs w:val="21"/>
              </w:rPr>
            </w:pPr>
            <w:r>
              <w:rPr>
                <w:rFonts w:hint="eastAsia"/>
                <w:b/>
                <w:bCs/>
                <w:sz w:val="21"/>
                <w:szCs w:val="21"/>
              </w:rPr>
              <w:t>主要污染物最大允许排放浓度</w:t>
            </w:r>
          </w:p>
        </w:tc>
        <w:tc>
          <w:tcPr>
            <w:tcW w:w="2419" w:type="dxa"/>
            <w:tcBorders>
              <w:tl2br w:val="nil"/>
              <w:tr2bl w:val="nil"/>
            </w:tcBorders>
            <w:vAlign w:val="center"/>
          </w:tcPr>
          <w:p>
            <w:pPr>
              <w:spacing w:line="240" w:lineRule="auto"/>
              <w:ind w:firstLine="0" w:firstLineChars="0"/>
              <w:jc w:val="center"/>
              <w:rPr>
                <w:b/>
                <w:bCs/>
                <w:sz w:val="21"/>
                <w:szCs w:val="21"/>
              </w:rPr>
            </w:pPr>
            <w:r>
              <w:rPr>
                <w:rFonts w:hint="eastAsia"/>
                <w:b/>
                <w:bCs/>
                <w:sz w:val="21"/>
                <w:szCs w:val="21"/>
              </w:rPr>
              <w:t>主要污染物排放总量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 w:hRule="atLeast"/>
          <w:jc w:val="center"/>
        </w:trPr>
        <w:tc>
          <w:tcPr>
            <w:tcW w:w="817" w:type="dxa"/>
            <w:vMerge w:val="restart"/>
            <w:tcBorders>
              <w:tl2br w:val="nil"/>
              <w:tr2bl w:val="nil"/>
            </w:tcBorders>
            <w:vAlign w:val="center"/>
          </w:tcPr>
          <w:p>
            <w:pPr>
              <w:spacing w:line="240" w:lineRule="auto"/>
              <w:ind w:firstLine="0" w:firstLineChars="0"/>
              <w:jc w:val="center"/>
              <w:rPr>
                <w:sz w:val="21"/>
                <w:szCs w:val="21"/>
              </w:rPr>
            </w:pPr>
            <w:r>
              <w:rPr>
                <w:rFonts w:hint="eastAsia"/>
                <w:sz w:val="21"/>
                <w:szCs w:val="21"/>
              </w:rPr>
              <w:t>废水</w:t>
            </w:r>
          </w:p>
        </w:tc>
        <w:tc>
          <w:tcPr>
            <w:tcW w:w="1962" w:type="dxa"/>
            <w:vMerge w:val="restart"/>
            <w:tcBorders>
              <w:tl2br w:val="nil"/>
              <w:tr2bl w:val="nil"/>
            </w:tcBorders>
            <w:vAlign w:val="center"/>
          </w:tcPr>
          <w:p>
            <w:pPr>
              <w:spacing w:line="240" w:lineRule="auto"/>
              <w:ind w:firstLine="0" w:firstLineChars="0"/>
              <w:jc w:val="center"/>
              <w:rPr>
                <w:sz w:val="21"/>
                <w:szCs w:val="21"/>
              </w:rPr>
            </w:pPr>
            <w:r>
              <w:rPr>
                <w:rFonts w:hint="eastAsia"/>
                <w:sz w:val="21"/>
                <w:szCs w:val="21"/>
              </w:rPr>
              <w:t>21900000t/a（60000m</w:t>
            </w:r>
            <w:r>
              <w:rPr>
                <w:rFonts w:hint="eastAsia"/>
                <w:sz w:val="21"/>
                <w:szCs w:val="21"/>
                <w:vertAlign w:val="superscript"/>
              </w:rPr>
              <w:t>3</w:t>
            </w:r>
            <w:r>
              <w:rPr>
                <w:rFonts w:hint="eastAsia"/>
                <w:sz w:val="21"/>
                <w:szCs w:val="21"/>
              </w:rPr>
              <w:t>/d）</w:t>
            </w:r>
          </w:p>
        </w:tc>
        <w:tc>
          <w:tcPr>
            <w:tcW w:w="1837" w:type="dxa"/>
            <w:tcBorders>
              <w:tl2br w:val="nil"/>
              <w:tr2bl w:val="nil"/>
            </w:tcBorders>
            <w:vAlign w:val="center"/>
          </w:tcPr>
          <w:p>
            <w:pPr>
              <w:spacing w:line="240" w:lineRule="auto"/>
              <w:ind w:firstLine="0" w:firstLineChars="0"/>
              <w:jc w:val="center"/>
              <w:rPr>
                <w:sz w:val="21"/>
                <w:szCs w:val="21"/>
              </w:rPr>
            </w:pPr>
            <w:r>
              <w:rPr>
                <w:rFonts w:hint="eastAsia"/>
                <w:bCs/>
                <w:color w:val="000000"/>
                <w:sz w:val="21"/>
                <w:szCs w:val="21"/>
              </w:rPr>
              <w:t>COD</w:t>
            </w:r>
            <w:r>
              <w:rPr>
                <w:rFonts w:hint="eastAsia"/>
                <w:bCs/>
                <w:color w:val="000000"/>
                <w:sz w:val="21"/>
                <w:szCs w:val="21"/>
                <w:vertAlign w:val="subscript"/>
              </w:rPr>
              <w:t>Cr</w:t>
            </w:r>
          </w:p>
        </w:tc>
        <w:tc>
          <w:tcPr>
            <w:tcW w:w="1582" w:type="dxa"/>
            <w:tcBorders>
              <w:tl2br w:val="nil"/>
              <w:tr2bl w:val="nil"/>
            </w:tcBorders>
          </w:tcPr>
          <w:p>
            <w:pPr>
              <w:spacing w:line="240" w:lineRule="auto"/>
              <w:ind w:firstLine="0" w:firstLineChars="0"/>
              <w:jc w:val="center"/>
              <w:rPr>
                <w:sz w:val="21"/>
                <w:szCs w:val="21"/>
              </w:rPr>
            </w:pPr>
            <w:r>
              <w:rPr>
                <w:rFonts w:hint="eastAsia"/>
                <w:sz w:val="21"/>
                <w:szCs w:val="21"/>
              </w:rPr>
              <w:t>50mg/L</w:t>
            </w:r>
          </w:p>
        </w:tc>
        <w:tc>
          <w:tcPr>
            <w:tcW w:w="2419" w:type="dxa"/>
            <w:tcBorders>
              <w:tl2br w:val="nil"/>
              <w:tr2bl w:val="nil"/>
            </w:tcBorders>
            <w:vAlign w:val="center"/>
          </w:tcPr>
          <w:p>
            <w:pPr>
              <w:spacing w:line="240" w:lineRule="auto"/>
              <w:ind w:firstLine="0" w:firstLineChars="0"/>
              <w:jc w:val="center"/>
              <w:rPr>
                <w:sz w:val="21"/>
                <w:szCs w:val="21"/>
              </w:rPr>
            </w:pPr>
            <w:r>
              <w:rPr>
                <w:rFonts w:hint="eastAsia"/>
                <w:sz w:val="21"/>
                <w:szCs w:val="21"/>
              </w:rPr>
              <w:t>1095t/a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6" w:hRule="atLeast"/>
          <w:jc w:val="center"/>
        </w:trPr>
        <w:tc>
          <w:tcPr>
            <w:tcW w:w="817" w:type="dxa"/>
            <w:vMerge w:val="continue"/>
            <w:tcBorders>
              <w:tl2br w:val="nil"/>
              <w:tr2bl w:val="nil"/>
            </w:tcBorders>
            <w:vAlign w:val="center"/>
          </w:tcPr>
          <w:p>
            <w:pPr>
              <w:spacing w:line="240" w:lineRule="auto"/>
              <w:ind w:firstLine="0" w:firstLineChars="0"/>
              <w:jc w:val="center"/>
            </w:pPr>
          </w:p>
        </w:tc>
        <w:tc>
          <w:tcPr>
            <w:tcW w:w="1962" w:type="dxa"/>
            <w:vMerge w:val="continue"/>
            <w:tcBorders>
              <w:tl2br w:val="nil"/>
              <w:tr2bl w:val="nil"/>
            </w:tcBorders>
            <w:vAlign w:val="center"/>
          </w:tcPr>
          <w:p>
            <w:pPr>
              <w:spacing w:line="240" w:lineRule="auto"/>
              <w:ind w:firstLine="0" w:firstLineChars="0"/>
              <w:jc w:val="center"/>
            </w:pPr>
          </w:p>
        </w:tc>
        <w:tc>
          <w:tcPr>
            <w:tcW w:w="1837" w:type="dxa"/>
            <w:tcBorders>
              <w:tl2br w:val="nil"/>
              <w:tr2bl w:val="nil"/>
            </w:tcBorders>
            <w:vAlign w:val="center"/>
          </w:tcPr>
          <w:p>
            <w:pPr>
              <w:spacing w:line="240" w:lineRule="auto"/>
              <w:ind w:firstLine="0" w:firstLineChars="0"/>
              <w:jc w:val="center"/>
            </w:pPr>
            <w:r>
              <w:rPr>
                <w:rFonts w:hint="eastAsia"/>
                <w:bCs/>
                <w:color w:val="000000"/>
                <w:sz w:val="21"/>
                <w:szCs w:val="21"/>
              </w:rPr>
              <w:t>氨氮</w:t>
            </w:r>
          </w:p>
        </w:tc>
        <w:tc>
          <w:tcPr>
            <w:tcW w:w="1582" w:type="dxa"/>
            <w:tcBorders>
              <w:tl2br w:val="nil"/>
              <w:tr2bl w:val="nil"/>
            </w:tcBorders>
            <w:vAlign w:val="center"/>
          </w:tcPr>
          <w:p>
            <w:pPr>
              <w:spacing w:line="240" w:lineRule="auto"/>
              <w:ind w:firstLine="0" w:firstLineChars="0"/>
              <w:jc w:val="center"/>
              <w:rPr>
                <w:sz w:val="21"/>
                <w:szCs w:val="21"/>
              </w:rPr>
            </w:pPr>
            <w:r>
              <w:rPr>
                <w:rFonts w:hint="eastAsia"/>
                <w:sz w:val="21"/>
                <w:szCs w:val="21"/>
              </w:rPr>
              <w:t>5mg/L</w:t>
            </w:r>
          </w:p>
        </w:tc>
        <w:tc>
          <w:tcPr>
            <w:tcW w:w="2419" w:type="dxa"/>
            <w:tcBorders>
              <w:tl2br w:val="nil"/>
              <w:tr2bl w:val="nil"/>
            </w:tcBorders>
            <w:vAlign w:val="center"/>
          </w:tcPr>
          <w:p>
            <w:pPr>
              <w:spacing w:line="240" w:lineRule="auto"/>
              <w:ind w:firstLine="0" w:firstLineChars="0"/>
              <w:jc w:val="center"/>
              <w:rPr>
                <w:sz w:val="21"/>
                <w:szCs w:val="21"/>
              </w:rPr>
            </w:pPr>
            <w:r>
              <w:rPr>
                <w:rFonts w:hint="eastAsia"/>
                <w:sz w:val="21"/>
                <w:szCs w:val="21"/>
              </w:rPr>
              <w:t>109.5t/a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 w:hRule="atLeast"/>
          <w:jc w:val="center"/>
        </w:trPr>
        <w:tc>
          <w:tcPr>
            <w:tcW w:w="817" w:type="dxa"/>
            <w:vMerge w:val="continue"/>
            <w:tcBorders>
              <w:tl2br w:val="nil"/>
              <w:tr2bl w:val="nil"/>
            </w:tcBorders>
            <w:vAlign w:val="center"/>
          </w:tcPr>
          <w:p>
            <w:pPr>
              <w:spacing w:line="240" w:lineRule="auto"/>
              <w:ind w:firstLine="0" w:firstLineChars="0"/>
              <w:jc w:val="center"/>
            </w:pPr>
          </w:p>
        </w:tc>
        <w:tc>
          <w:tcPr>
            <w:tcW w:w="1962" w:type="dxa"/>
            <w:vMerge w:val="continue"/>
            <w:tcBorders>
              <w:tl2br w:val="nil"/>
              <w:tr2bl w:val="nil"/>
            </w:tcBorders>
            <w:vAlign w:val="center"/>
          </w:tcPr>
          <w:p>
            <w:pPr>
              <w:spacing w:line="240" w:lineRule="auto"/>
              <w:ind w:firstLine="0" w:firstLineChars="0"/>
              <w:jc w:val="center"/>
            </w:pPr>
          </w:p>
        </w:tc>
        <w:tc>
          <w:tcPr>
            <w:tcW w:w="1837" w:type="dxa"/>
            <w:tcBorders>
              <w:tl2br w:val="nil"/>
              <w:tr2bl w:val="nil"/>
            </w:tcBorders>
            <w:vAlign w:val="center"/>
          </w:tcPr>
          <w:p>
            <w:pPr>
              <w:spacing w:line="240" w:lineRule="auto"/>
              <w:ind w:firstLine="0" w:firstLineChars="0"/>
              <w:jc w:val="center"/>
            </w:pPr>
            <w:r>
              <w:rPr>
                <w:rFonts w:hint="eastAsia"/>
                <w:bCs/>
                <w:color w:val="000000"/>
                <w:sz w:val="21"/>
                <w:szCs w:val="21"/>
              </w:rPr>
              <w:t>总磷</w:t>
            </w:r>
          </w:p>
        </w:tc>
        <w:tc>
          <w:tcPr>
            <w:tcW w:w="1582" w:type="dxa"/>
            <w:tcBorders>
              <w:tl2br w:val="nil"/>
              <w:tr2bl w:val="nil"/>
            </w:tcBorders>
            <w:vAlign w:val="center"/>
          </w:tcPr>
          <w:p>
            <w:pPr>
              <w:spacing w:line="240" w:lineRule="auto"/>
              <w:ind w:firstLine="0" w:firstLineChars="0"/>
              <w:jc w:val="center"/>
              <w:rPr>
                <w:sz w:val="21"/>
                <w:szCs w:val="21"/>
              </w:rPr>
            </w:pPr>
            <w:r>
              <w:rPr>
                <w:rFonts w:hint="eastAsia"/>
                <w:sz w:val="21"/>
                <w:szCs w:val="21"/>
              </w:rPr>
              <w:t>0.5mg/L</w:t>
            </w:r>
          </w:p>
        </w:tc>
        <w:tc>
          <w:tcPr>
            <w:tcW w:w="2419" w:type="dxa"/>
            <w:tcBorders>
              <w:tl2br w:val="nil"/>
              <w:tr2bl w:val="nil"/>
            </w:tcBorders>
            <w:vAlign w:val="center"/>
          </w:tcPr>
          <w:p>
            <w:pPr>
              <w:spacing w:line="240" w:lineRule="auto"/>
              <w:ind w:firstLine="0" w:firstLineChars="0"/>
              <w:jc w:val="center"/>
              <w:rPr>
                <w:sz w:val="21"/>
                <w:szCs w:val="21"/>
              </w:rPr>
            </w:pPr>
            <w:r>
              <w:rPr>
                <w:rFonts w:hint="eastAsia"/>
                <w:sz w:val="21"/>
                <w:szCs w:val="21"/>
              </w:rPr>
              <w:t>10.95t/a</w:t>
            </w:r>
          </w:p>
        </w:tc>
      </w:tr>
    </w:tbl>
    <w:p>
      <w:pPr>
        <w:pStyle w:val="4"/>
      </w:pPr>
      <w:r>
        <w:rPr>
          <w:rFonts w:hint="eastAsia"/>
        </w:rPr>
        <w:t>8.6.2 事故排污时应急措施</w:t>
      </w:r>
    </w:p>
    <w:p>
      <w:pPr>
        <w:ind w:firstLine="480"/>
      </w:pPr>
      <w:r>
        <w:rPr>
          <w:rFonts w:hint="eastAsia"/>
        </w:rPr>
        <w:t>污水处理工程运营期，由于一些自然或人为的因素，可能会造成污水处理系统不能正常运行，使得处理出水水质达不到设计标准，甚至整个处理系统处于瘫痪状态，污水超标排放，影响外环境。因此，有必要对非正常工况出现的原因、发生几率、避免措施和应急措施进行分析。</w:t>
      </w:r>
    </w:p>
    <w:p>
      <w:pPr>
        <w:ind w:firstLine="480"/>
      </w:pPr>
      <w:r>
        <w:rPr>
          <w:rFonts w:hint="eastAsia"/>
        </w:rPr>
        <w:t>1、事故出现原因</w:t>
      </w:r>
    </w:p>
    <w:p>
      <w:pPr>
        <w:ind w:firstLine="480"/>
      </w:pPr>
      <w:r>
        <w:rPr>
          <w:rFonts w:hint="eastAsia"/>
        </w:rPr>
        <w:t>项目污水处理站排污口突发环境风险主要原因是污水处理设施故障或发生事故，不能正常运行，导致超标污水排放。项目发生风险事故的可能环节及由此产生的影响方式主要有以下几个方面：</w:t>
      </w:r>
    </w:p>
    <w:p>
      <w:pPr>
        <w:ind w:firstLine="480"/>
      </w:pPr>
      <w:r>
        <w:rPr>
          <w:rFonts w:hint="eastAsia"/>
        </w:rPr>
        <w:t>①生产过程中由于长时间停电、设备故障等突发事件导致污水超标排放。</w:t>
      </w:r>
    </w:p>
    <w:p>
      <w:pPr>
        <w:ind w:firstLine="480"/>
      </w:pPr>
      <w:r>
        <w:rPr>
          <w:rFonts w:hint="eastAsia"/>
        </w:rPr>
        <w:t>②自然灾害引发的环境风险。如暴雨天气导致进水量突加，引起水处理负荷变化，造成超标排放；极端天气导致设备设施突发故障，如鼓风机电机烧坏等，从而使工艺过程中断，导致出水超标。</w:t>
      </w:r>
    </w:p>
    <w:p>
      <w:pPr>
        <w:ind w:firstLine="480"/>
      </w:pPr>
      <w:r>
        <w:rPr>
          <w:rFonts w:hint="eastAsia"/>
        </w:rPr>
        <w:t>③出水水质超标引起的环境风险。</w:t>
      </w:r>
    </w:p>
    <w:p>
      <w:pPr>
        <w:ind w:firstLine="480"/>
        <w:rPr>
          <w:szCs w:val="21"/>
        </w:rPr>
      </w:pPr>
      <w:r>
        <w:rPr>
          <w:rFonts w:hint="eastAsia"/>
          <w:szCs w:val="21"/>
        </w:rPr>
        <w:t>2、风险防范措施</w:t>
      </w:r>
    </w:p>
    <w:p>
      <w:pPr>
        <w:ind w:firstLine="480"/>
        <w:rPr>
          <w:szCs w:val="21"/>
        </w:rPr>
      </w:pPr>
      <w:r>
        <w:rPr>
          <w:rFonts w:hint="eastAsia"/>
          <w:szCs w:val="21"/>
        </w:rPr>
        <w:t>（1）</w:t>
      </w:r>
      <w:r>
        <w:rPr>
          <w:szCs w:val="21"/>
        </w:rPr>
        <w:t>污水非正常排放的防范措施</w:t>
      </w:r>
    </w:p>
    <w:p>
      <w:pPr>
        <w:ind w:firstLine="480"/>
        <w:rPr>
          <w:szCs w:val="21"/>
        </w:rPr>
      </w:pPr>
      <w:r>
        <w:rPr>
          <w:szCs w:val="21"/>
        </w:rPr>
        <w:t>a、选用优质设备，对污水处理</w:t>
      </w:r>
      <w:r>
        <w:rPr>
          <w:rFonts w:hint="eastAsia"/>
          <w:szCs w:val="21"/>
        </w:rPr>
        <w:t>站</w:t>
      </w:r>
      <w:r>
        <w:rPr>
          <w:szCs w:val="21"/>
        </w:rPr>
        <w:t>各种机械电器、仪表等设备，必须选择质量优良、事故率低、便于维修的产品。关键设备应一备一用，易损部件要有备用件，在出现事故时能及时更换。</w:t>
      </w:r>
    </w:p>
    <w:p>
      <w:pPr>
        <w:ind w:firstLine="480"/>
        <w:rPr>
          <w:szCs w:val="21"/>
        </w:rPr>
      </w:pPr>
      <w:r>
        <w:rPr>
          <w:szCs w:val="21"/>
        </w:rPr>
        <w:t>b、加强运行管理和出水的监测工作，采用在线监测仪对水质进行在线监测，及时发现问题，且对未经处理达标的污水严禁外排。</w:t>
      </w:r>
    </w:p>
    <w:p>
      <w:pPr>
        <w:ind w:firstLine="480"/>
        <w:rPr>
          <w:szCs w:val="21"/>
        </w:rPr>
      </w:pPr>
      <w:r>
        <w:rPr>
          <w:szCs w:val="21"/>
        </w:rPr>
        <w:t>c、加强事故苗头监控，定期巡检、调节、保养、维修，及时发现有可能引起事故的异常运行苗头，消除事故隐。</w:t>
      </w:r>
    </w:p>
    <w:p>
      <w:pPr>
        <w:ind w:firstLine="480"/>
        <w:rPr>
          <w:szCs w:val="21"/>
        </w:rPr>
      </w:pPr>
      <w:r>
        <w:rPr>
          <w:szCs w:val="21"/>
        </w:rPr>
        <w:t>d、建立安全操作规程，在平时严格按规程办事，定期对污水处理</w:t>
      </w:r>
      <w:r>
        <w:rPr>
          <w:rFonts w:hint="eastAsia"/>
          <w:szCs w:val="21"/>
        </w:rPr>
        <w:t>站</w:t>
      </w:r>
      <w:r>
        <w:rPr>
          <w:szCs w:val="21"/>
        </w:rPr>
        <w:t>人员的理论知识和操作技能进行培训和检查。</w:t>
      </w:r>
    </w:p>
    <w:p>
      <w:pPr>
        <w:ind w:firstLine="480"/>
        <w:rPr>
          <w:szCs w:val="21"/>
        </w:rPr>
      </w:pPr>
      <w:r>
        <w:rPr>
          <w:szCs w:val="21"/>
        </w:rPr>
        <w:t>e、严格控制处理单元的水量、水质、停留时间、负荷强度等工艺参数，确保处理效果的稳定性。配备流量自动分析监控仪器，定期取样监测，操作人员及时调整，使设备处于最佳工况，如发现不正常现象，就需立即采取预防措施。</w:t>
      </w:r>
    </w:p>
    <w:p>
      <w:pPr>
        <w:ind w:firstLine="480"/>
        <w:rPr>
          <w:szCs w:val="21"/>
        </w:rPr>
      </w:pPr>
      <w:r>
        <w:rPr>
          <w:szCs w:val="21"/>
        </w:rPr>
        <w:t>f、在生产过程中加强管理，建立监督责任制，防止人为造成的污水不处理直接排放。</w:t>
      </w:r>
    </w:p>
    <w:p>
      <w:pPr>
        <w:ind w:firstLine="480"/>
        <w:rPr>
          <w:szCs w:val="21"/>
        </w:rPr>
      </w:pPr>
      <w:r>
        <w:rPr>
          <w:szCs w:val="21"/>
        </w:rPr>
        <w:t>g、检修过程中合理控制时间，将污水尽量收集在收集池内后在进行检修，避免事故排放。</w:t>
      </w:r>
    </w:p>
    <w:p>
      <w:pPr>
        <w:ind w:firstLine="480"/>
        <w:rPr>
          <w:szCs w:val="21"/>
        </w:rPr>
      </w:pPr>
      <w:r>
        <w:rPr>
          <w:rFonts w:hint="eastAsia"/>
          <w:szCs w:val="21"/>
        </w:rPr>
        <w:t>（2）</w:t>
      </w:r>
      <w:r>
        <w:rPr>
          <w:szCs w:val="21"/>
        </w:rPr>
        <w:t>其他防范措施</w:t>
      </w:r>
    </w:p>
    <w:p>
      <w:pPr>
        <w:ind w:firstLine="480"/>
        <w:rPr>
          <w:szCs w:val="21"/>
        </w:rPr>
      </w:pPr>
      <w:r>
        <w:rPr>
          <w:szCs w:val="21"/>
        </w:rPr>
        <w:t>设置出水水质自动监测装置及报警装置，设置出厂污水截断装置，当事故发生后，立即截断污水来源和杜绝事故排放。对总排口</w:t>
      </w:r>
      <w:r>
        <w:rPr>
          <w:rFonts w:hint="eastAsia"/>
          <w:szCs w:val="21"/>
        </w:rPr>
        <w:t>pH值、COD、氨氮、流量、总磷等</w:t>
      </w:r>
      <w:r>
        <w:rPr>
          <w:szCs w:val="21"/>
        </w:rPr>
        <w:t>进行在线监测，一旦发现总排口废水不达标立即报警，同时截断污水来源和杜绝事故排放。</w:t>
      </w:r>
    </w:p>
    <w:p>
      <w:pPr>
        <w:ind w:firstLine="480"/>
        <w:rPr>
          <w:szCs w:val="21"/>
        </w:rPr>
      </w:pPr>
      <w:r>
        <w:rPr>
          <w:rFonts w:hint="eastAsia"/>
          <w:szCs w:val="21"/>
        </w:rPr>
        <w:t>3、突发环境事件应急预案</w:t>
      </w:r>
    </w:p>
    <w:p>
      <w:pPr>
        <w:ind w:firstLine="480"/>
        <w:sectPr>
          <w:pgSz w:w="11906" w:h="16838"/>
          <w:pgMar w:top="1418" w:right="1588" w:bottom="1418" w:left="1588" w:header="851" w:footer="992" w:gutter="0"/>
          <w:pgNumType w:fmt="numberInDash"/>
          <w:cols w:space="425" w:num="1"/>
          <w:docGrid w:type="lines" w:linePitch="326" w:charSpace="0"/>
        </w:sectPr>
      </w:pPr>
      <w:r>
        <w:rPr>
          <w:rFonts w:hint="eastAsia"/>
          <w:szCs w:val="21"/>
        </w:rPr>
        <w:t>建设单位应完善环境风险事故应急救援预案，建立环境风险事故报警系统体系，确保各种通讯工具处于良好状态，制定标准的报警方法和程序，并对工人进行紧急事态时的报警培训；成立应急救援专业队伍，平时作好救援专业队伍的组织、训练和演练，并对工人进行应急处置知识的宣传教育</w:t>
      </w:r>
      <w:r>
        <w:rPr>
          <w:rFonts w:hint="eastAsia"/>
        </w:rPr>
        <w:t>。</w:t>
      </w:r>
    </w:p>
    <w:p>
      <w:pPr>
        <w:pStyle w:val="2"/>
      </w:pPr>
      <w:bookmarkStart w:id="152" w:name="_Toc166145962"/>
      <w:r>
        <w:rPr>
          <w:rFonts w:hint="eastAsia"/>
        </w:rPr>
        <w:t>9. 入河排污口设置合理性分析</w:t>
      </w:r>
      <w:bookmarkEnd w:id="152"/>
    </w:p>
    <w:p>
      <w:pPr>
        <w:pStyle w:val="3"/>
      </w:pPr>
      <w:bookmarkStart w:id="153" w:name="_Toc1798"/>
      <w:bookmarkStart w:id="154" w:name="_Toc17084"/>
      <w:bookmarkStart w:id="155" w:name="_Toc7"/>
      <w:bookmarkStart w:id="156" w:name="_Toc441"/>
      <w:bookmarkStart w:id="157" w:name="_Toc11810"/>
      <w:bookmarkStart w:id="158" w:name="_Toc166145963"/>
      <w:r>
        <w:t>9.1</w:t>
      </w:r>
      <w:r>
        <w:rPr>
          <w:rFonts w:hint="eastAsia"/>
        </w:rPr>
        <w:t xml:space="preserve"> </w:t>
      </w:r>
      <w:r>
        <w:t>排污口位置合理性分析</w:t>
      </w:r>
      <w:bookmarkEnd w:id="153"/>
      <w:bookmarkEnd w:id="154"/>
      <w:bookmarkEnd w:id="155"/>
      <w:bookmarkEnd w:id="156"/>
      <w:bookmarkEnd w:id="157"/>
      <w:bookmarkEnd w:id="158"/>
    </w:p>
    <w:p>
      <w:pPr>
        <w:widowControl/>
        <w:adjustRightInd w:val="0"/>
        <w:ind w:firstLine="480"/>
        <w:rPr>
          <w:bCs/>
          <w:kern w:val="0"/>
          <w:szCs w:val="24"/>
        </w:rPr>
      </w:pPr>
      <w:bookmarkStart w:id="159" w:name="_Toc20831"/>
      <w:r>
        <w:rPr>
          <w:bCs/>
          <w:kern w:val="0"/>
          <w:szCs w:val="24"/>
        </w:rPr>
        <w:t>本项目排污口的设置</w:t>
      </w:r>
      <w:r>
        <w:rPr>
          <w:rFonts w:hint="eastAsia"/>
          <w:bCs/>
          <w:kern w:val="0"/>
          <w:szCs w:val="24"/>
        </w:rPr>
        <w:t>，正常排放下</w:t>
      </w:r>
      <w:r>
        <w:rPr>
          <w:bCs/>
          <w:kern w:val="0"/>
          <w:szCs w:val="24"/>
        </w:rPr>
        <w:t>对水质、水生态、河流水温、水质监控断面水质、排污口下游水功能区、排污口下游取水单位、防洪、排涝、河势及其它生产经营活动等</w:t>
      </w:r>
      <w:r>
        <w:rPr>
          <w:rFonts w:hint="eastAsia"/>
          <w:bCs/>
          <w:kern w:val="0"/>
          <w:szCs w:val="24"/>
        </w:rPr>
        <w:t>产生的</w:t>
      </w:r>
      <w:r>
        <w:rPr>
          <w:bCs/>
          <w:kern w:val="0"/>
          <w:szCs w:val="24"/>
        </w:rPr>
        <w:t>不利影响</w:t>
      </w:r>
      <w:r>
        <w:rPr>
          <w:rFonts w:hint="eastAsia"/>
          <w:bCs/>
          <w:kern w:val="0"/>
          <w:szCs w:val="24"/>
        </w:rPr>
        <w:t>较小</w:t>
      </w:r>
      <w:r>
        <w:rPr>
          <w:bCs/>
          <w:kern w:val="0"/>
          <w:szCs w:val="24"/>
        </w:rPr>
        <w:t>。</w:t>
      </w:r>
      <w:bookmarkEnd w:id="159"/>
    </w:p>
    <w:p>
      <w:pPr>
        <w:widowControl/>
        <w:adjustRightInd w:val="0"/>
        <w:ind w:firstLine="480"/>
        <w:rPr>
          <w:bCs/>
          <w:kern w:val="0"/>
          <w:szCs w:val="24"/>
        </w:rPr>
      </w:pPr>
      <w:r>
        <w:rPr>
          <w:bCs/>
          <w:kern w:val="0"/>
          <w:szCs w:val="24"/>
        </w:rPr>
        <w:t>本项目正常排放对纳污水域水质影响分析和预测结果显示，</w:t>
      </w:r>
      <w:r>
        <w:rPr>
          <w:rFonts w:hint="eastAsia"/>
          <w:bCs/>
          <w:kern w:val="0"/>
          <w:szCs w:val="24"/>
        </w:rPr>
        <w:t>正常排放下，本项目</w:t>
      </w:r>
      <w:r>
        <w:rPr>
          <w:bCs/>
          <w:kern w:val="0"/>
          <w:szCs w:val="24"/>
        </w:rPr>
        <w:t>入河排污口的设置不会对改变现有水功能区水质类别，同时排污口位置两侧岸坡稳定。</w:t>
      </w:r>
    </w:p>
    <w:p>
      <w:pPr>
        <w:widowControl/>
        <w:adjustRightInd w:val="0"/>
        <w:ind w:firstLine="480"/>
        <w:rPr>
          <w:bCs/>
          <w:kern w:val="0"/>
          <w:szCs w:val="24"/>
        </w:rPr>
      </w:pPr>
      <w:r>
        <w:rPr>
          <w:bCs/>
          <w:kern w:val="0"/>
          <w:szCs w:val="24"/>
        </w:rPr>
        <w:t>因此，本项目排污口的设置位置是合理的。</w:t>
      </w:r>
    </w:p>
    <w:p>
      <w:pPr>
        <w:pStyle w:val="3"/>
      </w:pPr>
      <w:bookmarkStart w:id="160" w:name="_Toc166145964"/>
      <w:r>
        <w:rPr>
          <w:rFonts w:hint="eastAsia"/>
        </w:rPr>
        <w:t>9.2 相关政策要求</w:t>
      </w:r>
      <w:bookmarkEnd w:id="160"/>
    </w:p>
    <w:p>
      <w:pPr>
        <w:pStyle w:val="4"/>
      </w:pPr>
      <w:r>
        <w:rPr>
          <w:rFonts w:hint="eastAsia"/>
        </w:rPr>
        <w:t>9.2.1 与《中华人民共和国水污染防治法》的相符性分析</w:t>
      </w:r>
    </w:p>
    <w:p>
      <w:pPr>
        <w:ind w:firstLine="480"/>
        <w:rPr>
          <w:b/>
          <w:szCs w:val="21"/>
          <w:u w:val="single"/>
        </w:rPr>
      </w:pPr>
      <w:r>
        <w:rPr>
          <w:rFonts w:hint="eastAsia"/>
          <w:szCs w:val="21"/>
          <w:u w:val="single"/>
        </w:rPr>
        <w:t>根据《中华人民共和国水污染防治法》</w:t>
      </w:r>
      <w:r>
        <w:rPr>
          <w:b/>
          <w:szCs w:val="21"/>
          <w:u w:val="single"/>
        </w:rPr>
        <w:t>第五十八条</w:t>
      </w:r>
      <w:r>
        <w:rPr>
          <w:rFonts w:hint="eastAsia"/>
          <w:b/>
          <w:szCs w:val="21"/>
          <w:u w:val="single"/>
        </w:rPr>
        <w:t>“</w:t>
      </w:r>
      <w:r>
        <w:rPr>
          <w:b/>
          <w:szCs w:val="21"/>
          <w:u w:val="single"/>
        </w:rPr>
        <w:t>农田灌溉用水应当符合相应的水质标准，防止污染土壤、地下水和农产品。</w:t>
      </w:r>
    </w:p>
    <w:p>
      <w:pPr>
        <w:ind w:firstLine="482"/>
        <w:rPr>
          <w:b/>
          <w:szCs w:val="21"/>
          <w:u w:val="single"/>
        </w:rPr>
      </w:pPr>
      <w:r>
        <w:rPr>
          <w:b/>
          <w:szCs w:val="21"/>
          <w:u w:val="single"/>
        </w:rPr>
        <w:t>禁止向农田灌溉渠道排放工业废水或者医疗污水。向农田灌溉渠道排放城镇污水以及未综合利用的畜禽养殖废水、农产品加工废水的，应当保证其下游最近的灌溉取水点的水质符合农田灌溉水质标准。</w:t>
      </w:r>
      <w:r>
        <w:rPr>
          <w:rFonts w:hint="eastAsia"/>
          <w:b/>
          <w:szCs w:val="21"/>
          <w:u w:val="single"/>
        </w:rPr>
        <w:t>”</w:t>
      </w:r>
    </w:p>
    <w:p>
      <w:pPr>
        <w:ind w:firstLine="480"/>
        <w:rPr>
          <w:szCs w:val="21"/>
          <w:u w:val="single"/>
        </w:rPr>
      </w:pPr>
      <w:r>
        <w:rPr>
          <w:rFonts w:hint="eastAsia"/>
          <w:szCs w:val="21"/>
          <w:u w:val="single"/>
        </w:rPr>
        <w:t>澧县东部新区污水处理厂属于城镇污水处理厂，排放的废水不属于</w:t>
      </w:r>
      <w:r>
        <w:rPr>
          <w:szCs w:val="21"/>
          <w:u w:val="single"/>
        </w:rPr>
        <w:t>工业废水或者医疗污水</w:t>
      </w:r>
      <w:r>
        <w:rPr>
          <w:rFonts w:hint="eastAsia"/>
          <w:szCs w:val="21"/>
          <w:u w:val="single"/>
        </w:rPr>
        <w:t>，为</w:t>
      </w:r>
      <w:r>
        <w:rPr>
          <w:b/>
          <w:szCs w:val="21"/>
          <w:u w:val="single"/>
        </w:rPr>
        <w:t>城镇污水</w:t>
      </w:r>
      <w:r>
        <w:rPr>
          <w:rFonts w:hint="eastAsia"/>
          <w:b/>
          <w:szCs w:val="21"/>
          <w:u w:val="single"/>
        </w:rPr>
        <w:t>。</w:t>
      </w:r>
      <w:r>
        <w:rPr>
          <w:rFonts w:hint="eastAsia"/>
          <w:szCs w:val="21"/>
          <w:u w:val="single"/>
        </w:rPr>
        <w:t>废水经处理达到</w:t>
      </w:r>
      <w:r>
        <w:rPr>
          <w:szCs w:val="21"/>
          <w:u w:val="single"/>
        </w:rPr>
        <w:t>《城镇污水处理厂污染物排放标准》（GB18918-2002）一级A标准</w:t>
      </w:r>
      <w:r>
        <w:rPr>
          <w:rFonts w:hint="eastAsia"/>
          <w:szCs w:val="21"/>
          <w:u w:val="single"/>
        </w:rPr>
        <w:t>后通过废水总排口（DW001）排入项目东侧农灌沟渠，根据对废水总排口（DW001）下游150m处农灌渠水质的监测数据，水质能够达到</w:t>
      </w:r>
      <w:r>
        <w:rPr>
          <w:szCs w:val="21"/>
          <w:u w:val="single"/>
        </w:rPr>
        <w:t>《农田灌溉水质标准》（GB 5084-2021）</w:t>
      </w:r>
      <w:r>
        <w:rPr>
          <w:rFonts w:hint="eastAsia"/>
          <w:szCs w:val="21"/>
          <w:u w:val="single"/>
        </w:rPr>
        <w:t>中</w:t>
      </w:r>
      <w:r>
        <w:rPr>
          <w:szCs w:val="21"/>
          <w:u w:val="single"/>
        </w:rPr>
        <w:t>农田灌溉水质基本控制项目限值</w:t>
      </w:r>
      <w:r>
        <w:rPr>
          <w:rFonts w:hint="eastAsia"/>
          <w:szCs w:val="21"/>
          <w:u w:val="single"/>
        </w:rPr>
        <w:t>要求。</w:t>
      </w:r>
    </w:p>
    <w:p>
      <w:pPr>
        <w:ind w:firstLine="480"/>
        <w:rPr>
          <w:szCs w:val="21"/>
        </w:rPr>
      </w:pPr>
      <w:r>
        <w:rPr>
          <w:rFonts w:hint="eastAsia"/>
          <w:szCs w:val="21"/>
          <w:u w:val="single"/>
        </w:rPr>
        <w:t>因此，本项目排污口的设置符合《中华人民共和国水污染防治法》的有关规定。</w:t>
      </w:r>
    </w:p>
    <w:p>
      <w:pPr>
        <w:pStyle w:val="4"/>
      </w:pPr>
      <w:r>
        <w:rPr>
          <w:rFonts w:hint="eastAsia"/>
        </w:rPr>
        <w:t>9.2.2与</w:t>
      </w:r>
      <w:r>
        <w:rPr>
          <w:rFonts w:hint="eastAsia"/>
          <w:szCs w:val="22"/>
        </w:rPr>
        <w:t>《入河排污口监督管理办法》</w:t>
      </w:r>
      <w:r>
        <w:rPr>
          <w:rFonts w:hint="eastAsia"/>
        </w:rPr>
        <w:t>的相符性分析</w:t>
      </w:r>
    </w:p>
    <w:p>
      <w:pPr>
        <w:ind w:firstLine="480"/>
        <w:rPr>
          <w:szCs w:val="21"/>
        </w:rPr>
      </w:pPr>
      <w:r>
        <w:rPr>
          <w:rFonts w:hint="eastAsia"/>
          <w:szCs w:val="21"/>
        </w:rPr>
        <w:t>对照《入河排污口监督管理办法》（2015年修正本，2004年11月30日水利部令第22号发布，根据2015年12月16日水利部令第47号修改），本项目设置的入河排污口不属于“第十四条”中规定的不予同意设置入河排污口的情形。</w:t>
      </w:r>
    </w:p>
    <w:p>
      <w:pPr>
        <w:ind w:firstLine="480"/>
        <w:rPr>
          <w:szCs w:val="21"/>
        </w:rPr>
      </w:pPr>
      <w:r>
        <w:rPr>
          <w:rFonts w:hint="eastAsia"/>
          <w:szCs w:val="21"/>
        </w:rPr>
        <w:t>（1）在饮用水水源保护区内设置入河排污口的</w:t>
      </w:r>
    </w:p>
    <w:p>
      <w:pPr>
        <w:ind w:firstLine="480"/>
        <w:rPr>
          <w:szCs w:val="21"/>
        </w:rPr>
      </w:pPr>
      <w:r>
        <w:rPr>
          <w:rFonts w:hint="eastAsia"/>
          <w:szCs w:val="21"/>
        </w:rPr>
        <w:t>本项目入河排污口不涉及饮用水源保护区内。</w:t>
      </w:r>
    </w:p>
    <w:p>
      <w:pPr>
        <w:ind w:firstLine="480"/>
        <w:rPr>
          <w:szCs w:val="21"/>
        </w:rPr>
      </w:pPr>
      <w:r>
        <w:rPr>
          <w:rFonts w:hint="eastAsia"/>
          <w:szCs w:val="21"/>
        </w:rPr>
        <w:t>（2）在省级以上人民政府要求削减排污总量的水域设置入河排污口的</w:t>
      </w:r>
    </w:p>
    <w:p>
      <w:pPr>
        <w:ind w:firstLine="480"/>
        <w:rPr>
          <w:szCs w:val="21"/>
        </w:rPr>
      </w:pPr>
      <w:r>
        <w:rPr>
          <w:rFonts w:hint="eastAsia"/>
          <w:szCs w:val="21"/>
        </w:rPr>
        <w:t>本项目不属于要求削减排污总量的水域。</w:t>
      </w:r>
    </w:p>
    <w:p>
      <w:pPr>
        <w:ind w:firstLine="480"/>
        <w:rPr>
          <w:szCs w:val="21"/>
        </w:rPr>
      </w:pPr>
      <w:r>
        <w:rPr>
          <w:rFonts w:hint="eastAsia"/>
          <w:szCs w:val="21"/>
        </w:rPr>
        <w:t>（3）入河排污口设置可能使水域水质达不到水功能区要求的</w:t>
      </w:r>
    </w:p>
    <w:p>
      <w:pPr>
        <w:ind w:firstLine="480"/>
        <w:rPr>
          <w:szCs w:val="21"/>
        </w:rPr>
      </w:pPr>
      <w:r>
        <w:rPr>
          <w:rFonts w:hint="eastAsia"/>
          <w:szCs w:val="21"/>
        </w:rPr>
        <w:t>本项目纳污水体澹水开发利用区主要为</w:t>
      </w:r>
      <w:r>
        <w:rPr>
          <w:rFonts w:hint="eastAsia"/>
        </w:rPr>
        <w:t>景观娱乐用水及</w:t>
      </w:r>
      <w:r>
        <w:rPr>
          <w:rFonts w:hint="eastAsia"/>
          <w:szCs w:val="21"/>
        </w:rPr>
        <w:t>农业灌溉用水，</w:t>
      </w:r>
      <w:r>
        <w:rPr>
          <w:rFonts w:hint="eastAsia"/>
          <w:szCs w:val="24"/>
        </w:rPr>
        <w:t>2015年到2018年水质管理目标为</w:t>
      </w:r>
      <w:r>
        <w:t>Ⅲ～Ⅳ</w:t>
      </w:r>
      <w:r>
        <w:rPr>
          <w:rFonts w:hint="eastAsia"/>
        </w:rPr>
        <w:t>类</w:t>
      </w:r>
      <w:r>
        <w:rPr>
          <w:rFonts w:hint="eastAsia"/>
          <w:szCs w:val="21"/>
        </w:rPr>
        <w:t>。</w:t>
      </w:r>
    </w:p>
    <w:p>
      <w:pPr>
        <w:ind w:firstLine="480"/>
        <w:rPr>
          <w:szCs w:val="21"/>
        </w:rPr>
      </w:pPr>
      <w:r>
        <w:rPr>
          <w:rFonts w:hint="eastAsia"/>
          <w:szCs w:val="21"/>
        </w:rPr>
        <w:t>（4）入河排污口设置直接影响合法取水户用水安全的</w:t>
      </w:r>
    </w:p>
    <w:p>
      <w:pPr>
        <w:ind w:firstLine="480"/>
        <w:rPr>
          <w:szCs w:val="21"/>
        </w:rPr>
      </w:pPr>
      <w:r>
        <w:rPr>
          <w:rFonts w:hint="eastAsia"/>
          <w:szCs w:val="21"/>
        </w:rPr>
        <w:t>本项目入河排污口设置不影响合法取水户用水安全的。</w:t>
      </w:r>
    </w:p>
    <w:p>
      <w:pPr>
        <w:ind w:firstLine="480"/>
        <w:rPr>
          <w:szCs w:val="21"/>
        </w:rPr>
      </w:pPr>
      <w:r>
        <w:rPr>
          <w:rFonts w:hint="eastAsia"/>
          <w:szCs w:val="21"/>
        </w:rPr>
        <w:t>（5）入河排污口设置不符合防洪要求的</w:t>
      </w:r>
    </w:p>
    <w:p>
      <w:pPr>
        <w:ind w:firstLine="480"/>
        <w:rPr>
          <w:szCs w:val="21"/>
        </w:rPr>
      </w:pPr>
      <w:r>
        <w:rPr>
          <w:rFonts w:hint="eastAsia"/>
          <w:szCs w:val="21"/>
        </w:rPr>
        <w:t>本项目入河排污口设置符合防洪要求。</w:t>
      </w:r>
    </w:p>
    <w:p>
      <w:pPr>
        <w:ind w:firstLine="480"/>
        <w:rPr>
          <w:szCs w:val="21"/>
        </w:rPr>
      </w:pPr>
      <w:r>
        <w:rPr>
          <w:rFonts w:hint="eastAsia"/>
          <w:szCs w:val="21"/>
        </w:rPr>
        <w:t>（6）不符合法律、法规和国家产业政策规定的</w:t>
      </w:r>
    </w:p>
    <w:p>
      <w:pPr>
        <w:ind w:firstLine="480"/>
        <w:rPr>
          <w:szCs w:val="21"/>
        </w:rPr>
      </w:pPr>
      <w:r>
        <w:rPr>
          <w:rFonts w:hint="eastAsia"/>
          <w:szCs w:val="21"/>
        </w:rPr>
        <w:t>本项目符合法律、法规和国家产业政策规定。</w:t>
      </w:r>
    </w:p>
    <w:p>
      <w:pPr>
        <w:ind w:firstLine="480"/>
        <w:rPr>
          <w:szCs w:val="21"/>
        </w:rPr>
      </w:pPr>
      <w:r>
        <w:rPr>
          <w:rFonts w:hint="eastAsia"/>
          <w:szCs w:val="21"/>
        </w:rPr>
        <w:t>（7）其他不符合国务院水行政主管部门规定条件的。</w:t>
      </w:r>
    </w:p>
    <w:p>
      <w:pPr>
        <w:ind w:firstLine="480"/>
        <w:rPr>
          <w:szCs w:val="21"/>
        </w:rPr>
      </w:pPr>
      <w:r>
        <w:rPr>
          <w:rFonts w:hint="eastAsia"/>
          <w:szCs w:val="21"/>
        </w:rPr>
        <w:t>本项目无其他不符合国务院水行政主管部门规定条件的情形。</w:t>
      </w:r>
    </w:p>
    <w:p>
      <w:pPr>
        <w:ind w:firstLine="422"/>
        <w:jc w:val="center"/>
        <w:rPr>
          <w:rFonts w:hAnsi="宋体"/>
          <w:b/>
          <w:bCs/>
          <w:kern w:val="18"/>
          <w:sz w:val="21"/>
          <w:szCs w:val="21"/>
        </w:rPr>
      </w:pPr>
      <w:r>
        <w:rPr>
          <w:rFonts w:hAnsi="宋体"/>
          <w:b/>
          <w:bCs/>
          <w:kern w:val="18"/>
          <w:sz w:val="21"/>
          <w:szCs w:val="21"/>
        </w:rPr>
        <w:t>表9-1  与《入河排污口监督管理办法》符合性分析</w:t>
      </w:r>
    </w:p>
    <w:tbl>
      <w:tblPr>
        <w:tblStyle w:val="41"/>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3"/>
        <w:gridCol w:w="3260"/>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23" w:type="dxa"/>
            <w:tcMar>
              <w:left w:w="28" w:type="dxa"/>
              <w:right w:w="28" w:type="dxa"/>
            </w:tcMar>
            <w:vAlign w:val="center"/>
          </w:tcPr>
          <w:p>
            <w:pPr>
              <w:autoSpaceDE w:val="0"/>
              <w:autoSpaceDN w:val="0"/>
              <w:adjustRightInd w:val="0"/>
              <w:spacing w:line="260" w:lineRule="exact"/>
              <w:ind w:firstLine="0" w:firstLineChars="0"/>
              <w:jc w:val="center"/>
              <w:rPr>
                <w:b/>
                <w:bCs/>
                <w:kern w:val="0"/>
                <w:sz w:val="21"/>
                <w:szCs w:val="21"/>
              </w:rPr>
            </w:pPr>
            <w:r>
              <w:rPr>
                <w:b/>
                <w:bCs/>
                <w:kern w:val="0"/>
                <w:sz w:val="21"/>
                <w:szCs w:val="21"/>
              </w:rPr>
              <w:t>《入河排污口监督管理办法》第十四条要求：有下列情形之一的，不予同意设置入河排污口</w:t>
            </w:r>
          </w:p>
        </w:tc>
        <w:tc>
          <w:tcPr>
            <w:tcW w:w="3260" w:type="dxa"/>
            <w:tcMar>
              <w:left w:w="28" w:type="dxa"/>
              <w:right w:w="28" w:type="dxa"/>
            </w:tcMar>
            <w:vAlign w:val="center"/>
          </w:tcPr>
          <w:p>
            <w:pPr>
              <w:autoSpaceDE w:val="0"/>
              <w:autoSpaceDN w:val="0"/>
              <w:adjustRightInd w:val="0"/>
              <w:spacing w:line="260" w:lineRule="exact"/>
              <w:ind w:firstLine="0" w:firstLineChars="0"/>
              <w:jc w:val="center"/>
              <w:rPr>
                <w:b/>
                <w:kern w:val="0"/>
                <w:sz w:val="21"/>
                <w:szCs w:val="21"/>
              </w:rPr>
            </w:pPr>
            <w:r>
              <w:rPr>
                <w:b/>
                <w:kern w:val="0"/>
                <w:sz w:val="21"/>
                <w:szCs w:val="21"/>
              </w:rPr>
              <w:t>本项目情况</w:t>
            </w:r>
          </w:p>
        </w:tc>
        <w:tc>
          <w:tcPr>
            <w:tcW w:w="1049" w:type="dxa"/>
            <w:tcMar>
              <w:left w:w="28" w:type="dxa"/>
              <w:right w:w="28" w:type="dxa"/>
            </w:tcMar>
            <w:vAlign w:val="center"/>
          </w:tcPr>
          <w:p>
            <w:pPr>
              <w:autoSpaceDE w:val="0"/>
              <w:autoSpaceDN w:val="0"/>
              <w:adjustRightInd w:val="0"/>
              <w:spacing w:line="260" w:lineRule="exact"/>
              <w:ind w:firstLine="0" w:firstLineChars="0"/>
              <w:jc w:val="center"/>
              <w:rPr>
                <w:b/>
                <w:kern w:val="0"/>
                <w:sz w:val="21"/>
                <w:szCs w:val="21"/>
              </w:rPr>
            </w:pPr>
            <w:r>
              <w:rPr>
                <w:b/>
                <w:kern w:val="0"/>
                <w:sz w:val="21"/>
                <w:szCs w:val="21"/>
              </w:rPr>
              <w:t>是否符合审批条件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3" w:type="dxa"/>
            <w:tcMar>
              <w:left w:w="28" w:type="dxa"/>
              <w:right w:w="28" w:type="dxa"/>
            </w:tcMar>
            <w:vAlign w:val="center"/>
          </w:tcPr>
          <w:p>
            <w:pPr>
              <w:autoSpaceDE w:val="0"/>
              <w:autoSpaceDN w:val="0"/>
              <w:adjustRightInd w:val="0"/>
              <w:spacing w:line="260" w:lineRule="exact"/>
              <w:ind w:firstLine="0" w:firstLineChars="0"/>
              <w:rPr>
                <w:kern w:val="0"/>
                <w:sz w:val="21"/>
                <w:szCs w:val="21"/>
              </w:rPr>
            </w:pPr>
            <w:r>
              <w:rPr>
                <w:kern w:val="0"/>
                <w:sz w:val="21"/>
                <w:szCs w:val="21"/>
              </w:rPr>
              <w:t>(一)在饮用水水源保护区内设置入河排污口的；</w:t>
            </w:r>
          </w:p>
        </w:tc>
        <w:tc>
          <w:tcPr>
            <w:tcW w:w="3260" w:type="dxa"/>
            <w:tcMar>
              <w:left w:w="28" w:type="dxa"/>
              <w:right w:w="28" w:type="dxa"/>
            </w:tcMar>
            <w:vAlign w:val="center"/>
          </w:tcPr>
          <w:p>
            <w:pPr>
              <w:autoSpaceDE w:val="0"/>
              <w:autoSpaceDN w:val="0"/>
              <w:adjustRightInd w:val="0"/>
              <w:spacing w:line="260" w:lineRule="exact"/>
              <w:ind w:firstLine="0" w:firstLineChars="0"/>
              <w:rPr>
                <w:kern w:val="0"/>
                <w:sz w:val="21"/>
                <w:szCs w:val="21"/>
              </w:rPr>
            </w:pPr>
            <w:r>
              <w:rPr>
                <w:kern w:val="0"/>
                <w:sz w:val="21"/>
                <w:szCs w:val="21"/>
              </w:rPr>
              <w:t>不涉及饮用水源</w:t>
            </w:r>
          </w:p>
        </w:tc>
        <w:tc>
          <w:tcPr>
            <w:tcW w:w="1049" w:type="dxa"/>
            <w:tcMar>
              <w:left w:w="28" w:type="dxa"/>
              <w:right w:w="28" w:type="dxa"/>
            </w:tcMar>
            <w:vAlign w:val="center"/>
          </w:tcPr>
          <w:p>
            <w:pPr>
              <w:autoSpaceDE w:val="0"/>
              <w:autoSpaceDN w:val="0"/>
              <w:adjustRightInd w:val="0"/>
              <w:spacing w:line="260" w:lineRule="exact"/>
              <w:ind w:firstLine="0" w:firstLineChars="0"/>
              <w:jc w:val="center"/>
              <w:rPr>
                <w:kern w:val="0"/>
                <w:sz w:val="21"/>
                <w:szCs w:val="21"/>
              </w:rPr>
            </w:pPr>
            <w:r>
              <w:rPr>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3" w:type="dxa"/>
            <w:tcMar>
              <w:left w:w="28" w:type="dxa"/>
              <w:right w:w="28" w:type="dxa"/>
            </w:tcMar>
            <w:vAlign w:val="center"/>
          </w:tcPr>
          <w:p>
            <w:pPr>
              <w:autoSpaceDE w:val="0"/>
              <w:autoSpaceDN w:val="0"/>
              <w:adjustRightInd w:val="0"/>
              <w:spacing w:line="260" w:lineRule="exact"/>
              <w:ind w:firstLine="0" w:firstLineChars="0"/>
              <w:rPr>
                <w:kern w:val="0"/>
                <w:sz w:val="21"/>
                <w:szCs w:val="21"/>
              </w:rPr>
            </w:pPr>
            <w:r>
              <w:rPr>
                <w:kern w:val="0"/>
                <w:sz w:val="21"/>
                <w:szCs w:val="21"/>
              </w:rPr>
              <w:t>(二)在省级以上人民政府要求削减排污总量的水域设置入河排污口的；</w:t>
            </w:r>
          </w:p>
        </w:tc>
        <w:tc>
          <w:tcPr>
            <w:tcW w:w="3260" w:type="dxa"/>
            <w:tcMar>
              <w:left w:w="28" w:type="dxa"/>
              <w:right w:w="28" w:type="dxa"/>
            </w:tcMar>
            <w:vAlign w:val="center"/>
          </w:tcPr>
          <w:p>
            <w:pPr>
              <w:autoSpaceDE w:val="0"/>
              <w:autoSpaceDN w:val="0"/>
              <w:adjustRightInd w:val="0"/>
              <w:spacing w:line="260" w:lineRule="exact"/>
              <w:ind w:firstLine="0" w:firstLineChars="0"/>
              <w:rPr>
                <w:kern w:val="0"/>
                <w:sz w:val="21"/>
                <w:szCs w:val="21"/>
              </w:rPr>
            </w:pPr>
            <w:r>
              <w:rPr>
                <w:kern w:val="0"/>
                <w:sz w:val="21"/>
                <w:szCs w:val="21"/>
              </w:rPr>
              <w:t>不属于要求削减排污总量的水域</w:t>
            </w:r>
          </w:p>
        </w:tc>
        <w:tc>
          <w:tcPr>
            <w:tcW w:w="1049" w:type="dxa"/>
            <w:tcMar>
              <w:left w:w="28" w:type="dxa"/>
              <w:right w:w="28" w:type="dxa"/>
            </w:tcMar>
            <w:vAlign w:val="center"/>
          </w:tcPr>
          <w:p>
            <w:pPr>
              <w:autoSpaceDE w:val="0"/>
              <w:autoSpaceDN w:val="0"/>
              <w:adjustRightInd w:val="0"/>
              <w:spacing w:line="260" w:lineRule="exact"/>
              <w:ind w:firstLine="0" w:firstLineChars="0"/>
              <w:jc w:val="center"/>
              <w:rPr>
                <w:kern w:val="0"/>
                <w:sz w:val="21"/>
                <w:szCs w:val="21"/>
              </w:rPr>
            </w:pPr>
            <w:r>
              <w:rPr>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3" w:type="dxa"/>
            <w:tcMar>
              <w:left w:w="28" w:type="dxa"/>
              <w:right w:w="28" w:type="dxa"/>
            </w:tcMar>
            <w:vAlign w:val="center"/>
          </w:tcPr>
          <w:p>
            <w:pPr>
              <w:autoSpaceDE w:val="0"/>
              <w:autoSpaceDN w:val="0"/>
              <w:adjustRightInd w:val="0"/>
              <w:spacing w:line="260" w:lineRule="exact"/>
              <w:ind w:firstLine="0" w:firstLineChars="0"/>
              <w:rPr>
                <w:kern w:val="0"/>
                <w:sz w:val="21"/>
                <w:szCs w:val="21"/>
              </w:rPr>
            </w:pPr>
            <w:r>
              <w:rPr>
                <w:kern w:val="0"/>
                <w:sz w:val="21"/>
                <w:szCs w:val="21"/>
              </w:rPr>
              <w:t>(三)入河排污口设置可能使水域水质达不到水功能区要求的；</w:t>
            </w:r>
          </w:p>
        </w:tc>
        <w:tc>
          <w:tcPr>
            <w:tcW w:w="3260" w:type="dxa"/>
            <w:tcMar>
              <w:left w:w="28" w:type="dxa"/>
              <w:right w:w="28" w:type="dxa"/>
            </w:tcMar>
            <w:vAlign w:val="center"/>
          </w:tcPr>
          <w:p>
            <w:pPr>
              <w:autoSpaceDE w:val="0"/>
              <w:autoSpaceDN w:val="0"/>
              <w:adjustRightInd w:val="0"/>
              <w:spacing w:line="260" w:lineRule="exact"/>
              <w:ind w:firstLine="0" w:firstLineChars="0"/>
              <w:rPr>
                <w:kern w:val="0"/>
                <w:sz w:val="21"/>
                <w:szCs w:val="21"/>
              </w:rPr>
            </w:pPr>
            <w:r>
              <w:rPr>
                <w:sz w:val="21"/>
                <w:szCs w:val="21"/>
              </w:rPr>
              <w:t>根据《湖南省入河（湖）排污口监督管理工作方案》（湘环发[2023]31号）第三条重点任务——（三）严格规范设置审批</w:t>
            </w:r>
            <w:r>
              <w:rPr>
                <w:rFonts w:hint="eastAsia"/>
                <w:sz w:val="21"/>
                <w:szCs w:val="21"/>
              </w:rPr>
              <w:t>“</w:t>
            </w:r>
            <w:r>
              <w:rPr>
                <w:sz w:val="21"/>
                <w:szCs w:val="21"/>
              </w:rPr>
              <w:t>对于工矿企业、工业及其他各类园区污水处理厂、城镇污水处理厂等排污口的设置依法依规实行审批制。</w:t>
            </w:r>
            <w:r>
              <w:rPr>
                <w:b/>
                <w:sz w:val="21"/>
                <w:szCs w:val="21"/>
              </w:rPr>
              <w:t>对未达到水质目标的水功能区，除城镇污水处理厂排污口外，应当严格控制新设、改设或者扩大排污口</w:t>
            </w:r>
            <w:r>
              <w:rPr>
                <w:rFonts w:hint="eastAsia"/>
                <w:sz w:val="21"/>
                <w:szCs w:val="21"/>
              </w:rPr>
              <w:t>”</w:t>
            </w:r>
            <w:r>
              <w:rPr>
                <w:sz w:val="21"/>
                <w:szCs w:val="21"/>
              </w:rPr>
              <w:t>。</w:t>
            </w:r>
            <w:r>
              <w:rPr>
                <w:kern w:val="0"/>
                <w:sz w:val="21"/>
                <w:szCs w:val="21"/>
              </w:rPr>
              <w:t>本项目纳污水体澹水为澧水一级支流，澹水水质类别为</w:t>
            </w:r>
            <w:r>
              <w:rPr>
                <w:rFonts w:hint="eastAsia" w:ascii="宋体" w:hAnsi="宋体" w:cs="宋体"/>
                <w:kern w:val="0"/>
                <w:sz w:val="21"/>
                <w:szCs w:val="21"/>
              </w:rPr>
              <w:t>Ⅱ</w:t>
            </w:r>
            <w:r>
              <w:rPr>
                <w:kern w:val="0"/>
                <w:sz w:val="21"/>
                <w:szCs w:val="21"/>
              </w:rPr>
              <w:t>类～劣</w:t>
            </w:r>
            <w:r>
              <w:rPr>
                <w:rFonts w:hint="eastAsia" w:ascii="宋体" w:hAnsi="宋体" w:cs="宋体"/>
                <w:kern w:val="0"/>
                <w:sz w:val="21"/>
                <w:szCs w:val="21"/>
              </w:rPr>
              <w:t>Ⅴ</w:t>
            </w:r>
            <w:r>
              <w:rPr>
                <w:kern w:val="0"/>
                <w:sz w:val="21"/>
                <w:szCs w:val="21"/>
              </w:rPr>
              <w:t>类，2015年到2018年水质管理目标为</w:t>
            </w:r>
            <w:r>
              <w:rPr>
                <w:rFonts w:hint="eastAsia" w:ascii="宋体" w:hAnsi="宋体" w:cs="宋体"/>
                <w:kern w:val="0"/>
                <w:sz w:val="21"/>
                <w:szCs w:val="21"/>
              </w:rPr>
              <w:t>Ⅲ</w:t>
            </w:r>
            <w:r>
              <w:rPr>
                <w:kern w:val="0"/>
                <w:sz w:val="21"/>
                <w:szCs w:val="21"/>
              </w:rPr>
              <w:t>～</w:t>
            </w:r>
            <w:r>
              <w:rPr>
                <w:rFonts w:hint="eastAsia" w:ascii="宋体" w:hAnsi="宋体" w:cs="宋体"/>
                <w:kern w:val="0"/>
                <w:sz w:val="21"/>
                <w:szCs w:val="21"/>
              </w:rPr>
              <w:t>Ⅳ</w:t>
            </w:r>
            <w:r>
              <w:rPr>
                <w:kern w:val="0"/>
                <w:sz w:val="21"/>
                <w:szCs w:val="21"/>
              </w:rPr>
              <w:t>类</w:t>
            </w:r>
            <w:r>
              <w:rPr>
                <w:rFonts w:hint="eastAsia"/>
                <w:kern w:val="0"/>
                <w:sz w:val="21"/>
                <w:szCs w:val="21"/>
              </w:rPr>
              <w:t>（本次论证按Ⅲ类水质），</w:t>
            </w:r>
            <w:r>
              <w:rPr>
                <w:kern w:val="0"/>
                <w:sz w:val="21"/>
                <w:szCs w:val="21"/>
              </w:rPr>
              <w:t>属于未达到水质目标的水功能区，由于本项目为城镇污水处理厂排污口，不属于严格控制新设、改设或者扩大排污口的范围，可新设入河排污口。</w:t>
            </w:r>
          </w:p>
        </w:tc>
        <w:tc>
          <w:tcPr>
            <w:tcW w:w="1049" w:type="dxa"/>
            <w:tcMar>
              <w:left w:w="28" w:type="dxa"/>
              <w:right w:w="28" w:type="dxa"/>
            </w:tcMar>
            <w:vAlign w:val="center"/>
          </w:tcPr>
          <w:p>
            <w:pPr>
              <w:autoSpaceDE w:val="0"/>
              <w:autoSpaceDN w:val="0"/>
              <w:adjustRightInd w:val="0"/>
              <w:spacing w:line="260" w:lineRule="exact"/>
              <w:ind w:firstLine="0" w:firstLineChars="0"/>
              <w:jc w:val="center"/>
              <w:rPr>
                <w:kern w:val="0"/>
                <w:sz w:val="21"/>
                <w:szCs w:val="21"/>
              </w:rPr>
            </w:pPr>
            <w:r>
              <w:rPr>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3" w:type="dxa"/>
            <w:tcMar>
              <w:left w:w="28" w:type="dxa"/>
              <w:right w:w="28" w:type="dxa"/>
            </w:tcMar>
            <w:vAlign w:val="center"/>
          </w:tcPr>
          <w:p>
            <w:pPr>
              <w:autoSpaceDE w:val="0"/>
              <w:autoSpaceDN w:val="0"/>
              <w:adjustRightInd w:val="0"/>
              <w:spacing w:line="260" w:lineRule="exact"/>
              <w:ind w:firstLine="0" w:firstLineChars="0"/>
              <w:rPr>
                <w:kern w:val="0"/>
                <w:sz w:val="21"/>
                <w:szCs w:val="21"/>
              </w:rPr>
            </w:pPr>
            <w:r>
              <w:rPr>
                <w:kern w:val="0"/>
                <w:sz w:val="21"/>
                <w:szCs w:val="21"/>
              </w:rPr>
              <w:t>(四)入河排污口设置直接影响合法取水户用水安全的；</w:t>
            </w:r>
          </w:p>
        </w:tc>
        <w:tc>
          <w:tcPr>
            <w:tcW w:w="3260" w:type="dxa"/>
            <w:tcMar>
              <w:left w:w="28" w:type="dxa"/>
              <w:right w:w="28" w:type="dxa"/>
            </w:tcMar>
            <w:vAlign w:val="center"/>
          </w:tcPr>
          <w:p>
            <w:pPr>
              <w:autoSpaceDE w:val="0"/>
              <w:autoSpaceDN w:val="0"/>
              <w:adjustRightInd w:val="0"/>
              <w:spacing w:line="260" w:lineRule="exact"/>
              <w:ind w:firstLine="0" w:firstLineChars="0"/>
              <w:rPr>
                <w:kern w:val="0"/>
                <w:sz w:val="21"/>
                <w:szCs w:val="21"/>
              </w:rPr>
            </w:pPr>
            <w:r>
              <w:rPr>
                <w:kern w:val="0"/>
                <w:sz w:val="21"/>
                <w:szCs w:val="21"/>
              </w:rPr>
              <w:t>入河排污口设置不影响合法取水户用水安全</w:t>
            </w:r>
          </w:p>
        </w:tc>
        <w:tc>
          <w:tcPr>
            <w:tcW w:w="1049" w:type="dxa"/>
            <w:tcMar>
              <w:left w:w="28" w:type="dxa"/>
              <w:right w:w="28" w:type="dxa"/>
            </w:tcMar>
            <w:vAlign w:val="center"/>
          </w:tcPr>
          <w:p>
            <w:pPr>
              <w:autoSpaceDE w:val="0"/>
              <w:autoSpaceDN w:val="0"/>
              <w:adjustRightInd w:val="0"/>
              <w:spacing w:line="260" w:lineRule="exact"/>
              <w:ind w:firstLine="0" w:firstLineChars="0"/>
              <w:jc w:val="center"/>
              <w:rPr>
                <w:kern w:val="0"/>
                <w:sz w:val="21"/>
                <w:szCs w:val="21"/>
              </w:rPr>
            </w:pPr>
            <w:r>
              <w:rPr>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3" w:type="dxa"/>
            <w:tcMar>
              <w:left w:w="28" w:type="dxa"/>
              <w:right w:w="28" w:type="dxa"/>
            </w:tcMar>
            <w:vAlign w:val="center"/>
          </w:tcPr>
          <w:p>
            <w:pPr>
              <w:autoSpaceDE w:val="0"/>
              <w:autoSpaceDN w:val="0"/>
              <w:adjustRightInd w:val="0"/>
              <w:spacing w:line="260" w:lineRule="exact"/>
              <w:ind w:firstLine="0" w:firstLineChars="0"/>
              <w:rPr>
                <w:kern w:val="0"/>
                <w:sz w:val="21"/>
                <w:szCs w:val="21"/>
              </w:rPr>
            </w:pPr>
            <w:r>
              <w:rPr>
                <w:kern w:val="0"/>
                <w:sz w:val="21"/>
                <w:szCs w:val="21"/>
              </w:rPr>
              <w:t>(五)入河排污口设置不符合防洪要求的；</w:t>
            </w:r>
          </w:p>
        </w:tc>
        <w:tc>
          <w:tcPr>
            <w:tcW w:w="3260" w:type="dxa"/>
            <w:tcMar>
              <w:left w:w="28" w:type="dxa"/>
              <w:right w:w="28" w:type="dxa"/>
            </w:tcMar>
            <w:vAlign w:val="center"/>
          </w:tcPr>
          <w:p>
            <w:pPr>
              <w:autoSpaceDE w:val="0"/>
              <w:autoSpaceDN w:val="0"/>
              <w:adjustRightInd w:val="0"/>
              <w:spacing w:line="260" w:lineRule="exact"/>
              <w:ind w:firstLine="0" w:firstLineChars="0"/>
              <w:rPr>
                <w:kern w:val="0"/>
                <w:sz w:val="21"/>
                <w:szCs w:val="21"/>
              </w:rPr>
            </w:pPr>
            <w:r>
              <w:rPr>
                <w:kern w:val="0"/>
                <w:sz w:val="21"/>
                <w:szCs w:val="21"/>
              </w:rPr>
              <w:t>入河排污口设置符合防洪要求</w:t>
            </w:r>
          </w:p>
        </w:tc>
        <w:tc>
          <w:tcPr>
            <w:tcW w:w="1049" w:type="dxa"/>
            <w:tcMar>
              <w:left w:w="28" w:type="dxa"/>
              <w:right w:w="28" w:type="dxa"/>
            </w:tcMar>
            <w:vAlign w:val="center"/>
          </w:tcPr>
          <w:p>
            <w:pPr>
              <w:autoSpaceDE w:val="0"/>
              <w:autoSpaceDN w:val="0"/>
              <w:adjustRightInd w:val="0"/>
              <w:spacing w:line="260" w:lineRule="exact"/>
              <w:ind w:firstLine="0" w:firstLineChars="0"/>
              <w:jc w:val="center"/>
              <w:rPr>
                <w:kern w:val="0"/>
                <w:sz w:val="21"/>
                <w:szCs w:val="21"/>
              </w:rPr>
            </w:pPr>
            <w:r>
              <w:rPr>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3" w:type="dxa"/>
            <w:tcMar>
              <w:left w:w="28" w:type="dxa"/>
              <w:right w:w="28" w:type="dxa"/>
            </w:tcMar>
            <w:vAlign w:val="center"/>
          </w:tcPr>
          <w:p>
            <w:pPr>
              <w:autoSpaceDE w:val="0"/>
              <w:autoSpaceDN w:val="0"/>
              <w:adjustRightInd w:val="0"/>
              <w:spacing w:line="260" w:lineRule="exact"/>
              <w:ind w:firstLine="0" w:firstLineChars="0"/>
              <w:rPr>
                <w:kern w:val="0"/>
                <w:sz w:val="21"/>
                <w:szCs w:val="21"/>
              </w:rPr>
            </w:pPr>
            <w:r>
              <w:rPr>
                <w:kern w:val="0"/>
                <w:sz w:val="21"/>
                <w:szCs w:val="21"/>
              </w:rPr>
              <w:t>(六)不符合法律、法规和国家产业政策规定的；</w:t>
            </w:r>
          </w:p>
        </w:tc>
        <w:tc>
          <w:tcPr>
            <w:tcW w:w="3260" w:type="dxa"/>
            <w:tcMar>
              <w:left w:w="28" w:type="dxa"/>
              <w:right w:w="28" w:type="dxa"/>
            </w:tcMar>
            <w:vAlign w:val="center"/>
          </w:tcPr>
          <w:p>
            <w:pPr>
              <w:autoSpaceDE w:val="0"/>
              <w:autoSpaceDN w:val="0"/>
              <w:adjustRightInd w:val="0"/>
              <w:spacing w:line="260" w:lineRule="exact"/>
              <w:ind w:firstLine="0" w:firstLineChars="0"/>
              <w:rPr>
                <w:kern w:val="0"/>
                <w:sz w:val="21"/>
                <w:szCs w:val="21"/>
              </w:rPr>
            </w:pPr>
            <w:r>
              <w:rPr>
                <w:kern w:val="0"/>
                <w:sz w:val="21"/>
                <w:szCs w:val="21"/>
              </w:rPr>
              <w:t>本项目符合法律、法规和国家产业政策规定</w:t>
            </w:r>
          </w:p>
        </w:tc>
        <w:tc>
          <w:tcPr>
            <w:tcW w:w="1049" w:type="dxa"/>
            <w:tcMar>
              <w:left w:w="28" w:type="dxa"/>
              <w:right w:w="28" w:type="dxa"/>
            </w:tcMar>
            <w:vAlign w:val="center"/>
          </w:tcPr>
          <w:p>
            <w:pPr>
              <w:autoSpaceDE w:val="0"/>
              <w:autoSpaceDN w:val="0"/>
              <w:adjustRightInd w:val="0"/>
              <w:spacing w:line="260" w:lineRule="exact"/>
              <w:ind w:firstLine="0" w:firstLineChars="0"/>
              <w:jc w:val="center"/>
              <w:rPr>
                <w:kern w:val="0"/>
                <w:sz w:val="21"/>
                <w:szCs w:val="21"/>
              </w:rPr>
            </w:pPr>
            <w:r>
              <w:rPr>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3" w:type="dxa"/>
            <w:tcMar>
              <w:left w:w="28" w:type="dxa"/>
              <w:right w:w="28" w:type="dxa"/>
            </w:tcMar>
            <w:vAlign w:val="center"/>
          </w:tcPr>
          <w:p>
            <w:pPr>
              <w:autoSpaceDE w:val="0"/>
              <w:autoSpaceDN w:val="0"/>
              <w:adjustRightInd w:val="0"/>
              <w:spacing w:line="260" w:lineRule="exact"/>
              <w:ind w:firstLine="0" w:firstLineChars="0"/>
              <w:rPr>
                <w:kern w:val="0"/>
                <w:sz w:val="21"/>
                <w:szCs w:val="21"/>
              </w:rPr>
            </w:pPr>
            <w:r>
              <w:rPr>
                <w:kern w:val="0"/>
                <w:sz w:val="21"/>
                <w:szCs w:val="21"/>
              </w:rPr>
              <w:t>(七)其他不符合国务院水行政主管部门规定条件的。</w:t>
            </w:r>
          </w:p>
        </w:tc>
        <w:tc>
          <w:tcPr>
            <w:tcW w:w="3260" w:type="dxa"/>
            <w:tcMar>
              <w:left w:w="28" w:type="dxa"/>
              <w:right w:w="28" w:type="dxa"/>
            </w:tcMar>
            <w:vAlign w:val="center"/>
          </w:tcPr>
          <w:p>
            <w:pPr>
              <w:autoSpaceDE w:val="0"/>
              <w:autoSpaceDN w:val="0"/>
              <w:adjustRightInd w:val="0"/>
              <w:spacing w:line="260" w:lineRule="exact"/>
              <w:ind w:firstLine="0" w:firstLineChars="0"/>
              <w:rPr>
                <w:kern w:val="0"/>
                <w:sz w:val="21"/>
                <w:szCs w:val="21"/>
              </w:rPr>
            </w:pPr>
            <w:r>
              <w:rPr>
                <w:kern w:val="0"/>
                <w:sz w:val="21"/>
                <w:szCs w:val="21"/>
              </w:rPr>
              <w:t>本项目无其他不符合国务院水行政主管部门规定条件的情形</w:t>
            </w:r>
          </w:p>
        </w:tc>
        <w:tc>
          <w:tcPr>
            <w:tcW w:w="1049" w:type="dxa"/>
            <w:tcMar>
              <w:left w:w="28" w:type="dxa"/>
              <w:right w:w="28" w:type="dxa"/>
            </w:tcMar>
            <w:vAlign w:val="center"/>
          </w:tcPr>
          <w:p>
            <w:pPr>
              <w:autoSpaceDE w:val="0"/>
              <w:autoSpaceDN w:val="0"/>
              <w:adjustRightInd w:val="0"/>
              <w:spacing w:line="260" w:lineRule="exact"/>
              <w:ind w:firstLine="0" w:firstLineChars="0"/>
              <w:jc w:val="center"/>
              <w:rPr>
                <w:kern w:val="0"/>
                <w:sz w:val="21"/>
                <w:szCs w:val="21"/>
              </w:rPr>
            </w:pPr>
            <w:r>
              <w:rPr>
                <w:kern w:val="0"/>
                <w:sz w:val="21"/>
                <w:szCs w:val="21"/>
              </w:rPr>
              <w:t>符合</w:t>
            </w:r>
          </w:p>
        </w:tc>
      </w:tr>
    </w:tbl>
    <w:p>
      <w:pPr>
        <w:pStyle w:val="4"/>
      </w:pPr>
      <w:r>
        <w:rPr>
          <w:rFonts w:hint="eastAsia"/>
        </w:rPr>
        <w:t>9.2.3 与《湖南省入河排污口监督管理办法》的相符性分析</w:t>
      </w:r>
    </w:p>
    <w:p>
      <w:pPr>
        <w:ind w:firstLine="480"/>
        <w:rPr>
          <w:szCs w:val="21"/>
        </w:rPr>
      </w:pPr>
      <w:r>
        <w:rPr>
          <w:rFonts w:hint="eastAsia"/>
          <w:szCs w:val="21"/>
        </w:rPr>
        <w:t>根据《湖南省入河排污口监督管理办法》（湘政发办[2018]44号），有下列情形之一的，不予同意设置入河排污口：</w:t>
      </w:r>
    </w:p>
    <w:p>
      <w:pPr>
        <w:ind w:firstLine="480"/>
        <w:rPr>
          <w:szCs w:val="21"/>
        </w:rPr>
      </w:pPr>
      <w:r>
        <w:rPr>
          <w:rFonts w:hint="eastAsia"/>
          <w:szCs w:val="21"/>
        </w:rPr>
        <w:t>（1）饮用水水源一级、二级保护区内。</w:t>
      </w:r>
    </w:p>
    <w:p>
      <w:pPr>
        <w:ind w:firstLine="480"/>
        <w:rPr>
          <w:szCs w:val="21"/>
        </w:rPr>
      </w:pPr>
      <w:r>
        <w:rPr>
          <w:rFonts w:hint="eastAsia"/>
          <w:szCs w:val="21"/>
        </w:rPr>
        <w:t>本项目不涉及饮用水水源保护区。</w:t>
      </w:r>
    </w:p>
    <w:p>
      <w:pPr>
        <w:ind w:firstLine="480"/>
        <w:rPr>
          <w:szCs w:val="21"/>
        </w:rPr>
      </w:pPr>
      <w:r>
        <w:rPr>
          <w:rFonts w:hint="eastAsia"/>
          <w:szCs w:val="21"/>
        </w:rPr>
        <w:t>（2）自然保护区核心区、缓冲区内。</w:t>
      </w:r>
    </w:p>
    <w:p>
      <w:pPr>
        <w:ind w:firstLine="480"/>
        <w:rPr>
          <w:szCs w:val="21"/>
        </w:rPr>
      </w:pPr>
      <w:r>
        <w:rPr>
          <w:rFonts w:hint="eastAsia"/>
          <w:szCs w:val="21"/>
        </w:rPr>
        <w:t>本项目入河排污口不涉及自然保护区核心区、缓冲区内。</w:t>
      </w:r>
    </w:p>
    <w:p>
      <w:pPr>
        <w:ind w:firstLine="480"/>
        <w:rPr>
          <w:szCs w:val="21"/>
        </w:rPr>
      </w:pPr>
      <w:r>
        <w:rPr>
          <w:rFonts w:hint="eastAsia"/>
          <w:szCs w:val="21"/>
        </w:rPr>
        <w:t>（3）水产种质资源保护区内。</w:t>
      </w:r>
    </w:p>
    <w:p>
      <w:pPr>
        <w:ind w:firstLine="480"/>
        <w:rPr>
          <w:szCs w:val="21"/>
        </w:rPr>
      </w:pPr>
      <w:r>
        <w:rPr>
          <w:rFonts w:hint="eastAsia"/>
          <w:szCs w:val="21"/>
        </w:rPr>
        <w:t>本项目入河排污口不涉及水产种质资源保护区。</w:t>
      </w:r>
    </w:p>
    <w:p>
      <w:pPr>
        <w:ind w:firstLine="480"/>
        <w:rPr>
          <w:szCs w:val="21"/>
        </w:rPr>
      </w:pPr>
      <w:r>
        <w:rPr>
          <w:rFonts w:hint="eastAsia"/>
          <w:szCs w:val="21"/>
        </w:rPr>
        <w:t>（4）省级以上湿地公园保育区、恢复重建区内。</w:t>
      </w:r>
    </w:p>
    <w:p>
      <w:pPr>
        <w:ind w:firstLine="480"/>
        <w:rPr>
          <w:szCs w:val="21"/>
        </w:rPr>
      </w:pPr>
      <w:r>
        <w:rPr>
          <w:rFonts w:hint="eastAsia"/>
          <w:szCs w:val="21"/>
        </w:rPr>
        <w:t>本项目入河排污口不涉及省级以上湿地公园保育区、恢复重建区。</w:t>
      </w:r>
    </w:p>
    <w:p>
      <w:pPr>
        <w:ind w:firstLine="480"/>
        <w:rPr>
          <w:szCs w:val="21"/>
        </w:rPr>
      </w:pPr>
      <w:r>
        <w:rPr>
          <w:rFonts w:hint="eastAsia"/>
          <w:szCs w:val="21"/>
        </w:rPr>
        <w:t>（5）能够由污水系统接纳但拒不接入的。</w:t>
      </w:r>
    </w:p>
    <w:p>
      <w:pPr>
        <w:ind w:firstLine="480"/>
        <w:rPr>
          <w:szCs w:val="21"/>
        </w:rPr>
      </w:pPr>
      <w:r>
        <w:rPr>
          <w:rFonts w:hint="eastAsia"/>
          <w:szCs w:val="21"/>
        </w:rPr>
        <w:t>本项目为城镇污水处理厂。</w:t>
      </w:r>
    </w:p>
    <w:p>
      <w:pPr>
        <w:ind w:firstLine="480"/>
        <w:rPr>
          <w:szCs w:val="21"/>
        </w:rPr>
      </w:pPr>
      <w:r>
        <w:rPr>
          <w:rFonts w:hint="eastAsia"/>
          <w:szCs w:val="21"/>
        </w:rPr>
        <w:t>（6）经论证不符合设置要求的。</w:t>
      </w:r>
    </w:p>
    <w:p>
      <w:pPr>
        <w:ind w:firstLine="480"/>
        <w:rPr>
          <w:szCs w:val="21"/>
        </w:rPr>
      </w:pPr>
      <w:r>
        <w:rPr>
          <w:rFonts w:hint="eastAsia"/>
          <w:szCs w:val="21"/>
        </w:rPr>
        <w:t>本项目入河排污口论证设置符合相关规划和文件要求，</w:t>
      </w:r>
      <w:r>
        <w:t>符合《全国重要江河湖泊水功能区纳污能力核定和分阶段限制排污总量控制方案》中对水功能区满足水域纳污能力和污染物削减排放要求的中心思想，</w:t>
      </w:r>
      <w:r>
        <w:rPr>
          <w:rFonts w:hint="eastAsia"/>
          <w:szCs w:val="21"/>
        </w:rPr>
        <w:t>纳污水体澧县澹水开发利用区主要为</w:t>
      </w:r>
      <w:r>
        <w:rPr>
          <w:rFonts w:hint="eastAsia"/>
        </w:rPr>
        <w:t>景观娱乐用水及</w:t>
      </w:r>
      <w:r>
        <w:rPr>
          <w:rFonts w:hint="eastAsia"/>
          <w:szCs w:val="21"/>
        </w:rPr>
        <w:t>农业灌溉用水为主，</w:t>
      </w:r>
      <w:r>
        <w:rPr>
          <w:rFonts w:hint="eastAsia"/>
          <w:szCs w:val="24"/>
        </w:rPr>
        <w:t>2015年到2018年水质管理目标为</w:t>
      </w:r>
      <w:r>
        <w:t>Ⅲ～Ⅳ</w:t>
      </w:r>
      <w:r>
        <w:rPr>
          <w:rFonts w:hint="eastAsia"/>
        </w:rPr>
        <w:t>类</w:t>
      </w:r>
      <w:r>
        <w:t>。</w:t>
      </w:r>
    </w:p>
    <w:p>
      <w:pPr>
        <w:ind w:firstLine="480"/>
        <w:rPr>
          <w:szCs w:val="21"/>
        </w:rPr>
      </w:pPr>
      <w:r>
        <w:rPr>
          <w:rFonts w:hint="eastAsia"/>
          <w:szCs w:val="21"/>
        </w:rPr>
        <w:t>（7）设置可能使水域水质达不到水功能区要求的。</w:t>
      </w:r>
    </w:p>
    <w:p>
      <w:pPr>
        <w:ind w:firstLine="480"/>
        <w:rPr>
          <w:szCs w:val="21"/>
        </w:rPr>
      </w:pPr>
      <w:r>
        <w:rPr>
          <w:rFonts w:hint="eastAsia"/>
          <w:szCs w:val="21"/>
        </w:rPr>
        <w:t>本</w:t>
      </w:r>
      <w:r>
        <w:rPr>
          <w:szCs w:val="21"/>
        </w:rPr>
        <w:t>项目</w:t>
      </w:r>
      <w:r>
        <w:rPr>
          <w:rFonts w:hint="eastAsia"/>
          <w:szCs w:val="21"/>
        </w:rPr>
        <w:t>废水经处理后</w:t>
      </w:r>
      <w:r>
        <w:rPr>
          <w:rFonts w:hint="eastAsia" w:hAnsi="宋体"/>
          <w:szCs w:val="21"/>
        </w:rPr>
        <w:t>通过废水总排口（DW001）排入项目东侧农灌沟渠，</w:t>
      </w:r>
      <w:r>
        <w:rPr>
          <w:rFonts w:hint="eastAsia"/>
        </w:rPr>
        <w:t>通过农灌沟渠自流口或</w:t>
      </w:r>
      <w:r>
        <w:rPr>
          <w:rFonts w:hint="eastAsia" w:hAnsi="宋体"/>
          <w:szCs w:val="21"/>
        </w:rPr>
        <w:t>东洲机埠电排排入澹水河</w:t>
      </w:r>
      <w:r>
        <w:rPr>
          <w:rFonts w:hint="eastAsia"/>
          <w:szCs w:val="21"/>
        </w:rPr>
        <w:t>，纳污水体澧县澹水开发利用区主要为</w:t>
      </w:r>
      <w:r>
        <w:rPr>
          <w:rFonts w:hint="eastAsia"/>
        </w:rPr>
        <w:t>景观娱乐用水及</w:t>
      </w:r>
      <w:r>
        <w:rPr>
          <w:rFonts w:hint="eastAsia"/>
          <w:szCs w:val="21"/>
        </w:rPr>
        <w:t>农业灌溉用水，2015年到2018年水质管理目标为</w:t>
      </w:r>
      <w:r>
        <w:rPr>
          <w:szCs w:val="21"/>
        </w:rPr>
        <w:t>Ⅲ～Ⅳ</w:t>
      </w:r>
      <w:r>
        <w:rPr>
          <w:rFonts w:hint="eastAsia"/>
          <w:szCs w:val="21"/>
        </w:rPr>
        <w:t>类。</w:t>
      </w:r>
    </w:p>
    <w:p>
      <w:pPr>
        <w:ind w:firstLine="480"/>
        <w:rPr>
          <w:szCs w:val="21"/>
        </w:rPr>
      </w:pPr>
      <w:r>
        <w:rPr>
          <w:rFonts w:hint="eastAsia"/>
          <w:szCs w:val="21"/>
        </w:rPr>
        <w:t>（8）其他不符合法律、法规以及国家和地方有关规定的。</w:t>
      </w:r>
    </w:p>
    <w:p>
      <w:pPr>
        <w:ind w:firstLine="480"/>
      </w:pPr>
      <w:r>
        <w:rPr>
          <w:rFonts w:hint="eastAsia"/>
          <w:szCs w:val="21"/>
        </w:rPr>
        <w:t>本项目入河排污口设置符合法律、法规以及国家和地方的有关规定</w:t>
      </w:r>
      <w:r>
        <w:rPr>
          <w:rFonts w:hint="eastAsia"/>
        </w:rPr>
        <w:t>。</w:t>
      </w:r>
    </w:p>
    <w:p>
      <w:pPr>
        <w:ind w:firstLine="422"/>
        <w:jc w:val="center"/>
        <w:rPr>
          <w:rFonts w:hAnsi="宋体"/>
          <w:b/>
          <w:bCs/>
          <w:kern w:val="18"/>
          <w:sz w:val="21"/>
          <w:szCs w:val="21"/>
        </w:rPr>
      </w:pPr>
    </w:p>
    <w:p>
      <w:pPr>
        <w:ind w:firstLine="422"/>
        <w:jc w:val="center"/>
        <w:rPr>
          <w:rFonts w:hAnsi="宋体"/>
          <w:b/>
          <w:bCs/>
          <w:kern w:val="18"/>
          <w:sz w:val="21"/>
          <w:szCs w:val="21"/>
        </w:rPr>
      </w:pPr>
      <w:r>
        <w:rPr>
          <w:rFonts w:hAnsi="宋体"/>
          <w:b/>
          <w:bCs/>
          <w:kern w:val="18"/>
          <w:sz w:val="21"/>
          <w:szCs w:val="21"/>
        </w:rPr>
        <w:t>表9-2  与《湖南省入河排污口监督管理办法》符合性分析</w:t>
      </w:r>
    </w:p>
    <w:tbl>
      <w:tblPr>
        <w:tblStyle w:val="41"/>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7"/>
        <w:gridCol w:w="4025"/>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7" w:type="dxa"/>
            <w:tcMar>
              <w:left w:w="28" w:type="dxa"/>
              <w:right w:w="28" w:type="dxa"/>
            </w:tcMar>
            <w:vAlign w:val="center"/>
          </w:tcPr>
          <w:p>
            <w:pPr>
              <w:autoSpaceDE w:val="0"/>
              <w:autoSpaceDN w:val="0"/>
              <w:adjustRightInd w:val="0"/>
              <w:spacing w:line="260" w:lineRule="exact"/>
              <w:ind w:firstLine="0" w:firstLineChars="0"/>
              <w:rPr>
                <w:b/>
                <w:bCs/>
                <w:kern w:val="0"/>
                <w:sz w:val="21"/>
                <w:szCs w:val="21"/>
              </w:rPr>
            </w:pPr>
            <w:r>
              <w:rPr>
                <w:b/>
                <w:bCs/>
                <w:kern w:val="0"/>
                <w:sz w:val="21"/>
                <w:szCs w:val="21"/>
              </w:rPr>
              <w:t>《湖南省入河排污口监督管理办法》第十五条要求：有下列情形之一的，不予同意设置入河排污口</w:t>
            </w:r>
          </w:p>
        </w:tc>
        <w:tc>
          <w:tcPr>
            <w:tcW w:w="4025" w:type="dxa"/>
            <w:tcMar>
              <w:left w:w="28" w:type="dxa"/>
              <w:right w:w="28" w:type="dxa"/>
            </w:tcMar>
            <w:vAlign w:val="center"/>
          </w:tcPr>
          <w:p>
            <w:pPr>
              <w:autoSpaceDE w:val="0"/>
              <w:autoSpaceDN w:val="0"/>
              <w:adjustRightInd w:val="0"/>
              <w:spacing w:line="260" w:lineRule="exact"/>
              <w:ind w:firstLine="0" w:firstLineChars="0"/>
              <w:jc w:val="center"/>
              <w:rPr>
                <w:b/>
                <w:kern w:val="0"/>
                <w:sz w:val="21"/>
                <w:szCs w:val="21"/>
              </w:rPr>
            </w:pPr>
            <w:r>
              <w:rPr>
                <w:b/>
                <w:kern w:val="0"/>
                <w:sz w:val="21"/>
                <w:szCs w:val="21"/>
              </w:rPr>
              <w:t>本项目情况</w:t>
            </w:r>
          </w:p>
        </w:tc>
        <w:tc>
          <w:tcPr>
            <w:tcW w:w="1020" w:type="dxa"/>
            <w:tcMar>
              <w:left w:w="28" w:type="dxa"/>
              <w:right w:w="28" w:type="dxa"/>
            </w:tcMar>
            <w:vAlign w:val="center"/>
          </w:tcPr>
          <w:p>
            <w:pPr>
              <w:autoSpaceDE w:val="0"/>
              <w:autoSpaceDN w:val="0"/>
              <w:adjustRightInd w:val="0"/>
              <w:spacing w:line="260" w:lineRule="exact"/>
              <w:ind w:firstLine="0" w:firstLineChars="0"/>
              <w:jc w:val="center"/>
              <w:rPr>
                <w:b/>
                <w:kern w:val="0"/>
                <w:sz w:val="21"/>
                <w:szCs w:val="21"/>
              </w:rPr>
            </w:pPr>
            <w:r>
              <w:rPr>
                <w:b/>
                <w:kern w:val="0"/>
                <w:sz w:val="21"/>
                <w:szCs w:val="21"/>
              </w:rPr>
              <w:t>是否符合审批条件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7" w:type="dxa"/>
            <w:tcMar>
              <w:left w:w="28" w:type="dxa"/>
              <w:right w:w="28" w:type="dxa"/>
            </w:tcMar>
            <w:vAlign w:val="center"/>
          </w:tcPr>
          <w:p>
            <w:pPr>
              <w:autoSpaceDE w:val="0"/>
              <w:autoSpaceDN w:val="0"/>
              <w:adjustRightInd w:val="0"/>
              <w:spacing w:line="260" w:lineRule="exact"/>
              <w:ind w:firstLine="0" w:firstLineChars="0"/>
              <w:jc w:val="left"/>
              <w:rPr>
                <w:kern w:val="0"/>
                <w:sz w:val="21"/>
                <w:szCs w:val="21"/>
              </w:rPr>
            </w:pPr>
            <w:r>
              <w:rPr>
                <w:kern w:val="0"/>
                <w:sz w:val="21"/>
                <w:szCs w:val="21"/>
              </w:rPr>
              <w:t>(一)在饮用水水源一级、二级保护区内；</w:t>
            </w:r>
          </w:p>
        </w:tc>
        <w:tc>
          <w:tcPr>
            <w:tcW w:w="4025" w:type="dxa"/>
            <w:tcMar>
              <w:left w:w="28" w:type="dxa"/>
              <w:right w:w="28" w:type="dxa"/>
            </w:tcMar>
            <w:vAlign w:val="center"/>
          </w:tcPr>
          <w:p>
            <w:pPr>
              <w:autoSpaceDE w:val="0"/>
              <w:autoSpaceDN w:val="0"/>
              <w:adjustRightInd w:val="0"/>
              <w:spacing w:line="260" w:lineRule="exact"/>
              <w:ind w:firstLine="0" w:firstLineChars="0"/>
              <w:rPr>
                <w:kern w:val="0"/>
                <w:sz w:val="21"/>
                <w:szCs w:val="21"/>
              </w:rPr>
            </w:pPr>
            <w:r>
              <w:rPr>
                <w:kern w:val="0"/>
                <w:sz w:val="21"/>
                <w:szCs w:val="21"/>
              </w:rPr>
              <w:t>不涉及饮用水源</w:t>
            </w:r>
          </w:p>
        </w:tc>
        <w:tc>
          <w:tcPr>
            <w:tcW w:w="1020" w:type="dxa"/>
            <w:tcMar>
              <w:left w:w="28" w:type="dxa"/>
              <w:right w:w="28" w:type="dxa"/>
            </w:tcMar>
            <w:vAlign w:val="center"/>
          </w:tcPr>
          <w:p>
            <w:pPr>
              <w:autoSpaceDE w:val="0"/>
              <w:autoSpaceDN w:val="0"/>
              <w:adjustRightInd w:val="0"/>
              <w:spacing w:line="260" w:lineRule="exact"/>
              <w:ind w:firstLine="0" w:firstLineChars="0"/>
              <w:jc w:val="center"/>
              <w:rPr>
                <w:kern w:val="0"/>
                <w:sz w:val="21"/>
                <w:szCs w:val="21"/>
              </w:rPr>
            </w:pPr>
            <w:r>
              <w:rPr>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7" w:type="dxa"/>
            <w:tcMar>
              <w:left w:w="28" w:type="dxa"/>
              <w:right w:w="28" w:type="dxa"/>
            </w:tcMar>
            <w:vAlign w:val="center"/>
          </w:tcPr>
          <w:p>
            <w:pPr>
              <w:autoSpaceDE w:val="0"/>
              <w:autoSpaceDN w:val="0"/>
              <w:adjustRightInd w:val="0"/>
              <w:spacing w:line="260" w:lineRule="exact"/>
              <w:ind w:firstLine="0" w:firstLineChars="0"/>
              <w:jc w:val="left"/>
              <w:rPr>
                <w:kern w:val="0"/>
                <w:sz w:val="21"/>
                <w:szCs w:val="21"/>
              </w:rPr>
            </w:pPr>
            <w:r>
              <w:rPr>
                <w:kern w:val="0"/>
                <w:sz w:val="21"/>
                <w:szCs w:val="21"/>
              </w:rPr>
              <w:t>(二)在自然保护区核心区、缓冲区内；</w:t>
            </w:r>
          </w:p>
        </w:tc>
        <w:tc>
          <w:tcPr>
            <w:tcW w:w="4025" w:type="dxa"/>
            <w:tcMar>
              <w:left w:w="28" w:type="dxa"/>
              <w:right w:w="28" w:type="dxa"/>
            </w:tcMar>
            <w:vAlign w:val="center"/>
          </w:tcPr>
          <w:p>
            <w:pPr>
              <w:autoSpaceDE w:val="0"/>
              <w:autoSpaceDN w:val="0"/>
              <w:adjustRightInd w:val="0"/>
              <w:spacing w:line="260" w:lineRule="exact"/>
              <w:ind w:firstLine="0" w:firstLineChars="0"/>
              <w:rPr>
                <w:kern w:val="0"/>
                <w:sz w:val="21"/>
                <w:szCs w:val="21"/>
              </w:rPr>
            </w:pPr>
            <w:r>
              <w:rPr>
                <w:kern w:val="0"/>
                <w:sz w:val="21"/>
                <w:szCs w:val="21"/>
              </w:rPr>
              <w:t>不涉及自然保护区</w:t>
            </w:r>
          </w:p>
        </w:tc>
        <w:tc>
          <w:tcPr>
            <w:tcW w:w="1020" w:type="dxa"/>
            <w:tcMar>
              <w:left w:w="28" w:type="dxa"/>
              <w:right w:w="28" w:type="dxa"/>
            </w:tcMar>
            <w:vAlign w:val="center"/>
          </w:tcPr>
          <w:p>
            <w:pPr>
              <w:autoSpaceDE w:val="0"/>
              <w:autoSpaceDN w:val="0"/>
              <w:adjustRightInd w:val="0"/>
              <w:spacing w:line="260" w:lineRule="exact"/>
              <w:ind w:firstLine="0" w:firstLineChars="0"/>
              <w:jc w:val="center"/>
              <w:rPr>
                <w:kern w:val="0"/>
                <w:sz w:val="21"/>
                <w:szCs w:val="21"/>
              </w:rPr>
            </w:pPr>
            <w:r>
              <w:rPr>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7" w:type="dxa"/>
            <w:tcMar>
              <w:left w:w="28" w:type="dxa"/>
              <w:right w:w="28" w:type="dxa"/>
            </w:tcMar>
            <w:vAlign w:val="center"/>
          </w:tcPr>
          <w:p>
            <w:pPr>
              <w:autoSpaceDE w:val="0"/>
              <w:autoSpaceDN w:val="0"/>
              <w:adjustRightInd w:val="0"/>
              <w:spacing w:line="260" w:lineRule="exact"/>
              <w:ind w:firstLine="0" w:firstLineChars="0"/>
              <w:jc w:val="left"/>
              <w:rPr>
                <w:kern w:val="0"/>
                <w:sz w:val="21"/>
                <w:szCs w:val="21"/>
              </w:rPr>
            </w:pPr>
            <w:r>
              <w:rPr>
                <w:kern w:val="0"/>
                <w:sz w:val="21"/>
                <w:szCs w:val="21"/>
              </w:rPr>
              <w:t>(三)水产种质资源保护区内；</w:t>
            </w:r>
          </w:p>
        </w:tc>
        <w:tc>
          <w:tcPr>
            <w:tcW w:w="4025" w:type="dxa"/>
            <w:tcMar>
              <w:left w:w="28" w:type="dxa"/>
              <w:right w:w="28" w:type="dxa"/>
            </w:tcMar>
            <w:vAlign w:val="center"/>
          </w:tcPr>
          <w:p>
            <w:pPr>
              <w:autoSpaceDE w:val="0"/>
              <w:autoSpaceDN w:val="0"/>
              <w:adjustRightInd w:val="0"/>
              <w:spacing w:line="260" w:lineRule="exact"/>
              <w:ind w:firstLine="0" w:firstLineChars="0"/>
              <w:rPr>
                <w:kern w:val="0"/>
                <w:sz w:val="21"/>
                <w:szCs w:val="21"/>
              </w:rPr>
            </w:pPr>
            <w:r>
              <w:rPr>
                <w:kern w:val="0"/>
                <w:sz w:val="21"/>
                <w:szCs w:val="21"/>
              </w:rPr>
              <w:t>不涉及水产种质资源保护区</w:t>
            </w:r>
          </w:p>
        </w:tc>
        <w:tc>
          <w:tcPr>
            <w:tcW w:w="1020" w:type="dxa"/>
            <w:tcMar>
              <w:left w:w="28" w:type="dxa"/>
              <w:right w:w="28" w:type="dxa"/>
            </w:tcMar>
            <w:vAlign w:val="center"/>
          </w:tcPr>
          <w:p>
            <w:pPr>
              <w:autoSpaceDE w:val="0"/>
              <w:autoSpaceDN w:val="0"/>
              <w:adjustRightInd w:val="0"/>
              <w:spacing w:line="260" w:lineRule="exact"/>
              <w:ind w:firstLine="0" w:firstLineChars="0"/>
              <w:jc w:val="center"/>
              <w:rPr>
                <w:kern w:val="0"/>
                <w:sz w:val="21"/>
                <w:szCs w:val="21"/>
              </w:rPr>
            </w:pPr>
            <w:r>
              <w:rPr>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7" w:type="dxa"/>
            <w:tcMar>
              <w:left w:w="28" w:type="dxa"/>
              <w:right w:w="28" w:type="dxa"/>
            </w:tcMar>
            <w:vAlign w:val="center"/>
          </w:tcPr>
          <w:p>
            <w:pPr>
              <w:autoSpaceDE w:val="0"/>
              <w:autoSpaceDN w:val="0"/>
              <w:adjustRightInd w:val="0"/>
              <w:spacing w:line="260" w:lineRule="exact"/>
              <w:ind w:firstLine="0" w:firstLineChars="0"/>
              <w:jc w:val="left"/>
              <w:rPr>
                <w:kern w:val="0"/>
                <w:sz w:val="21"/>
                <w:szCs w:val="21"/>
              </w:rPr>
            </w:pPr>
            <w:r>
              <w:rPr>
                <w:kern w:val="0"/>
                <w:sz w:val="21"/>
                <w:szCs w:val="21"/>
              </w:rPr>
              <w:t>(四)省级以上湿地公园保育区、恢复重建区内；</w:t>
            </w:r>
          </w:p>
        </w:tc>
        <w:tc>
          <w:tcPr>
            <w:tcW w:w="4025" w:type="dxa"/>
            <w:tcMar>
              <w:left w:w="28" w:type="dxa"/>
              <w:right w:w="28" w:type="dxa"/>
            </w:tcMar>
            <w:vAlign w:val="center"/>
          </w:tcPr>
          <w:p>
            <w:pPr>
              <w:autoSpaceDE w:val="0"/>
              <w:autoSpaceDN w:val="0"/>
              <w:adjustRightInd w:val="0"/>
              <w:spacing w:line="260" w:lineRule="exact"/>
              <w:ind w:firstLine="0" w:firstLineChars="0"/>
              <w:rPr>
                <w:kern w:val="0"/>
                <w:sz w:val="21"/>
                <w:szCs w:val="21"/>
              </w:rPr>
            </w:pPr>
            <w:r>
              <w:rPr>
                <w:rFonts w:hint="eastAsia"/>
                <w:kern w:val="0"/>
                <w:sz w:val="21"/>
                <w:szCs w:val="21"/>
              </w:rPr>
              <w:t>不涉及</w:t>
            </w:r>
            <w:r>
              <w:rPr>
                <w:kern w:val="0"/>
                <w:sz w:val="21"/>
                <w:szCs w:val="21"/>
              </w:rPr>
              <w:t>湿地公园内</w:t>
            </w:r>
          </w:p>
        </w:tc>
        <w:tc>
          <w:tcPr>
            <w:tcW w:w="1020" w:type="dxa"/>
            <w:tcMar>
              <w:left w:w="28" w:type="dxa"/>
              <w:right w:w="28" w:type="dxa"/>
            </w:tcMar>
            <w:vAlign w:val="center"/>
          </w:tcPr>
          <w:p>
            <w:pPr>
              <w:autoSpaceDE w:val="0"/>
              <w:autoSpaceDN w:val="0"/>
              <w:adjustRightInd w:val="0"/>
              <w:spacing w:line="260" w:lineRule="exact"/>
              <w:ind w:firstLine="0" w:firstLineChars="0"/>
              <w:jc w:val="center"/>
              <w:rPr>
                <w:kern w:val="0"/>
                <w:sz w:val="21"/>
                <w:szCs w:val="21"/>
              </w:rPr>
            </w:pPr>
            <w:r>
              <w:rPr>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7" w:type="dxa"/>
            <w:tcMar>
              <w:left w:w="28" w:type="dxa"/>
              <w:right w:w="28" w:type="dxa"/>
            </w:tcMar>
            <w:vAlign w:val="center"/>
          </w:tcPr>
          <w:p>
            <w:pPr>
              <w:autoSpaceDE w:val="0"/>
              <w:autoSpaceDN w:val="0"/>
              <w:adjustRightInd w:val="0"/>
              <w:spacing w:line="260" w:lineRule="exact"/>
              <w:ind w:firstLine="0" w:firstLineChars="0"/>
              <w:jc w:val="left"/>
              <w:rPr>
                <w:kern w:val="0"/>
                <w:sz w:val="21"/>
                <w:szCs w:val="21"/>
              </w:rPr>
            </w:pPr>
            <w:r>
              <w:rPr>
                <w:kern w:val="0"/>
                <w:sz w:val="21"/>
                <w:szCs w:val="21"/>
              </w:rPr>
              <w:t>(五)能够由污水收集系统接纳但拒不接入的；</w:t>
            </w:r>
          </w:p>
        </w:tc>
        <w:tc>
          <w:tcPr>
            <w:tcW w:w="4025" w:type="dxa"/>
            <w:tcMar>
              <w:left w:w="28" w:type="dxa"/>
              <w:right w:w="28" w:type="dxa"/>
            </w:tcMar>
            <w:vAlign w:val="center"/>
          </w:tcPr>
          <w:p>
            <w:pPr>
              <w:autoSpaceDE w:val="0"/>
              <w:autoSpaceDN w:val="0"/>
              <w:adjustRightInd w:val="0"/>
              <w:spacing w:line="260" w:lineRule="exact"/>
              <w:ind w:firstLine="0" w:firstLineChars="0"/>
              <w:rPr>
                <w:kern w:val="0"/>
                <w:sz w:val="21"/>
                <w:szCs w:val="21"/>
              </w:rPr>
            </w:pPr>
            <w:r>
              <w:rPr>
                <w:rFonts w:hint="eastAsia"/>
                <w:kern w:val="0"/>
                <w:sz w:val="21"/>
                <w:szCs w:val="21"/>
              </w:rPr>
              <w:t>本项目为城镇污水处理厂</w:t>
            </w:r>
          </w:p>
        </w:tc>
        <w:tc>
          <w:tcPr>
            <w:tcW w:w="1020" w:type="dxa"/>
            <w:tcMar>
              <w:left w:w="28" w:type="dxa"/>
              <w:right w:w="28" w:type="dxa"/>
            </w:tcMar>
            <w:vAlign w:val="center"/>
          </w:tcPr>
          <w:p>
            <w:pPr>
              <w:autoSpaceDE w:val="0"/>
              <w:autoSpaceDN w:val="0"/>
              <w:adjustRightInd w:val="0"/>
              <w:spacing w:line="260" w:lineRule="exact"/>
              <w:ind w:firstLine="0" w:firstLineChars="0"/>
              <w:jc w:val="center"/>
              <w:rPr>
                <w:kern w:val="0"/>
                <w:sz w:val="21"/>
                <w:szCs w:val="21"/>
              </w:rPr>
            </w:pPr>
            <w:r>
              <w:rPr>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7" w:type="dxa"/>
            <w:tcMar>
              <w:left w:w="28" w:type="dxa"/>
              <w:right w:w="28" w:type="dxa"/>
            </w:tcMar>
            <w:vAlign w:val="center"/>
          </w:tcPr>
          <w:p>
            <w:pPr>
              <w:autoSpaceDE w:val="0"/>
              <w:autoSpaceDN w:val="0"/>
              <w:adjustRightInd w:val="0"/>
              <w:spacing w:line="260" w:lineRule="exact"/>
              <w:ind w:firstLine="0" w:firstLineChars="0"/>
              <w:jc w:val="left"/>
              <w:rPr>
                <w:kern w:val="0"/>
                <w:sz w:val="21"/>
                <w:szCs w:val="21"/>
              </w:rPr>
            </w:pPr>
            <w:r>
              <w:rPr>
                <w:kern w:val="0"/>
                <w:sz w:val="21"/>
                <w:szCs w:val="21"/>
              </w:rPr>
              <w:t>(六)经论证不符合设置要求的；</w:t>
            </w:r>
          </w:p>
        </w:tc>
        <w:tc>
          <w:tcPr>
            <w:tcW w:w="4025" w:type="dxa"/>
            <w:tcMar>
              <w:left w:w="28" w:type="dxa"/>
              <w:right w:w="28" w:type="dxa"/>
            </w:tcMar>
            <w:vAlign w:val="center"/>
          </w:tcPr>
          <w:p>
            <w:pPr>
              <w:autoSpaceDE w:val="0"/>
              <w:autoSpaceDN w:val="0"/>
              <w:adjustRightInd w:val="0"/>
              <w:spacing w:line="260" w:lineRule="exact"/>
              <w:ind w:firstLine="0" w:firstLineChars="0"/>
              <w:rPr>
                <w:kern w:val="0"/>
                <w:sz w:val="21"/>
                <w:szCs w:val="21"/>
              </w:rPr>
            </w:pPr>
            <w:r>
              <w:rPr>
                <w:kern w:val="0"/>
                <w:sz w:val="21"/>
                <w:szCs w:val="21"/>
              </w:rPr>
              <w:t>论证后本排口符合设置要求</w:t>
            </w:r>
          </w:p>
        </w:tc>
        <w:tc>
          <w:tcPr>
            <w:tcW w:w="1020" w:type="dxa"/>
            <w:tcMar>
              <w:left w:w="28" w:type="dxa"/>
              <w:right w:w="28" w:type="dxa"/>
            </w:tcMar>
            <w:vAlign w:val="center"/>
          </w:tcPr>
          <w:p>
            <w:pPr>
              <w:autoSpaceDE w:val="0"/>
              <w:autoSpaceDN w:val="0"/>
              <w:adjustRightInd w:val="0"/>
              <w:spacing w:line="260" w:lineRule="exact"/>
              <w:ind w:firstLine="0" w:firstLineChars="0"/>
              <w:jc w:val="center"/>
              <w:rPr>
                <w:kern w:val="0"/>
                <w:sz w:val="21"/>
                <w:szCs w:val="21"/>
              </w:rPr>
            </w:pPr>
            <w:r>
              <w:rPr>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7" w:type="dxa"/>
            <w:tcMar>
              <w:left w:w="28" w:type="dxa"/>
              <w:right w:w="28" w:type="dxa"/>
            </w:tcMar>
            <w:vAlign w:val="center"/>
          </w:tcPr>
          <w:p>
            <w:pPr>
              <w:autoSpaceDE w:val="0"/>
              <w:autoSpaceDN w:val="0"/>
              <w:adjustRightInd w:val="0"/>
              <w:spacing w:line="260" w:lineRule="exact"/>
              <w:ind w:firstLine="0" w:firstLineChars="0"/>
              <w:jc w:val="left"/>
              <w:rPr>
                <w:kern w:val="0"/>
                <w:sz w:val="21"/>
                <w:szCs w:val="21"/>
              </w:rPr>
            </w:pPr>
            <w:r>
              <w:rPr>
                <w:kern w:val="0"/>
                <w:sz w:val="21"/>
                <w:szCs w:val="21"/>
              </w:rPr>
              <w:t>(七)设置可能使水域水质达不到水功能区要求的；</w:t>
            </w:r>
          </w:p>
        </w:tc>
        <w:tc>
          <w:tcPr>
            <w:tcW w:w="4025" w:type="dxa"/>
            <w:tcMar>
              <w:left w:w="28" w:type="dxa"/>
              <w:right w:w="28" w:type="dxa"/>
            </w:tcMar>
            <w:vAlign w:val="center"/>
          </w:tcPr>
          <w:p>
            <w:pPr>
              <w:autoSpaceDE w:val="0"/>
              <w:autoSpaceDN w:val="0"/>
              <w:adjustRightInd w:val="0"/>
              <w:spacing w:line="260" w:lineRule="exact"/>
              <w:ind w:firstLine="0" w:firstLineChars="0"/>
              <w:rPr>
                <w:kern w:val="0"/>
                <w:sz w:val="21"/>
                <w:szCs w:val="21"/>
              </w:rPr>
            </w:pPr>
            <w:r>
              <w:rPr>
                <w:sz w:val="21"/>
                <w:szCs w:val="21"/>
              </w:rPr>
              <w:t>根据《湖南省入河（湖）排污口监督管理工作方案》（湘环发[2023]31号）第三条重点任务——（三）严格规范设置审批</w:t>
            </w:r>
            <w:r>
              <w:rPr>
                <w:rFonts w:hint="eastAsia"/>
                <w:sz w:val="21"/>
                <w:szCs w:val="21"/>
              </w:rPr>
              <w:t>“</w:t>
            </w:r>
            <w:r>
              <w:rPr>
                <w:sz w:val="21"/>
                <w:szCs w:val="21"/>
              </w:rPr>
              <w:t>对于工矿企业、工业及其他各类园区污水处理厂、城镇污水处理厂等排污口的设置依法依规实行审批制。</w:t>
            </w:r>
            <w:r>
              <w:rPr>
                <w:b/>
                <w:sz w:val="21"/>
                <w:szCs w:val="21"/>
              </w:rPr>
              <w:t>对未达到水质目标的水功能区，除城镇污水处理厂排污口外，应当严格控制新设、改设或者扩大排污口</w:t>
            </w:r>
            <w:r>
              <w:rPr>
                <w:rFonts w:hint="eastAsia"/>
                <w:sz w:val="21"/>
                <w:szCs w:val="21"/>
              </w:rPr>
              <w:t>”</w:t>
            </w:r>
            <w:r>
              <w:rPr>
                <w:kern w:val="0"/>
                <w:sz w:val="21"/>
                <w:szCs w:val="21"/>
              </w:rPr>
              <w:t>。</w:t>
            </w:r>
            <w:r>
              <w:rPr>
                <w:rFonts w:hint="eastAsia"/>
                <w:kern w:val="0"/>
                <w:sz w:val="21"/>
                <w:szCs w:val="21"/>
              </w:rPr>
              <w:t>本项目纳污水体澹水为澧水一级支流，澹水</w:t>
            </w:r>
            <w:r>
              <w:rPr>
                <w:kern w:val="0"/>
                <w:sz w:val="21"/>
                <w:szCs w:val="21"/>
              </w:rPr>
              <w:t>水质类别为</w:t>
            </w:r>
            <w:r>
              <w:rPr>
                <w:rFonts w:hint="eastAsia"/>
                <w:kern w:val="0"/>
                <w:sz w:val="21"/>
                <w:szCs w:val="21"/>
              </w:rPr>
              <w:t>Ⅱ</w:t>
            </w:r>
            <w:r>
              <w:rPr>
                <w:kern w:val="0"/>
                <w:sz w:val="21"/>
                <w:szCs w:val="21"/>
              </w:rPr>
              <w:t>类</w:t>
            </w:r>
            <w:r>
              <w:rPr>
                <w:rFonts w:hint="eastAsia"/>
                <w:kern w:val="0"/>
                <w:sz w:val="21"/>
                <w:szCs w:val="21"/>
              </w:rPr>
              <w:t>～劣Ⅴ类，2015年到2018年水质管理目标为Ⅲ</w:t>
            </w:r>
            <w:r>
              <w:rPr>
                <w:kern w:val="0"/>
                <w:sz w:val="21"/>
                <w:szCs w:val="21"/>
              </w:rPr>
              <w:t>～</w:t>
            </w:r>
            <w:r>
              <w:rPr>
                <w:rFonts w:hint="eastAsia"/>
                <w:kern w:val="0"/>
                <w:sz w:val="21"/>
                <w:szCs w:val="21"/>
              </w:rPr>
              <w:t>Ⅳ类（本次论证按Ⅲ类水质），属于</w:t>
            </w:r>
            <w:r>
              <w:rPr>
                <w:kern w:val="0"/>
                <w:sz w:val="21"/>
                <w:szCs w:val="21"/>
              </w:rPr>
              <w:t>未达到水质目标的水功能区</w:t>
            </w:r>
            <w:r>
              <w:rPr>
                <w:rFonts w:hint="eastAsia"/>
                <w:kern w:val="0"/>
                <w:sz w:val="21"/>
                <w:szCs w:val="21"/>
              </w:rPr>
              <w:t>，由于本项目为城镇污水处理厂</w:t>
            </w:r>
            <w:r>
              <w:rPr>
                <w:kern w:val="0"/>
                <w:sz w:val="21"/>
                <w:szCs w:val="21"/>
              </w:rPr>
              <w:t>排污口</w:t>
            </w:r>
            <w:r>
              <w:rPr>
                <w:rFonts w:hint="eastAsia"/>
                <w:kern w:val="0"/>
                <w:sz w:val="21"/>
                <w:szCs w:val="21"/>
              </w:rPr>
              <w:t>，不属于</w:t>
            </w:r>
            <w:r>
              <w:rPr>
                <w:kern w:val="0"/>
                <w:sz w:val="21"/>
                <w:szCs w:val="21"/>
              </w:rPr>
              <w:t>严格控制新设、改设或者扩大排污口</w:t>
            </w:r>
            <w:r>
              <w:rPr>
                <w:rFonts w:hint="eastAsia"/>
                <w:kern w:val="0"/>
                <w:sz w:val="21"/>
                <w:szCs w:val="21"/>
              </w:rPr>
              <w:t>的范围，可新设入河排污口。</w:t>
            </w:r>
          </w:p>
        </w:tc>
        <w:tc>
          <w:tcPr>
            <w:tcW w:w="1020" w:type="dxa"/>
            <w:tcMar>
              <w:left w:w="28" w:type="dxa"/>
              <w:right w:w="28" w:type="dxa"/>
            </w:tcMar>
            <w:vAlign w:val="center"/>
          </w:tcPr>
          <w:p>
            <w:pPr>
              <w:autoSpaceDE w:val="0"/>
              <w:autoSpaceDN w:val="0"/>
              <w:adjustRightInd w:val="0"/>
              <w:spacing w:line="260" w:lineRule="exact"/>
              <w:ind w:firstLine="0" w:firstLineChars="0"/>
              <w:jc w:val="center"/>
              <w:rPr>
                <w:kern w:val="0"/>
                <w:sz w:val="21"/>
                <w:szCs w:val="21"/>
              </w:rPr>
            </w:pPr>
            <w:r>
              <w:rPr>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7" w:type="dxa"/>
            <w:tcMar>
              <w:left w:w="28" w:type="dxa"/>
              <w:right w:w="28" w:type="dxa"/>
            </w:tcMar>
            <w:vAlign w:val="center"/>
          </w:tcPr>
          <w:p>
            <w:pPr>
              <w:autoSpaceDE w:val="0"/>
              <w:autoSpaceDN w:val="0"/>
              <w:adjustRightInd w:val="0"/>
              <w:spacing w:line="260" w:lineRule="exact"/>
              <w:ind w:firstLine="0" w:firstLineChars="0"/>
              <w:jc w:val="left"/>
              <w:rPr>
                <w:kern w:val="0"/>
                <w:sz w:val="21"/>
                <w:szCs w:val="21"/>
              </w:rPr>
            </w:pPr>
            <w:r>
              <w:rPr>
                <w:kern w:val="0"/>
                <w:sz w:val="21"/>
                <w:szCs w:val="21"/>
              </w:rPr>
              <w:t>(</w:t>
            </w:r>
            <w:r>
              <w:rPr>
                <w:rFonts w:hint="eastAsia"/>
                <w:kern w:val="0"/>
                <w:sz w:val="21"/>
                <w:szCs w:val="21"/>
              </w:rPr>
              <w:t>八</w:t>
            </w:r>
            <w:r>
              <w:rPr>
                <w:kern w:val="0"/>
                <w:sz w:val="21"/>
                <w:szCs w:val="21"/>
              </w:rPr>
              <w:t>)其他不符合法律、法规以及国家和省有关规定的。</w:t>
            </w:r>
          </w:p>
        </w:tc>
        <w:tc>
          <w:tcPr>
            <w:tcW w:w="4025" w:type="dxa"/>
            <w:tcMar>
              <w:left w:w="28" w:type="dxa"/>
              <w:right w:w="28" w:type="dxa"/>
            </w:tcMar>
            <w:vAlign w:val="center"/>
          </w:tcPr>
          <w:p>
            <w:pPr>
              <w:autoSpaceDE w:val="0"/>
              <w:autoSpaceDN w:val="0"/>
              <w:adjustRightInd w:val="0"/>
              <w:spacing w:line="260" w:lineRule="exact"/>
              <w:ind w:firstLine="0" w:firstLineChars="0"/>
              <w:rPr>
                <w:kern w:val="0"/>
                <w:sz w:val="21"/>
                <w:szCs w:val="21"/>
              </w:rPr>
            </w:pPr>
            <w:r>
              <w:rPr>
                <w:kern w:val="0"/>
                <w:sz w:val="21"/>
                <w:szCs w:val="21"/>
              </w:rPr>
              <w:t>无其他不符合法律、法规以及国家和省有关规定的情形</w:t>
            </w:r>
          </w:p>
        </w:tc>
        <w:tc>
          <w:tcPr>
            <w:tcW w:w="1020" w:type="dxa"/>
            <w:tcMar>
              <w:left w:w="28" w:type="dxa"/>
              <w:right w:w="28" w:type="dxa"/>
            </w:tcMar>
            <w:vAlign w:val="center"/>
          </w:tcPr>
          <w:p>
            <w:pPr>
              <w:autoSpaceDE w:val="0"/>
              <w:autoSpaceDN w:val="0"/>
              <w:adjustRightInd w:val="0"/>
              <w:spacing w:line="260" w:lineRule="exact"/>
              <w:ind w:firstLine="0" w:firstLineChars="0"/>
              <w:jc w:val="center"/>
              <w:rPr>
                <w:kern w:val="0"/>
                <w:sz w:val="21"/>
                <w:szCs w:val="21"/>
              </w:rPr>
            </w:pPr>
            <w:r>
              <w:rPr>
                <w:kern w:val="0"/>
                <w:sz w:val="21"/>
                <w:szCs w:val="21"/>
              </w:rPr>
              <w:t>符合</w:t>
            </w:r>
          </w:p>
        </w:tc>
      </w:tr>
    </w:tbl>
    <w:p>
      <w:pPr>
        <w:ind w:firstLine="480"/>
        <w:rPr>
          <w:szCs w:val="21"/>
        </w:rPr>
      </w:pPr>
      <w:r>
        <w:rPr>
          <w:rFonts w:hint="eastAsia"/>
        </w:rPr>
        <w:t>综上所述，本项目入河排污口的设置符合</w:t>
      </w:r>
      <w:r>
        <w:rPr>
          <w:rFonts w:hint="eastAsia"/>
          <w:szCs w:val="21"/>
        </w:rPr>
        <w:t>《湖南省入河排污口监督管理办法》（湘政发办[2018]44号）的相关要求。</w:t>
      </w:r>
    </w:p>
    <w:p>
      <w:pPr>
        <w:pStyle w:val="4"/>
      </w:pPr>
      <w:r>
        <w:rPr>
          <w:rFonts w:hint="eastAsia"/>
        </w:rPr>
        <w:t>9.2.4与《湖南省入河（湖）排污口监督管理工作方案》</w:t>
      </w:r>
      <w:r>
        <w:rPr>
          <w:rFonts w:hint="eastAsia"/>
          <w:szCs w:val="24"/>
        </w:rPr>
        <w:t>（湘环发[2023]31号）</w:t>
      </w:r>
      <w:r>
        <w:rPr>
          <w:rFonts w:hint="eastAsia"/>
        </w:rPr>
        <w:t>相符性分析</w:t>
      </w:r>
    </w:p>
    <w:p>
      <w:pPr>
        <w:ind w:firstLine="480"/>
        <w:rPr>
          <w:u w:val="single"/>
        </w:rPr>
      </w:pPr>
      <w:r>
        <w:rPr>
          <w:rFonts w:hint="eastAsia"/>
          <w:kern w:val="0"/>
          <w:u w:val="single"/>
        </w:rPr>
        <w:t>根据</w:t>
      </w:r>
      <w:r>
        <w:rPr>
          <w:u w:val="single"/>
        </w:rPr>
        <w:t>《湖南省入河（湖）排污口监督管理工作方案》（湘环发[2023]31号）</w:t>
      </w:r>
      <w:r>
        <w:rPr>
          <w:rFonts w:hint="eastAsia"/>
          <w:u w:val="single"/>
        </w:rPr>
        <w:t>中“三、重点任务——</w:t>
      </w:r>
      <w:r>
        <w:rPr>
          <w:rFonts w:hint="eastAsia"/>
          <w:szCs w:val="24"/>
          <w:u w:val="single"/>
        </w:rPr>
        <w:t>（三）严格规范设置审批“对于工矿企业、工业及其他各类园区污水处理厂、城镇污水处理厂等排污口的设置依法依规实行审批制。</w:t>
      </w:r>
      <w:r>
        <w:rPr>
          <w:rFonts w:hint="eastAsia"/>
          <w:b/>
          <w:szCs w:val="24"/>
          <w:u w:val="single"/>
        </w:rPr>
        <w:t>对未达到水质目标的水功能区，除城镇污水处理厂排污口外，应当严格控制新设、改设或者扩大排污口</w:t>
      </w:r>
      <w:r>
        <w:rPr>
          <w:rFonts w:hint="eastAsia"/>
          <w:szCs w:val="24"/>
          <w:u w:val="single"/>
        </w:rPr>
        <w:t>。</w:t>
      </w:r>
      <w:r>
        <w:rPr>
          <w:rFonts w:hint="eastAsia"/>
          <w:u w:val="single"/>
        </w:rPr>
        <w:t>”</w:t>
      </w:r>
      <w:r>
        <w:rPr>
          <w:rFonts w:hint="eastAsia"/>
          <w:szCs w:val="24"/>
          <w:u w:val="single"/>
        </w:rPr>
        <w:t xml:space="preserve"> 本项目纳污水体澹水为澧水一级支流，现状</w:t>
      </w:r>
      <w:r>
        <w:rPr>
          <w:u w:val="single"/>
        </w:rPr>
        <w:t>水质类别为</w:t>
      </w:r>
      <w:r>
        <w:rPr>
          <w:rFonts w:hint="eastAsia" w:ascii="宋体" w:hAnsi="宋体" w:cs="宋体"/>
          <w:u w:val="single"/>
        </w:rPr>
        <w:t>Ⅱ</w:t>
      </w:r>
      <w:r>
        <w:rPr>
          <w:u w:val="single"/>
        </w:rPr>
        <w:t>类</w:t>
      </w:r>
      <w:r>
        <w:rPr>
          <w:rFonts w:hint="eastAsia"/>
          <w:u w:val="single"/>
        </w:rPr>
        <w:t>～劣Ⅴ</w:t>
      </w:r>
      <w:r>
        <w:rPr>
          <w:rFonts w:hint="eastAsia"/>
          <w:szCs w:val="24"/>
          <w:u w:val="single"/>
        </w:rPr>
        <w:t>类，属于</w:t>
      </w:r>
      <w:r>
        <w:rPr>
          <w:szCs w:val="24"/>
          <w:u w:val="single"/>
        </w:rPr>
        <w:t>未达到水质目标的水功能区</w:t>
      </w:r>
      <w:r>
        <w:rPr>
          <w:rFonts w:hint="eastAsia"/>
          <w:szCs w:val="24"/>
          <w:u w:val="single"/>
        </w:rPr>
        <w:t>，由于本项目排污口类型为城镇污水处理厂</w:t>
      </w:r>
      <w:r>
        <w:rPr>
          <w:szCs w:val="24"/>
          <w:u w:val="single"/>
        </w:rPr>
        <w:t>排污口</w:t>
      </w:r>
      <w:r>
        <w:rPr>
          <w:rFonts w:hint="eastAsia"/>
          <w:szCs w:val="24"/>
          <w:u w:val="single"/>
        </w:rPr>
        <w:t>，不属于</w:t>
      </w:r>
      <w:r>
        <w:rPr>
          <w:szCs w:val="24"/>
          <w:u w:val="single"/>
        </w:rPr>
        <w:t>严格控制新设、改设或者扩大排污口</w:t>
      </w:r>
      <w:r>
        <w:rPr>
          <w:rFonts w:hint="eastAsia"/>
          <w:szCs w:val="24"/>
          <w:u w:val="single"/>
        </w:rPr>
        <w:t>的范围，可新设入河排污口。</w:t>
      </w:r>
    </w:p>
    <w:p>
      <w:pPr>
        <w:ind w:firstLine="480"/>
        <w:rPr>
          <w:kern w:val="0"/>
          <w:u w:val="single"/>
        </w:rPr>
      </w:pPr>
      <w:r>
        <w:rPr>
          <w:rFonts w:hint="eastAsia"/>
          <w:u w:val="single"/>
        </w:rPr>
        <w:t>另根据“三、重点任务——（三）严格规范设置审批”中“</w:t>
      </w:r>
      <w:r>
        <w:rPr>
          <w:rFonts w:hint="eastAsia"/>
          <w:b/>
          <w:u w:val="single"/>
        </w:rPr>
        <w:t>3、已建排污口补办设置审批要求。对于已建成（排查后予以保留的）未办理排污口设置审批手续的工矿企业、工业及其他各类园区污水处理厂、城镇污水处理厂，各市州应要求排污口责任主体单位限期补办设置审批手续。</w:t>
      </w:r>
      <w:r>
        <w:rPr>
          <w:rFonts w:hint="eastAsia"/>
          <w:u w:val="single"/>
        </w:rPr>
        <w:t>”</w:t>
      </w:r>
      <w:r>
        <w:rPr>
          <w:rFonts w:hint="eastAsia"/>
          <w:kern w:val="0"/>
          <w:u w:val="single"/>
        </w:rPr>
        <w:t>本项目已于</w:t>
      </w:r>
      <w:r>
        <w:rPr>
          <w:kern w:val="0"/>
          <w:u w:val="single"/>
        </w:rPr>
        <w:t>202</w:t>
      </w:r>
      <w:r>
        <w:rPr>
          <w:rFonts w:hint="eastAsia"/>
          <w:kern w:val="0"/>
          <w:u w:val="single"/>
        </w:rPr>
        <w:t>3</w:t>
      </w:r>
      <w:r>
        <w:rPr>
          <w:kern w:val="0"/>
          <w:u w:val="single"/>
        </w:rPr>
        <w:t>年</w:t>
      </w:r>
      <w:r>
        <w:rPr>
          <w:rFonts w:hint="eastAsia"/>
          <w:kern w:val="0"/>
          <w:u w:val="single"/>
        </w:rPr>
        <w:t>3</w:t>
      </w:r>
      <w:r>
        <w:rPr>
          <w:kern w:val="0"/>
          <w:u w:val="single"/>
        </w:rPr>
        <w:t>月</w:t>
      </w:r>
      <w:r>
        <w:rPr>
          <w:rFonts w:hint="eastAsia"/>
          <w:kern w:val="0"/>
          <w:u w:val="single"/>
        </w:rPr>
        <w:t>建成</w:t>
      </w:r>
      <w:r>
        <w:rPr>
          <w:kern w:val="0"/>
          <w:u w:val="single"/>
        </w:rPr>
        <w:t>投入试运行</w:t>
      </w:r>
      <w:r>
        <w:rPr>
          <w:rFonts w:hint="eastAsia"/>
          <w:kern w:val="0"/>
          <w:u w:val="single"/>
        </w:rPr>
        <w:t>，因此补办排污口设置手续符合</w:t>
      </w:r>
      <w:r>
        <w:rPr>
          <w:rFonts w:hint="eastAsia"/>
          <w:szCs w:val="32"/>
          <w:u w:val="single"/>
        </w:rPr>
        <w:t>方案要求</w:t>
      </w:r>
      <w:r>
        <w:rPr>
          <w:rFonts w:hint="eastAsia"/>
          <w:kern w:val="0"/>
          <w:u w:val="single"/>
        </w:rPr>
        <w:t>。</w:t>
      </w:r>
    </w:p>
    <w:p>
      <w:pPr>
        <w:pStyle w:val="3"/>
      </w:pPr>
      <w:bookmarkStart w:id="161" w:name="_Toc166145965"/>
      <w:r>
        <w:rPr>
          <w:rFonts w:hint="eastAsia"/>
        </w:rPr>
        <w:t>9.3 水功能区水质和水生态保护要求</w:t>
      </w:r>
      <w:bookmarkEnd w:id="161"/>
    </w:p>
    <w:p>
      <w:pPr>
        <w:pStyle w:val="4"/>
      </w:pPr>
      <w:r>
        <w:rPr>
          <w:rFonts w:hint="eastAsia"/>
        </w:rPr>
        <w:t>9.3.1 水功能区水质要求</w:t>
      </w:r>
    </w:p>
    <w:p>
      <w:pPr>
        <w:ind w:firstLine="480"/>
        <w:rPr>
          <w:szCs w:val="21"/>
        </w:rPr>
      </w:pPr>
      <w:r>
        <w:rPr>
          <w:rFonts w:hint="eastAsia"/>
          <w:szCs w:val="21"/>
        </w:rPr>
        <w:t>澧县东部新区污水处理厂废水经处理达到</w:t>
      </w:r>
      <w:r>
        <w:t>《城镇污水处理厂污染物排放标准》（GB18918-2002）一级A</w:t>
      </w:r>
      <w:r>
        <w:rPr>
          <w:szCs w:val="21"/>
        </w:rPr>
        <w:t>标准</w:t>
      </w:r>
      <w:r>
        <w:rPr>
          <w:rFonts w:hint="eastAsia"/>
          <w:szCs w:val="21"/>
        </w:rPr>
        <w:t>后通过废水总排口（DW001）排入项目东侧农灌沟渠，澹水水位低于34m时，污水通过下游155m处农灌沟渠自流口排入澹水；澹水水位高于34m时，污水经农灌沟渠通过下游250m处东洲机埠电排排入澹水。</w:t>
      </w:r>
    </w:p>
    <w:p>
      <w:pPr>
        <w:ind w:firstLine="480"/>
      </w:pPr>
      <w:r>
        <w:rPr>
          <w:rFonts w:hint="eastAsia"/>
          <w:szCs w:val="21"/>
        </w:rPr>
        <w:t>根据《澧县水功能区划》</w:t>
      </w:r>
      <w:r>
        <w:rPr>
          <w:szCs w:val="24"/>
        </w:rPr>
        <w:t>一级水功能区划</w:t>
      </w:r>
      <w:r>
        <w:rPr>
          <w:rFonts w:hint="eastAsia"/>
        </w:rPr>
        <w:t>，</w:t>
      </w:r>
      <w:r>
        <w:rPr>
          <w:rFonts w:hint="eastAsia"/>
          <w:szCs w:val="21"/>
        </w:rPr>
        <w:t>本项目入河排污口位于</w:t>
      </w:r>
      <w:r>
        <w:rPr>
          <w:rFonts w:hint="eastAsia"/>
          <w:szCs w:val="24"/>
        </w:rPr>
        <w:t>澹水开发利用区，</w:t>
      </w:r>
      <w:r>
        <w:rPr>
          <w:rFonts w:hint="eastAsia"/>
        </w:rPr>
        <w:t>起于澧县澧澹街道任家港，止于澧澹街道东洲，全长15.93km；根据水功能二级区划，澹水</w:t>
      </w:r>
      <w:r>
        <w:rPr>
          <w:rFonts w:hint="eastAsia"/>
          <w:szCs w:val="24"/>
        </w:rPr>
        <w:t>2015年到2018年水质管理目标为</w:t>
      </w:r>
      <w:r>
        <w:t>Ⅲ～Ⅳ</w:t>
      </w:r>
      <w:r>
        <w:rPr>
          <w:rFonts w:hint="eastAsia"/>
        </w:rPr>
        <w:t>类</w:t>
      </w:r>
      <w:r>
        <w:rPr>
          <w:rFonts w:hint="eastAsia"/>
          <w:szCs w:val="21"/>
        </w:rPr>
        <w:t>，</w:t>
      </w:r>
      <w:r>
        <w:rPr>
          <w:rFonts w:hint="eastAsia"/>
        </w:rPr>
        <w:t>本次论证澹水水质管理目标按Ⅲ类。</w:t>
      </w:r>
    </w:p>
    <w:p>
      <w:pPr>
        <w:pStyle w:val="4"/>
      </w:pPr>
      <w:r>
        <w:rPr>
          <w:rFonts w:hint="eastAsia"/>
        </w:rPr>
        <w:t>9.3.2 水生态保护要求</w:t>
      </w:r>
    </w:p>
    <w:p>
      <w:pPr>
        <w:ind w:firstLine="480"/>
        <w:rPr>
          <w:szCs w:val="21"/>
        </w:rPr>
      </w:pPr>
      <w:r>
        <w:rPr>
          <w:szCs w:val="21"/>
        </w:rPr>
        <w:t>本项目排污口正常排放情况下，不会影响排污口下游河段水功能和水环境功能管理要求。因此根据上文分析，本项目排污口的设置不会对下游河段水生生物产生明显影响，不会对鱼类产卵和肥育产生不利影响</w:t>
      </w:r>
      <w:r>
        <w:rPr>
          <w:rFonts w:hint="eastAsia"/>
          <w:szCs w:val="21"/>
        </w:rPr>
        <w:t>。</w:t>
      </w:r>
    </w:p>
    <w:p>
      <w:pPr>
        <w:pStyle w:val="4"/>
      </w:pPr>
      <w:bookmarkStart w:id="162" w:name="_Toc25184"/>
      <w:bookmarkStart w:id="163" w:name="_Toc31604"/>
      <w:bookmarkStart w:id="164" w:name="_Toc14236"/>
      <w:bookmarkStart w:id="165" w:name="_Toc15417"/>
      <w:bookmarkStart w:id="166" w:name="_Toc30990"/>
      <w:bookmarkStart w:id="167" w:name="_Toc16912"/>
      <w:r>
        <w:rPr>
          <w:rFonts w:hint="eastAsia"/>
        </w:rPr>
        <w:t>9.3.3</w:t>
      </w:r>
      <w:r>
        <w:t>第三者需求的合理性分析</w:t>
      </w:r>
      <w:bookmarkEnd w:id="162"/>
      <w:bookmarkEnd w:id="163"/>
      <w:bookmarkEnd w:id="164"/>
      <w:bookmarkEnd w:id="165"/>
      <w:bookmarkEnd w:id="166"/>
      <w:bookmarkEnd w:id="167"/>
    </w:p>
    <w:p>
      <w:pPr>
        <w:ind w:firstLine="480"/>
        <w:rPr>
          <w:szCs w:val="21"/>
        </w:rPr>
      </w:pPr>
      <w:r>
        <w:rPr>
          <w:szCs w:val="21"/>
        </w:rPr>
        <w:t>本</w:t>
      </w:r>
      <w:r>
        <w:rPr>
          <w:rFonts w:hint="eastAsia"/>
          <w:szCs w:val="21"/>
        </w:rPr>
        <w:t>项目</w:t>
      </w:r>
      <w:r>
        <w:rPr>
          <w:szCs w:val="21"/>
        </w:rPr>
        <w:t>排污口的设置</w:t>
      </w:r>
      <w:r>
        <w:rPr>
          <w:rFonts w:hint="eastAsia"/>
          <w:szCs w:val="21"/>
        </w:rPr>
        <w:t>不会</w:t>
      </w:r>
      <w:r>
        <w:rPr>
          <w:szCs w:val="21"/>
        </w:rPr>
        <w:t>对水功能区水质、纳污能力及下游</w:t>
      </w:r>
      <w:r>
        <w:rPr>
          <w:rFonts w:hint="eastAsia"/>
          <w:szCs w:val="21"/>
        </w:rPr>
        <w:t>农业</w:t>
      </w:r>
      <w:r>
        <w:rPr>
          <w:szCs w:val="21"/>
        </w:rPr>
        <w:t>取水口</w:t>
      </w:r>
      <w:r>
        <w:rPr>
          <w:rFonts w:hint="eastAsia"/>
          <w:szCs w:val="21"/>
        </w:rPr>
        <w:t>产生不利影响；</w:t>
      </w:r>
      <w:r>
        <w:rPr>
          <w:szCs w:val="21"/>
        </w:rPr>
        <w:t>不会对区域防洪和排涝造成不利影响</w:t>
      </w:r>
      <w:r>
        <w:rPr>
          <w:rFonts w:hint="eastAsia"/>
          <w:szCs w:val="21"/>
        </w:rPr>
        <w:t>；</w:t>
      </w:r>
      <w:r>
        <w:rPr>
          <w:szCs w:val="21"/>
        </w:rPr>
        <w:t>不会对第三者合法水事权益造成不利影响。</w:t>
      </w:r>
    </w:p>
    <w:p>
      <w:pPr>
        <w:ind w:firstLine="480"/>
        <w:rPr>
          <w:szCs w:val="21"/>
        </w:rPr>
        <w:sectPr>
          <w:pgSz w:w="11906" w:h="16838"/>
          <w:pgMar w:top="1418" w:right="1588" w:bottom="1418" w:left="1588" w:header="851" w:footer="992" w:gutter="0"/>
          <w:pgNumType w:fmt="numberInDash"/>
          <w:cols w:space="425" w:num="1"/>
          <w:docGrid w:type="lines" w:linePitch="326" w:charSpace="0"/>
        </w:sectPr>
      </w:pPr>
    </w:p>
    <w:p>
      <w:pPr>
        <w:pStyle w:val="2"/>
      </w:pPr>
      <w:bookmarkStart w:id="168" w:name="_Toc166145966"/>
      <w:r>
        <w:rPr>
          <w:rFonts w:hint="eastAsia"/>
        </w:rPr>
        <w:t>10. 论证结论与建议</w:t>
      </w:r>
      <w:bookmarkEnd w:id="168"/>
    </w:p>
    <w:p>
      <w:pPr>
        <w:pStyle w:val="3"/>
      </w:pPr>
      <w:bookmarkStart w:id="169" w:name="_Toc166145967"/>
      <w:r>
        <w:rPr>
          <w:rFonts w:hint="eastAsia"/>
        </w:rPr>
        <w:t>10.1 论证结论</w:t>
      </w:r>
      <w:bookmarkEnd w:id="169"/>
    </w:p>
    <w:p>
      <w:pPr>
        <w:pStyle w:val="4"/>
      </w:pPr>
      <w:r>
        <w:rPr>
          <w:rFonts w:hint="eastAsia"/>
        </w:rPr>
        <w:t>10.1.1 排污口基本情况</w:t>
      </w:r>
    </w:p>
    <w:p>
      <w:pPr>
        <w:ind w:firstLine="480"/>
      </w:pPr>
      <w:r>
        <w:t>澧县东部新区污水处理厂污水处理后</w:t>
      </w:r>
      <w:r>
        <w:rPr>
          <w:szCs w:val="21"/>
        </w:rPr>
        <w:t>通过废水总排口（DW001）排入项目东侧农灌沟</w:t>
      </w:r>
      <w:r>
        <w:t>渠，澹水水位低于34m时（一般为10月至次年3月），污水通过下游155m处农灌沟渠自流口排入澹水，入河排放口（自流口）位于澹水右岸，入河坐标E111°51′58.38470″，N 29°38′45.95730″；澹水水位高于34m时（一般为4月至9月），农灌渠自流口闸门通过人工关闭，污水通过下游250m处的东洲机埠电排排入澹水河，入河排放口（东洲机埠电排）位于澹水右岸，入河坐标E 111°52′00.30279″，N 29°38′43.66977″</w:t>
      </w:r>
      <w:r>
        <w:rPr>
          <w:rFonts w:hint="eastAsia"/>
        </w:rPr>
        <w:t>。</w:t>
      </w:r>
    </w:p>
    <w:p>
      <w:pPr>
        <w:ind w:firstLine="480"/>
      </w:pPr>
      <w:r>
        <w:rPr>
          <w:rFonts w:hint="eastAsia"/>
        </w:rPr>
        <w:t>入河排污口类型：新建（补办完善手续）</w:t>
      </w:r>
    </w:p>
    <w:p>
      <w:pPr>
        <w:ind w:firstLine="480"/>
      </w:pPr>
      <w:r>
        <w:rPr>
          <w:rFonts w:hint="eastAsia"/>
        </w:rPr>
        <w:t>分类：</w:t>
      </w:r>
      <w:r>
        <w:rPr>
          <w:rFonts w:hint="eastAsia"/>
          <w:szCs w:val="24"/>
        </w:rPr>
        <w:t>城镇污水处理厂</w:t>
      </w:r>
      <w:r>
        <w:rPr>
          <w:szCs w:val="24"/>
        </w:rPr>
        <w:t>排污口</w:t>
      </w:r>
    </w:p>
    <w:p>
      <w:pPr>
        <w:ind w:firstLine="480"/>
      </w:pPr>
      <w:r>
        <w:rPr>
          <w:rFonts w:hint="eastAsia"/>
        </w:rPr>
        <w:t>排放方式：连续排放</w:t>
      </w:r>
    </w:p>
    <w:p>
      <w:pPr>
        <w:ind w:firstLine="480"/>
      </w:pPr>
      <w:r>
        <w:rPr>
          <w:rFonts w:hint="eastAsia"/>
        </w:rPr>
        <w:t>入河方式：污水处理后通过总排口（DW001）排入项目东侧沟渠，澹水水位低于34m时，污水通过下游155m处农灌沟渠自流口排入澹水右岸（岸边排放）；澹水水位高于34m时，污水经农灌沟渠通过下游250m处东洲机埠电排排入澹水右岸（岸边排放）</w:t>
      </w:r>
    </w:p>
    <w:p>
      <w:pPr>
        <w:ind w:firstLine="480"/>
        <w:rPr>
          <w:szCs w:val="24"/>
        </w:rPr>
      </w:pPr>
      <w:r>
        <w:rPr>
          <w:szCs w:val="24"/>
        </w:rPr>
        <w:t>一期工程设计处理规模60000m</w:t>
      </w:r>
      <w:r>
        <w:rPr>
          <w:szCs w:val="24"/>
          <w:vertAlign w:val="superscript"/>
        </w:rPr>
        <w:t>3</w:t>
      </w:r>
      <w:r>
        <w:rPr>
          <w:szCs w:val="24"/>
        </w:rPr>
        <w:t>/d，年运行365天，按满负荷运行废水排放量为21900000m</w:t>
      </w:r>
      <w:r>
        <w:rPr>
          <w:szCs w:val="24"/>
          <w:vertAlign w:val="superscript"/>
        </w:rPr>
        <w:t>3</w:t>
      </w:r>
      <w:r>
        <w:rPr>
          <w:szCs w:val="24"/>
        </w:rPr>
        <w:t>/a，COD排放浓度为50mg/L、最大排放量为1095t/a，氨氮排放浓度为5mg/L、最大排放量为109.5t/a、总磷排放浓度为0.5mg/L、最大排放量为10.95t/a。</w:t>
      </w:r>
    </w:p>
    <w:p>
      <w:pPr>
        <w:ind w:firstLine="480"/>
        <w:rPr>
          <w:szCs w:val="24"/>
        </w:rPr>
      </w:pPr>
      <w:r>
        <w:rPr>
          <w:szCs w:val="24"/>
        </w:rPr>
        <w:t>本次论证为补办手续，</w:t>
      </w:r>
      <w:r>
        <w:rPr>
          <w:bCs/>
          <w:color w:val="000000"/>
          <w:szCs w:val="24"/>
        </w:rPr>
        <w:t>一期建成已排入澹水</w:t>
      </w:r>
      <w:r>
        <w:rPr>
          <w:rFonts w:hint="eastAsia"/>
          <w:bCs/>
          <w:color w:val="000000"/>
          <w:szCs w:val="24"/>
        </w:rPr>
        <w:t>的废水量为</w:t>
      </w:r>
      <w:r>
        <w:rPr>
          <w:bCs/>
          <w:color w:val="000000"/>
          <w:szCs w:val="24"/>
        </w:rPr>
        <w:t>30000m</w:t>
      </w:r>
      <w:r>
        <w:rPr>
          <w:bCs/>
          <w:color w:val="000000"/>
          <w:szCs w:val="24"/>
          <w:vertAlign w:val="superscript"/>
        </w:rPr>
        <w:t>3</w:t>
      </w:r>
      <w:r>
        <w:rPr>
          <w:bCs/>
          <w:color w:val="000000"/>
          <w:szCs w:val="24"/>
        </w:rPr>
        <w:t>/d</w:t>
      </w:r>
      <w:r>
        <w:rPr>
          <w:rFonts w:hint="eastAsia"/>
          <w:bCs/>
          <w:color w:val="000000"/>
          <w:szCs w:val="24"/>
        </w:rPr>
        <w:t>；</w:t>
      </w:r>
      <w:r>
        <w:rPr>
          <w:bCs/>
          <w:color w:val="000000"/>
          <w:szCs w:val="24"/>
        </w:rPr>
        <w:t>按</w:t>
      </w:r>
      <w:r>
        <w:rPr>
          <w:rFonts w:hint="eastAsia"/>
          <w:bCs/>
          <w:color w:val="000000"/>
          <w:szCs w:val="24"/>
        </w:rPr>
        <w:t>未建</w:t>
      </w:r>
      <w:r>
        <w:rPr>
          <w:bCs/>
          <w:color w:val="000000"/>
          <w:szCs w:val="24"/>
        </w:rPr>
        <w:t>30000m</w:t>
      </w:r>
      <w:r>
        <w:rPr>
          <w:bCs/>
          <w:color w:val="000000"/>
          <w:szCs w:val="24"/>
          <w:vertAlign w:val="superscript"/>
        </w:rPr>
        <w:t>3</w:t>
      </w:r>
      <w:r>
        <w:rPr>
          <w:bCs/>
          <w:color w:val="000000"/>
          <w:szCs w:val="24"/>
        </w:rPr>
        <w:t>/d排放量计算</w:t>
      </w:r>
      <w:r>
        <w:rPr>
          <w:szCs w:val="24"/>
        </w:rPr>
        <w:t>COD最大排放量为</w:t>
      </w:r>
      <w:r>
        <w:rPr>
          <w:rFonts w:hint="eastAsia"/>
          <w:szCs w:val="24"/>
        </w:rPr>
        <w:t>547.5</w:t>
      </w:r>
      <w:r>
        <w:rPr>
          <w:szCs w:val="24"/>
        </w:rPr>
        <w:t>t/a，氨氮最大排放量为</w:t>
      </w:r>
      <w:r>
        <w:rPr>
          <w:rFonts w:hint="eastAsia"/>
          <w:szCs w:val="24"/>
        </w:rPr>
        <w:t>54.75</w:t>
      </w:r>
      <w:r>
        <w:rPr>
          <w:szCs w:val="24"/>
        </w:rPr>
        <w:t>t/a、总磷最大排放量为</w:t>
      </w:r>
      <w:r>
        <w:rPr>
          <w:rFonts w:hint="eastAsia"/>
          <w:szCs w:val="24"/>
        </w:rPr>
        <w:t>5.475</w:t>
      </w:r>
      <w:r>
        <w:rPr>
          <w:szCs w:val="24"/>
        </w:rPr>
        <w:t>t/a。</w:t>
      </w:r>
    </w:p>
    <w:p>
      <w:pPr>
        <w:pStyle w:val="4"/>
      </w:pPr>
      <w:r>
        <w:rPr>
          <w:rFonts w:hint="eastAsia"/>
        </w:rPr>
        <w:t>10.1.2 纳污水体基本情况</w:t>
      </w:r>
    </w:p>
    <w:p>
      <w:pPr>
        <w:ind w:firstLine="480"/>
      </w:pPr>
      <w:r>
        <w:t>本项目入河排污口位于位于澹水东洲段，所属</w:t>
      </w:r>
      <w:r>
        <w:rPr>
          <w:szCs w:val="24"/>
        </w:rPr>
        <w:t>水功能区为</w:t>
      </w:r>
      <w:r>
        <w:t>澹水开发利用区，</w:t>
      </w:r>
      <w:r>
        <w:rPr>
          <w:szCs w:val="24"/>
        </w:rPr>
        <w:t>2015年到2018年水质管理目标为</w:t>
      </w:r>
      <w:r>
        <w:t>Ⅲ～Ⅳ类</w:t>
      </w:r>
      <w:r>
        <w:rPr>
          <w:rFonts w:hint="eastAsia"/>
        </w:rPr>
        <w:t>，本次论证水质管理目标按Ⅲ类</w:t>
      </w:r>
      <w:r>
        <w:t>。</w:t>
      </w:r>
      <w:r>
        <w:rPr>
          <w:szCs w:val="21"/>
        </w:rPr>
        <w:t>根据常德市生态环境局发布的全市环境质量状况的通报</w:t>
      </w:r>
      <w:r>
        <w:t>，澹水东洲断面</w:t>
      </w:r>
      <w:r>
        <w:rPr>
          <w:szCs w:val="21"/>
        </w:rPr>
        <w:t>202</w:t>
      </w:r>
      <w:r>
        <w:rPr>
          <w:rFonts w:hint="eastAsia"/>
          <w:szCs w:val="21"/>
        </w:rPr>
        <w:t>3</w:t>
      </w:r>
      <w:r>
        <w:rPr>
          <w:szCs w:val="21"/>
        </w:rPr>
        <w:t>年1月至</w:t>
      </w:r>
      <w:r>
        <w:rPr>
          <w:rFonts w:hint="eastAsia"/>
          <w:szCs w:val="21"/>
        </w:rPr>
        <w:t>12</w:t>
      </w:r>
      <w:r>
        <w:rPr>
          <w:szCs w:val="21"/>
        </w:rPr>
        <w:t>月</w:t>
      </w:r>
      <w:r>
        <w:t>水质类别为</w:t>
      </w:r>
      <w:r>
        <w:rPr>
          <w:rFonts w:hint="eastAsia" w:hAnsi="宋体"/>
        </w:rPr>
        <w:t>Ⅱ</w:t>
      </w:r>
      <w:r>
        <w:t>类～劣Ⅴ类，属于</w:t>
      </w:r>
      <w:r>
        <w:rPr>
          <w:szCs w:val="24"/>
        </w:rPr>
        <w:t>未达到水质目标的水功能区</w:t>
      </w:r>
      <w:r>
        <w:t>。</w:t>
      </w:r>
    </w:p>
    <w:p>
      <w:pPr>
        <w:ind w:firstLine="480"/>
      </w:pPr>
      <w:r>
        <w:rPr>
          <w:rFonts w:hint="eastAsia"/>
        </w:rPr>
        <w:t>论证范围内，</w:t>
      </w:r>
      <w:r>
        <w:rPr>
          <w:rFonts w:hint="eastAsia"/>
          <w:szCs w:val="24"/>
        </w:rPr>
        <w:t>澹水水位高于农灌沟渠自流口时，</w:t>
      </w:r>
      <w:r>
        <w:rPr>
          <w:rFonts w:hint="eastAsia"/>
        </w:rPr>
        <w:t>本项目排放的废</w:t>
      </w:r>
      <w:r>
        <w:rPr>
          <w:rFonts w:hint="eastAsia"/>
          <w:szCs w:val="24"/>
        </w:rPr>
        <w:t>水流经农灌沟渠</w:t>
      </w:r>
      <w:r>
        <w:rPr>
          <w:szCs w:val="24"/>
        </w:rPr>
        <w:t>250m</w:t>
      </w:r>
      <w:r>
        <w:rPr>
          <w:rFonts w:hint="eastAsia"/>
          <w:szCs w:val="24"/>
        </w:rPr>
        <w:t>后通过东洲机埠电排排入澹水，</w:t>
      </w:r>
      <w:r>
        <w:rPr>
          <w:szCs w:val="24"/>
        </w:rPr>
        <w:t>东洲机埠电排主要功能为农村</w:t>
      </w:r>
      <w:r>
        <w:rPr>
          <w:rFonts w:hint="eastAsia"/>
          <w:szCs w:val="24"/>
        </w:rPr>
        <w:t>排水</w:t>
      </w:r>
      <w:r>
        <w:rPr>
          <w:szCs w:val="24"/>
        </w:rPr>
        <w:t>泵站</w:t>
      </w:r>
      <w:r>
        <w:t>；</w:t>
      </w:r>
      <w:r>
        <w:rPr>
          <w:szCs w:val="21"/>
        </w:rPr>
        <w:t>东洲机埠电排</w:t>
      </w:r>
      <w:r>
        <w:rPr>
          <w:rFonts w:hint="eastAsia"/>
          <w:szCs w:val="21"/>
        </w:rPr>
        <w:t>下游85m处设置有羊湖口节制闸取水用于农业灌溉</w:t>
      </w:r>
      <w:r>
        <w:rPr>
          <w:rFonts w:hint="eastAsia"/>
        </w:rPr>
        <w:t>；</w:t>
      </w:r>
      <w:r>
        <w:rPr>
          <w:rFonts w:hint="eastAsia" w:hAnsi="宋体"/>
          <w:szCs w:val="21"/>
        </w:rPr>
        <w:t>东洲机埠电排</w:t>
      </w:r>
      <w:r>
        <w:rPr>
          <w:rFonts w:hint="eastAsia"/>
        </w:rPr>
        <w:t>入澹水处下游约600m处设置市控考核断面澧县澹水东洲断面</w:t>
      </w:r>
      <w:r>
        <w:rPr>
          <w:szCs w:val="21"/>
        </w:rPr>
        <w:t>。</w:t>
      </w:r>
    </w:p>
    <w:p>
      <w:pPr>
        <w:ind w:firstLine="480"/>
      </w:pPr>
      <w:r>
        <w:rPr>
          <w:rFonts w:hint="eastAsia"/>
        </w:rPr>
        <w:t>澹水开发利用区</w:t>
      </w:r>
      <w:r>
        <w:t>本项目入河排污口</w:t>
      </w:r>
      <w:r>
        <w:rPr>
          <w:szCs w:val="21"/>
        </w:rPr>
        <w:t>下游</w:t>
      </w:r>
      <w:r>
        <w:rPr>
          <w:rFonts w:hint="eastAsia"/>
          <w:szCs w:val="21"/>
        </w:rPr>
        <w:t>5.</w:t>
      </w:r>
      <w:r>
        <w:rPr>
          <w:szCs w:val="21"/>
        </w:rPr>
        <w:t>6km河段纳污能力</w:t>
      </w:r>
      <w:r>
        <w:rPr>
          <w:rFonts w:hint="eastAsia"/>
          <w:szCs w:val="21"/>
        </w:rPr>
        <w:t>（</w:t>
      </w:r>
      <w:r>
        <w:rPr>
          <w:rFonts w:hint="eastAsia"/>
        </w:rPr>
        <w:t>按</w:t>
      </w:r>
      <w:r>
        <w:rPr>
          <w:rFonts w:hint="eastAsia" w:ascii="宋体" w:hAnsi="宋体" w:cs="宋体"/>
        </w:rPr>
        <w:t>Ⅲ</w:t>
      </w:r>
      <w:r>
        <w:rPr>
          <w:rFonts w:hint="eastAsia"/>
        </w:rPr>
        <w:t>类水质</w:t>
      </w:r>
      <w:r>
        <w:rPr>
          <w:rFonts w:hint="eastAsia"/>
          <w:szCs w:val="21"/>
        </w:rPr>
        <w:t>）</w:t>
      </w:r>
      <w:r>
        <w:rPr>
          <w:szCs w:val="21"/>
        </w:rPr>
        <w:t>COD为</w:t>
      </w:r>
      <w:r>
        <w:rPr>
          <w:rFonts w:hint="eastAsia"/>
          <w:szCs w:val="21"/>
        </w:rPr>
        <w:t>1745.05</w:t>
      </w:r>
      <w:r>
        <w:rPr>
          <w:szCs w:val="21"/>
        </w:rPr>
        <w:t>t/a</w:t>
      </w:r>
      <w:r>
        <w:rPr>
          <w:rFonts w:hint="eastAsia"/>
          <w:szCs w:val="21"/>
        </w:rPr>
        <w:t>、氨氮为161.85</w:t>
      </w:r>
      <w:r>
        <w:rPr>
          <w:szCs w:val="21"/>
        </w:rPr>
        <w:t>t/a</w:t>
      </w:r>
      <w:r>
        <w:rPr>
          <w:rFonts w:hint="eastAsia"/>
          <w:szCs w:val="21"/>
        </w:rPr>
        <w:t>、总磷为14.18t/a</w:t>
      </w:r>
      <w:r>
        <w:rPr>
          <w:rFonts w:hint="eastAsia"/>
          <w:color w:val="000000"/>
        </w:rPr>
        <w:t>。项目</w:t>
      </w:r>
      <w:r>
        <w:rPr>
          <w:color w:val="000000"/>
        </w:rPr>
        <w:t>排污口</w:t>
      </w:r>
      <w:r>
        <w:rPr>
          <w:rFonts w:hint="eastAsia"/>
        </w:rPr>
        <w:t>COD</w:t>
      </w:r>
      <w:r>
        <w:rPr>
          <w:rFonts w:hint="eastAsia"/>
          <w:color w:val="000000"/>
        </w:rPr>
        <w:t>年</w:t>
      </w:r>
      <w:r>
        <w:rPr>
          <w:rFonts w:hint="eastAsia"/>
        </w:rPr>
        <w:t>排放量（按未建30000m</w:t>
      </w:r>
      <w:r>
        <w:rPr>
          <w:rFonts w:hint="eastAsia"/>
          <w:vertAlign w:val="superscript"/>
        </w:rPr>
        <w:t>3</w:t>
      </w:r>
      <w:r>
        <w:rPr>
          <w:rFonts w:hint="eastAsia"/>
        </w:rPr>
        <w:t>/d）为保留区</w:t>
      </w:r>
      <w:r>
        <w:t>纳污能力的</w:t>
      </w:r>
      <w:r>
        <w:rPr>
          <w:rFonts w:hint="eastAsia"/>
        </w:rPr>
        <w:t>31.4</w:t>
      </w:r>
      <w:r>
        <w:t>%</w:t>
      </w:r>
      <w:r>
        <w:rPr>
          <w:rFonts w:hint="eastAsia"/>
        </w:rPr>
        <w:t>；氨氮</w:t>
      </w:r>
      <w:r>
        <w:rPr>
          <w:rFonts w:hint="eastAsia"/>
          <w:color w:val="000000"/>
        </w:rPr>
        <w:t>年</w:t>
      </w:r>
      <w:r>
        <w:rPr>
          <w:rFonts w:hint="eastAsia"/>
        </w:rPr>
        <w:t>排放量为保留区</w:t>
      </w:r>
      <w:r>
        <w:t>纳污能力的</w:t>
      </w:r>
      <w:r>
        <w:rPr>
          <w:rFonts w:hint="eastAsia"/>
        </w:rPr>
        <w:t>33.8</w:t>
      </w:r>
      <w:r>
        <w:t>%</w:t>
      </w:r>
      <w:r>
        <w:rPr>
          <w:rFonts w:hint="eastAsia"/>
        </w:rPr>
        <w:t>；总磷</w:t>
      </w:r>
      <w:r>
        <w:rPr>
          <w:rFonts w:hint="eastAsia"/>
          <w:color w:val="000000"/>
        </w:rPr>
        <w:t>年</w:t>
      </w:r>
      <w:r>
        <w:rPr>
          <w:rFonts w:hint="eastAsia"/>
        </w:rPr>
        <w:t>排放量为保留区</w:t>
      </w:r>
      <w:r>
        <w:t>纳污能力的</w:t>
      </w:r>
      <w:r>
        <w:rPr>
          <w:rFonts w:hint="eastAsia"/>
        </w:rPr>
        <w:t>38.6</w:t>
      </w:r>
      <w:r>
        <w:t>%</w:t>
      </w:r>
      <w:r>
        <w:rPr>
          <w:rFonts w:hint="eastAsia"/>
        </w:rPr>
        <w:t>，具有一定的环境容量</w:t>
      </w:r>
      <w:r>
        <w:t>。</w:t>
      </w:r>
    </w:p>
    <w:p>
      <w:pPr>
        <w:pStyle w:val="4"/>
      </w:pPr>
      <w:r>
        <w:rPr>
          <w:rFonts w:hint="eastAsia"/>
        </w:rPr>
        <w:t>10.1.3 正常排放影响</w:t>
      </w:r>
    </w:p>
    <w:p>
      <w:pPr>
        <w:ind w:firstLine="480"/>
      </w:pPr>
      <w:r>
        <w:rPr>
          <w:rFonts w:hint="eastAsia"/>
        </w:rPr>
        <w:t>澧县东部新区污水处理厂</w:t>
      </w:r>
      <w:r>
        <w:t>污水经污水</w:t>
      </w:r>
      <w:r>
        <w:rPr>
          <w:rFonts w:hint="eastAsia"/>
        </w:rPr>
        <w:t>管网</w:t>
      </w:r>
      <w:r>
        <w:t>收集、混合及</w:t>
      </w:r>
      <w:r>
        <w:rPr>
          <w:rFonts w:hint="eastAsia"/>
        </w:rPr>
        <w:t>采用氧化沟工艺</w:t>
      </w:r>
      <w:r>
        <w:t>处理</w:t>
      </w:r>
      <w:r>
        <w:rPr>
          <w:rFonts w:hint="eastAsia"/>
          <w:szCs w:val="21"/>
        </w:rPr>
        <w:t>，达到</w:t>
      </w:r>
      <w:r>
        <w:t>《城镇污水处理厂污染物排放标准》（GB18918-2002）一级A标准</w:t>
      </w:r>
      <w:r>
        <w:rPr>
          <w:rFonts w:hint="eastAsia"/>
        </w:rPr>
        <w:t>后通过废水总排口（DW001）排入项目东侧农灌沟渠，澹水水位低于34m时，污水通过下游155m处农灌沟渠自流口排入澹水；澹水水位高于34m时，污水经农灌沟渠通过下游250m处东洲机埠电排排入澹水。</w:t>
      </w:r>
    </w:p>
    <w:p>
      <w:pPr>
        <w:ind w:firstLine="480"/>
      </w:pPr>
      <w:r>
        <w:rPr>
          <w:rFonts w:hint="eastAsia"/>
        </w:rPr>
        <w:t>枯水期正常排放情况下，</w:t>
      </w:r>
      <w:r>
        <w:rPr>
          <w:rFonts w:hint="eastAsia"/>
          <w:szCs w:val="24"/>
        </w:rPr>
        <w:t>由于背景浓度值已超过</w:t>
      </w:r>
      <w:r>
        <w:rPr>
          <w:rFonts w:hint="eastAsia" w:ascii="宋体" w:hAnsi="宋体"/>
          <w:szCs w:val="24"/>
        </w:rPr>
        <w:t>Ⅲ</w:t>
      </w:r>
      <w:r>
        <w:rPr>
          <w:szCs w:val="24"/>
        </w:rPr>
        <w:t>类标准</w:t>
      </w:r>
      <w:r>
        <w:rPr>
          <w:rFonts w:hint="eastAsia"/>
          <w:szCs w:val="24"/>
        </w:rPr>
        <w:t>限值，论证范围内</w:t>
      </w:r>
      <w:r>
        <w:rPr>
          <w:szCs w:val="24"/>
        </w:rPr>
        <w:t>COD</w:t>
      </w:r>
      <w:r>
        <w:rPr>
          <w:szCs w:val="24"/>
          <w:vertAlign w:val="subscript"/>
        </w:rPr>
        <w:t>Cr</w:t>
      </w:r>
      <w:r>
        <w:rPr>
          <w:rFonts w:hint="eastAsia"/>
          <w:szCs w:val="24"/>
        </w:rPr>
        <w:t>、氨氮、总磷均超过</w:t>
      </w:r>
      <w:r>
        <w:rPr>
          <w:szCs w:val="24"/>
        </w:rPr>
        <w:t>《地表水环境质量标准》（GB3838-2002）</w:t>
      </w:r>
      <w:r>
        <w:rPr>
          <w:rFonts w:hint="eastAsia" w:ascii="宋体" w:hAnsi="宋体"/>
          <w:szCs w:val="24"/>
        </w:rPr>
        <w:t>Ⅲ</w:t>
      </w:r>
      <w:r>
        <w:rPr>
          <w:szCs w:val="24"/>
        </w:rPr>
        <w:t>类标准</w:t>
      </w:r>
      <w:r>
        <w:rPr>
          <w:rFonts w:hint="eastAsia"/>
          <w:szCs w:val="24"/>
        </w:rPr>
        <w:t>限值</w:t>
      </w:r>
      <w:r>
        <w:rPr>
          <w:szCs w:val="24"/>
        </w:rPr>
        <w:t>要求</w:t>
      </w:r>
      <w:r>
        <w:rPr>
          <w:rFonts w:hint="eastAsia"/>
          <w:szCs w:val="24"/>
        </w:rPr>
        <w:t>，只能维持</w:t>
      </w:r>
      <w:r>
        <w:rPr>
          <w:rFonts w:hint="eastAsia" w:ascii="宋体" w:hAnsi="宋体"/>
          <w:szCs w:val="24"/>
        </w:rPr>
        <w:t>Ⅴ</w:t>
      </w:r>
      <w:r>
        <w:rPr>
          <w:szCs w:val="24"/>
        </w:rPr>
        <w:t>类标准</w:t>
      </w:r>
      <w:r>
        <w:rPr>
          <w:rFonts w:hint="eastAsia"/>
          <w:szCs w:val="24"/>
        </w:rPr>
        <w:t>限值</w:t>
      </w:r>
      <w:r>
        <w:rPr>
          <w:szCs w:val="24"/>
        </w:rPr>
        <w:t>要求</w:t>
      </w:r>
      <w:r>
        <w:rPr>
          <w:rFonts w:hint="eastAsia"/>
        </w:rPr>
        <w:t>。</w:t>
      </w:r>
    </w:p>
    <w:p>
      <w:pPr>
        <w:ind w:firstLine="480"/>
        <w:rPr>
          <w:szCs w:val="24"/>
        </w:rPr>
      </w:pPr>
      <w:r>
        <w:rPr>
          <w:rFonts w:hint="eastAsia"/>
          <w:szCs w:val="24"/>
        </w:rPr>
        <w:t>根据《湖南省入河（湖）排污口监督管理工作方案》（湘环发[2023]31号）第三条重点任务——（三）严格规范设置审批“对于工矿企业、工业及其他各类园区污水处理厂、城镇污水处理厂等排污口的设置依法依规实行审批制。</w:t>
      </w:r>
      <w:r>
        <w:rPr>
          <w:rFonts w:hint="eastAsia"/>
          <w:b/>
          <w:szCs w:val="24"/>
        </w:rPr>
        <w:t>对未达到水质目标的水功能区，除城镇污水处理厂排污口外，应当严格控制新设、改设或者扩大排污口</w:t>
      </w:r>
      <w:r>
        <w:rPr>
          <w:rFonts w:hint="eastAsia"/>
          <w:szCs w:val="24"/>
        </w:rPr>
        <w:t>”。本项目纳污水体澹水为澧水一级支流，</w:t>
      </w:r>
      <w:r>
        <w:t>水质类别为</w:t>
      </w:r>
      <w:r>
        <w:rPr>
          <w:rFonts w:hint="eastAsia" w:ascii="宋体" w:hAnsi="宋体" w:cs="宋体"/>
        </w:rPr>
        <w:t>Ⅱ</w:t>
      </w:r>
      <w:r>
        <w:t>类</w:t>
      </w:r>
      <w:r>
        <w:rPr>
          <w:rFonts w:hint="eastAsia"/>
        </w:rPr>
        <w:t>～劣Ⅴ</w:t>
      </w:r>
      <w:r>
        <w:rPr>
          <w:rFonts w:hint="eastAsia"/>
          <w:szCs w:val="24"/>
        </w:rPr>
        <w:t>类，2015年到2018年水质管理目标为</w:t>
      </w:r>
      <w:r>
        <w:t>Ⅲ～Ⅳ</w:t>
      </w:r>
      <w:r>
        <w:rPr>
          <w:rFonts w:hint="eastAsia"/>
        </w:rPr>
        <w:t>类（本次论证按Ⅲ类水质），属</w:t>
      </w:r>
      <w:r>
        <w:rPr>
          <w:rFonts w:hint="eastAsia"/>
          <w:szCs w:val="24"/>
        </w:rPr>
        <w:t>于</w:t>
      </w:r>
      <w:r>
        <w:rPr>
          <w:szCs w:val="24"/>
        </w:rPr>
        <w:t>未达到水质目标的水功能区</w:t>
      </w:r>
      <w:r>
        <w:rPr>
          <w:rFonts w:hint="eastAsia"/>
          <w:szCs w:val="24"/>
        </w:rPr>
        <w:t>。由于本项目为城镇污水处理厂</w:t>
      </w:r>
      <w:r>
        <w:rPr>
          <w:szCs w:val="24"/>
        </w:rPr>
        <w:t>排污口</w:t>
      </w:r>
      <w:r>
        <w:rPr>
          <w:rFonts w:hint="eastAsia"/>
          <w:szCs w:val="24"/>
        </w:rPr>
        <w:t>，因此不属于</w:t>
      </w:r>
      <w:r>
        <w:rPr>
          <w:szCs w:val="24"/>
        </w:rPr>
        <w:t>严格控制新设、改设或者扩大排污口</w:t>
      </w:r>
      <w:r>
        <w:rPr>
          <w:rFonts w:hint="eastAsia"/>
          <w:szCs w:val="24"/>
        </w:rPr>
        <w:t>的范围，可新设入河排污口。</w:t>
      </w:r>
    </w:p>
    <w:p>
      <w:pPr>
        <w:pStyle w:val="4"/>
      </w:pPr>
      <w:r>
        <w:rPr>
          <w:rFonts w:hint="eastAsia"/>
        </w:rPr>
        <w:t>10.1.4 事故排放影响</w:t>
      </w:r>
    </w:p>
    <w:p>
      <w:pPr>
        <w:ind w:firstLine="480"/>
        <w:rPr>
          <w:bCs/>
        </w:rPr>
      </w:pPr>
      <w:r>
        <w:rPr>
          <w:rFonts w:hint="eastAsia"/>
        </w:rPr>
        <w:t>枯水期事故排放下</w:t>
      </w:r>
      <w:r>
        <w:rPr>
          <w:szCs w:val="21"/>
        </w:rPr>
        <w:t>，</w:t>
      </w:r>
      <w:r>
        <w:rPr>
          <w:rFonts w:hint="eastAsia"/>
          <w:szCs w:val="24"/>
        </w:rPr>
        <w:t>由于背景浓度值已超过</w:t>
      </w:r>
      <w:r>
        <w:rPr>
          <w:rFonts w:hint="eastAsia" w:ascii="宋体" w:hAnsi="宋体"/>
          <w:szCs w:val="24"/>
        </w:rPr>
        <w:t>Ⅲ</w:t>
      </w:r>
      <w:r>
        <w:rPr>
          <w:szCs w:val="24"/>
        </w:rPr>
        <w:t>类标准</w:t>
      </w:r>
      <w:r>
        <w:rPr>
          <w:rFonts w:hint="eastAsia"/>
          <w:szCs w:val="24"/>
        </w:rPr>
        <w:t>限值，论证范围内</w:t>
      </w:r>
      <w:r>
        <w:rPr>
          <w:szCs w:val="24"/>
        </w:rPr>
        <w:t>COD</w:t>
      </w:r>
      <w:r>
        <w:rPr>
          <w:szCs w:val="24"/>
          <w:vertAlign w:val="subscript"/>
        </w:rPr>
        <w:t>Cr</w:t>
      </w:r>
      <w:r>
        <w:rPr>
          <w:rFonts w:hint="eastAsia"/>
          <w:szCs w:val="24"/>
        </w:rPr>
        <w:t>、氨氮、总磷均超过</w:t>
      </w:r>
      <w:r>
        <w:rPr>
          <w:szCs w:val="24"/>
        </w:rPr>
        <w:t>《地表水环境质量标准》（GB3838-2002）</w:t>
      </w:r>
      <w:r>
        <w:rPr>
          <w:rFonts w:hint="eastAsia" w:ascii="宋体" w:hAnsi="宋体"/>
          <w:szCs w:val="24"/>
        </w:rPr>
        <w:t>Ⅲ</w:t>
      </w:r>
      <w:r>
        <w:rPr>
          <w:szCs w:val="24"/>
        </w:rPr>
        <w:t>类标准</w:t>
      </w:r>
      <w:r>
        <w:rPr>
          <w:rFonts w:hint="eastAsia"/>
          <w:szCs w:val="24"/>
        </w:rPr>
        <w:t>限值</w:t>
      </w:r>
      <w:r>
        <w:rPr>
          <w:szCs w:val="24"/>
        </w:rPr>
        <w:t>要求</w:t>
      </w:r>
      <w:r>
        <w:rPr>
          <w:rFonts w:hint="eastAsia"/>
          <w:szCs w:val="24"/>
        </w:rPr>
        <w:t>，且超过</w:t>
      </w:r>
      <w:r>
        <w:rPr>
          <w:rFonts w:hint="eastAsia" w:ascii="宋体" w:hAnsi="宋体"/>
          <w:szCs w:val="24"/>
        </w:rPr>
        <w:t>Ⅴ</w:t>
      </w:r>
      <w:r>
        <w:rPr>
          <w:szCs w:val="24"/>
        </w:rPr>
        <w:t>类标准</w:t>
      </w:r>
      <w:r>
        <w:rPr>
          <w:rFonts w:hint="eastAsia"/>
          <w:szCs w:val="24"/>
        </w:rPr>
        <w:t>限值</w:t>
      </w:r>
      <w:r>
        <w:rPr>
          <w:szCs w:val="24"/>
        </w:rPr>
        <w:t>要求</w:t>
      </w:r>
      <w:r>
        <w:rPr>
          <w:rFonts w:hint="eastAsia"/>
          <w:szCs w:val="24"/>
        </w:rPr>
        <w:t>，事故排放</w:t>
      </w:r>
      <w:r>
        <w:rPr>
          <w:szCs w:val="24"/>
        </w:rPr>
        <w:t>对</w:t>
      </w:r>
      <w:r>
        <w:rPr>
          <w:rFonts w:hint="eastAsia"/>
          <w:szCs w:val="24"/>
        </w:rPr>
        <w:t>澹水</w:t>
      </w:r>
      <w:r>
        <w:rPr>
          <w:szCs w:val="24"/>
        </w:rPr>
        <w:t>水质影响</w:t>
      </w:r>
      <w:r>
        <w:rPr>
          <w:rFonts w:hint="eastAsia"/>
          <w:szCs w:val="24"/>
        </w:rPr>
        <w:t>较大</w:t>
      </w:r>
      <w:r>
        <w:rPr>
          <w:szCs w:val="24"/>
        </w:rPr>
        <w:t>。</w:t>
      </w:r>
    </w:p>
    <w:p>
      <w:pPr>
        <w:pStyle w:val="4"/>
      </w:pPr>
      <w:r>
        <w:rPr>
          <w:rFonts w:hint="eastAsia"/>
        </w:rPr>
        <w:t>10.1.5 总结论</w:t>
      </w:r>
    </w:p>
    <w:p>
      <w:pPr>
        <w:ind w:firstLine="480"/>
      </w:pPr>
      <w:r>
        <w:rPr>
          <w:rFonts w:hint="eastAsia"/>
        </w:rPr>
        <w:t>澧县东部新区污水处理厂尾水正常排放下，不会改变澹水开发利用区的现状水质类别，满足论证范围水域纳污能力和限制排放总量，对下游水功能区的水质不会造成明显影响，不会对纳污水域水生态环境产生较大影响。</w:t>
      </w:r>
    </w:p>
    <w:p>
      <w:pPr>
        <w:ind w:firstLine="480"/>
        <w:rPr>
          <w:szCs w:val="21"/>
        </w:rPr>
      </w:pPr>
      <w:r>
        <w:rPr>
          <w:rFonts w:hint="eastAsia"/>
          <w:szCs w:val="21"/>
        </w:rPr>
        <w:t>项目</w:t>
      </w:r>
      <w:r>
        <w:rPr>
          <w:szCs w:val="21"/>
        </w:rPr>
        <w:t>对论证范围内的渔业资源不会产生明显的影响，在水质影响变化区内，项目的排污对整体水质影响不大，对鱼类的种类和生物量不会产生明显的影响。</w:t>
      </w:r>
      <w:r>
        <w:rPr>
          <w:rFonts w:hint="eastAsia"/>
          <w:szCs w:val="21"/>
        </w:rPr>
        <w:t>本工程为污水处理项目，能减少澧县东部新区生活污水直接排入澹水，对澹水水质实际上有改善作用</w:t>
      </w:r>
      <w:r>
        <w:rPr>
          <w:szCs w:val="21"/>
        </w:rPr>
        <w:t>。</w:t>
      </w:r>
    </w:p>
    <w:p>
      <w:pPr>
        <w:ind w:firstLine="480"/>
      </w:pPr>
      <w:r>
        <w:rPr>
          <w:rFonts w:hint="eastAsia"/>
        </w:rPr>
        <w:t>综上所述，本项目入河排污口的设置合理可行。</w:t>
      </w:r>
    </w:p>
    <w:p>
      <w:pPr>
        <w:pStyle w:val="3"/>
      </w:pPr>
      <w:bookmarkStart w:id="170" w:name="_Toc166145968"/>
      <w:r>
        <w:rPr>
          <w:rFonts w:hint="eastAsia"/>
        </w:rPr>
        <w:t>10.2 建议</w:t>
      </w:r>
      <w:bookmarkEnd w:id="170"/>
    </w:p>
    <w:p>
      <w:pPr>
        <w:ind w:firstLine="480"/>
      </w:pPr>
      <w:r>
        <w:rPr>
          <w:rFonts w:hint="eastAsia"/>
        </w:rPr>
        <w:t>（1）</w:t>
      </w:r>
      <w:r>
        <w:t>建设单位应积极配合和服从入河排污口管理单位对设置排污口所在水</w:t>
      </w:r>
      <w:r>
        <w:rPr>
          <w:rFonts w:hint="eastAsia"/>
        </w:rPr>
        <w:t>域功能区以及上下游相邻水功能区的管理，建立出水水质监测分析台帐，定期向生态环境主管部门报送信息。</w:t>
      </w:r>
    </w:p>
    <w:p>
      <w:pPr>
        <w:ind w:firstLine="480"/>
      </w:pPr>
      <w:r>
        <w:rPr>
          <w:rFonts w:hint="eastAsia"/>
        </w:rPr>
        <w:t>（2）杜绝事故状态下污水直排入河，</w:t>
      </w:r>
      <w:r>
        <w:t>一旦发生故障</w:t>
      </w:r>
      <w:r>
        <w:rPr>
          <w:rFonts w:hint="eastAsia"/>
        </w:rPr>
        <w:t>应立即停止排放</w:t>
      </w:r>
      <w:r>
        <w:t>，待污水处理</w:t>
      </w:r>
      <w:r>
        <w:rPr>
          <w:rFonts w:hint="eastAsia"/>
        </w:rPr>
        <w:t>设施</w:t>
      </w:r>
      <w:r>
        <w:t>修理后达标排放</w:t>
      </w:r>
      <w:r>
        <w:rPr>
          <w:rFonts w:hint="eastAsia"/>
        </w:rPr>
        <w:t>，避免对下游水功能区及下游水域造成污染。</w:t>
      </w:r>
    </w:p>
    <w:p>
      <w:pPr>
        <w:ind w:firstLine="480"/>
      </w:pPr>
      <w:r>
        <w:rPr>
          <w:rFonts w:hint="eastAsia"/>
        </w:rPr>
        <w:t>（3）</w:t>
      </w:r>
      <w:r>
        <w:t>建设单位应加强污水处理设施的运行管理，确保出水水质</w:t>
      </w:r>
      <w:r>
        <w:rPr>
          <w:rFonts w:hint="eastAsia"/>
        </w:rPr>
        <w:t>达标排放</w:t>
      </w:r>
      <w:r>
        <w:t>，并采</w:t>
      </w:r>
      <w:r>
        <w:rPr>
          <w:rFonts w:hint="eastAsia"/>
        </w:rPr>
        <w:t>取措施规避事故排放。当入河废污水所含主要污染物及其排放浓度、排放总量发生变化时，排污单位应重新申请入河排污口设置论证。</w:t>
      </w:r>
    </w:p>
    <w:sectPr>
      <w:pgSz w:w="11906" w:h="16838"/>
      <w:pgMar w:top="1418" w:right="1588" w:bottom="1418" w:left="1588" w:header="851" w:footer="992" w:gutter="0"/>
      <w:pgNumType w:fmt="numberInDash"/>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FangSong_GB2312">
    <w:altName w:val="仿宋_GB2312"/>
    <w:panose1 w:val="02010609060101010101"/>
    <w:charset w:val="00"/>
    <w:family w:val="roman"/>
    <w:pitch w:val="default"/>
    <w:sig w:usb0="00000000" w:usb1="00000000" w:usb2="00000000" w:usb3="00000000" w:csb0="00000000"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Roman”“">
    <w:altName w:val="宋体"/>
    <w:panose1 w:val="00000000000000000000"/>
    <w:charset w:val="86"/>
    <w:family w:val="auto"/>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0" w:usb3="00000000" w:csb0="00000001"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3458426"/>
      <w:docPartObj>
        <w:docPartGallery w:val="AutoText"/>
      </w:docPartObj>
    </w:sdtPr>
    <w:sdtContent>
      <w:p>
        <w:pPr>
          <w:pStyle w:val="26"/>
          <w:tabs>
            <w:tab w:val="left" w:pos="4395"/>
            <w:tab w:val="center" w:pos="4545"/>
          </w:tabs>
          <w:ind w:firstLine="360"/>
        </w:pPr>
        <w:r>
          <w:tab/>
        </w:r>
        <w:r>
          <w:tab/>
        </w:r>
      </w:p>
    </w:sdtContent>
  </w:sdt>
  <w:p>
    <w:pPr>
      <w:pStyle w:val="2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51052"/>
      <w:docPartObj>
        <w:docPartGallery w:val="AutoText"/>
      </w:docPartObj>
    </w:sdtPr>
    <w:sdtContent>
      <w:p>
        <w:pPr>
          <w:pStyle w:val="26"/>
          <w:tabs>
            <w:tab w:val="left" w:pos="4395"/>
            <w:tab w:val="center" w:pos="4545"/>
          </w:tabs>
          <w:ind w:firstLine="360"/>
        </w:pPr>
        <w:r>
          <w:tab/>
        </w:r>
        <w:r>
          <w:tab/>
        </w:r>
        <w:r>
          <w:tab/>
        </w:r>
      </w:p>
    </w:sdtContent>
  </w:sdt>
  <w:p>
    <w:pPr>
      <w:pStyle w:val="2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51053"/>
      <w:docPartObj>
        <w:docPartGallery w:val="AutoText"/>
      </w:docPartObj>
    </w:sdtPr>
    <w:sdtContent>
      <w:p>
        <w:pPr>
          <w:pStyle w:val="26"/>
          <w:ind w:firstLine="360"/>
          <w:jc w:val="center"/>
        </w:pPr>
        <w:r>
          <w:fldChar w:fldCharType="begin"/>
        </w:r>
        <w:r>
          <w:instrText xml:space="preserve">PAGE   \* MERGEFORMAT</w:instrText>
        </w:r>
        <w:r>
          <w:fldChar w:fldCharType="separate"/>
        </w:r>
        <w:r>
          <w:rPr>
            <w:lang w:val="zh-CN"/>
          </w:rPr>
          <w:t>-</w:t>
        </w:r>
        <w:r>
          <w:t xml:space="preserve"> 39 -</w:t>
        </w:r>
        <w:r>
          <w:fldChar w:fldCharType="end"/>
        </w:r>
      </w:p>
    </w:sdtContent>
  </w:sdt>
  <w:p>
    <w:pPr>
      <w:pStyle w:val="2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20A0AF3"/>
    <w:multiLevelType w:val="multilevel"/>
    <w:tmpl w:val="520A0AF3"/>
    <w:lvl w:ilvl="0" w:tentative="0">
      <w:start w:val="1"/>
      <w:numFmt w:val="decimal"/>
      <w:pStyle w:val="199"/>
      <w:lvlText w:val="（%1）"/>
      <w:lvlJc w:val="left"/>
      <w:pPr>
        <w:tabs>
          <w:tab w:val="left" w:pos="1080"/>
        </w:tabs>
        <w:ind w:left="1080" w:hanging="720"/>
      </w:pPr>
      <w:rPr>
        <w:rFonts w:hint="default"/>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jZkY2IxY2U3NzVjM2I5YTZkNWI5MmM0OGU0MjY1YmIifQ=="/>
  </w:docVars>
  <w:rsids>
    <w:rsidRoot w:val="001730B2"/>
    <w:rsid w:val="000008E0"/>
    <w:rsid w:val="00000B6C"/>
    <w:rsid w:val="00001EB3"/>
    <w:rsid w:val="00001FA9"/>
    <w:rsid w:val="000025B4"/>
    <w:rsid w:val="000030E1"/>
    <w:rsid w:val="00004038"/>
    <w:rsid w:val="00004D66"/>
    <w:rsid w:val="00005D62"/>
    <w:rsid w:val="00005E82"/>
    <w:rsid w:val="0000605E"/>
    <w:rsid w:val="0000662D"/>
    <w:rsid w:val="00007620"/>
    <w:rsid w:val="00007C99"/>
    <w:rsid w:val="0001066E"/>
    <w:rsid w:val="00010686"/>
    <w:rsid w:val="00010CA3"/>
    <w:rsid w:val="000110DB"/>
    <w:rsid w:val="00011E22"/>
    <w:rsid w:val="00011F23"/>
    <w:rsid w:val="00011F35"/>
    <w:rsid w:val="00012911"/>
    <w:rsid w:val="00012EE4"/>
    <w:rsid w:val="00015B36"/>
    <w:rsid w:val="00015E4E"/>
    <w:rsid w:val="00016AD9"/>
    <w:rsid w:val="00017A06"/>
    <w:rsid w:val="00017E1B"/>
    <w:rsid w:val="00022212"/>
    <w:rsid w:val="00024477"/>
    <w:rsid w:val="00024743"/>
    <w:rsid w:val="0002684D"/>
    <w:rsid w:val="000272E7"/>
    <w:rsid w:val="00027876"/>
    <w:rsid w:val="00027B25"/>
    <w:rsid w:val="0003097E"/>
    <w:rsid w:val="00031033"/>
    <w:rsid w:val="0003137F"/>
    <w:rsid w:val="00031A50"/>
    <w:rsid w:val="00031B8C"/>
    <w:rsid w:val="00033E73"/>
    <w:rsid w:val="00034D6F"/>
    <w:rsid w:val="000353A3"/>
    <w:rsid w:val="000361ED"/>
    <w:rsid w:val="000365F3"/>
    <w:rsid w:val="000369AC"/>
    <w:rsid w:val="00037A92"/>
    <w:rsid w:val="00037D8F"/>
    <w:rsid w:val="00040617"/>
    <w:rsid w:val="00041396"/>
    <w:rsid w:val="00041D31"/>
    <w:rsid w:val="0004322F"/>
    <w:rsid w:val="000432A5"/>
    <w:rsid w:val="000434F2"/>
    <w:rsid w:val="0004466C"/>
    <w:rsid w:val="00044869"/>
    <w:rsid w:val="00044970"/>
    <w:rsid w:val="00044FE1"/>
    <w:rsid w:val="00045391"/>
    <w:rsid w:val="00045997"/>
    <w:rsid w:val="0005028E"/>
    <w:rsid w:val="00050373"/>
    <w:rsid w:val="00050B81"/>
    <w:rsid w:val="00050D2D"/>
    <w:rsid w:val="000518E5"/>
    <w:rsid w:val="00051929"/>
    <w:rsid w:val="00051B4D"/>
    <w:rsid w:val="000524AF"/>
    <w:rsid w:val="000524E8"/>
    <w:rsid w:val="00053091"/>
    <w:rsid w:val="000532D7"/>
    <w:rsid w:val="000540C6"/>
    <w:rsid w:val="00054B72"/>
    <w:rsid w:val="00055E95"/>
    <w:rsid w:val="00056978"/>
    <w:rsid w:val="000573E1"/>
    <w:rsid w:val="00057672"/>
    <w:rsid w:val="000576DF"/>
    <w:rsid w:val="00057B14"/>
    <w:rsid w:val="00060414"/>
    <w:rsid w:val="00060761"/>
    <w:rsid w:val="00060A34"/>
    <w:rsid w:val="0006108A"/>
    <w:rsid w:val="0006160B"/>
    <w:rsid w:val="00061771"/>
    <w:rsid w:val="00061BFB"/>
    <w:rsid w:val="00062559"/>
    <w:rsid w:val="000639ED"/>
    <w:rsid w:val="00064723"/>
    <w:rsid w:val="00066CE2"/>
    <w:rsid w:val="000676B9"/>
    <w:rsid w:val="00067A2D"/>
    <w:rsid w:val="00067ACE"/>
    <w:rsid w:val="00070998"/>
    <w:rsid w:val="000720C8"/>
    <w:rsid w:val="0007236F"/>
    <w:rsid w:val="00072827"/>
    <w:rsid w:val="00072EB3"/>
    <w:rsid w:val="00072F5F"/>
    <w:rsid w:val="00073465"/>
    <w:rsid w:val="000736FE"/>
    <w:rsid w:val="00073845"/>
    <w:rsid w:val="00073CDB"/>
    <w:rsid w:val="00074401"/>
    <w:rsid w:val="00074647"/>
    <w:rsid w:val="00074E93"/>
    <w:rsid w:val="00075EF9"/>
    <w:rsid w:val="00076D0A"/>
    <w:rsid w:val="00080335"/>
    <w:rsid w:val="000804C6"/>
    <w:rsid w:val="000805A6"/>
    <w:rsid w:val="00080E1C"/>
    <w:rsid w:val="00080ED0"/>
    <w:rsid w:val="00080F45"/>
    <w:rsid w:val="00081230"/>
    <w:rsid w:val="000826D2"/>
    <w:rsid w:val="00082C07"/>
    <w:rsid w:val="00082FC6"/>
    <w:rsid w:val="0008657F"/>
    <w:rsid w:val="00086B87"/>
    <w:rsid w:val="0008735C"/>
    <w:rsid w:val="000902F9"/>
    <w:rsid w:val="00090FD5"/>
    <w:rsid w:val="000911C1"/>
    <w:rsid w:val="00091C3C"/>
    <w:rsid w:val="00092B64"/>
    <w:rsid w:val="00093A4A"/>
    <w:rsid w:val="00094023"/>
    <w:rsid w:val="0009451C"/>
    <w:rsid w:val="00094C4C"/>
    <w:rsid w:val="00095B99"/>
    <w:rsid w:val="00095C76"/>
    <w:rsid w:val="00096359"/>
    <w:rsid w:val="00096587"/>
    <w:rsid w:val="00096BC0"/>
    <w:rsid w:val="00096E73"/>
    <w:rsid w:val="000975D6"/>
    <w:rsid w:val="000976B1"/>
    <w:rsid w:val="000A1A8C"/>
    <w:rsid w:val="000A2EC6"/>
    <w:rsid w:val="000A370D"/>
    <w:rsid w:val="000A5B72"/>
    <w:rsid w:val="000B00DF"/>
    <w:rsid w:val="000B0231"/>
    <w:rsid w:val="000B130A"/>
    <w:rsid w:val="000B13C7"/>
    <w:rsid w:val="000B1FE7"/>
    <w:rsid w:val="000B2D1E"/>
    <w:rsid w:val="000B2F8C"/>
    <w:rsid w:val="000B5362"/>
    <w:rsid w:val="000B617D"/>
    <w:rsid w:val="000B61CF"/>
    <w:rsid w:val="000B6251"/>
    <w:rsid w:val="000B6FA2"/>
    <w:rsid w:val="000B720B"/>
    <w:rsid w:val="000B737F"/>
    <w:rsid w:val="000B7E2F"/>
    <w:rsid w:val="000C0889"/>
    <w:rsid w:val="000C09B2"/>
    <w:rsid w:val="000C1C97"/>
    <w:rsid w:val="000C22AE"/>
    <w:rsid w:val="000C26C6"/>
    <w:rsid w:val="000C2ABD"/>
    <w:rsid w:val="000C2B9A"/>
    <w:rsid w:val="000C32BB"/>
    <w:rsid w:val="000C3857"/>
    <w:rsid w:val="000C4317"/>
    <w:rsid w:val="000C4E2A"/>
    <w:rsid w:val="000C53DB"/>
    <w:rsid w:val="000C5E67"/>
    <w:rsid w:val="000C6D1E"/>
    <w:rsid w:val="000C6FDA"/>
    <w:rsid w:val="000C73BB"/>
    <w:rsid w:val="000D0038"/>
    <w:rsid w:val="000D0548"/>
    <w:rsid w:val="000D09A9"/>
    <w:rsid w:val="000D22A1"/>
    <w:rsid w:val="000D3314"/>
    <w:rsid w:val="000D4E26"/>
    <w:rsid w:val="000D554A"/>
    <w:rsid w:val="000D6031"/>
    <w:rsid w:val="000D6BEF"/>
    <w:rsid w:val="000D7104"/>
    <w:rsid w:val="000D7BE1"/>
    <w:rsid w:val="000E017B"/>
    <w:rsid w:val="000E0283"/>
    <w:rsid w:val="000E072E"/>
    <w:rsid w:val="000E1006"/>
    <w:rsid w:val="000E25B7"/>
    <w:rsid w:val="000E3498"/>
    <w:rsid w:val="000E4FA6"/>
    <w:rsid w:val="000E553D"/>
    <w:rsid w:val="000E5898"/>
    <w:rsid w:val="000E6025"/>
    <w:rsid w:val="000E70F5"/>
    <w:rsid w:val="000E7104"/>
    <w:rsid w:val="000E7326"/>
    <w:rsid w:val="000E7390"/>
    <w:rsid w:val="000E7835"/>
    <w:rsid w:val="000E7B86"/>
    <w:rsid w:val="000F0A75"/>
    <w:rsid w:val="000F0E28"/>
    <w:rsid w:val="000F16FC"/>
    <w:rsid w:val="000F287A"/>
    <w:rsid w:val="000F2934"/>
    <w:rsid w:val="000F3601"/>
    <w:rsid w:val="000F381E"/>
    <w:rsid w:val="000F3A9B"/>
    <w:rsid w:val="000F3B45"/>
    <w:rsid w:val="000F42EF"/>
    <w:rsid w:val="000F4FD6"/>
    <w:rsid w:val="000F678B"/>
    <w:rsid w:val="000F6A71"/>
    <w:rsid w:val="000F6ECD"/>
    <w:rsid w:val="000F70EB"/>
    <w:rsid w:val="000F73DE"/>
    <w:rsid w:val="000F78AF"/>
    <w:rsid w:val="000F7E49"/>
    <w:rsid w:val="00100B65"/>
    <w:rsid w:val="00101851"/>
    <w:rsid w:val="00102698"/>
    <w:rsid w:val="00103321"/>
    <w:rsid w:val="00103331"/>
    <w:rsid w:val="0010345A"/>
    <w:rsid w:val="00103901"/>
    <w:rsid w:val="00104453"/>
    <w:rsid w:val="00104A5E"/>
    <w:rsid w:val="00105A66"/>
    <w:rsid w:val="00106342"/>
    <w:rsid w:val="0010672C"/>
    <w:rsid w:val="00106B54"/>
    <w:rsid w:val="00106C42"/>
    <w:rsid w:val="00106F94"/>
    <w:rsid w:val="00107517"/>
    <w:rsid w:val="001106FD"/>
    <w:rsid w:val="00110C0B"/>
    <w:rsid w:val="00111B45"/>
    <w:rsid w:val="00111C19"/>
    <w:rsid w:val="00112150"/>
    <w:rsid w:val="00112BBD"/>
    <w:rsid w:val="00112D88"/>
    <w:rsid w:val="00113196"/>
    <w:rsid w:val="00114B2D"/>
    <w:rsid w:val="00114B58"/>
    <w:rsid w:val="001151E9"/>
    <w:rsid w:val="0011574A"/>
    <w:rsid w:val="00115AE0"/>
    <w:rsid w:val="00115D44"/>
    <w:rsid w:val="001160A8"/>
    <w:rsid w:val="00116C97"/>
    <w:rsid w:val="00116EB5"/>
    <w:rsid w:val="00117268"/>
    <w:rsid w:val="00117E04"/>
    <w:rsid w:val="00120EAE"/>
    <w:rsid w:val="0012267C"/>
    <w:rsid w:val="00122A1B"/>
    <w:rsid w:val="00123141"/>
    <w:rsid w:val="00125D1D"/>
    <w:rsid w:val="00126832"/>
    <w:rsid w:val="0012754C"/>
    <w:rsid w:val="001279C3"/>
    <w:rsid w:val="001305D7"/>
    <w:rsid w:val="0013094D"/>
    <w:rsid w:val="001330D3"/>
    <w:rsid w:val="00133110"/>
    <w:rsid w:val="001340C5"/>
    <w:rsid w:val="0013445E"/>
    <w:rsid w:val="001355AA"/>
    <w:rsid w:val="001363AB"/>
    <w:rsid w:val="00136D61"/>
    <w:rsid w:val="0014039C"/>
    <w:rsid w:val="001410FD"/>
    <w:rsid w:val="001422E4"/>
    <w:rsid w:val="00143517"/>
    <w:rsid w:val="0014373A"/>
    <w:rsid w:val="0014455C"/>
    <w:rsid w:val="001445D8"/>
    <w:rsid w:val="00145778"/>
    <w:rsid w:val="00145D54"/>
    <w:rsid w:val="00146744"/>
    <w:rsid w:val="00150381"/>
    <w:rsid w:val="00150443"/>
    <w:rsid w:val="00150871"/>
    <w:rsid w:val="001515CB"/>
    <w:rsid w:val="00151C61"/>
    <w:rsid w:val="00152008"/>
    <w:rsid w:val="0015394C"/>
    <w:rsid w:val="00153966"/>
    <w:rsid w:val="00154954"/>
    <w:rsid w:val="00157BA0"/>
    <w:rsid w:val="00160875"/>
    <w:rsid w:val="0016129D"/>
    <w:rsid w:val="001615BF"/>
    <w:rsid w:val="0016260F"/>
    <w:rsid w:val="00162A29"/>
    <w:rsid w:val="00163078"/>
    <w:rsid w:val="0016356A"/>
    <w:rsid w:val="001636A9"/>
    <w:rsid w:val="001648A9"/>
    <w:rsid w:val="00165D48"/>
    <w:rsid w:val="00166A37"/>
    <w:rsid w:val="00167651"/>
    <w:rsid w:val="001700EE"/>
    <w:rsid w:val="00170715"/>
    <w:rsid w:val="001709F1"/>
    <w:rsid w:val="0017109F"/>
    <w:rsid w:val="0017139E"/>
    <w:rsid w:val="00171AC3"/>
    <w:rsid w:val="00172029"/>
    <w:rsid w:val="00172662"/>
    <w:rsid w:val="00172D61"/>
    <w:rsid w:val="001730B2"/>
    <w:rsid w:val="00174349"/>
    <w:rsid w:val="001764AF"/>
    <w:rsid w:val="00177E29"/>
    <w:rsid w:val="00180EE9"/>
    <w:rsid w:val="00181919"/>
    <w:rsid w:val="00182E97"/>
    <w:rsid w:val="001830D5"/>
    <w:rsid w:val="00183164"/>
    <w:rsid w:val="001833C6"/>
    <w:rsid w:val="00183F94"/>
    <w:rsid w:val="001849E2"/>
    <w:rsid w:val="001856F0"/>
    <w:rsid w:val="001858A6"/>
    <w:rsid w:val="00185E74"/>
    <w:rsid w:val="00185FA6"/>
    <w:rsid w:val="00186A74"/>
    <w:rsid w:val="00186BA9"/>
    <w:rsid w:val="001872ED"/>
    <w:rsid w:val="001873BB"/>
    <w:rsid w:val="00187BCF"/>
    <w:rsid w:val="00190E60"/>
    <w:rsid w:val="0019110B"/>
    <w:rsid w:val="00191144"/>
    <w:rsid w:val="0019284A"/>
    <w:rsid w:val="00192AC3"/>
    <w:rsid w:val="00193D4E"/>
    <w:rsid w:val="0019430D"/>
    <w:rsid w:val="00195921"/>
    <w:rsid w:val="00196E87"/>
    <w:rsid w:val="0019715F"/>
    <w:rsid w:val="001A03B8"/>
    <w:rsid w:val="001A15F7"/>
    <w:rsid w:val="001A227B"/>
    <w:rsid w:val="001A25E7"/>
    <w:rsid w:val="001A38DF"/>
    <w:rsid w:val="001A3E32"/>
    <w:rsid w:val="001A4926"/>
    <w:rsid w:val="001A4A35"/>
    <w:rsid w:val="001A509C"/>
    <w:rsid w:val="001A516C"/>
    <w:rsid w:val="001A51A8"/>
    <w:rsid w:val="001A5726"/>
    <w:rsid w:val="001A5E31"/>
    <w:rsid w:val="001A62CB"/>
    <w:rsid w:val="001A7A89"/>
    <w:rsid w:val="001A7F6C"/>
    <w:rsid w:val="001B109E"/>
    <w:rsid w:val="001B23E7"/>
    <w:rsid w:val="001B2D91"/>
    <w:rsid w:val="001B3DCF"/>
    <w:rsid w:val="001B5388"/>
    <w:rsid w:val="001B62E3"/>
    <w:rsid w:val="001B63B3"/>
    <w:rsid w:val="001B66C5"/>
    <w:rsid w:val="001B6A4F"/>
    <w:rsid w:val="001B7458"/>
    <w:rsid w:val="001B777B"/>
    <w:rsid w:val="001B7B7F"/>
    <w:rsid w:val="001B7C7B"/>
    <w:rsid w:val="001B7F61"/>
    <w:rsid w:val="001C1193"/>
    <w:rsid w:val="001C20A6"/>
    <w:rsid w:val="001C2380"/>
    <w:rsid w:val="001C2864"/>
    <w:rsid w:val="001C28AB"/>
    <w:rsid w:val="001C2D1C"/>
    <w:rsid w:val="001C2DC4"/>
    <w:rsid w:val="001C2FAD"/>
    <w:rsid w:val="001C3022"/>
    <w:rsid w:val="001C334D"/>
    <w:rsid w:val="001C3420"/>
    <w:rsid w:val="001C3495"/>
    <w:rsid w:val="001C4678"/>
    <w:rsid w:val="001C49BA"/>
    <w:rsid w:val="001C629F"/>
    <w:rsid w:val="001C68F2"/>
    <w:rsid w:val="001C777E"/>
    <w:rsid w:val="001C781F"/>
    <w:rsid w:val="001D067D"/>
    <w:rsid w:val="001D2FB1"/>
    <w:rsid w:val="001D31AC"/>
    <w:rsid w:val="001D41DF"/>
    <w:rsid w:val="001D4A3A"/>
    <w:rsid w:val="001D5BB3"/>
    <w:rsid w:val="001D67ED"/>
    <w:rsid w:val="001D789C"/>
    <w:rsid w:val="001D7D8C"/>
    <w:rsid w:val="001E10D0"/>
    <w:rsid w:val="001E24B2"/>
    <w:rsid w:val="001E2CA9"/>
    <w:rsid w:val="001E2EBE"/>
    <w:rsid w:val="001E3114"/>
    <w:rsid w:val="001E34F3"/>
    <w:rsid w:val="001E3A40"/>
    <w:rsid w:val="001E4A17"/>
    <w:rsid w:val="001E5DEF"/>
    <w:rsid w:val="001E5E53"/>
    <w:rsid w:val="001E60EB"/>
    <w:rsid w:val="001E6488"/>
    <w:rsid w:val="001E6A16"/>
    <w:rsid w:val="001E6A19"/>
    <w:rsid w:val="001E6B72"/>
    <w:rsid w:val="001E762B"/>
    <w:rsid w:val="001E7D8E"/>
    <w:rsid w:val="001F0072"/>
    <w:rsid w:val="001F3549"/>
    <w:rsid w:val="001F367D"/>
    <w:rsid w:val="001F433C"/>
    <w:rsid w:val="001F48AA"/>
    <w:rsid w:val="001F50B7"/>
    <w:rsid w:val="001F57EB"/>
    <w:rsid w:val="001F5E2D"/>
    <w:rsid w:val="001F61F1"/>
    <w:rsid w:val="002003CB"/>
    <w:rsid w:val="00200577"/>
    <w:rsid w:val="00201AB7"/>
    <w:rsid w:val="00202BDF"/>
    <w:rsid w:val="0020319E"/>
    <w:rsid w:val="00203B69"/>
    <w:rsid w:val="00203E5D"/>
    <w:rsid w:val="002047CE"/>
    <w:rsid w:val="00204FF0"/>
    <w:rsid w:val="002056A1"/>
    <w:rsid w:val="0020668E"/>
    <w:rsid w:val="00206D0D"/>
    <w:rsid w:val="00207B21"/>
    <w:rsid w:val="00210A69"/>
    <w:rsid w:val="00211162"/>
    <w:rsid w:val="002113DA"/>
    <w:rsid w:val="002124AD"/>
    <w:rsid w:val="00212536"/>
    <w:rsid w:val="0021324F"/>
    <w:rsid w:val="00213F48"/>
    <w:rsid w:val="0021415B"/>
    <w:rsid w:val="002148FD"/>
    <w:rsid w:val="0021550F"/>
    <w:rsid w:val="002166D8"/>
    <w:rsid w:val="002171A8"/>
    <w:rsid w:val="00217774"/>
    <w:rsid w:val="002177AB"/>
    <w:rsid w:val="002201C0"/>
    <w:rsid w:val="00221E63"/>
    <w:rsid w:val="00221FFB"/>
    <w:rsid w:val="002220B3"/>
    <w:rsid w:val="00223458"/>
    <w:rsid w:val="00223740"/>
    <w:rsid w:val="00224117"/>
    <w:rsid w:val="002255B7"/>
    <w:rsid w:val="0022635E"/>
    <w:rsid w:val="00226EF2"/>
    <w:rsid w:val="00230320"/>
    <w:rsid w:val="002319E2"/>
    <w:rsid w:val="00231B60"/>
    <w:rsid w:val="0023236C"/>
    <w:rsid w:val="002324F7"/>
    <w:rsid w:val="00232695"/>
    <w:rsid w:val="0023281B"/>
    <w:rsid w:val="00232A9D"/>
    <w:rsid w:val="00233FFF"/>
    <w:rsid w:val="0023564B"/>
    <w:rsid w:val="002357C0"/>
    <w:rsid w:val="00236BDB"/>
    <w:rsid w:val="002379F7"/>
    <w:rsid w:val="002406CD"/>
    <w:rsid w:val="00242150"/>
    <w:rsid w:val="00242E8A"/>
    <w:rsid w:val="00242EF1"/>
    <w:rsid w:val="002437F7"/>
    <w:rsid w:val="002440F4"/>
    <w:rsid w:val="0024465B"/>
    <w:rsid w:val="00244E76"/>
    <w:rsid w:val="00245DEC"/>
    <w:rsid w:val="0024671B"/>
    <w:rsid w:val="00246A8B"/>
    <w:rsid w:val="0024782C"/>
    <w:rsid w:val="00247E64"/>
    <w:rsid w:val="002502CA"/>
    <w:rsid w:val="00251028"/>
    <w:rsid w:val="002518F8"/>
    <w:rsid w:val="00251A04"/>
    <w:rsid w:val="00251BDA"/>
    <w:rsid w:val="0025288A"/>
    <w:rsid w:val="002533E6"/>
    <w:rsid w:val="00253B9A"/>
    <w:rsid w:val="00256075"/>
    <w:rsid w:val="00256BB7"/>
    <w:rsid w:val="00256BEB"/>
    <w:rsid w:val="00256EB3"/>
    <w:rsid w:val="00256F17"/>
    <w:rsid w:val="00260AC2"/>
    <w:rsid w:val="00261D56"/>
    <w:rsid w:val="0026251A"/>
    <w:rsid w:val="0026277A"/>
    <w:rsid w:val="00263039"/>
    <w:rsid w:val="00263367"/>
    <w:rsid w:val="00263B67"/>
    <w:rsid w:val="00263F77"/>
    <w:rsid w:val="00264CC7"/>
    <w:rsid w:val="00264E78"/>
    <w:rsid w:val="002662F5"/>
    <w:rsid w:val="0026681A"/>
    <w:rsid w:val="0026682A"/>
    <w:rsid w:val="00270677"/>
    <w:rsid w:val="00270E05"/>
    <w:rsid w:val="0027189A"/>
    <w:rsid w:val="00271B82"/>
    <w:rsid w:val="00271CF2"/>
    <w:rsid w:val="002721B4"/>
    <w:rsid w:val="002731D1"/>
    <w:rsid w:val="00274802"/>
    <w:rsid w:val="00274E2E"/>
    <w:rsid w:val="00275C8B"/>
    <w:rsid w:val="00276AE8"/>
    <w:rsid w:val="00276F8C"/>
    <w:rsid w:val="002773BF"/>
    <w:rsid w:val="002776D5"/>
    <w:rsid w:val="00277C16"/>
    <w:rsid w:val="00277F35"/>
    <w:rsid w:val="00282582"/>
    <w:rsid w:val="00282607"/>
    <w:rsid w:val="002826E4"/>
    <w:rsid w:val="00282C68"/>
    <w:rsid w:val="00283C3C"/>
    <w:rsid w:val="00283F2F"/>
    <w:rsid w:val="00284FA8"/>
    <w:rsid w:val="00285948"/>
    <w:rsid w:val="002868D3"/>
    <w:rsid w:val="00286DC4"/>
    <w:rsid w:val="002874A7"/>
    <w:rsid w:val="00287607"/>
    <w:rsid w:val="00291791"/>
    <w:rsid w:val="00292269"/>
    <w:rsid w:val="00292610"/>
    <w:rsid w:val="00292D42"/>
    <w:rsid w:val="0029384D"/>
    <w:rsid w:val="00293F73"/>
    <w:rsid w:val="00294360"/>
    <w:rsid w:val="00295044"/>
    <w:rsid w:val="002A0DF9"/>
    <w:rsid w:val="002A0EDD"/>
    <w:rsid w:val="002A0FCA"/>
    <w:rsid w:val="002A1B5E"/>
    <w:rsid w:val="002A1D6B"/>
    <w:rsid w:val="002A1DCB"/>
    <w:rsid w:val="002A3841"/>
    <w:rsid w:val="002A3C94"/>
    <w:rsid w:val="002A5905"/>
    <w:rsid w:val="002A5F49"/>
    <w:rsid w:val="002A6363"/>
    <w:rsid w:val="002A6CAD"/>
    <w:rsid w:val="002A73C5"/>
    <w:rsid w:val="002B03FE"/>
    <w:rsid w:val="002B1334"/>
    <w:rsid w:val="002B138F"/>
    <w:rsid w:val="002B1CFC"/>
    <w:rsid w:val="002B1DB4"/>
    <w:rsid w:val="002B2308"/>
    <w:rsid w:val="002B279F"/>
    <w:rsid w:val="002B27BC"/>
    <w:rsid w:val="002B2D86"/>
    <w:rsid w:val="002B3AB1"/>
    <w:rsid w:val="002B4136"/>
    <w:rsid w:val="002B56EB"/>
    <w:rsid w:val="002B570E"/>
    <w:rsid w:val="002B5AA8"/>
    <w:rsid w:val="002B601A"/>
    <w:rsid w:val="002B6254"/>
    <w:rsid w:val="002B66D4"/>
    <w:rsid w:val="002C08CE"/>
    <w:rsid w:val="002C1B02"/>
    <w:rsid w:val="002C3099"/>
    <w:rsid w:val="002C30EF"/>
    <w:rsid w:val="002C3BD1"/>
    <w:rsid w:val="002C3CEF"/>
    <w:rsid w:val="002C4813"/>
    <w:rsid w:val="002C527A"/>
    <w:rsid w:val="002C57EB"/>
    <w:rsid w:val="002C610A"/>
    <w:rsid w:val="002C6A50"/>
    <w:rsid w:val="002C6E40"/>
    <w:rsid w:val="002C77EF"/>
    <w:rsid w:val="002C7E13"/>
    <w:rsid w:val="002D05A8"/>
    <w:rsid w:val="002D0687"/>
    <w:rsid w:val="002D0BEC"/>
    <w:rsid w:val="002D24B9"/>
    <w:rsid w:val="002D34A1"/>
    <w:rsid w:val="002D41A3"/>
    <w:rsid w:val="002D5278"/>
    <w:rsid w:val="002D5543"/>
    <w:rsid w:val="002D677B"/>
    <w:rsid w:val="002D681E"/>
    <w:rsid w:val="002D723C"/>
    <w:rsid w:val="002D7844"/>
    <w:rsid w:val="002D7E13"/>
    <w:rsid w:val="002D7E66"/>
    <w:rsid w:val="002D7E90"/>
    <w:rsid w:val="002E05D2"/>
    <w:rsid w:val="002E0DA2"/>
    <w:rsid w:val="002E135C"/>
    <w:rsid w:val="002E14FD"/>
    <w:rsid w:val="002E1D65"/>
    <w:rsid w:val="002E1ECC"/>
    <w:rsid w:val="002E2357"/>
    <w:rsid w:val="002E24D9"/>
    <w:rsid w:val="002E2B57"/>
    <w:rsid w:val="002E3103"/>
    <w:rsid w:val="002E4A72"/>
    <w:rsid w:val="002E4C3F"/>
    <w:rsid w:val="002E5DBF"/>
    <w:rsid w:val="002E6383"/>
    <w:rsid w:val="002E68FD"/>
    <w:rsid w:val="002E73BE"/>
    <w:rsid w:val="002E74B1"/>
    <w:rsid w:val="002F14DD"/>
    <w:rsid w:val="002F18A7"/>
    <w:rsid w:val="002F34AE"/>
    <w:rsid w:val="002F4434"/>
    <w:rsid w:val="002F4667"/>
    <w:rsid w:val="002F4752"/>
    <w:rsid w:val="002F4BE7"/>
    <w:rsid w:val="002F5344"/>
    <w:rsid w:val="002F5430"/>
    <w:rsid w:val="002F590E"/>
    <w:rsid w:val="002F5C2D"/>
    <w:rsid w:val="002F6047"/>
    <w:rsid w:val="002F61C7"/>
    <w:rsid w:val="002F6EAF"/>
    <w:rsid w:val="002F79D3"/>
    <w:rsid w:val="002F7E6D"/>
    <w:rsid w:val="003008C6"/>
    <w:rsid w:val="00300974"/>
    <w:rsid w:val="00300EF1"/>
    <w:rsid w:val="00301C73"/>
    <w:rsid w:val="003025C9"/>
    <w:rsid w:val="00302D61"/>
    <w:rsid w:val="00302DF3"/>
    <w:rsid w:val="003031BC"/>
    <w:rsid w:val="003055D2"/>
    <w:rsid w:val="00306522"/>
    <w:rsid w:val="00307104"/>
    <w:rsid w:val="00307B95"/>
    <w:rsid w:val="0031051B"/>
    <w:rsid w:val="0031055A"/>
    <w:rsid w:val="0031103D"/>
    <w:rsid w:val="003111F9"/>
    <w:rsid w:val="00311699"/>
    <w:rsid w:val="003119CE"/>
    <w:rsid w:val="00312660"/>
    <w:rsid w:val="00313BE1"/>
    <w:rsid w:val="00313E4A"/>
    <w:rsid w:val="00315E9E"/>
    <w:rsid w:val="00316025"/>
    <w:rsid w:val="00316691"/>
    <w:rsid w:val="003168BC"/>
    <w:rsid w:val="00317394"/>
    <w:rsid w:val="00317629"/>
    <w:rsid w:val="00317875"/>
    <w:rsid w:val="00317A66"/>
    <w:rsid w:val="00317B77"/>
    <w:rsid w:val="00320BB2"/>
    <w:rsid w:val="00320C0E"/>
    <w:rsid w:val="00320DB6"/>
    <w:rsid w:val="00321C84"/>
    <w:rsid w:val="00323800"/>
    <w:rsid w:val="00323FD8"/>
    <w:rsid w:val="00325F78"/>
    <w:rsid w:val="003266B5"/>
    <w:rsid w:val="00330164"/>
    <w:rsid w:val="003302AF"/>
    <w:rsid w:val="00330FD0"/>
    <w:rsid w:val="003311B5"/>
    <w:rsid w:val="003326BE"/>
    <w:rsid w:val="00332E57"/>
    <w:rsid w:val="00333A83"/>
    <w:rsid w:val="00334806"/>
    <w:rsid w:val="0033589B"/>
    <w:rsid w:val="0033651D"/>
    <w:rsid w:val="00336858"/>
    <w:rsid w:val="00336AE8"/>
    <w:rsid w:val="00336D08"/>
    <w:rsid w:val="00336E07"/>
    <w:rsid w:val="003401A1"/>
    <w:rsid w:val="00342D5D"/>
    <w:rsid w:val="003433AC"/>
    <w:rsid w:val="00344D9B"/>
    <w:rsid w:val="00344E42"/>
    <w:rsid w:val="00344EB5"/>
    <w:rsid w:val="003453DD"/>
    <w:rsid w:val="00346800"/>
    <w:rsid w:val="00347BDA"/>
    <w:rsid w:val="003500E3"/>
    <w:rsid w:val="00350E16"/>
    <w:rsid w:val="00351036"/>
    <w:rsid w:val="0035184F"/>
    <w:rsid w:val="00352B95"/>
    <w:rsid w:val="00353377"/>
    <w:rsid w:val="00354032"/>
    <w:rsid w:val="00354455"/>
    <w:rsid w:val="00354953"/>
    <w:rsid w:val="0035562C"/>
    <w:rsid w:val="0035630F"/>
    <w:rsid w:val="00356575"/>
    <w:rsid w:val="0036005D"/>
    <w:rsid w:val="00360168"/>
    <w:rsid w:val="003609D6"/>
    <w:rsid w:val="003614C5"/>
    <w:rsid w:val="0036159F"/>
    <w:rsid w:val="003616AB"/>
    <w:rsid w:val="00361740"/>
    <w:rsid w:val="00361ACD"/>
    <w:rsid w:val="00361FDA"/>
    <w:rsid w:val="0036366F"/>
    <w:rsid w:val="00363998"/>
    <w:rsid w:val="003643C8"/>
    <w:rsid w:val="003646FE"/>
    <w:rsid w:val="00364DB2"/>
    <w:rsid w:val="00365BE0"/>
    <w:rsid w:val="0036603D"/>
    <w:rsid w:val="003662F7"/>
    <w:rsid w:val="00367565"/>
    <w:rsid w:val="00367BDE"/>
    <w:rsid w:val="00367CEB"/>
    <w:rsid w:val="00370D31"/>
    <w:rsid w:val="00371374"/>
    <w:rsid w:val="00371EE6"/>
    <w:rsid w:val="003721BC"/>
    <w:rsid w:val="00372689"/>
    <w:rsid w:val="003726DD"/>
    <w:rsid w:val="00372B39"/>
    <w:rsid w:val="0037451A"/>
    <w:rsid w:val="00375F8C"/>
    <w:rsid w:val="0037776A"/>
    <w:rsid w:val="00382371"/>
    <w:rsid w:val="00383610"/>
    <w:rsid w:val="00383D94"/>
    <w:rsid w:val="003846C6"/>
    <w:rsid w:val="003848D2"/>
    <w:rsid w:val="0038515E"/>
    <w:rsid w:val="003851B8"/>
    <w:rsid w:val="00385C2E"/>
    <w:rsid w:val="00385CB5"/>
    <w:rsid w:val="003860DC"/>
    <w:rsid w:val="0038724F"/>
    <w:rsid w:val="003875FD"/>
    <w:rsid w:val="00387D9F"/>
    <w:rsid w:val="003919DE"/>
    <w:rsid w:val="00391C2E"/>
    <w:rsid w:val="003926AB"/>
    <w:rsid w:val="00392A98"/>
    <w:rsid w:val="00392FAA"/>
    <w:rsid w:val="00393272"/>
    <w:rsid w:val="00393D2D"/>
    <w:rsid w:val="00393D8A"/>
    <w:rsid w:val="0039466D"/>
    <w:rsid w:val="003952BA"/>
    <w:rsid w:val="00395773"/>
    <w:rsid w:val="003960C5"/>
    <w:rsid w:val="00396277"/>
    <w:rsid w:val="003963E3"/>
    <w:rsid w:val="00396420"/>
    <w:rsid w:val="00396783"/>
    <w:rsid w:val="00396FB0"/>
    <w:rsid w:val="003975F3"/>
    <w:rsid w:val="0039787D"/>
    <w:rsid w:val="003A0F28"/>
    <w:rsid w:val="003A26CD"/>
    <w:rsid w:val="003A47CF"/>
    <w:rsid w:val="003A623C"/>
    <w:rsid w:val="003A680E"/>
    <w:rsid w:val="003B0082"/>
    <w:rsid w:val="003B0774"/>
    <w:rsid w:val="003B0DF7"/>
    <w:rsid w:val="003B1285"/>
    <w:rsid w:val="003B19E7"/>
    <w:rsid w:val="003B3858"/>
    <w:rsid w:val="003B3ABD"/>
    <w:rsid w:val="003B43DA"/>
    <w:rsid w:val="003B4D20"/>
    <w:rsid w:val="003B561A"/>
    <w:rsid w:val="003B5F26"/>
    <w:rsid w:val="003B6A17"/>
    <w:rsid w:val="003B70C4"/>
    <w:rsid w:val="003B7E7D"/>
    <w:rsid w:val="003C0DD3"/>
    <w:rsid w:val="003C2077"/>
    <w:rsid w:val="003C2095"/>
    <w:rsid w:val="003C29F7"/>
    <w:rsid w:val="003C38FF"/>
    <w:rsid w:val="003C4478"/>
    <w:rsid w:val="003C4D7E"/>
    <w:rsid w:val="003C4D93"/>
    <w:rsid w:val="003C531A"/>
    <w:rsid w:val="003C532B"/>
    <w:rsid w:val="003C553A"/>
    <w:rsid w:val="003D01CF"/>
    <w:rsid w:val="003D2122"/>
    <w:rsid w:val="003D2217"/>
    <w:rsid w:val="003D27B2"/>
    <w:rsid w:val="003D3C5A"/>
    <w:rsid w:val="003D40F7"/>
    <w:rsid w:val="003D4877"/>
    <w:rsid w:val="003D4C42"/>
    <w:rsid w:val="003D58CB"/>
    <w:rsid w:val="003D63CC"/>
    <w:rsid w:val="003D7A67"/>
    <w:rsid w:val="003E141D"/>
    <w:rsid w:val="003E1991"/>
    <w:rsid w:val="003E1BE5"/>
    <w:rsid w:val="003E28E5"/>
    <w:rsid w:val="003E2BA8"/>
    <w:rsid w:val="003E3451"/>
    <w:rsid w:val="003E3A11"/>
    <w:rsid w:val="003E3C19"/>
    <w:rsid w:val="003E4231"/>
    <w:rsid w:val="003E5359"/>
    <w:rsid w:val="003E567C"/>
    <w:rsid w:val="003E569A"/>
    <w:rsid w:val="003E581F"/>
    <w:rsid w:val="003E5C82"/>
    <w:rsid w:val="003E5EF6"/>
    <w:rsid w:val="003E5EFF"/>
    <w:rsid w:val="003E5FEB"/>
    <w:rsid w:val="003E60DF"/>
    <w:rsid w:val="003E648C"/>
    <w:rsid w:val="003E650B"/>
    <w:rsid w:val="003E685E"/>
    <w:rsid w:val="003E7130"/>
    <w:rsid w:val="003F00F7"/>
    <w:rsid w:val="003F09D5"/>
    <w:rsid w:val="003F2407"/>
    <w:rsid w:val="003F2DCF"/>
    <w:rsid w:val="003F31B3"/>
    <w:rsid w:val="003F339E"/>
    <w:rsid w:val="003F3860"/>
    <w:rsid w:val="003F4477"/>
    <w:rsid w:val="003F4DA9"/>
    <w:rsid w:val="003F5744"/>
    <w:rsid w:val="003F600C"/>
    <w:rsid w:val="003F617F"/>
    <w:rsid w:val="003F62FD"/>
    <w:rsid w:val="003F679A"/>
    <w:rsid w:val="003F67FC"/>
    <w:rsid w:val="003F6E9E"/>
    <w:rsid w:val="003F75C5"/>
    <w:rsid w:val="003F7806"/>
    <w:rsid w:val="00400178"/>
    <w:rsid w:val="0040028B"/>
    <w:rsid w:val="00400309"/>
    <w:rsid w:val="00400D55"/>
    <w:rsid w:val="00401999"/>
    <w:rsid w:val="00401C00"/>
    <w:rsid w:val="00402170"/>
    <w:rsid w:val="0040298C"/>
    <w:rsid w:val="00403373"/>
    <w:rsid w:val="00403E03"/>
    <w:rsid w:val="00404199"/>
    <w:rsid w:val="00404A2B"/>
    <w:rsid w:val="00404D6E"/>
    <w:rsid w:val="00405E21"/>
    <w:rsid w:val="00405E37"/>
    <w:rsid w:val="00406D72"/>
    <w:rsid w:val="00406DE6"/>
    <w:rsid w:val="004105E8"/>
    <w:rsid w:val="0041071D"/>
    <w:rsid w:val="00410A9A"/>
    <w:rsid w:val="00410D14"/>
    <w:rsid w:val="00410D30"/>
    <w:rsid w:val="004113BB"/>
    <w:rsid w:val="00411972"/>
    <w:rsid w:val="00411CDA"/>
    <w:rsid w:val="00411E88"/>
    <w:rsid w:val="00411EBB"/>
    <w:rsid w:val="0041250D"/>
    <w:rsid w:val="0041741A"/>
    <w:rsid w:val="00417A59"/>
    <w:rsid w:val="00417EF4"/>
    <w:rsid w:val="004206D0"/>
    <w:rsid w:val="004206E6"/>
    <w:rsid w:val="00420776"/>
    <w:rsid w:val="00420989"/>
    <w:rsid w:val="00420D92"/>
    <w:rsid w:val="00421E24"/>
    <w:rsid w:val="004225A6"/>
    <w:rsid w:val="00423A36"/>
    <w:rsid w:val="00424718"/>
    <w:rsid w:val="00424AD0"/>
    <w:rsid w:val="00424DAF"/>
    <w:rsid w:val="004267E1"/>
    <w:rsid w:val="00426F07"/>
    <w:rsid w:val="00427E34"/>
    <w:rsid w:val="004301D1"/>
    <w:rsid w:val="004309A7"/>
    <w:rsid w:val="00431BFC"/>
    <w:rsid w:val="00432430"/>
    <w:rsid w:val="00433414"/>
    <w:rsid w:val="0043448E"/>
    <w:rsid w:val="0043465A"/>
    <w:rsid w:val="00434871"/>
    <w:rsid w:val="0043488F"/>
    <w:rsid w:val="0043534C"/>
    <w:rsid w:val="00436823"/>
    <w:rsid w:val="004368A9"/>
    <w:rsid w:val="00436F29"/>
    <w:rsid w:val="004378E8"/>
    <w:rsid w:val="004409BF"/>
    <w:rsid w:val="0044122A"/>
    <w:rsid w:val="004429BD"/>
    <w:rsid w:val="004432AE"/>
    <w:rsid w:val="00443819"/>
    <w:rsid w:val="00443D3B"/>
    <w:rsid w:val="00444490"/>
    <w:rsid w:val="00445B59"/>
    <w:rsid w:val="00445F63"/>
    <w:rsid w:val="00447A73"/>
    <w:rsid w:val="00450334"/>
    <w:rsid w:val="004504D6"/>
    <w:rsid w:val="00452438"/>
    <w:rsid w:val="00452587"/>
    <w:rsid w:val="00454DD3"/>
    <w:rsid w:val="00456AD3"/>
    <w:rsid w:val="00457514"/>
    <w:rsid w:val="00457AEC"/>
    <w:rsid w:val="004604E1"/>
    <w:rsid w:val="00460595"/>
    <w:rsid w:val="00461411"/>
    <w:rsid w:val="00461817"/>
    <w:rsid w:val="00461CA2"/>
    <w:rsid w:val="0046211D"/>
    <w:rsid w:val="00462B38"/>
    <w:rsid w:val="00463D5D"/>
    <w:rsid w:val="004647F8"/>
    <w:rsid w:val="004654F4"/>
    <w:rsid w:val="0046589E"/>
    <w:rsid w:val="004658F8"/>
    <w:rsid w:val="0046598D"/>
    <w:rsid w:val="00466146"/>
    <w:rsid w:val="004662BF"/>
    <w:rsid w:val="004664F6"/>
    <w:rsid w:val="00466B71"/>
    <w:rsid w:val="00466BC6"/>
    <w:rsid w:val="00466D2A"/>
    <w:rsid w:val="00467F80"/>
    <w:rsid w:val="00470A1C"/>
    <w:rsid w:val="00470FB1"/>
    <w:rsid w:val="00472258"/>
    <w:rsid w:val="00472525"/>
    <w:rsid w:val="00472B5B"/>
    <w:rsid w:val="00472BDB"/>
    <w:rsid w:val="0047319D"/>
    <w:rsid w:val="004747E4"/>
    <w:rsid w:val="0047492F"/>
    <w:rsid w:val="00474D19"/>
    <w:rsid w:val="00475ADC"/>
    <w:rsid w:val="00475B1B"/>
    <w:rsid w:val="004774FB"/>
    <w:rsid w:val="00480877"/>
    <w:rsid w:val="00481B01"/>
    <w:rsid w:val="00483BEC"/>
    <w:rsid w:val="00484413"/>
    <w:rsid w:val="00484A61"/>
    <w:rsid w:val="004851FD"/>
    <w:rsid w:val="004857B4"/>
    <w:rsid w:val="004857F3"/>
    <w:rsid w:val="0048589E"/>
    <w:rsid w:val="0048697F"/>
    <w:rsid w:val="004870FC"/>
    <w:rsid w:val="00487D71"/>
    <w:rsid w:val="0049044A"/>
    <w:rsid w:val="004906F8"/>
    <w:rsid w:val="00490D10"/>
    <w:rsid w:val="00492376"/>
    <w:rsid w:val="00492B1E"/>
    <w:rsid w:val="00493287"/>
    <w:rsid w:val="00493734"/>
    <w:rsid w:val="00493E4F"/>
    <w:rsid w:val="004947C9"/>
    <w:rsid w:val="0049484E"/>
    <w:rsid w:val="0049581C"/>
    <w:rsid w:val="00495B30"/>
    <w:rsid w:val="00495D24"/>
    <w:rsid w:val="00496030"/>
    <w:rsid w:val="00496FEA"/>
    <w:rsid w:val="004971C7"/>
    <w:rsid w:val="00497873"/>
    <w:rsid w:val="004978D1"/>
    <w:rsid w:val="004A0B8A"/>
    <w:rsid w:val="004A1E91"/>
    <w:rsid w:val="004A1F87"/>
    <w:rsid w:val="004A356A"/>
    <w:rsid w:val="004A3F55"/>
    <w:rsid w:val="004A4456"/>
    <w:rsid w:val="004A5D1F"/>
    <w:rsid w:val="004A5DBF"/>
    <w:rsid w:val="004A6625"/>
    <w:rsid w:val="004A6FC4"/>
    <w:rsid w:val="004A730D"/>
    <w:rsid w:val="004B25BA"/>
    <w:rsid w:val="004B3E7C"/>
    <w:rsid w:val="004B42EF"/>
    <w:rsid w:val="004B44A4"/>
    <w:rsid w:val="004B56F3"/>
    <w:rsid w:val="004B59EA"/>
    <w:rsid w:val="004B6793"/>
    <w:rsid w:val="004B6A83"/>
    <w:rsid w:val="004B77F6"/>
    <w:rsid w:val="004C1944"/>
    <w:rsid w:val="004C2079"/>
    <w:rsid w:val="004C44F4"/>
    <w:rsid w:val="004C4E64"/>
    <w:rsid w:val="004C55B9"/>
    <w:rsid w:val="004C5CC5"/>
    <w:rsid w:val="004C62C6"/>
    <w:rsid w:val="004C6765"/>
    <w:rsid w:val="004C6952"/>
    <w:rsid w:val="004C7E9F"/>
    <w:rsid w:val="004D18C4"/>
    <w:rsid w:val="004D2645"/>
    <w:rsid w:val="004D3C40"/>
    <w:rsid w:val="004D3DD5"/>
    <w:rsid w:val="004D4A89"/>
    <w:rsid w:val="004D4D04"/>
    <w:rsid w:val="004D5DB1"/>
    <w:rsid w:val="004D61F7"/>
    <w:rsid w:val="004D66AD"/>
    <w:rsid w:val="004D702A"/>
    <w:rsid w:val="004D74D3"/>
    <w:rsid w:val="004D7EF6"/>
    <w:rsid w:val="004E05B0"/>
    <w:rsid w:val="004E07F1"/>
    <w:rsid w:val="004E2C2B"/>
    <w:rsid w:val="004E3277"/>
    <w:rsid w:val="004E3B2E"/>
    <w:rsid w:val="004E418F"/>
    <w:rsid w:val="004E445B"/>
    <w:rsid w:val="004E52B5"/>
    <w:rsid w:val="004F001B"/>
    <w:rsid w:val="004F030A"/>
    <w:rsid w:val="004F038C"/>
    <w:rsid w:val="004F186D"/>
    <w:rsid w:val="004F212B"/>
    <w:rsid w:val="004F233A"/>
    <w:rsid w:val="004F2602"/>
    <w:rsid w:val="004F3EA6"/>
    <w:rsid w:val="004F3EB4"/>
    <w:rsid w:val="004F3F3E"/>
    <w:rsid w:val="004F446B"/>
    <w:rsid w:val="004F7112"/>
    <w:rsid w:val="00500928"/>
    <w:rsid w:val="00500B40"/>
    <w:rsid w:val="00500BCF"/>
    <w:rsid w:val="00500DF3"/>
    <w:rsid w:val="005013C3"/>
    <w:rsid w:val="0050146D"/>
    <w:rsid w:val="00501E8F"/>
    <w:rsid w:val="00502071"/>
    <w:rsid w:val="00502301"/>
    <w:rsid w:val="00502D1D"/>
    <w:rsid w:val="00502F41"/>
    <w:rsid w:val="00503152"/>
    <w:rsid w:val="005032BD"/>
    <w:rsid w:val="005034F3"/>
    <w:rsid w:val="00503FDC"/>
    <w:rsid w:val="00503FE3"/>
    <w:rsid w:val="00504318"/>
    <w:rsid w:val="0050639B"/>
    <w:rsid w:val="00506545"/>
    <w:rsid w:val="00506CC1"/>
    <w:rsid w:val="00506F06"/>
    <w:rsid w:val="0050761D"/>
    <w:rsid w:val="00510A3A"/>
    <w:rsid w:val="00510EAE"/>
    <w:rsid w:val="00512744"/>
    <w:rsid w:val="00513118"/>
    <w:rsid w:val="005135DD"/>
    <w:rsid w:val="00514507"/>
    <w:rsid w:val="0051556E"/>
    <w:rsid w:val="00515755"/>
    <w:rsid w:val="00515C97"/>
    <w:rsid w:val="005163B7"/>
    <w:rsid w:val="005163DD"/>
    <w:rsid w:val="0051650C"/>
    <w:rsid w:val="00517942"/>
    <w:rsid w:val="00520855"/>
    <w:rsid w:val="005219E7"/>
    <w:rsid w:val="00522A5E"/>
    <w:rsid w:val="00522E0F"/>
    <w:rsid w:val="00524BCE"/>
    <w:rsid w:val="005254B2"/>
    <w:rsid w:val="005259DD"/>
    <w:rsid w:val="00526A7B"/>
    <w:rsid w:val="0052788E"/>
    <w:rsid w:val="0053003D"/>
    <w:rsid w:val="00530183"/>
    <w:rsid w:val="0053085B"/>
    <w:rsid w:val="00530D7A"/>
    <w:rsid w:val="00530FC3"/>
    <w:rsid w:val="00532B39"/>
    <w:rsid w:val="0053315B"/>
    <w:rsid w:val="0053323D"/>
    <w:rsid w:val="00533885"/>
    <w:rsid w:val="00534AAD"/>
    <w:rsid w:val="005356F5"/>
    <w:rsid w:val="00535BFF"/>
    <w:rsid w:val="00535E5A"/>
    <w:rsid w:val="00535FA6"/>
    <w:rsid w:val="005367A9"/>
    <w:rsid w:val="00536964"/>
    <w:rsid w:val="00537C15"/>
    <w:rsid w:val="00540293"/>
    <w:rsid w:val="00540D4F"/>
    <w:rsid w:val="00542C3A"/>
    <w:rsid w:val="005432FC"/>
    <w:rsid w:val="0054473A"/>
    <w:rsid w:val="005447D5"/>
    <w:rsid w:val="005463AF"/>
    <w:rsid w:val="00546E75"/>
    <w:rsid w:val="00547630"/>
    <w:rsid w:val="005504F6"/>
    <w:rsid w:val="00551E43"/>
    <w:rsid w:val="00552449"/>
    <w:rsid w:val="0055279B"/>
    <w:rsid w:val="00552A00"/>
    <w:rsid w:val="00552B07"/>
    <w:rsid w:val="00552B41"/>
    <w:rsid w:val="00553441"/>
    <w:rsid w:val="005536F2"/>
    <w:rsid w:val="00554103"/>
    <w:rsid w:val="005551AD"/>
    <w:rsid w:val="005556C9"/>
    <w:rsid w:val="005557A4"/>
    <w:rsid w:val="005563EF"/>
    <w:rsid w:val="00556C59"/>
    <w:rsid w:val="005574AC"/>
    <w:rsid w:val="00557BA9"/>
    <w:rsid w:val="005601B3"/>
    <w:rsid w:val="00561EB6"/>
    <w:rsid w:val="0056329A"/>
    <w:rsid w:val="005646FD"/>
    <w:rsid w:val="0056533F"/>
    <w:rsid w:val="00565808"/>
    <w:rsid w:val="00565E42"/>
    <w:rsid w:val="00567628"/>
    <w:rsid w:val="00570505"/>
    <w:rsid w:val="00571F6A"/>
    <w:rsid w:val="00572346"/>
    <w:rsid w:val="0057267A"/>
    <w:rsid w:val="0057292C"/>
    <w:rsid w:val="00572A75"/>
    <w:rsid w:val="00573961"/>
    <w:rsid w:val="00573A30"/>
    <w:rsid w:val="005743AC"/>
    <w:rsid w:val="00575CA1"/>
    <w:rsid w:val="00577B6F"/>
    <w:rsid w:val="00577CF1"/>
    <w:rsid w:val="00580307"/>
    <w:rsid w:val="005808CB"/>
    <w:rsid w:val="0058175B"/>
    <w:rsid w:val="005829AB"/>
    <w:rsid w:val="00582BBC"/>
    <w:rsid w:val="00583078"/>
    <w:rsid w:val="00583BE0"/>
    <w:rsid w:val="00583BF0"/>
    <w:rsid w:val="0058481F"/>
    <w:rsid w:val="00584DDE"/>
    <w:rsid w:val="0058551D"/>
    <w:rsid w:val="00586962"/>
    <w:rsid w:val="0058704D"/>
    <w:rsid w:val="00590232"/>
    <w:rsid w:val="00590C9C"/>
    <w:rsid w:val="0059129B"/>
    <w:rsid w:val="005919B8"/>
    <w:rsid w:val="00591FDD"/>
    <w:rsid w:val="00593CC0"/>
    <w:rsid w:val="00595DEA"/>
    <w:rsid w:val="00595E50"/>
    <w:rsid w:val="00596172"/>
    <w:rsid w:val="00596858"/>
    <w:rsid w:val="00597982"/>
    <w:rsid w:val="00597AF6"/>
    <w:rsid w:val="00597D91"/>
    <w:rsid w:val="005A2C34"/>
    <w:rsid w:val="005A419D"/>
    <w:rsid w:val="005A468A"/>
    <w:rsid w:val="005A4BA8"/>
    <w:rsid w:val="005A5149"/>
    <w:rsid w:val="005A5211"/>
    <w:rsid w:val="005A58F4"/>
    <w:rsid w:val="005A59EF"/>
    <w:rsid w:val="005A5FA9"/>
    <w:rsid w:val="005A65EC"/>
    <w:rsid w:val="005A7656"/>
    <w:rsid w:val="005A76C4"/>
    <w:rsid w:val="005A7BD8"/>
    <w:rsid w:val="005B09FC"/>
    <w:rsid w:val="005B0BEB"/>
    <w:rsid w:val="005B0E80"/>
    <w:rsid w:val="005B1A2F"/>
    <w:rsid w:val="005B1C72"/>
    <w:rsid w:val="005B1E13"/>
    <w:rsid w:val="005B205D"/>
    <w:rsid w:val="005B2F4F"/>
    <w:rsid w:val="005B31A9"/>
    <w:rsid w:val="005B3D7A"/>
    <w:rsid w:val="005B411A"/>
    <w:rsid w:val="005B4878"/>
    <w:rsid w:val="005B5076"/>
    <w:rsid w:val="005B68B4"/>
    <w:rsid w:val="005B68F6"/>
    <w:rsid w:val="005B6AB9"/>
    <w:rsid w:val="005B7512"/>
    <w:rsid w:val="005B7C42"/>
    <w:rsid w:val="005C049A"/>
    <w:rsid w:val="005C16E1"/>
    <w:rsid w:val="005C1C91"/>
    <w:rsid w:val="005C1DE3"/>
    <w:rsid w:val="005C310E"/>
    <w:rsid w:val="005C590A"/>
    <w:rsid w:val="005C59DA"/>
    <w:rsid w:val="005C5FC6"/>
    <w:rsid w:val="005C6104"/>
    <w:rsid w:val="005C6A05"/>
    <w:rsid w:val="005C71C3"/>
    <w:rsid w:val="005C73EC"/>
    <w:rsid w:val="005D071A"/>
    <w:rsid w:val="005D10BA"/>
    <w:rsid w:val="005D1DDE"/>
    <w:rsid w:val="005D23A7"/>
    <w:rsid w:val="005D2DC5"/>
    <w:rsid w:val="005D2DE8"/>
    <w:rsid w:val="005D310C"/>
    <w:rsid w:val="005D3934"/>
    <w:rsid w:val="005D3E7F"/>
    <w:rsid w:val="005D4A58"/>
    <w:rsid w:val="005D4B47"/>
    <w:rsid w:val="005D4D39"/>
    <w:rsid w:val="005D555F"/>
    <w:rsid w:val="005D5DF8"/>
    <w:rsid w:val="005D6136"/>
    <w:rsid w:val="005D65FF"/>
    <w:rsid w:val="005D6786"/>
    <w:rsid w:val="005D68AA"/>
    <w:rsid w:val="005D6AE2"/>
    <w:rsid w:val="005D750D"/>
    <w:rsid w:val="005D7E06"/>
    <w:rsid w:val="005E007F"/>
    <w:rsid w:val="005E0606"/>
    <w:rsid w:val="005E2358"/>
    <w:rsid w:val="005E2386"/>
    <w:rsid w:val="005E2878"/>
    <w:rsid w:val="005E3377"/>
    <w:rsid w:val="005E3DA2"/>
    <w:rsid w:val="005E4AAC"/>
    <w:rsid w:val="005E5CD5"/>
    <w:rsid w:val="005E62D3"/>
    <w:rsid w:val="005E6504"/>
    <w:rsid w:val="005E69DF"/>
    <w:rsid w:val="005E6BE1"/>
    <w:rsid w:val="005F089F"/>
    <w:rsid w:val="005F2296"/>
    <w:rsid w:val="005F34A3"/>
    <w:rsid w:val="005F367F"/>
    <w:rsid w:val="005F3B41"/>
    <w:rsid w:val="005F3B66"/>
    <w:rsid w:val="005F42B9"/>
    <w:rsid w:val="005F459B"/>
    <w:rsid w:val="005F4D37"/>
    <w:rsid w:val="005F76A8"/>
    <w:rsid w:val="00601867"/>
    <w:rsid w:val="00601C38"/>
    <w:rsid w:val="006032B9"/>
    <w:rsid w:val="00603324"/>
    <w:rsid w:val="00603F8F"/>
    <w:rsid w:val="0060414E"/>
    <w:rsid w:val="006042F1"/>
    <w:rsid w:val="0060494F"/>
    <w:rsid w:val="006055A1"/>
    <w:rsid w:val="00606CC1"/>
    <w:rsid w:val="00606EFC"/>
    <w:rsid w:val="006076A8"/>
    <w:rsid w:val="00607C30"/>
    <w:rsid w:val="00607EE2"/>
    <w:rsid w:val="00607F93"/>
    <w:rsid w:val="0061006A"/>
    <w:rsid w:val="00610FA9"/>
    <w:rsid w:val="00611031"/>
    <w:rsid w:val="00611E22"/>
    <w:rsid w:val="00611E32"/>
    <w:rsid w:val="00613164"/>
    <w:rsid w:val="00613359"/>
    <w:rsid w:val="00613DB8"/>
    <w:rsid w:val="00614C4D"/>
    <w:rsid w:val="00614F21"/>
    <w:rsid w:val="006150FA"/>
    <w:rsid w:val="00615996"/>
    <w:rsid w:val="00617856"/>
    <w:rsid w:val="00620CE1"/>
    <w:rsid w:val="006210A4"/>
    <w:rsid w:val="006240F9"/>
    <w:rsid w:val="006246FC"/>
    <w:rsid w:val="00624930"/>
    <w:rsid w:val="00624DEB"/>
    <w:rsid w:val="00625C75"/>
    <w:rsid w:val="00626971"/>
    <w:rsid w:val="00626FC0"/>
    <w:rsid w:val="006274BD"/>
    <w:rsid w:val="00630AD8"/>
    <w:rsid w:val="00631AA1"/>
    <w:rsid w:val="00631C81"/>
    <w:rsid w:val="0063243C"/>
    <w:rsid w:val="00633E09"/>
    <w:rsid w:val="00634D52"/>
    <w:rsid w:val="0063522B"/>
    <w:rsid w:val="00636638"/>
    <w:rsid w:val="0063758B"/>
    <w:rsid w:val="00637B16"/>
    <w:rsid w:val="006403FB"/>
    <w:rsid w:val="0064046A"/>
    <w:rsid w:val="00640ECA"/>
    <w:rsid w:val="00641808"/>
    <w:rsid w:val="00641E84"/>
    <w:rsid w:val="0064215B"/>
    <w:rsid w:val="00643642"/>
    <w:rsid w:val="00643961"/>
    <w:rsid w:val="0064398C"/>
    <w:rsid w:val="006441FE"/>
    <w:rsid w:val="00644E90"/>
    <w:rsid w:val="006460D2"/>
    <w:rsid w:val="006461C1"/>
    <w:rsid w:val="00646636"/>
    <w:rsid w:val="0064794C"/>
    <w:rsid w:val="00650FE5"/>
    <w:rsid w:val="00651088"/>
    <w:rsid w:val="00651AFC"/>
    <w:rsid w:val="00651F18"/>
    <w:rsid w:val="00651FE7"/>
    <w:rsid w:val="00652315"/>
    <w:rsid w:val="006546C2"/>
    <w:rsid w:val="0065562F"/>
    <w:rsid w:val="00655793"/>
    <w:rsid w:val="00655883"/>
    <w:rsid w:val="00655F03"/>
    <w:rsid w:val="0065645F"/>
    <w:rsid w:val="00657577"/>
    <w:rsid w:val="00657788"/>
    <w:rsid w:val="00660103"/>
    <w:rsid w:val="00660685"/>
    <w:rsid w:val="006608C4"/>
    <w:rsid w:val="00660D8F"/>
    <w:rsid w:val="006620CD"/>
    <w:rsid w:val="0066240A"/>
    <w:rsid w:val="006627A6"/>
    <w:rsid w:val="0066364E"/>
    <w:rsid w:val="006641EE"/>
    <w:rsid w:val="006642F3"/>
    <w:rsid w:val="00664825"/>
    <w:rsid w:val="00664E90"/>
    <w:rsid w:val="0066600E"/>
    <w:rsid w:val="006666C6"/>
    <w:rsid w:val="006666D8"/>
    <w:rsid w:val="006671F1"/>
    <w:rsid w:val="00667B41"/>
    <w:rsid w:val="006706E6"/>
    <w:rsid w:val="006709C4"/>
    <w:rsid w:val="00670D50"/>
    <w:rsid w:val="00670FF1"/>
    <w:rsid w:val="006714B5"/>
    <w:rsid w:val="00671E49"/>
    <w:rsid w:val="00672115"/>
    <w:rsid w:val="0067285E"/>
    <w:rsid w:val="0067399D"/>
    <w:rsid w:val="00673E0F"/>
    <w:rsid w:val="006757FE"/>
    <w:rsid w:val="006771A2"/>
    <w:rsid w:val="0067782A"/>
    <w:rsid w:val="0068047C"/>
    <w:rsid w:val="006807CD"/>
    <w:rsid w:val="00680BA1"/>
    <w:rsid w:val="00681206"/>
    <w:rsid w:val="0068134D"/>
    <w:rsid w:val="00681B56"/>
    <w:rsid w:val="00684AE7"/>
    <w:rsid w:val="0068506B"/>
    <w:rsid w:val="006850BB"/>
    <w:rsid w:val="00685F5D"/>
    <w:rsid w:val="0068618C"/>
    <w:rsid w:val="00687558"/>
    <w:rsid w:val="0069018E"/>
    <w:rsid w:val="00690424"/>
    <w:rsid w:val="00690D8B"/>
    <w:rsid w:val="006911D2"/>
    <w:rsid w:val="006932A9"/>
    <w:rsid w:val="006935D5"/>
    <w:rsid w:val="00693D8B"/>
    <w:rsid w:val="006955ED"/>
    <w:rsid w:val="00695A0A"/>
    <w:rsid w:val="006964EC"/>
    <w:rsid w:val="0069690C"/>
    <w:rsid w:val="0069709E"/>
    <w:rsid w:val="006A0405"/>
    <w:rsid w:val="006A2218"/>
    <w:rsid w:val="006A2DAC"/>
    <w:rsid w:val="006A329F"/>
    <w:rsid w:val="006A3BA6"/>
    <w:rsid w:val="006A43C2"/>
    <w:rsid w:val="006A477E"/>
    <w:rsid w:val="006A4990"/>
    <w:rsid w:val="006A6C66"/>
    <w:rsid w:val="006A6D87"/>
    <w:rsid w:val="006A7A6E"/>
    <w:rsid w:val="006B02FD"/>
    <w:rsid w:val="006B057C"/>
    <w:rsid w:val="006B1800"/>
    <w:rsid w:val="006B297B"/>
    <w:rsid w:val="006B2BC1"/>
    <w:rsid w:val="006B3284"/>
    <w:rsid w:val="006B3B8E"/>
    <w:rsid w:val="006B3EA5"/>
    <w:rsid w:val="006B4241"/>
    <w:rsid w:val="006B498A"/>
    <w:rsid w:val="006B6166"/>
    <w:rsid w:val="006B63BA"/>
    <w:rsid w:val="006B6B1B"/>
    <w:rsid w:val="006B6E27"/>
    <w:rsid w:val="006B7ECC"/>
    <w:rsid w:val="006C2911"/>
    <w:rsid w:val="006C2F1E"/>
    <w:rsid w:val="006C31D5"/>
    <w:rsid w:val="006C445B"/>
    <w:rsid w:val="006C4966"/>
    <w:rsid w:val="006C51B0"/>
    <w:rsid w:val="006C5716"/>
    <w:rsid w:val="006C588F"/>
    <w:rsid w:val="006C5AAC"/>
    <w:rsid w:val="006C6018"/>
    <w:rsid w:val="006C74C7"/>
    <w:rsid w:val="006C7832"/>
    <w:rsid w:val="006C7A8A"/>
    <w:rsid w:val="006C7B0A"/>
    <w:rsid w:val="006D0546"/>
    <w:rsid w:val="006D08E0"/>
    <w:rsid w:val="006D0951"/>
    <w:rsid w:val="006D0C0A"/>
    <w:rsid w:val="006D1E6C"/>
    <w:rsid w:val="006D1F38"/>
    <w:rsid w:val="006D253B"/>
    <w:rsid w:val="006D3132"/>
    <w:rsid w:val="006D508A"/>
    <w:rsid w:val="006D5EAE"/>
    <w:rsid w:val="006D7295"/>
    <w:rsid w:val="006D7478"/>
    <w:rsid w:val="006D7884"/>
    <w:rsid w:val="006E1E5A"/>
    <w:rsid w:val="006E31E8"/>
    <w:rsid w:val="006E321A"/>
    <w:rsid w:val="006E35B4"/>
    <w:rsid w:val="006E43E0"/>
    <w:rsid w:val="006E5784"/>
    <w:rsid w:val="006E65CE"/>
    <w:rsid w:val="006E6F2B"/>
    <w:rsid w:val="006F142D"/>
    <w:rsid w:val="006F2D7E"/>
    <w:rsid w:val="006F31C5"/>
    <w:rsid w:val="006F36C3"/>
    <w:rsid w:val="006F3933"/>
    <w:rsid w:val="006F5B0C"/>
    <w:rsid w:val="007002BA"/>
    <w:rsid w:val="007002C1"/>
    <w:rsid w:val="00702037"/>
    <w:rsid w:val="007022E2"/>
    <w:rsid w:val="0070337D"/>
    <w:rsid w:val="00704704"/>
    <w:rsid w:val="007048BB"/>
    <w:rsid w:val="00704E70"/>
    <w:rsid w:val="00705286"/>
    <w:rsid w:val="00705ADC"/>
    <w:rsid w:val="00705C8C"/>
    <w:rsid w:val="00705EFF"/>
    <w:rsid w:val="00706D7D"/>
    <w:rsid w:val="00706EC1"/>
    <w:rsid w:val="00706EC4"/>
    <w:rsid w:val="00707251"/>
    <w:rsid w:val="0070739A"/>
    <w:rsid w:val="00707C15"/>
    <w:rsid w:val="00707CBD"/>
    <w:rsid w:val="007103A7"/>
    <w:rsid w:val="00711E57"/>
    <w:rsid w:val="00712CA3"/>
    <w:rsid w:val="007134FF"/>
    <w:rsid w:val="007143BD"/>
    <w:rsid w:val="00715244"/>
    <w:rsid w:val="00715809"/>
    <w:rsid w:val="007163EA"/>
    <w:rsid w:val="00716D81"/>
    <w:rsid w:val="00720481"/>
    <w:rsid w:val="007206BA"/>
    <w:rsid w:val="00720C80"/>
    <w:rsid w:val="00721273"/>
    <w:rsid w:val="0072156C"/>
    <w:rsid w:val="00722036"/>
    <w:rsid w:val="00723292"/>
    <w:rsid w:val="00723F98"/>
    <w:rsid w:val="007246B4"/>
    <w:rsid w:val="007247B7"/>
    <w:rsid w:val="00724CAC"/>
    <w:rsid w:val="00724CC7"/>
    <w:rsid w:val="00724D13"/>
    <w:rsid w:val="007253FC"/>
    <w:rsid w:val="00725405"/>
    <w:rsid w:val="00725F76"/>
    <w:rsid w:val="00726086"/>
    <w:rsid w:val="007273F6"/>
    <w:rsid w:val="00727A72"/>
    <w:rsid w:val="00727F38"/>
    <w:rsid w:val="007300CE"/>
    <w:rsid w:val="007304FA"/>
    <w:rsid w:val="00730628"/>
    <w:rsid w:val="00730679"/>
    <w:rsid w:val="0073075C"/>
    <w:rsid w:val="00730D6B"/>
    <w:rsid w:val="00730F27"/>
    <w:rsid w:val="0073105C"/>
    <w:rsid w:val="0073107C"/>
    <w:rsid w:val="00731786"/>
    <w:rsid w:val="00732099"/>
    <w:rsid w:val="007321B1"/>
    <w:rsid w:val="00732A2A"/>
    <w:rsid w:val="0073331A"/>
    <w:rsid w:val="00734226"/>
    <w:rsid w:val="00734323"/>
    <w:rsid w:val="007352C4"/>
    <w:rsid w:val="007356F2"/>
    <w:rsid w:val="0073595E"/>
    <w:rsid w:val="00735A5C"/>
    <w:rsid w:val="0073632F"/>
    <w:rsid w:val="00736770"/>
    <w:rsid w:val="00736E2C"/>
    <w:rsid w:val="007370D0"/>
    <w:rsid w:val="007410DC"/>
    <w:rsid w:val="00741370"/>
    <w:rsid w:val="0074180D"/>
    <w:rsid w:val="00741E0F"/>
    <w:rsid w:val="007423A1"/>
    <w:rsid w:val="00742898"/>
    <w:rsid w:val="00742F92"/>
    <w:rsid w:val="00743541"/>
    <w:rsid w:val="007435AB"/>
    <w:rsid w:val="00743CF2"/>
    <w:rsid w:val="00743E92"/>
    <w:rsid w:val="007446BB"/>
    <w:rsid w:val="00744959"/>
    <w:rsid w:val="00744E13"/>
    <w:rsid w:val="007452DD"/>
    <w:rsid w:val="00745304"/>
    <w:rsid w:val="00746028"/>
    <w:rsid w:val="0074677E"/>
    <w:rsid w:val="0074790B"/>
    <w:rsid w:val="00747917"/>
    <w:rsid w:val="00750B4F"/>
    <w:rsid w:val="00750EA6"/>
    <w:rsid w:val="0075156B"/>
    <w:rsid w:val="0075188E"/>
    <w:rsid w:val="00752035"/>
    <w:rsid w:val="007526D6"/>
    <w:rsid w:val="00752931"/>
    <w:rsid w:val="007534D0"/>
    <w:rsid w:val="00753B3E"/>
    <w:rsid w:val="0075418B"/>
    <w:rsid w:val="00754B6C"/>
    <w:rsid w:val="00754D4D"/>
    <w:rsid w:val="00755CA9"/>
    <w:rsid w:val="00755EB2"/>
    <w:rsid w:val="00756323"/>
    <w:rsid w:val="00756C19"/>
    <w:rsid w:val="00757893"/>
    <w:rsid w:val="00757A14"/>
    <w:rsid w:val="00757EC9"/>
    <w:rsid w:val="00761571"/>
    <w:rsid w:val="0076167A"/>
    <w:rsid w:val="00762840"/>
    <w:rsid w:val="00762CD2"/>
    <w:rsid w:val="00762EA9"/>
    <w:rsid w:val="00762F1C"/>
    <w:rsid w:val="00764E5F"/>
    <w:rsid w:val="00764EED"/>
    <w:rsid w:val="00764FCE"/>
    <w:rsid w:val="00765754"/>
    <w:rsid w:val="0076575D"/>
    <w:rsid w:val="00765847"/>
    <w:rsid w:val="0076592C"/>
    <w:rsid w:val="00765CAC"/>
    <w:rsid w:val="00767D9A"/>
    <w:rsid w:val="0077070B"/>
    <w:rsid w:val="00770921"/>
    <w:rsid w:val="00770B85"/>
    <w:rsid w:val="007720E8"/>
    <w:rsid w:val="00772442"/>
    <w:rsid w:val="00773D94"/>
    <w:rsid w:val="0077458E"/>
    <w:rsid w:val="00775D50"/>
    <w:rsid w:val="00776D9C"/>
    <w:rsid w:val="007779B1"/>
    <w:rsid w:val="00777F42"/>
    <w:rsid w:val="00780418"/>
    <w:rsid w:val="00780A92"/>
    <w:rsid w:val="00780BEE"/>
    <w:rsid w:val="00781634"/>
    <w:rsid w:val="0078165E"/>
    <w:rsid w:val="00781E0E"/>
    <w:rsid w:val="007821B1"/>
    <w:rsid w:val="007834BC"/>
    <w:rsid w:val="00784095"/>
    <w:rsid w:val="0078481F"/>
    <w:rsid w:val="007849C6"/>
    <w:rsid w:val="00785132"/>
    <w:rsid w:val="00785326"/>
    <w:rsid w:val="00785B13"/>
    <w:rsid w:val="0078615C"/>
    <w:rsid w:val="00786470"/>
    <w:rsid w:val="00787A2C"/>
    <w:rsid w:val="00790727"/>
    <w:rsid w:val="00790C95"/>
    <w:rsid w:val="00791035"/>
    <w:rsid w:val="00791831"/>
    <w:rsid w:val="00792042"/>
    <w:rsid w:val="007923E5"/>
    <w:rsid w:val="007923EB"/>
    <w:rsid w:val="00793A00"/>
    <w:rsid w:val="00794B61"/>
    <w:rsid w:val="00795175"/>
    <w:rsid w:val="007956B8"/>
    <w:rsid w:val="007967D8"/>
    <w:rsid w:val="00796927"/>
    <w:rsid w:val="00796D42"/>
    <w:rsid w:val="007A0939"/>
    <w:rsid w:val="007A1279"/>
    <w:rsid w:val="007A1E0E"/>
    <w:rsid w:val="007A2C7F"/>
    <w:rsid w:val="007A2EB2"/>
    <w:rsid w:val="007A31A4"/>
    <w:rsid w:val="007A337F"/>
    <w:rsid w:val="007A3ABB"/>
    <w:rsid w:val="007A504C"/>
    <w:rsid w:val="007A55D0"/>
    <w:rsid w:val="007A57C5"/>
    <w:rsid w:val="007A5A0C"/>
    <w:rsid w:val="007B1070"/>
    <w:rsid w:val="007B11A7"/>
    <w:rsid w:val="007B15CD"/>
    <w:rsid w:val="007B1A9F"/>
    <w:rsid w:val="007B3B98"/>
    <w:rsid w:val="007B3CB7"/>
    <w:rsid w:val="007B5016"/>
    <w:rsid w:val="007B6412"/>
    <w:rsid w:val="007B690D"/>
    <w:rsid w:val="007C023B"/>
    <w:rsid w:val="007C1C0F"/>
    <w:rsid w:val="007C2A50"/>
    <w:rsid w:val="007C3B99"/>
    <w:rsid w:val="007C4374"/>
    <w:rsid w:val="007C49A9"/>
    <w:rsid w:val="007C4B03"/>
    <w:rsid w:val="007C4EC8"/>
    <w:rsid w:val="007C576E"/>
    <w:rsid w:val="007C5772"/>
    <w:rsid w:val="007C6269"/>
    <w:rsid w:val="007C627C"/>
    <w:rsid w:val="007C653A"/>
    <w:rsid w:val="007C7150"/>
    <w:rsid w:val="007C788A"/>
    <w:rsid w:val="007D0375"/>
    <w:rsid w:val="007D05CF"/>
    <w:rsid w:val="007D179F"/>
    <w:rsid w:val="007D1DD7"/>
    <w:rsid w:val="007D2465"/>
    <w:rsid w:val="007D2EFC"/>
    <w:rsid w:val="007D30D8"/>
    <w:rsid w:val="007D39EF"/>
    <w:rsid w:val="007D63AA"/>
    <w:rsid w:val="007D64D3"/>
    <w:rsid w:val="007D6DBC"/>
    <w:rsid w:val="007D73C4"/>
    <w:rsid w:val="007D7BBE"/>
    <w:rsid w:val="007D7D9C"/>
    <w:rsid w:val="007D7E78"/>
    <w:rsid w:val="007E0B08"/>
    <w:rsid w:val="007E0D52"/>
    <w:rsid w:val="007E40F5"/>
    <w:rsid w:val="007E42D3"/>
    <w:rsid w:val="007E4BA5"/>
    <w:rsid w:val="007E4FAB"/>
    <w:rsid w:val="007E5506"/>
    <w:rsid w:val="007E678D"/>
    <w:rsid w:val="007E6AF9"/>
    <w:rsid w:val="007E6E87"/>
    <w:rsid w:val="007F00B5"/>
    <w:rsid w:val="007F0C89"/>
    <w:rsid w:val="007F14B1"/>
    <w:rsid w:val="007F38B1"/>
    <w:rsid w:val="007F5770"/>
    <w:rsid w:val="007F5B4F"/>
    <w:rsid w:val="007F6038"/>
    <w:rsid w:val="007F7459"/>
    <w:rsid w:val="008005EF"/>
    <w:rsid w:val="00800648"/>
    <w:rsid w:val="00800B80"/>
    <w:rsid w:val="00800FD3"/>
    <w:rsid w:val="00801704"/>
    <w:rsid w:val="0080233B"/>
    <w:rsid w:val="00802980"/>
    <w:rsid w:val="00802D40"/>
    <w:rsid w:val="00803DB4"/>
    <w:rsid w:val="0080428E"/>
    <w:rsid w:val="00804738"/>
    <w:rsid w:val="00805082"/>
    <w:rsid w:val="00805807"/>
    <w:rsid w:val="00805C91"/>
    <w:rsid w:val="00806680"/>
    <w:rsid w:val="008069CE"/>
    <w:rsid w:val="008074CF"/>
    <w:rsid w:val="00807E4F"/>
    <w:rsid w:val="008111CB"/>
    <w:rsid w:val="008116EE"/>
    <w:rsid w:val="00811E6F"/>
    <w:rsid w:val="00812DC9"/>
    <w:rsid w:val="00814226"/>
    <w:rsid w:val="008144E3"/>
    <w:rsid w:val="008149AA"/>
    <w:rsid w:val="008152AF"/>
    <w:rsid w:val="00817036"/>
    <w:rsid w:val="00820B14"/>
    <w:rsid w:val="00823E61"/>
    <w:rsid w:val="008262FD"/>
    <w:rsid w:val="008268FE"/>
    <w:rsid w:val="00826AF3"/>
    <w:rsid w:val="00827B7F"/>
    <w:rsid w:val="00827C60"/>
    <w:rsid w:val="008303A8"/>
    <w:rsid w:val="008309B6"/>
    <w:rsid w:val="00831DCC"/>
    <w:rsid w:val="008334E9"/>
    <w:rsid w:val="00833A35"/>
    <w:rsid w:val="00833C18"/>
    <w:rsid w:val="00833EE4"/>
    <w:rsid w:val="008348C5"/>
    <w:rsid w:val="00835A52"/>
    <w:rsid w:val="00835F7F"/>
    <w:rsid w:val="008361F6"/>
    <w:rsid w:val="0083640F"/>
    <w:rsid w:val="008378A9"/>
    <w:rsid w:val="008404A6"/>
    <w:rsid w:val="00841273"/>
    <w:rsid w:val="008415A2"/>
    <w:rsid w:val="00842E83"/>
    <w:rsid w:val="008434E3"/>
    <w:rsid w:val="00843AFF"/>
    <w:rsid w:val="008459E7"/>
    <w:rsid w:val="00846497"/>
    <w:rsid w:val="0084679C"/>
    <w:rsid w:val="00846E28"/>
    <w:rsid w:val="00847298"/>
    <w:rsid w:val="0084747D"/>
    <w:rsid w:val="00847664"/>
    <w:rsid w:val="00847A56"/>
    <w:rsid w:val="00850221"/>
    <w:rsid w:val="008504AB"/>
    <w:rsid w:val="00850506"/>
    <w:rsid w:val="00850F62"/>
    <w:rsid w:val="008510B4"/>
    <w:rsid w:val="00851F92"/>
    <w:rsid w:val="00852991"/>
    <w:rsid w:val="00852E4D"/>
    <w:rsid w:val="00852EBC"/>
    <w:rsid w:val="008536D5"/>
    <w:rsid w:val="008539B7"/>
    <w:rsid w:val="00854148"/>
    <w:rsid w:val="008547CE"/>
    <w:rsid w:val="008562EA"/>
    <w:rsid w:val="00860D3F"/>
    <w:rsid w:val="0086253B"/>
    <w:rsid w:val="00863568"/>
    <w:rsid w:val="00864405"/>
    <w:rsid w:val="00864B69"/>
    <w:rsid w:val="00864DFF"/>
    <w:rsid w:val="00864E5F"/>
    <w:rsid w:val="008662A7"/>
    <w:rsid w:val="0086685D"/>
    <w:rsid w:val="008679E0"/>
    <w:rsid w:val="00870665"/>
    <w:rsid w:val="00871D5C"/>
    <w:rsid w:val="008724B6"/>
    <w:rsid w:val="0087250D"/>
    <w:rsid w:val="00872767"/>
    <w:rsid w:val="008728AA"/>
    <w:rsid w:val="00874142"/>
    <w:rsid w:val="0087435E"/>
    <w:rsid w:val="008747D3"/>
    <w:rsid w:val="008748C4"/>
    <w:rsid w:val="0087535B"/>
    <w:rsid w:val="00875AC1"/>
    <w:rsid w:val="00876E33"/>
    <w:rsid w:val="00880994"/>
    <w:rsid w:val="00882C42"/>
    <w:rsid w:val="00883774"/>
    <w:rsid w:val="00884338"/>
    <w:rsid w:val="00884663"/>
    <w:rsid w:val="00884977"/>
    <w:rsid w:val="00884C0A"/>
    <w:rsid w:val="00885876"/>
    <w:rsid w:val="00885975"/>
    <w:rsid w:val="00885D43"/>
    <w:rsid w:val="00885E6D"/>
    <w:rsid w:val="008866FD"/>
    <w:rsid w:val="00886F91"/>
    <w:rsid w:val="00887170"/>
    <w:rsid w:val="00887912"/>
    <w:rsid w:val="00887928"/>
    <w:rsid w:val="00890B5B"/>
    <w:rsid w:val="0089220E"/>
    <w:rsid w:val="00892623"/>
    <w:rsid w:val="008926D8"/>
    <w:rsid w:val="008927DD"/>
    <w:rsid w:val="00892D5E"/>
    <w:rsid w:val="00893E16"/>
    <w:rsid w:val="00893F2F"/>
    <w:rsid w:val="0089420D"/>
    <w:rsid w:val="00894930"/>
    <w:rsid w:val="008949C7"/>
    <w:rsid w:val="00894ADC"/>
    <w:rsid w:val="0089576E"/>
    <w:rsid w:val="00896EF1"/>
    <w:rsid w:val="00896F41"/>
    <w:rsid w:val="008975B9"/>
    <w:rsid w:val="00897FD2"/>
    <w:rsid w:val="008A034F"/>
    <w:rsid w:val="008A05A6"/>
    <w:rsid w:val="008A08C3"/>
    <w:rsid w:val="008A0C19"/>
    <w:rsid w:val="008A1148"/>
    <w:rsid w:val="008A17C3"/>
    <w:rsid w:val="008A29CD"/>
    <w:rsid w:val="008A2D51"/>
    <w:rsid w:val="008A352E"/>
    <w:rsid w:val="008A40B2"/>
    <w:rsid w:val="008A49C9"/>
    <w:rsid w:val="008A4FD4"/>
    <w:rsid w:val="008A5200"/>
    <w:rsid w:val="008A5C09"/>
    <w:rsid w:val="008A730D"/>
    <w:rsid w:val="008A78FC"/>
    <w:rsid w:val="008B04CB"/>
    <w:rsid w:val="008B0A5B"/>
    <w:rsid w:val="008B141F"/>
    <w:rsid w:val="008B21BE"/>
    <w:rsid w:val="008B21EF"/>
    <w:rsid w:val="008B3C47"/>
    <w:rsid w:val="008B4EF4"/>
    <w:rsid w:val="008B6570"/>
    <w:rsid w:val="008B724C"/>
    <w:rsid w:val="008C0221"/>
    <w:rsid w:val="008C066F"/>
    <w:rsid w:val="008C0F67"/>
    <w:rsid w:val="008C32C4"/>
    <w:rsid w:val="008C3395"/>
    <w:rsid w:val="008C3576"/>
    <w:rsid w:val="008C5640"/>
    <w:rsid w:val="008C5C5E"/>
    <w:rsid w:val="008C5F26"/>
    <w:rsid w:val="008C6E73"/>
    <w:rsid w:val="008D1294"/>
    <w:rsid w:val="008D20B4"/>
    <w:rsid w:val="008D313E"/>
    <w:rsid w:val="008D37B0"/>
    <w:rsid w:val="008D3DC7"/>
    <w:rsid w:val="008D3E2D"/>
    <w:rsid w:val="008D4842"/>
    <w:rsid w:val="008D62C7"/>
    <w:rsid w:val="008D6CB6"/>
    <w:rsid w:val="008D70B4"/>
    <w:rsid w:val="008D715F"/>
    <w:rsid w:val="008D7475"/>
    <w:rsid w:val="008D7FBA"/>
    <w:rsid w:val="008E0516"/>
    <w:rsid w:val="008E09D6"/>
    <w:rsid w:val="008E2A25"/>
    <w:rsid w:val="008E2C1B"/>
    <w:rsid w:val="008E2E04"/>
    <w:rsid w:val="008E33F5"/>
    <w:rsid w:val="008E383C"/>
    <w:rsid w:val="008E3B55"/>
    <w:rsid w:val="008E3BA2"/>
    <w:rsid w:val="008E5BB3"/>
    <w:rsid w:val="008E5BCA"/>
    <w:rsid w:val="008E6C87"/>
    <w:rsid w:val="008E79AA"/>
    <w:rsid w:val="008E7C17"/>
    <w:rsid w:val="008F0E3A"/>
    <w:rsid w:val="008F1964"/>
    <w:rsid w:val="008F1A40"/>
    <w:rsid w:val="008F1A49"/>
    <w:rsid w:val="008F242A"/>
    <w:rsid w:val="008F2925"/>
    <w:rsid w:val="008F2CF0"/>
    <w:rsid w:val="008F4226"/>
    <w:rsid w:val="008F48E1"/>
    <w:rsid w:val="008F4919"/>
    <w:rsid w:val="008F507A"/>
    <w:rsid w:val="008F55DB"/>
    <w:rsid w:val="008F5DF8"/>
    <w:rsid w:val="008F6E56"/>
    <w:rsid w:val="008F6FF8"/>
    <w:rsid w:val="008F76C6"/>
    <w:rsid w:val="00900A77"/>
    <w:rsid w:val="00900C49"/>
    <w:rsid w:val="00901216"/>
    <w:rsid w:val="0090214E"/>
    <w:rsid w:val="009022F0"/>
    <w:rsid w:val="009024E0"/>
    <w:rsid w:val="0090272B"/>
    <w:rsid w:val="009027F8"/>
    <w:rsid w:val="00903937"/>
    <w:rsid w:val="00903CA3"/>
    <w:rsid w:val="00904A5C"/>
    <w:rsid w:val="00904D88"/>
    <w:rsid w:val="00904DC9"/>
    <w:rsid w:val="0090562A"/>
    <w:rsid w:val="00906626"/>
    <w:rsid w:val="00906942"/>
    <w:rsid w:val="0090713D"/>
    <w:rsid w:val="00907443"/>
    <w:rsid w:val="009127B5"/>
    <w:rsid w:val="0091289F"/>
    <w:rsid w:val="009135CC"/>
    <w:rsid w:val="009139EC"/>
    <w:rsid w:val="00915505"/>
    <w:rsid w:val="009158B8"/>
    <w:rsid w:val="00916140"/>
    <w:rsid w:val="009161B4"/>
    <w:rsid w:val="00917138"/>
    <w:rsid w:val="0092073A"/>
    <w:rsid w:val="009211B5"/>
    <w:rsid w:val="00921478"/>
    <w:rsid w:val="00921580"/>
    <w:rsid w:val="009218E5"/>
    <w:rsid w:val="00922041"/>
    <w:rsid w:val="009236A1"/>
    <w:rsid w:val="009257CF"/>
    <w:rsid w:val="009265F7"/>
    <w:rsid w:val="0092759D"/>
    <w:rsid w:val="00927E48"/>
    <w:rsid w:val="00930D33"/>
    <w:rsid w:val="00931142"/>
    <w:rsid w:val="0093188B"/>
    <w:rsid w:val="00931A3B"/>
    <w:rsid w:val="00932630"/>
    <w:rsid w:val="00932721"/>
    <w:rsid w:val="00932CAF"/>
    <w:rsid w:val="00934766"/>
    <w:rsid w:val="00934F2A"/>
    <w:rsid w:val="009356DC"/>
    <w:rsid w:val="00935FED"/>
    <w:rsid w:val="009363F5"/>
    <w:rsid w:val="009370F7"/>
    <w:rsid w:val="00937529"/>
    <w:rsid w:val="009376FC"/>
    <w:rsid w:val="00940E63"/>
    <w:rsid w:val="0094139A"/>
    <w:rsid w:val="00941AEC"/>
    <w:rsid w:val="00941FEA"/>
    <w:rsid w:val="009420FA"/>
    <w:rsid w:val="0094271D"/>
    <w:rsid w:val="009427CE"/>
    <w:rsid w:val="009432B1"/>
    <w:rsid w:val="00943714"/>
    <w:rsid w:val="0094372C"/>
    <w:rsid w:val="00943ACA"/>
    <w:rsid w:val="00943EED"/>
    <w:rsid w:val="00944D02"/>
    <w:rsid w:val="009451DD"/>
    <w:rsid w:val="00945333"/>
    <w:rsid w:val="009454E7"/>
    <w:rsid w:val="00945957"/>
    <w:rsid w:val="00945B65"/>
    <w:rsid w:val="009468B4"/>
    <w:rsid w:val="00947538"/>
    <w:rsid w:val="00947719"/>
    <w:rsid w:val="00950741"/>
    <w:rsid w:val="00950E45"/>
    <w:rsid w:val="00951A1C"/>
    <w:rsid w:val="00951B33"/>
    <w:rsid w:val="00951F50"/>
    <w:rsid w:val="00952BFA"/>
    <w:rsid w:val="00953BD5"/>
    <w:rsid w:val="009548B4"/>
    <w:rsid w:val="00954CC3"/>
    <w:rsid w:val="0095568D"/>
    <w:rsid w:val="00955962"/>
    <w:rsid w:val="00955D38"/>
    <w:rsid w:val="00956147"/>
    <w:rsid w:val="009572A2"/>
    <w:rsid w:val="00957564"/>
    <w:rsid w:val="009576D8"/>
    <w:rsid w:val="00957E33"/>
    <w:rsid w:val="0096002D"/>
    <w:rsid w:val="00961170"/>
    <w:rsid w:val="00961601"/>
    <w:rsid w:val="00961B45"/>
    <w:rsid w:val="00961F8F"/>
    <w:rsid w:val="00962032"/>
    <w:rsid w:val="009620B3"/>
    <w:rsid w:val="009621F4"/>
    <w:rsid w:val="00962237"/>
    <w:rsid w:val="0096283E"/>
    <w:rsid w:val="0096301E"/>
    <w:rsid w:val="00963153"/>
    <w:rsid w:val="0096338F"/>
    <w:rsid w:val="00963C2F"/>
    <w:rsid w:val="00964D8B"/>
    <w:rsid w:val="00965418"/>
    <w:rsid w:val="00965A1A"/>
    <w:rsid w:val="009671CD"/>
    <w:rsid w:val="00967CE1"/>
    <w:rsid w:val="00970C73"/>
    <w:rsid w:val="00970DD8"/>
    <w:rsid w:val="00971871"/>
    <w:rsid w:val="00971922"/>
    <w:rsid w:val="00971ECA"/>
    <w:rsid w:val="0097202D"/>
    <w:rsid w:val="009722BC"/>
    <w:rsid w:val="00972DA2"/>
    <w:rsid w:val="00973BB6"/>
    <w:rsid w:val="00973BF1"/>
    <w:rsid w:val="009756DB"/>
    <w:rsid w:val="00975E38"/>
    <w:rsid w:val="009765BE"/>
    <w:rsid w:val="00976971"/>
    <w:rsid w:val="009770AF"/>
    <w:rsid w:val="00977574"/>
    <w:rsid w:val="00977A09"/>
    <w:rsid w:val="00982654"/>
    <w:rsid w:val="0098288F"/>
    <w:rsid w:val="00982C8D"/>
    <w:rsid w:val="009834AF"/>
    <w:rsid w:val="00983851"/>
    <w:rsid w:val="00984433"/>
    <w:rsid w:val="00984805"/>
    <w:rsid w:val="009852A4"/>
    <w:rsid w:val="00985D48"/>
    <w:rsid w:val="00985D4D"/>
    <w:rsid w:val="0098674D"/>
    <w:rsid w:val="00986B05"/>
    <w:rsid w:val="00986F23"/>
    <w:rsid w:val="00986FCD"/>
    <w:rsid w:val="00991EC8"/>
    <w:rsid w:val="009922F4"/>
    <w:rsid w:val="0099434C"/>
    <w:rsid w:val="009945BC"/>
    <w:rsid w:val="009949A6"/>
    <w:rsid w:val="00995A4B"/>
    <w:rsid w:val="00995D2B"/>
    <w:rsid w:val="009960BC"/>
    <w:rsid w:val="00996188"/>
    <w:rsid w:val="00996695"/>
    <w:rsid w:val="00996A7F"/>
    <w:rsid w:val="009974B7"/>
    <w:rsid w:val="009A01B0"/>
    <w:rsid w:val="009A0657"/>
    <w:rsid w:val="009A1184"/>
    <w:rsid w:val="009A15A5"/>
    <w:rsid w:val="009A1AC6"/>
    <w:rsid w:val="009A330D"/>
    <w:rsid w:val="009A38B5"/>
    <w:rsid w:val="009A3AD7"/>
    <w:rsid w:val="009A41AB"/>
    <w:rsid w:val="009A484C"/>
    <w:rsid w:val="009A49BA"/>
    <w:rsid w:val="009A53C5"/>
    <w:rsid w:val="009A5FB1"/>
    <w:rsid w:val="009A7B4F"/>
    <w:rsid w:val="009B02D7"/>
    <w:rsid w:val="009B0538"/>
    <w:rsid w:val="009B11AC"/>
    <w:rsid w:val="009B12E0"/>
    <w:rsid w:val="009B2457"/>
    <w:rsid w:val="009B29A9"/>
    <w:rsid w:val="009B2DC4"/>
    <w:rsid w:val="009B3E0B"/>
    <w:rsid w:val="009B40D4"/>
    <w:rsid w:val="009B46A4"/>
    <w:rsid w:val="009B4D04"/>
    <w:rsid w:val="009B51B5"/>
    <w:rsid w:val="009C067B"/>
    <w:rsid w:val="009C289A"/>
    <w:rsid w:val="009C2C95"/>
    <w:rsid w:val="009C3536"/>
    <w:rsid w:val="009C3C87"/>
    <w:rsid w:val="009C3D92"/>
    <w:rsid w:val="009C559F"/>
    <w:rsid w:val="009C6AC1"/>
    <w:rsid w:val="009C7DD9"/>
    <w:rsid w:val="009D0726"/>
    <w:rsid w:val="009D0B76"/>
    <w:rsid w:val="009D1D98"/>
    <w:rsid w:val="009D2662"/>
    <w:rsid w:val="009D2D4F"/>
    <w:rsid w:val="009D3FBB"/>
    <w:rsid w:val="009D4374"/>
    <w:rsid w:val="009D4A0A"/>
    <w:rsid w:val="009D4E3B"/>
    <w:rsid w:val="009D52EA"/>
    <w:rsid w:val="009D5480"/>
    <w:rsid w:val="009D5C25"/>
    <w:rsid w:val="009E189F"/>
    <w:rsid w:val="009E1E77"/>
    <w:rsid w:val="009E22BE"/>
    <w:rsid w:val="009E2E60"/>
    <w:rsid w:val="009E3D60"/>
    <w:rsid w:val="009E42A6"/>
    <w:rsid w:val="009F0667"/>
    <w:rsid w:val="009F0C61"/>
    <w:rsid w:val="009F0EF6"/>
    <w:rsid w:val="009F195E"/>
    <w:rsid w:val="009F1EC6"/>
    <w:rsid w:val="009F24D7"/>
    <w:rsid w:val="009F264B"/>
    <w:rsid w:val="009F3BCF"/>
    <w:rsid w:val="009F406E"/>
    <w:rsid w:val="009F4383"/>
    <w:rsid w:val="009F4453"/>
    <w:rsid w:val="009F4F5D"/>
    <w:rsid w:val="009F542F"/>
    <w:rsid w:val="009F5719"/>
    <w:rsid w:val="009F5857"/>
    <w:rsid w:val="009F6650"/>
    <w:rsid w:val="009F6AB8"/>
    <w:rsid w:val="009F6B85"/>
    <w:rsid w:val="009F6F66"/>
    <w:rsid w:val="00A0274E"/>
    <w:rsid w:val="00A02CDB"/>
    <w:rsid w:val="00A0322A"/>
    <w:rsid w:val="00A04E1C"/>
    <w:rsid w:val="00A05A0C"/>
    <w:rsid w:val="00A06905"/>
    <w:rsid w:val="00A06AE0"/>
    <w:rsid w:val="00A07014"/>
    <w:rsid w:val="00A07B1D"/>
    <w:rsid w:val="00A07C49"/>
    <w:rsid w:val="00A1086E"/>
    <w:rsid w:val="00A108E5"/>
    <w:rsid w:val="00A111BF"/>
    <w:rsid w:val="00A119FF"/>
    <w:rsid w:val="00A1251E"/>
    <w:rsid w:val="00A12769"/>
    <w:rsid w:val="00A133A7"/>
    <w:rsid w:val="00A133F8"/>
    <w:rsid w:val="00A155DD"/>
    <w:rsid w:val="00A177AB"/>
    <w:rsid w:val="00A2060A"/>
    <w:rsid w:val="00A208AE"/>
    <w:rsid w:val="00A217E7"/>
    <w:rsid w:val="00A21F84"/>
    <w:rsid w:val="00A22680"/>
    <w:rsid w:val="00A231F2"/>
    <w:rsid w:val="00A24131"/>
    <w:rsid w:val="00A24276"/>
    <w:rsid w:val="00A25E03"/>
    <w:rsid w:val="00A2729A"/>
    <w:rsid w:val="00A275C7"/>
    <w:rsid w:val="00A27FBC"/>
    <w:rsid w:val="00A30687"/>
    <w:rsid w:val="00A30AFE"/>
    <w:rsid w:val="00A30DE2"/>
    <w:rsid w:val="00A30F40"/>
    <w:rsid w:val="00A31665"/>
    <w:rsid w:val="00A33586"/>
    <w:rsid w:val="00A34277"/>
    <w:rsid w:val="00A346AE"/>
    <w:rsid w:val="00A3470A"/>
    <w:rsid w:val="00A3497C"/>
    <w:rsid w:val="00A34A7C"/>
    <w:rsid w:val="00A34C7B"/>
    <w:rsid w:val="00A34EED"/>
    <w:rsid w:val="00A353E4"/>
    <w:rsid w:val="00A36AF7"/>
    <w:rsid w:val="00A36BD4"/>
    <w:rsid w:val="00A370F4"/>
    <w:rsid w:val="00A3782A"/>
    <w:rsid w:val="00A37BA6"/>
    <w:rsid w:val="00A407FE"/>
    <w:rsid w:val="00A40873"/>
    <w:rsid w:val="00A410AF"/>
    <w:rsid w:val="00A4133F"/>
    <w:rsid w:val="00A41755"/>
    <w:rsid w:val="00A417FF"/>
    <w:rsid w:val="00A426C5"/>
    <w:rsid w:val="00A44681"/>
    <w:rsid w:val="00A44769"/>
    <w:rsid w:val="00A4531B"/>
    <w:rsid w:val="00A45915"/>
    <w:rsid w:val="00A45D6E"/>
    <w:rsid w:val="00A465D1"/>
    <w:rsid w:val="00A47B29"/>
    <w:rsid w:val="00A5097F"/>
    <w:rsid w:val="00A514E0"/>
    <w:rsid w:val="00A5175A"/>
    <w:rsid w:val="00A51BCC"/>
    <w:rsid w:val="00A52100"/>
    <w:rsid w:val="00A521F4"/>
    <w:rsid w:val="00A52502"/>
    <w:rsid w:val="00A52C3E"/>
    <w:rsid w:val="00A52D7C"/>
    <w:rsid w:val="00A5340D"/>
    <w:rsid w:val="00A53B9E"/>
    <w:rsid w:val="00A54080"/>
    <w:rsid w:val="00A54477"/>
    <w:rsid w:val="00A54CF3"/>
    <w:rsid w:val="00A5561B"/>
    <w:rsid w:val="00A563A6"/>
    <w:rsid w:val="00A567E2"/>
    <w:rsid w:val="00A57904"/>
    <w:rsid w:val="00A57AF3"/>
    <w:rsid w:val="00A60365"/>
    <w:rsid w:val="00A60E9A"/>
    <w:rsid w:val="00A63492"/>
    <w:rsid w:val="00A64BEF"/>
    <w:rsid w:val="00A64F76"/>
    <w:rsid w:val="00A654AD"/>
    <w:rsid w:val="00A6596A"/>
    <w:rsid w:val="00A65EA6"/>
    <w:rsid w:val="00A661DC"/>
    <w:rsid w:val="00A66226"/>
    <w:rsid w:val="00A666D1"/>
    <w:rsid w:val="00A66C42"/>
    <w:rsid w:val="00A670F6"/>
    <w:rsid w:val="00A67823"/>
    <w:rsid w:val="00A67916"/>
    <w:rsid w:val="00A67F59"/>
    <w:rsid w:val="00A70293"/>
    <w:rsid w:val="00A70E20"/>
    <w:rsid w:val="00A719FA"/>
    <w:rsid w:val="00A7263B"/>
    <w:rsid w:val="00A72BCE"/>
    <w:rsid w:val="00A72C35"/>
    <w:rsid w:val="00A7374D"/>
    <w:rsid w:val="00A73A53"/>
    <w:rsid w:val="00A73D9B"/>
    <w:rsid w:val="00A7405E"/>
    <w:rsid w:val="00A77534"/>
    <w:rsid w:val="00A775FB"/>
    <w:rsid w:val="00A80C8C"/>
    <w:rsid w:val="00A810CF"/>
    <w:rsid w:val="00A8144A"/>
    <w:rsid w:val="00A81BE5"/>
    <w:rsid w:val="00A81CAF"/>
    <w:rsid w:val="00A82703"/>
    <w:rsid w:val="00A83047"/>
    <w:rsid w:val="00A8350A"/>
    <w:rsid w:val="00A83866"/>
    <w:rsid w:val="00A8390C"/>
    <w:rsid w:val="00A848FD"/>
    <w:rsid w:val="00A84A0E"/>
    <w:rsid w:val="00A84A8E"/>
    <w:rsid w:val="00A84C11"/>
    <w:rsid w:val="00A863D4"/>
    <w:rsid w:val="00A8649E"/>
    <w:rsid w:val="00A90AE8"/>
    <w:rsid w:val="00A9100C"/>
    <w:rsid w:val="00A910C0"/>
    <w:rsid w:val="00A93CAC"/>
    <w:rsid w:val="00A940E8"/>
    <w:rsid w:val="00A94AFC"/>
    <w:rsid w:val="00A9530F"/>
    <w:rsid w:val="00A95E2D"/>
    <w:rsid w:val="00A97D07"/>
    <w:rsid w:val="00AA1B19"/>
    <w:rsid w:val="00AA27CD"/>
    <w:rsid w:val="00AA2802"/>
    <w:rsid w:val="00AA2ABF"/>
    <w:rsid w:val="00AA3A77"/>
    <w:rsid w:val="00AA3EEB"/>
    <w:rsid w:val="00AA42C8"/>
    <w:rsid w:val="00AA4E3B"/>
    <w:rsid w:val="00AA5AA6"/>
    <w:rsid w:val="00AA6236"/>
    <w:rsid w:val="00AA62B9"/>
    <w:rsid w:val="00AA6AE4"/>
    <w:rsid w:val="00AA7C39"/>
    <w:rsid w:val="00AB0329"/>
    <w:rsid w:val="00AB0877"/>
    <w:rsid w:val="00AB1A69"/>
    <w:rsid w:val="00AB1AE3"/>
    <w:rsid w:val="00AB24F4"/>
    <w:rsid w:val="00AB316F"/>
    <w:rsid w:val="00AB3AFE"/>
    <w:rsid w:val="00AB3B07"/>
    <w:rsid w:val="00AB4548"/>
    <w:rsid w:val="00AB4ADB"/>
    <w:rsid w:val="00AB5420"/>
    <w:rsid w:val="00AB6069"/>
    <w:rsid w:val="00AB72A5"/>
    <w:rsid w:val="00AB7B81"/>
    <w:rsid w:val="00AB7E86"/>
    <w:rsid w:val="00AB7F3C"/>
    <w:rsid w:val="00AC001A"/>
    <w:rsid w:val="00AC118D"/>
    <w:rsid w:val="00AC1A43"/>
    <w:rsid w:val="00AC1E7F"/>
    <w:rsid w:val="00AC1F47"/>
    <w:rsid w:val="00AC26BB"/>
    <w:rsid w:val="00AC2C16"/>
    <w:rsid w:val="00AC2ED6"/>
    <w:rsid w:val="00AC359A"/>
    <w:rsid w:val="00AC3C46"/>
    <w:rsid w:val="00AC5076"/>
    <w:rsid w:val="00AC5288"/>
    <w:rsid w:val="00AC5C27"/>
    <w:rsid w:val="00AC6A12"/>
    <w:rsid w:val="00AC6A43"/>
    <w:rsid w:val="00AC6C4F"/>
    <w:rsid w:val="00AD0CEF"/>
    <w:rsid w:val="00AD0D8E"/>
    <w:rsid w:val="00AD2B8A"/>
    <w:rsid w:val="00AD2F47"/>
    <w:rsid w:val="00AD3CC7"/>
    <w:rsid w:val="00AD3E34"/>
    <w:rsid w:val="00AD4AAF"/>
    <w:rsid w:val="00AD5BBE"/>
    <w:rsid w:val="00AD699B"/>
    <w:rsid w:val="00AD736A"/>
    <w:rsid w:val="00AD7752"/>
    <w:rsid w:val="00AD78C2"/>
    <w:rsid w:val="00AE008A"/>
    <w:rsid w:val="00AE0659"/>
    <w:rsid w:val="00AE1AC1"/>
    <w:rsid w:val="00AE20D4"/>
    <w:rsid w:val="00AE21B2"/>
    <w:rsid w:val="00AE2221"/>
    <w:rsid w:val="00AE245A"/>
    <w:rsid w:val="00AE27DE"/>
    <w:rsid w:val="00AE4225"/>
    <w:rsid w:val="00AE43A1"/>
    <w:rsid w:val="00AE4CAA"/>
    <w:rsid w:val="00AE51C7"/>
    <w:rsid w:val="00AE57F9"/>
    <w:rsid w:val="00AE5B28"/>
    <w:rsid w:val="00AE601C"/>
    <w:rsid w:val="00AE7016"/>
    <w:rsid w:val="00AE70C8"/>
    <w:rsid w:val="00AF075A"/>
    <w:rsid w:val="00AF11E2"/>
    <w:rsid w:val="00AF20A1"/>
    <w:rsid w:val="00AF4E99"/>
    <w:rsid w:val="00AF5C9F"/>
    <w:rsid w:val="00AF635C"/>
    <w:rsid w:val="00AF6699"/>
    <w:rsid w:val="00AF7762"/>
    <w:rsid w:val="00B00895"/>
    <w:rsid w:val="00B00BE5"/>
    <w:rsid w:val="00B01128"/>
    <w:rsid w:val="00B01B13"/>
    <w:rsid w:val="00B02119"/>
    <w:rsid w:val="00B02963"/>
    <w:rsid w:val="00B03370"/>
    <w:rsid w:val="00B04AA7"/>
    <w:rsid w:val="00B0514D"/>
    <w:rsid w:val="00B069C2"/>
    <w:rsid w:val="00B06D02"/>
    <w:rsid w:val="00B070EF"/>
    <w:rsid w:val="00B10243"/>
    <w:rsid w:val="00B10888"/>
    <w:rsid w:val="00B15D3B"/>
    <w:rsid w:val="00B17445"/>
    <w:rsid w:val="00B17B04"/>
    <w:rsid w:val="00B17D14"/>
    <w:rsid w:val="00B20942"/>
    <w:rsid w:val="00B20DEA"/>
    <w:rsid w:val="00B20E92"/>
    <w:rsid w:val="00B211D8"/>
    <w:rsid w:val="00B21F1E"/>
    <w:rsid w:val="00B24759"/>
    <w:rsid w:val="00B252CF"/>
    <w:rsid w:val="00B2575C"/>
    <w:rsid w:val="00B262DE"/>
    <w:rsid w:val="00B26CD6"/>
    <w:rsid w:val="00B2789B"/>
    <w:rsid w:val="00B31486"/>
    <w:rsid w:val="00B3187B"/>
    <w:rsid w:val="00B3255F"/>
    <w:rsid w:val="00B3289D"/>
    <w:rsid w:val="00B33D4F"/>
    <w:rsid w:val="00B3407A"/>
    <w:rsid w:val="00B34199"/>
    <w:rsid w:val="00B3510B"/>
    <w:rsid w:val="00B3703D"/>
    <w:rsid w:val="00B374A3"/>
    <w:rsid w:val="00B408AE"/>
    <w:rsid w:val="00B41CE0"/>
    <w:rsid w:val="00B42EBC"/>
    <w:rsid w:val="00B44424"/>
    <w:rsid w:val="00B44582"/>
    <w:rsid w:val="00B44B97"/>
    <w:rsid w:val="00B46275"/>
    <w:rsid w:val="00B46831"/>
    <w:rsid w:val="00B46A55"/>
    <w:rsid w:val="00B471B4"/>
    <w:rsid w:val="00B500A8"/>
    <w:rsid w:val="00B5091E"/>
    <w:rsid w:val="00B51653"/>
    <w:rsid w:val="00B51909"/>
    <w:rsid w:val="00B528DE"/>
    <w:rsid w:val="00B53B6D"/>
    <w:rsid w:val="00B5434B"/>
    <w:rsid w:val="00B55060"/>
    <w:rsid w:val="00B55AF6"/>
    <w:rsid w:val="00B566F5"/>
    <w:rsid w:val="00B568D1"/>
    <w:rsid w:val="00B56C15"/>
    <w:rsid w:val="00B56FA1"/>
    <w:rsid w:val="00B57648"/>
    <w:rsid w:val="00B577D8"/>
    <w:rsid w:val="00B57891"/>
    <w:rsid w:val="00B611C4"/>
    <w:rsid w:val="00B6130E"/>
    <w:rsid w:val="00B6223A"/>
    <w:rsid w:val="00B63B00"/>
    <w:rsid w:val="00B63B06"/>
    <w:rsid w:val="00B662B5"/>
    <w:rsid w:val="00B67215"/>
    <w:rsid w:val="00B67777"/>
    <w:rsid w:val="00B67809"/>
    <w:rsid w:val="00B701C7"/>
    <w:rsid w:val="00B70507"/>
    <w:rsid w:val="00B70CB7"/>
    <w:rsid w:val="00B7150C"/>
    <w:rsid w:val="00B725CE"/>
    <w:rsid w:val="00B7276D"/>
    <w:rsid w:val="00B73824"/>
    <w:rsid w:val="00B74369"/>
    <w:rsid w:val="00B7531A"/>
    <w:rsid w:val="00B75420"/>
    <w:rsid w:val="00B75B61"/>
    <w:rsid w:val="00B75EB7"/>
    <w:rsid w:val="00B76E66"/>
    <w:rsid w:val="00B80153"/>
    <w:rsid w:val="00B8044B"/>
    <w:rsid w:val="00B806A1"/>
    <w:rsid w:val="00B80726"/>
    <w:rsid w:val="00B807E8"/>
    <w:rsid w:val="00B81F11"/>
    <w:rsid w:val="00B823D8"/>
    <w:rsid w:val="00B82738"/>
    <w:rsid w:val="00B82D82"/>
    <w:rsid w:val="00B8359C"/>
    <w:rsid w:val="00B83653"/>
    <w:rsid w:val="00B84A6D"/>
    <w:rsid w:val="00B84B6D"/>
    <w:rsid w:val="00B85518"/>
    <w:rsid w:val="00B869AD"/>
    <w:rsid w:val="00B86E1B"/>
    <w:rsid w:val="00B8756E"/>
    <w:rsid w:val="00B87851"/>
    <w:rsid w:val="00B87B7B"/>
    <w:rsid w:val="00B90175"/>
    <w:rsid w:val="00B9269D"/>
    <w:rsid w:val="00B9283B"/>
    <w:rsid w:val="00B92D59"/>
    <w:rsid w:val="00B92F85"/>
    <w:rsid w:val="00B9435A"/>
    <w:rsid w:val="00B947D5"/>
    <w:rsid w:val="00B95AE6"/>
    <w:rsid w:val="00B95BA8"/>
    <w:rsid w:val="00B97048"/>
    <w:rsid w:val="00B970C4"/>
    <w:rsid w:val="00B97945"/>
    <w:rsid w:val="00B97B74"/>
    <w:rsid w:val="00BA0127"/>
    <w:rsid w:val="00BA0208"/>
    <w:rsid w:val="00BA137A"/>
    <w:rsid w:val="00BA31E3"/>
    <w:rsid w:val="00BA3922"/>
    <w:rsid w:val="00BA3B04"/>
    <w:rsid w:val="00BA3CC4"/>
    <w:rsid w:val="00BA3DFC"/>
    <w:rsid w:val="00BA3F49"/>
    <w:rsid w:val="00BA494D"/>
    <w:rsid w:val="00BA572D"/>
    <w:rsid w:val="00BA5EDF"/>
    <w:rsid w:val="00BA6A00"/>
    <w:rsid w:val="00BA6F01"/>
    <w:rsid w:val="00BA7AC4"/>
    <w:rsid w:val="00BB05D0"/>
    <w:rsid w:val="00BB09F9"/>
    <w:rsid w:val="00BB0BFC"/>
    <w:rsid w:val="00BB1C99"/>
    <w:rsid w:val="00BB3491"/>
    <w:rsid w:val="00BB3855"/>
    <w:rsid w:val="00BB3B25"/>
    <w:rsid w:val="00BB4531"/>
    <w:rsid w:val="00BB4746"/>
    <w:rsid w:val="00BB4778"/>
    <w:rsid w:val="00BB49DA"/>
    <w:rsid w:val="00BB56C8"/>
    <w:rsid w:val="00BB5D4F"/>
    <w:rsid w:val="00BB6617"/>
    <w:rsid w:val="00BB6A5B"/>
    <w:rsid w:val="00BC06BE"/>
    <w:rsid w:val="00BC0ACD"/>
    <w:rsid w:val="00BC0D22"/>
    <w:rsid w:val="00BC15E9"/>
    <w:rsid w:val="00BC2242"/>
    <w:rsid w:val="00BC2634"/>
    <w:rsid w:val="00BC2842"/>
    <w:rsid w:val="00BC4442"/>
    <w:rsid w:val="00BC47A4"/>
    <w:rsid w:val="00BC50D9"/>
    <w:rsid w:val="00BC56A3"/>
    <w:rsid w:val="00BC648E"/>
    <w:rsid w:val="00BC7517"/>
    <w:rsid w:val="00BD05B7"/>
    <w:rsid w:val="00BD1115"/>
    <w:rsid w:val="00BD1E63"/>
    <w:rsid w:val="00BD2335"/>
    <w:rsid w:val="00BD2834"/>
    <w:rsid w:val="00BD348F"/>
    <w:rsid w:val="00BD34B5"/>
    <w:rsid w:val="00BD3E5C"/>
    <w:rsid w:val="00BD3E93"/>
    <w:rsid w:val="00BD43D2"/>
    <w:rsid w:val="00BD4A8E"/>
    <w:rsid w:val="00BD4DB0"/>
    <w:rsid w:val="00BD55BD"/>
    <w:rsid w:val="00BD6320"/>
    <w:rsid w:val="00BD74B9"/>
    <w:rsid w:val="00BD76AD"/>
    <w:rsid w:val="00BD77B7"/>
    <w:rsid w:val="00BE0458"/>
    <w:rsid w:val="00BE0DD0"/>
    <w:rsid w:val="00BE2458"/>
    <w:rsid w:val="00BE29C8"/>
    <w:rsid w:val="00BE2FF2"/>
    <w:rsid w:val="00BE3953"/>
    <w:rsid w:val="00BE3D16"/>
    <w:rsid w:val="00BE5544"/>
    <w:rsid w:val="00BE64BC"/>
    <w:rsid w:val="00BE69DC"/>
    <w:rsid w:val="00BE6A31"/>
    <w:rsid w:val="00BE79F7"/>
    <w:rsid w:val="00BE7DB9"/>
    <w:rsid w:val="00BF05B9"/>
    <w:rsid w:val="00BF070E"/>
    <w:rsid w:val="00BF129D"/>
    <w:rsid w:val="00BF172F"/>
    <w:rsid w:val="00BF2E39"/>
    <w:rsid w:val="00BF33A5"/>
    <w:rsid w:val="00BF38D0"/>
    <w:rsid w:val="00BF3992"/>
    <w:rsid w:val="00BF512C"/>
    <w:rsid w:val="00BF5367"/>
    <w:rsid w:val="00BF5756"/>
    <w:rsid w:val="00BF5A6B"/>
    <w:rsid w:val="00BF6060"/>
    <w:rsid w:val="00BF70D1"/>
    <w:rsid w:val="00BF75C0"/>
    <w:rsid w:val="00C00B48"/>
    <w:rsid w:val="00C01165"/>
    <w:rsid w:val="00C019A2"/>
    <w:rsid w:val="00C019CF"/>
    <w:rsid w:val="00C020CC"/>
    <w:rsid w:val="00C02533"/>
    <w:rsid w:val="00C02814"/>
    <w:rsid w:val="00C02D8F"/>
    <w:rsid w:val="00C03A75"/>
    <w:rsid w:val="00C0455E"/>
    <w:rsid w:val="00C0490A"/>
    <w:rsid w:val="00C04C11"/>
    <w:rsid w:val="00C04DBD"/>
    <w:rsid w:val="00C056A4"/>
    <w:rsid w:val="00C06204"/>
    <w:rsid w:val="00C06CF2"/>
    <w:rsid w:val="00C07539"/>
    <w:rsid w:val="00C07926"/>
    <w:rsid w:val="00C105A9"/>
    <w:rsid w:val="00C11FB0"/>
    <w:rsid w:val="00C131D7"/>
    <w:rsid w:val="00C13554"/>
    <w:rsid w:val="00C138CE"/>
    <w:rsid w:val="00C13A5F"/>
    <w:rsid w:val="00C13E2E"/>
    <w:rsid w:val="00C146C5"/>
    <w:rsid w:val="00C14897"/>
    <w:rsid w:val="00C14CFA"/>
    <w:rsid w:val="00C14D18"/>
    <w:rsid w:val="00C14D64"/>
    <w:rsid w:val="00C15B27"/>
    <w:rsid w:val="00C15B9C"/>
    <w:rsid w:val="00C15E15"/>
    <w:rsid w:val="00C1611A"/>
    <w:rsid w:val="00C1623B"/>
    <w:rsid w:val="00C1637D"/>
    <w:rsid w:val="00C1641D"/>
    <w:rsid w:val="00C20204"/>
    <w:rsid w:val="00C20662"/>
    <w:rsid w:val="00C206BE"/>
    <w:rsid w:val="00C20AA7"/>
    <w:rsid w:val="00C22399"/>
    <w:rsid w:val="00C225F9"/>
    <w:rsid w:val="00C22698"/>
    <w:rsid w:val="00C23082"/>
    <w:rsid w:val="00C2339E"/>
    <w:rsid w:val="00C23A3B"/>
    <w:rsid w:val="00C23F2B"/>
    <w:rsid w:val="00C25749"/>
    <w:rsid w:val="00C2645C"/>
    <w:rsid w:val="00C2705F"/>
    <w:rsid w:val="00C3304D"/>
    <w:rsid w:val="00C34944"/>
    <w:rsid w:val="00C35C0B"/>
    <w:rsid w:val="00C3652A"/>
    <w:rsid w:val="00C37547"/>
    <w:rsid w:val="00C37F35"/>
    <w:rsid w:val="00C40210"/>
    <w:rsid w:val="00C408A3"/>
    <w:rsid w:val="00C40D4B"/>
    <w:rsid w:val="00C411F1"/>
    <w:rsid w:val="00C4131B"/>
    <w:rsid w:val="00C4132D"/>
    <w:rsid w:val="00C42EE4"/>
    <w:rsid w:val="00C4309A"/>
    <w:rsid w:val="00C438F3"/>
    <w:rsid w:val="00C44BFD"/>
    <w:rsid w:val="00C45E75"/>
    <w:rsid w:val="00C468EA"/>
    <w:rsid w:val="00C503B1"/>
    <w:rsid w:val="00C5119A"/>
    <w:rsid w:val="00C54060"/>
    <w:rsid w:val="00C54C4B"/>
    <w:rsid w:val="00C550C9"/>
    <w:rsid w:val="00C56B9E"/>
    <w:rsid w:val="00C57861"/>
    <w:rsid w:val="00C57CBD"/>
    <w:rsid w:val="00C57DB6"/>
    <w:rsid w:val="00C57FB2"/>
    <w:rsid w:val="00C611E7"/>
    <w:rsid w:val="00C61948"/>
    <w:rsid w:val="00C62617"/>
    <w:rsid w:val="00C62DF4"/>
    <w:rsid w:val="00C63358"/>
    <w:rsid w:val="00C638CC"/>
    <w:rsid w:val="00C63D94"/>
    <w:rsid w:val="00C63E7D"/>
    <w:rsid w:val="00C640EB"/>
    <w:rsid w:val="00C65A1C"/>
    <w:rsid w:val="00C6612F"/>
    <w:rsid w:val="00C6737F"/>
    <w:rsid w:val="00C675A5"/>
    <w:rsid w:val="00C7041B"/>
    <w:rsid w:val="00C70A15"/>
    <w:rsid w:val="00C71A8B"/>
    <w:rsid w:val="00C72263"/>
    <w:rsid w:val="00C722CF"/>
    <w:rsid w:val="00C7305D"/>
    <w:rsid w:val="00C74390"/>
    <w:rsid w:val="00C74A50"/>
    <w:rsid w:val="00C758A4"/>
    <w:rsid w:val="00C75F90"/>
    <w:rsid w:val="00C7612E"/>
    <w:rsid w:val="00C76737"/>
    <w:rsid w:val="00C76D78"/>
    <w:rsid w:val="00C7769C"/>
    <w:rsid w:val="00C77B72"/>
    <w:rsid w:val="00C8083E"/>
    <w:rsid w:val="00C8101C"/>
    <w:rsid w:val="00C8196F"/>
    <w:rsid w:val="00C82574"/>
    <w:rsid w:val="00C83A08"/>
    <w:rsid w:val="00C841D5"/>
    <w:rsid w:val="00C84F38"/>
    <w:rsid w:val="00C86ABF"/>
    <w:rsid w:val="00C86D10"/>
    <w:rsid w:val="00C87003"/>
    <w:rsid w:val="00C87E7F"/>
    <w:rsid w:val="00C90A76"/>
    <w:rsid w:val="00C90D69"/>
    <w:rsid w:val="00C915E3"/>
    <w:rsid w:val="00C91C5F"/>
    <w:rsid w:val="00C920D6"/>
    <w:rsid w:val="00C923DD"/>
    <w:rsid w:val="00C94A19"/>
    <w:rsid w:val="00C94D15"/>
    <w:rsid w:val="00C95652"/>
    <w:rsid w:val="00C95C40"/>
    <w:rsid w:val="00C95D20"/>
    <w:rsid w:val="00C97E0A"/>
    <w:rsid w:val="00CA0260"/>
    <w:rsid w:val="00CA0F35"/>
    <w:rsid w:val="00CA1A2E"/>
    <w:rsid w:val="00CA1CC0"/>
    <w:rsid w:val="00CA28AD"/>
    <w:rsid w:val="00CA2D60"/>
    <w:rsid w:val="00CA40E5"/>
    <w:rsid w:val="00CA4A1B"/>
    <w:rsid w:val="00CA5571"/>
    <w:rsid w:val="00CA6DFF"/>
    <w:rsid w:val="00CA704F"/>
    <w:rsid w:val="00CA795D"/>
    <w:rsid w:val="00CA7DFD"/>
    <w:rsid w:val="00CB07D9"/>
    <w:rsid w:val="00CB0EEB"/>
    <w:rsid w:val="00CB2765"/>
    <w:rsid w:val="00CB30F9"/>
    <w:rsid w:val="00CB4AB2"/>
    <w:rsid w:val="00CB4BCB"/>
    <w:rsid w:val="00CB5589"/>
    <w:rsid w:val="00CB6522"/>
    <w:rsid w:val="00CB7ECB"/>
    <w:rsid w:val="00CC0707"/>
    <w:rsid w:val="00CC1448"/>
    <w:rsid w:val="00CC14A9"/>
    <w:rsid w:val="00CC2909"/>
    <w:rsid w:val="00CC2B9A"/>
    <w:rsid w:val="00CC3180"/>
    <w:rsid w:val="00CC3D46"/>
    <w:rsid w:val="00CC5467"/>
    <w:rsid w:val="00CC5642"/>
    <w:rsid w:val="00CC5EA5"/>
    <w:rsid w:val="00CC6427"/>
    <w:rsid w:val="00CC6BFE"/>
    <w:rsid w:val="00CD08F6"/>
    <w:rsid w:val="00CD0DEC"/>
    <w:rsid w:val="00CD12CD"/>
    <w:rsid w:val="00CD1785"/>
    <w:rsid w:val="00CD2114"/>
    <w:rsid w:val="00CD428F"/>
    <w:rsid w:val="00CD6294"/>
    <w:rsid w:val="00CD7742"/>
    <w:rsid w:val="00CE0E2D"/>
    <w:rsid w:val="00CE1A88"/>
    <w:rsid w:val="00CE26E8"/>
    <w:rsid w:val="00CE289A"/>
    <w:rsid w:val="00CE33E5"/>
    <w:rsid w:val="00CE40B9"/>
    <w:rsid w:val="00CE44FE"/>
    <w:rsid w:val="00CE4FC9"/>
    <w:rsid w:val="00CE58BC"/>
    <w:rsid w:val="00CE5B1C"/>
    <w:rsid w:val="00CE5C91"/>
    <w:rsid w:val="00CE5CBB"/>
    <w:rsid w:val="00CE6679"/>
    <w:rsid w:val="00CF01EE"/>
    <w:rsid w:val="00CF0462"/>
    <w:rsid w:val="00CF0887"/>
    <w:rsid w:val="00CF0D3D"/>
    <w:rsid w:val="00CF135B"/>
    <w:rsid w:val="00CF1428"/>
    <w:rsid w:val="00CF1595"/>
    <w:rsid w:val="00CF174A"/>
    <w:rsid w:val="00CF1782"/>
    <w:rsid w:val="00CF2703"/>
    <w:rsid w:val="00CF2860"/>
    <w:rsid w:val="00CF49AB"/>
    <w:rsid w:val="00CF540E"/>
    <w:rsid w:val="00CF6CB4"/>
    <w:rsid w:val="00CF6FF6"/>
    <w:rsid w:val="00CF7F4E"/>
    <w:rsid w:val="00D001FF"/>
    <w:rsid w:val="00D01EE2"/>
    <w:rsid w:val="00D02C47"/>
    <w:rsid w:val="00D034BC"/>
    <w:rsid w:val="00D03821"/>
    <w:rsid w:val="00D03F04"/>
    <w:rsid w:val="00D03F7F"/>
    <w:rsid w:val="00D04337"/>
    <w:rsid w:val="00D06076"/>
    <w:rsid w:val="00D0611E"/>
    <w:rsid w:val="00D063FA"/>
    <w:rsid w:val="00D06444"/>
    <w:rsid w:val="00D0677E"/>
    <w:rsid w:val="00D078DE"/>
    <w:rsid w:val="00D10DDF"/>
    <w:rsid w:val="00D11DE9"/>
    <w:rsid w:val="00D127C7"/>
    <w:rsid w:val="00D12995"/>
    <w:rsid w:val="00D12C81"/>
    <w:rsid w:val="00D13F8B"/>
    <w:rsid w:val="00D141E3"/>
    <w:rsid w:val="00D154DA"/>
    <w:rsid w:val="00D17848"/>
    <w:rsid w:val="00D17DAE"/>
    <w:rsid w:val="00D206A8"/>
    <w:rsid w:val="00D20F0B"/>
    <w:rsid w:val="00D21891"/>
    <w:rsid w:val="00D21C3A"/>
    <w:rsid w:val="00D225F2"/>
    <w:rsid w:val="00D2299C"/>
    <w:rsid w:val="00D229AC"/>
    <w:rsid w:val="00D23390"/>
    <w:rsid w:val="00D23B19"/>
    <w:rsid w:val="00D2423A"/>
    <w:rsid w:val="00D245BF"/>
    <w:rsid w:val="00D248E0"/>
    <w:rsid w:val="00D2562E"/>
    <w:rsid w:val="00D260EB"/>
    <w:rsid w:val="00D262C2"/>
    <w:rsid w:val="00D26443"/>
    <w:rsid w:val="00D26748"/>
    <w:rsid w:val="00D26B47"/>
    <w:rsid w:val="00D26C36"/>
    <w:rsid w:val="00D27406"/>
    <w:rsid w:val="00D304D4"/>
    <w:rsid w:val="00D30F12"/>
    <w:rsid w:val="00D3480D"/>
    <w:rsid w:val="00D36DC9"/>
    <w:rsid w:val="00D37250"/>
    <w:rsid w:val="00D37358"/>
    <w:rsid w:val="00D3792A"/>
    <w:rsid w:val="00D37BC0"/>
    <w:rsid w:val="00D37D37"/>
    <w:rsid w:val="00D40851"/>
    <w:rsid w:val="00D415E5"/>
    <w:rsid w:val="00D4240D"/>
    <w:rsid w:val="00D42AD1"/>
    <w:rsid w:val="00D43EA2"/>
    <w:rsid w:val="00D44616"/>
    <w:rsid w:val="00D450DE"/>
    <w:rsid w:val="00D455A2"/>
    <w:rsid w:val="00D45DD4"/>
    <w:rsid w:val="00D475FD"/>
    <w:rsid w:val="00D47ABB"/>
    <w:rsid w:val="00D50BE0"/>
    <w:rsid w:val="00D51555"/>
    <w:rsid w:val="00D53241"/>
    <w:rsid w:val="00D53E5C"/>
    <w:rsid w:val="00D54251"/>
    <w:rsid w:val="00D54ADA"/>
    <w:rsid w:val="00D57C56"/>
    <w:rsid w:val="00D61F05"/>
    <w:rsid w:val="00D61FEF"/>
    <w:rsid w:val="00D63794"/>
    <w:rsid w:val="00D63945"/>
    <w:rsid w:val="00D6417E"/>
    <w:rsid w:val="00D651BC"/>
    <w:rsid w:val="00D66048"/>
    <w:rsid w:val="00D66207"/>
    <w:rsid w:val="00D667E6"/>
    <w:rsid w:val="00D66E4E"/>
    <w:rsid w:val="00D67CFC"/>
    <w:rsid w:val="00D705F6"/>
    <w:rsid w:val="00D707A2"/>
    <w:rsid w:val="00D71378"/>
    <w:rsid w:val="00D73DF6"/>
    <w:rsid w:val="00D73ECD"/>
    <w:rsid w:val="00D7494F"/>
    <w:rsid w:val="00D74FF3"/>
    <w:rsid w:val="00D7531F"/>
    <w:rsid w:val="00D75B8A"/>
    <w:rsid w:val="00D762DA"/>
    <w:rsid w:val="00D77B08"/>
    <w:rsid w:val="00D77EDD"/>
    <w:rsid w:val="00D81985"/>
    <w:rsid w:val="00D81F7F"/>
    <w:rsid w:val="00D8221D"/>
    <w:rsid w:val="00D8230E"/>
    <w:rsid w:val="00D8307B"/>
    <w:rsid w:val="00D8320A"/>
    <w:rsid w:val="00D83737"/>
    <w:rsid w:val="00D84A3C"/>
    <w:rsid w:val="00D84A69"/>
    <w:rsid w:val="00D85539"/>
    <w:rsid w:val="00D855BC"/>
    <w:rsid w:val="00D86756"/>
    <w:rsid w:val="00D86FE8"/>
    <w:rsid w:val="00D87190"/>
    <w:rsid w:val="00D873B4"/>
    <w:rsid w:val="00D879A0"/>
    <w:rsid w:val="00D90EDE"/>
    <w:rsid w:val="00D911E0"/>
    <w:rsid w:val="00D914D2"/>
    <w:rsid w:val="00D91BD4"/>
    <w:rsid w:val="00D91C4A"/>
    <w:rsid w:val="00D933AF"/>
    <w:rsid w:val="00D935C6"/>
    <w:rsid w:val="00D9443B"/>
    <w:rsid w:val="00D94A13"/>
    <w:rsid w:val="00D94EAA"/>
    <w:rsid w:val="00D952E6"/>
    <w:rsid w:val="00D95A16"/>
    <w:rsid w:val="00D95D13"/>
    <w:rsid w:val="00D9637E"/>
    <w:rsid w:val="00D9641B"/>
    <w:rsid w:val="00D9641E"/>
    <w:rsid w:val="00D964A1"/>
    <w:rsid w:val="00D97100"/>
    <w:rsid w:val="00D976C7"/>
    <w:rsid w:val="00D9795D"/>
    <w:rsid w:val="00DA151A"/>
    <w:rsid w:val="00DA1853"/>
    <w:rsid w:val="00DA1D6C"/>
    <w:rsid w:val="00DA29DA"/>
    <w:rsid w:val="00DA34A0"/>
    <w:rsid w:val="00DA4695"/>
    <w:rsid w:val="00DA4C22"/>
    <w:rsid w:val="00DA5C90"/>
    <w:rsid w:val="00DA65A4"/>
    <w:rsid w:val="00DA67D7"/>
    <w:rsid w:val="00DA73A9"/>
    <w:rsid w:val="00DA771D"/>
    <w:rsid w:val="00DB03DD"/>
    <w:rsid w:val="00DB08AD"/>
    <w:rsid w:val="00DB164F"/>
    <w:rsid w:val="00DB16B8"/>
    <w:rsid w:val="00DB17BB"/>
    <w:rsid w:val="00DB1B61"/>
    <w:rsid w:val="00DB1D81"/>
    <w:rsid w:val="00DB1F2A"/>
    <w:rsid w:val="00DB2468"/>
    <w:rsid w:val="00DB39ED"/>
    <w:rsid w:val="00DB3A9E"/>
    <w:rsid w:val="00DB3F99"/>
    <w:rsid w:val="00DB432E"/>
    <w:rsid w:val="00DB4E29"/>
    <w:rsid w:val="00DB5761"/>
    <w:rsid w:val="00DB589D"/>
    <w:rsid w:val="00DB5DBD"/>
    <w:rsid w:val="00DB686D"/>
    <w:rsid w:val="00DB69BC"/>
    <w:rsid w:val="00DB72A8"/>
    <w:rsid w:val="00DC044D"/>
    <w:rsid w:val="00DC07D5"/>
    <w:rsid w:val="00DC0E56"/>
    <w:rsid w:val="00DC1172"/>
    <w:rsid w:val="00DC3889"/>
    <w:rsid w:val="00DC4487"/>
    <w:rsid w:val="00DC491F"/>
    <w:rsid w:val="00DC5467"/>
    <w:rsid w:val="00DC64E0"/>
    <w:rsid w:val="00DC68B9"/>
    <w:rsid w:val="00DC7750"/>
    <w:rsid w:val="00DC7A40"/>
    <w:rsid w:val="00DC7B1D"/>
    <w:rsid w:val="00DD138E"/>
    <w:rsid w:val="00DD13D8"/>
    <w:rsid w:val="00DD1D3B"/>
    <w:rsid w:val="00DD205D"/>
    <w:rsid w:val="00DD282B"/>
    <w:rsid w:val="00DD3403"/>
    <w:rsid w:val="00DD4242"/>
    <w:rsid w:val="00DD4738"/>
    <w:rsid w:val="00DD6EA6"/>
    <w:rsid w:val="00DD728E"/>
    <w:rsid w:val="00DE0A5F"/>
    <w:rsid w:val="00DE12FE"/>
    <w:rsid w:val="00DE15A3"/>
    <w:rsid w:val="00DE21B3"/>
    <w:rsid w:val="00DE2626"/>
    <w:rsid w:val="00DE2BB1"/>
    <w:rsid w:val="00DE38EA"/>
    <w:rsid w:val="00DE40B0"/>
    <w:rsid w:val="00DE4605"/>
    <w:rsid w:val="00DE7177"/>
    <w:rsid w:val="00DE7529"/>
    <w:rsid w:val="00DE7AC2"/>
    <w:rsid w:val="00DE7F24"/>
    <w:rsid w:val="00DF0347"/>
    <w:rsid w:val="00DF04BD"/>
    <w:rsid w:val="00DF0E23"/>
    <w:rsid w:val="00DF1208"/>
    <w:rsid w:val="00DF1ADE"/>
    <w:rsid w:val="00DF2C39"/>
    <w:rsid w:val="00DF3497"/>
    <w:rsid w:val="00DF38AB"/>
    <w:rsid w:val="00DF3E0F"/>
    <w:rsid w:val="00DF42E6"/>
    <w:rsid w:val="00DF4DF8"/>
    <w:rsid w:val="00DF5A45"/>
    <w:rsid w:val="00DF6031"/>
    <w:rsid w:val="00DF6B96"/>
    <w:rsid w:val="00DF7BC5"/>
    <w:rsid w:val="00DF7E1C"/>
    <w:rsid w:val="00E00E23"/>
    <w:rsid w:val="00E02D0B"/>
    <w:rsid w:val="00E030EE"/>
    <w:rsid w:val="00E037EA"/>
    <w:rsid w:val="00E03D19"/>
    <w:rsid w:val="00E04F8A"/>
    <w:rsid w:val="00E051C3"/>
    <w:rsid w:val="00E0548A"/>
    <w:rsid w:val="00E057B0"/>
    <w:rsid w:val="00E05A0E"/>
    <w:rsid w:val="00E05ADA"/>
    <w:rsid w:val="00E068BC"/>
    <w:rsid w:val="00E076D0"/>
    <w:rsid w:val="00E07D0B"/>
    <w:rsid w:val="00E07FF5"/>
    <w:rsid w:val="00E10232"/>
    <w:rsid w:val="00E1126D"/>
    <w:rsid w:val="00E1184F"/>
    <w:rsid w:val="00E11DF3"/>
    <w:rsid w:val="00E146FE"/>
    <w:rsid w:val="00E14D8C"/>
    <w:rsid w:val="00E151F2"/>
    <w:rsid w:val="00E15411"/>
    <w:rsid w:val="00E15CBE"/>
    <w:rsid w:val="00E15E8B"/>
    <w:rsid w:val="00E16DA4"/>
    <w:rsid w:val="00E16EBA"/>
    <w:rsid w:val="00E16FC3"/>
    <w:rsid w:val="00E17101"/>
    <w:rsid w:val="00E171D1"/>
    <w:rsid w:val="00E17529"/>
    <w:rsid w:val="00E177FF"/>
    <w:rsid w:val="00E200EA"/>
    <w:rsid w:val="00E21239"/>
    <w:rsid w:val="00E21DC5"/>
    <w:rsid w:val="00E2221A"/>
    <w:rsid w:val="00E2461D"/>
    <w:rsid w:val="00E25B7D"/>
    <w:rsid w:val="00E26EB9"/>
    <w:rsid w:val="00E26FB4"/>
    <w:rsid w:val="00E27CD2"/>
    <w:rsid w:val="00E27F77"/>
    <w:rsid w:val="00E30B6D"/>
    <w:rsid w:val="00E314AE"/>
    <w:rsid w:val="00E31564"/>
    <w:rsid w:val="00E31707"/>
    <w:rsid w:val="00E334C5"/>
    <w:rsid w:val="00E34693"/>
    <w:rsid w:val="00E3580E"/>
    <w:rsid w:val="00E358E7"/>
    <w:rsid w:val="00E3643C"/>
    <w:rsid w:val="00E3697F"/>
    <w:rsid w:val="00E37102"/>
    <w:rsid w:val="00E3719B"/>
    <w:rsid w:val="00E378AA"/>
    <w:rsid w:val="00E3794C"/>
    <w:rsid w:val="00E37ADA"/>
    <w:rsid w:val="00E40D80"/>
    <w:rsid w:val="00E41708"/>
    <w:rsid w:val="00E4279F"/>
    <w:rsid w:val="00E43158"/>
    <w:rsid w:val="00E43568"/>
    <w:rsid w:val="00E440B8"/>
    <w:rsid w:val="00E445AB"/>
    <w:rsid w:val="00E44946"/>
    <w:rsid w:val="00E44D08"/>
    <w:rsid w:val="00E44D16"/>
    <w:rsid w:val="00E44D3F"/>
    <w:rsid w:val="00E44D75"/>
    <w:rsid w:val="00E45CD7"/>
    <w:rsid w:val="00E45E0E"/>
    <w:rsid w:val="00E460B9"/>
    <w:rsid w:val="00E471F8"/>
    <w:rsid w:val="00E51175"/>
    <w:rsid w:val="00E5140A"/>
    <w:rsid w:val="00E5162B"/>
    <w:rsid w:val="00E51D84"/>
    <w:rsid w:val="00E520E5"/>
    <w:rsid w:val="00E526B2"/>
    <w:rsid w:val="00E52D39"/>
    <w:rsid w:val="00E52DB6"/>
    <w:rsid w:val="00E53668"/>
    <w:rsid w:val="00E537CC"/>
    <w:rsid w:val="00E53ABD"/>
    <w:rsid w:val="00E543F3"/>
    <w:rsid w:val="00E547F5"/>
    <w:rsid w:val="00E5797C"/>
    <w:rsid w:val="00E6053C"/>
    <w:rsid w:val="00E619B0"/>
    <w:rsid w:val="00E628A4"/>
    <w:rsid w:val="00E62FBA"/>
    <w:rsid w:val="00E63943"/>
    <w:rsid w:val="00E66A51"/>
    <w:rsid w:val="00E674B8"/>
    <w:rsid w:val="00E67A76"/>
    <w:rsid w:val="00E67BA6"/>
    <w:rsid w:val="00E7012A"/>
    <w:rsid w:val="00E70984"/>
    <w:rsid w:val="00E7187D"/>
    <w:rsid w:val="00E71EF1"/>
    <w:rsid w:val="00E72CC8"/>
    <w:rsid w:val="00E73942"/>
    <w:rsid w:val="00E73C9D"/>
    <w:rsid w:val="00E73D51"/>
    <w:rsid w:val="00E743F1"/>
    <w:rsid w:val="00E7444B"/>
    <w:rsid w:val="00E74B71"/>
    <w:rsid w:val="00E74E4F"/>
    <w:rsid w:val="00E74ECC"/>
    <w:rsid w:val="00E75BCC"/>
    <w:rsid w:val="00E764EA"/>
    <w:rsid w:val="00E773E8"/>
    <w:rsid w:val="00E8002B"/>
    <w:rsid w:val="00E80C3A"/>
    <w:rsid w:val="00E80D9A"/>
    <w:rsid w:val="00E8380F"/>
    <w:rsid w:val="00E83EBA"/>
    <w:rsid w:val="00E83F5D"/>
    <w:rsid w:val="00E84C7B"/>
    <w:rsid w:val="00E84D15"/>
    <w:rsid w:val="00E862B9"/>
    <w:rsid w:val="00E87498"/>
    <w:rsid w:val="00E879C8"/>
    <w:rsid w:val="00E90807"/>
    <w:rsid w:val="00E909CD"/>
    <w:rsid w:val="00E91041"/>
    <w:rsid w:val="00E91D7B"/>
    <w:rsid w:val="00E9281B"/>
    <w:rsid w:val="00E928A5"/>
    <w:rsid w:val="00E92F2B"/>
    <w:rsid w:val="00E9450F"/>
    <w:rsid w:val="00E945C2"/>
    <w:rsid w:val="00E94953"/>
    <w:rsid w:val="00E9538E"/>
    <w:rsid w:val="00E964EA"/>
    <w:rsid w:val="00E966DC"/>
    <w:rsid w:val="00E96985"/>
    <w:rsid w:val="00E9796A"/>
    <w:rsid w:val="00E97BA3"/>
    <w:rsid w:val="00EA0252"/>
    <w:rsid w:val="00EA162C"/>
    <w:rsid w:val="00EA1DEC"/>
    <w:rsid w:val="00EA2296"/>
    <w:rsid w:val="00EA22D7"/>
    <w:rsid w:val="00EA2F3E"/>
    <w:rsid w:val="00EA36E9"/>
    <w:rsid w:val="00EA4244"/>
    <w:rsid w:val="00EA4926"/>
    <w:rsid w:val="00EA5489"/>
    <w:rsid w:val="00EA5D30"/>
    <w:rsid w:val="00EA6E70"/>
    <w:rsid w:val="00EA7A2C"/>
    <w:rsid w:val="00EB1A2D"/>
    <w:rsid w:val="00EB1B6C"/>
    <w:rsid w:val="00EB259F"/>
    <w:rsid w:val="00EB27CA"/>
    <w:rsid w:val="00EB2A90"/>
    <w:rsid w:val="00EB2ED0"/>
    <w:rsid w:val="00EB3504"/>
    <w:rsid w:val="00EB3691"/>
    <w:rsid w:val="00EB36DF"/>
    <w:rsid w:val="00EB3848"/>
    <w:rsid w:val="00EB3DC1"/>
    <w:rsid w:val="00EB429A"/>
    <w:rsid w:val="00EB4566"/>
    <w:rsid w:val="00EB45E8"/>
    <w:rsid w:val="00EB5120"/>
    <w:rsid w:val="00EB618D"/>
    <w:rsid w:val="00EB61B1"/>
    <w:rsid w:val="00EB6705"/>
    <w:rsid w:val="00EB6764"/>
    <w:rsid w:val="00EB6D78"/>
    <w:rsid w:val="00EB6E9A"/>
    <w:rsid w:val="00EB7D90"/>
    <w:rsid w:val="00EB7E88"/>
    <w:rsid w:val="00EC2206"/>
    <w:rsid w:val="00EC3837"/>
    <w:rsid w:val="00EC3972"/>
    <w:rsid w:val="00EC3A1D"/>
    <w:rsid w:val="00EC3B0F"/>
    <w:rsid w:val="00EC3BA2"/>
    <w:rsid w:val="00EC3D08"/>
    <w:rsid w:val="00EC429F"/>
    <w:rsid w:val="00EC46F1"/>
    <w:rsid w:val="00EC5539"/>
    <w:rsid w:val="00EC5B29"/>
    <w:rsid w:val="00EC62B6"/>
    <w:rsid w:val="00EC6839"/>
    <w:rsid w:val="00EC6A0D"/>
    <w:rsid w:val="00EC7983"/>
    <w:rsid w:val="00EC7AF2"/>
    <w:rsid w:val="00ED0DDA"/>
    <w:rsid w:val="00ED1258"/>
    <w:rsid w:val="00ED164E"/>
    <w:rsid w:val="00ED19A5"/>
    <w:rsid w:val="00ED1B3E"/>
    <w:rsid w:val="00ED1D64"/>
    <w:rsid w:val="00ED22E6"/>
    <w:rsid w:val="00ED23E4"/>
    <w:rsid w:val="00ED273B"/>
    <w:rsid w:val="00ED2B8B"/>
    <w:rsid w:val="00ED412F"/>
    <w:rsid w:val="00ED6E5B"/>
    <w:rsid w:val="00ED7477"/>
    <w:rsid w:val="00ED7602"/>
    <w:rsid w:val="00ED7EEF"/>
    <w:rsid w:val="00EE0E15"/>
    <w:rsid w:val="00EE0E44"/>
    <w:rsid w:val="00EE1312"/>
    <w:rsid w:val="00EE16CD"/>
    <w:rsid w:val="00EE3716"/>
    <w:rsid w:val="00EE3D3E"/>
    <w:rsid w:val="00EE5399"/>
    <w:rsid w:val="00EE5549"/>
    <w:rsid w:val="00EE740B"/>
    <w:rsid w:val="00EF0163"/>
    <w:rsid w:val="00EF0629"/>
    <w:rsid w:val="00EF07FB"/>
    <w:rsid w:val="00EF0A3D"/>
    <w:rsid w:val="00EF2592"/>
    <w:rsid w:val="00EF2D5B"/>
    <w:rsid w:val="00EF3FB1"/>
    <w:rsid w:val="00EF4507"/>
    <w:rsid w:val="00EF4C76"/>
    <w:rsid w:val="00EF5730"/>
    <w:rsid w:val="00EF6960"/>
    <w:rsid w:val="00EF6ACA"/>
    <w:rsid w:val="00EF7A11"/>
    <w:rsid w:val="00EF7C28"/>
    <w:rsid w:val="00EF7D38"/>
    <w:rsid w:val="00EF7ED3"/>
    <w:rsid w:val="00F0090F"/>
    <w:rsid w:val="00F00E47"/>
    <w:rsid w:val="00F0175C"/>
    <w:rsid w:val="00F01BD8"/>
    <w:rsid w:val="00F02056"/>
    <w:rsid w:val="00F020B9"/>
    <w:rsid w:val="00F03097"/>
    <w:rsid w:val="00F030A0"/>
    <w:rsid w:val="00F041D7"/>
    <w:rsid w:val="00F0498A"/>
    <w:rsid w:val="00F05F37"/>
    <w:rsid w:val="00F06415"/>
    <w:rsid w:val="00F06961"/>
    <w:rsid w:val="00F06C9E"/>
    <w:rsid w:val="00F07CBE"/>
    <w:rsid w:val="00F07F7D"/>
    <w:rsid w:val="00F10DFD"/>
    <w:rsid w:val="00F10E65"/>
    <w:rsid w:val="00F1160F"/>
    <w:rsid w:val="00F11E06"/>
    <w:rsid w:val="00F11F42"/>
    <w:rsid w:val="00F12049"/>
    <w:rsid w:val="00F127CF"/>
    <w:rsid w:val="00F12F88"/>
    <w:rsid w:val="00F130ED"/>
    <w:rsid w:val="00F13121"/>
    <w:rsid w:val="00F1383F"/>
    <w:rsid w:val="00F14F8B"/>
    <w:rsid w:val="00F154B2"/>
    <w:rsid w:val="00F15B78"/>
    <w:rsid w:val="00F160BD"/>
    <w:rsid w:val="00F1634F"/>
    <w:rsid w:val="00F172DE"/>
    <w:rsid w:val="00F17A65"/>
    <w:rsid w:val="00F20149"/>
    <w:rsid w:val="00F201A7"/>
    <w:rsid w:val="00F2059D"/>
    <w:rsid w:val="00F20923"/>
    <w:rsid w:val="00F20C12"/>
    <w:rsid w:val="00F21933"/>
    <w:rsid w:val="00F22086"/>
    <w:rsid w:val="00F2372E"/>
    <w:rsid w:val="00F2428B"/>
    <w:rsid w:val="00F24751"/>
    <w:rsid w:val="00F2677C"/>
    <w:rsid w:val="00F27C19"/>
    <w:rsid w:val="00F30A57"/>
    <w:rsid w:val="00F31BAA"/>
    <w:rsid w:val="00F31E2E"/>
    <w:rsid w:val="00F32292"/>
    <w:rsid w:val="00F32A5B"/>
    <w:rsid w:val="00F33030"/>
    <w:rsid w:val="00F33422"/>
    <w:rsid w:val="00F33D0E"/>
    <w:rsid w:val="00F341C2"/>
    <w:rsid w:val="00F34F03"/>
    <w:rsid w:val="00F35486"/>
    <w:rsid w:val="00F37483"/>
    <w:rsid w:val="00F3752A"/>
    <w:rsid w:val="00F404D1"/>
    <w:rsid w:val="00F404D5"/>
    <w:rsid w:val="00F4177C"/>
    <w:rsid w:val="00F4343F"/>
    <w:rsid w:val="00F44068"/>
    <w:rsid w:val="00F44169"/>
    <w:rsid w:val="00F4416A"/>
    <w:rsid w:val="00F44669"/>
    <w:rsid w:val="00F44A30"/>
    <w:rsid w:val="00F454F8"/>
    <w:rsid w:val="00F45F7F"/>
    <w:rsid w:val="00F46591"/>
    <w:rsid w:val="00F4709E"/>
    <w:rsid w:val="00F471B2"/>
    <w:rsid w:val="00F47210"/>
    <w:rsid w:val="00F476BE"/>
    <w:rsid w:val="00F47DE4"/>
    <w:rsid w:val="00F503A0"/>
    <w:rsid w:val="00F513D5"/>
    <w:rsid w:val="00F51D82"/>
    <w:rsid w:val="00F5256C"/>
    <w:rsid w:val="00F528B1"/>
    <w:rsid w:val="00F53C3D"/>
    <w:rsid w:val="00F54BCC"/>
    <w:rsid w:val="00F54D2F"/>
    <w:rsid w:val="00F579DC"/>
    <w:rsid w:val="00F6122F"/>
    <w:rsid w:val="00F61EF0"/>
    <w:rsid w:val="00F623A8"/>
    <w:rsid w:val="00F626B5"/>
    <w:rsid w:val="00F63036"/>
    <w:rsid w:val="00F63314"/>
    <w:rsid w:val="00F6336D"/>
    <w:rsid w:val="00F63699"/>
    <w:rsid w:val="00F649D4"/>
    <w:rsid w:val="00F64E4C"/>
    <w:rsid w:val="00F6559B"/>
    <w:rsid w:val="00F65A0D"/>
    <w:rsid w:val="00F660C3"/>
    <w:rsid w:val="00F663BE"/>
    <w:rsid w:val="00F7091B"/>
    <w:rsid w:val="00F71BED"/>
    <w:rsid w:val="00F74473"/>
    <w:rsid w:val="00F74611"/>
    <w:rsid w:val="00F74654"/>
    <w:rsid w:val="00F753A0"/>
    <w:rsid w:val="00F766F7"/>
    <w:rsid w:val="00F76819"/>
    <w:rsid w:val="00F77486"/>
    <w:rsid w:val="00F80832"/>
    <w:rsid w:val="00F80846"/>
    <w:rsid w:val="00F812DC"/>
    <w:rsid w:val="00F81F37"/>
    <w:rsid w:val="00F8239D"/>
    <w:rsid w:val="00F830F9"/>
    <w:rsid w:val="00F8319F"/>
    <w:rsid w:val="00F83C83"/>
    <w:rsid w:val="00F8449E"/>
    <w:rsid w:val="00F845DC"/>
    <w:rsid w:val="00F852F8"/>
    <w:rsid w:val="00F8567A"/>
    <w:rsid w:val="00F85F0E"/>
    <w:rsid w:val="00F863B6"/>
    <w:rsid w:val="00F86616"/>
    <w:rsid w:val="00F867C9"/>
    <w:rsid w:val="00F869CB"/>
    <w:rsid w:val="00F86B03"/>
    <w:rsid w:val="00F87B1E"/>
    <w:rsid w:val="00F87FD3"/>
    <w:rsid w:val="00F90096"/>
    <w:rsid w:val="00F9178F"/>
    <w:rsid w:val="00F92E97"/>
    <w:rsid w:val="00F930B4"/>
    <w:rsid w:val="00F9312C"/>
    <w:rsid w:val="00F93EC1"/>
    <w:rsid w:val="00F940C8"/>
    <w:rsid w:val="00F9477E"/>
    <w:rsid w:val="00F96270"/>
    <w:rsid w:val="00F97A65"/>
    <w:rsid w:val="00FA0CF5"/>
    <w:rsid w:val="00FA0ED3"/>
    <w:rsid w:val="00FA0F9E"/>
    <w:rsid w:val="00FA15C7"/>
    <w:rsid w:val="00FA2381"/>
    <w:rsid w:val="00FA2913"/>
    <w:rsid w:val="00FA410B"/>
    <w:rsid w:val="00FA4196"/>
    <w:rsid w:val="00FA4223"/>
    <w:rsid w:val="00FA53EA"/>
    <w:rsid w:val="00FA546C"/>
    <w:rsid w:val="00FA5D71"/>
    <w:rsid w:val="00FA5E7B"/>
    <w:rsid w:val="00FA60ED"/>
    <w:rsid w:val="00FA6126"/>
    <w:rsid w:val="00FA6A59"/>
    <w:rsid w:val="00FA6DF8"/>
    <w:rsid w:val="00FA6F0C"/>
    <w:rsid w:val="00FA75A4"/>
    <w:rsid w:val="00FB12D8"/>
    <w:rsid w:val="00FB2AF5"/>
    <w:rsid w:val="00FB31AD"/>
    <w:rsid w:val="00FB4A38"/>
    <w:rsid w:val="00FB5062"/>
    <w:rsid w:val="00FB506D"/>
    <w:rsid w:val="00FB5773"/>
    <w:rsid w:val="00FB75C8"/>
    <w:rsid w:val="00FB7EB6"/>
    <w:rsid w:val="00FB7EFD"/>
    <w:rsid w:val="00FB7FFB"/>
    <w:rsid w:val="00FC04FA"/>
    <w:rsid w:val="00FC1482"/>
    <w:rsid w:val="00FC1AAA"/>
    <w:rsid w:val="00FC1AC4"/>
    <w:rsid w:val="00FC2AAE"/>
    <w:rsid w:val="00FC2DFE"/>
    <w:rsid w:val="00FC3107"/>
    <w:rsid w:val="00FC36D2"/>
    <w:rsid w:val="00FC3B75"/>
    <w:rsid w:val="00FC3D07"/>
    <w:rsid w:val="00FC4494"/>
    <w:rsid w:val="00FC5234"/>
    <w:rsid w:val="00FC5723"/>
    <w:rsid w:val="00FC5BB7"/>
    <w:rsid w:val="00FC5BD4"/>
    <w:rsid w:val="00FC5D2A"/>
    <w:rsid w:val="00FC6B70"/>
    <w:rsid w:val="00FC6CAB"/>
    <w:rsid w:val="00FC6EA0"/>
    <w:rsid w:val="00FC7142"/>
    <w:rsid w:val="00FC7A53"/>
    <w:rsid w:val="00FD010E"/>
    <w:rsid w:val="00FD0AEF"/>
    <w:rsid w:val="00FD1272"/>
    <w:rsid w:val="00FD27FA"/>
    <w:rsid w:val="00FD4549"/>
    <w:rsid w:val="00FD5736"/>
    <w:rsid w:val="00FD6966"/>
    <w:rsid w:val="00FD76A2"/>
    <w:rsid w:val="00FE144B"/>
    <w:rsid w:val="00FE154A"/>
    <w:rsid w:val="00FE194B"/>
    <w:rsid w:val="00FE2779"/>
    <w:rsid w:val="00FE31E3"/>
    <w:rsid w:val="00FE47FC"/>
    <w:rsid w:val="00FE4F19"/>
    <w:rsid w:val="00FE5185"/>
    <w:rsid w:val="00FE52C9"/>
    <w:rsid w:val="00FE651D"/>
    <w:rsid w:val="00FE7611"/>
    <w:rsid w:val="00FE7A59"/>
    <w:rsid w:val="00FF09CE"/>
    <w:rsid w:val="00FF17DE"/>
    <w:rsid w:val="00FF2AEE"/>
    <w:rsid w:val="00FF2E74"/>
    <w:rsid w:val="00FF3AF0"/>
    <w:rsid w:val="00FF43BB"/>
    <w:rsid w:val="00FF4A22"/>
    <w:rsid w:val="00FF4B02"/>
    <w:rsid w:val="00FF599E"/>
    <w:rsid w:val="00FF701D"/>
    <w:rsid w:val="00FF7056"/>
    <w:rsid w:val="2511778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自选图形 19"/>
        <o:r id="V:Rule2" type="connector" idref="#自选图形 20"/>
        <o:r id="V:Rule3" type="connector" idref="#自选图形 21"/>
        <o:r id="V:Rule4" type="connector" idref="#自选图形 27"/>
        <o:r id="V:Rule5" type="connector" idref="#自选图形 28"/>
        <o:r id="V:Rule6" type="connector" idref="#自选图形 29"/>
        <o:r id="V:Rule7" type="connector" idref="#自选图形 30"/>
        <o:r id="V:Rule8" type="connector" idref="#自选图形 31"/>
        <o:r id="V:Rule9" type="connector" idref="#自选图形 33"/>
        <o:r id="V:Rule10" type="connector" idref="#自选图形 27"/>
        <o:r id="V:Rule11" type="connector" idref="#自选图形 16"/>
        <o:r id="V:Rule12" type="connector" idref="#自选图形 16"/>
        <o:r id="V:Rule13" type="connector" idref="#自选图形 16"/>
        <o:r id="V:Rule14" type="connector" idref="#自选图形 16"/>
        <o:r id="V:Rule15" type="connector" idref="#自选图形 1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nhideWhenUsed="0" w:uiPriority="0" w:semiHidden="0" w:name="heading 5"/>
    <w:lsdException w:qFormat="1" w:uiPriority="9" w:name="heading 6"/>
    <w:lsdException w:qFormat="1" w:unhideWhenUsed="0" w:uiPriority="0"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uiPriority="0" w:semiHidden="0" w:name="header"/>
    <w:lsdException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qFormat="1" w:unhideWhenUsed="0" w:uiPriority="0" w:semiHidden="0" w:name="Note Heading"/>
    <w:lsdException w:qFormat="1" w:unhideWhenUsed="0" w:uiPriority="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qFormat="1" w:unhideWhenUsed="0" w:uiPriority="0" w:semiHidden="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51"/>
    <w:qFormat/>
    <w:uiPriority w:val="0"/>
    <w:pPr>
      <w:keepNext/>
      <w:keepLines/>
      <w:ind w:firstLine="0" w:firstLineChars="0"/>
      <w:outlineLvl w:val="0"/>
    </w:pPr>
    <w:rPr>
      <w:b/>
      <w:bCs/>
      <w:kern w:val="44"/>
      <w:sz w:val="32"/>
      <w:szCs w:val="44"/>
    </w:rPr>
  </w:style>
  <w:style w:type="paragraph" w:styleId="3">
    <w:name w:val="heading 2"/>
    <w:basedOn w:val="1"/>
    <w:next w:val="1"/>
    <w:link w:val="52"/>
    <w:unhideWhenUsed/>
    <w:qFormat/>
    <w:uiPriority w:val="0"/>
    <w:pPr>
      <w:keepNext/>
      <w:keepLines/>
      <w:ind w:firstLine="0" w:firstLineChars="0"/>
      <w:outlineLvl w:val="1"/>
    </w:pPr>
    <w:rPr>
      <w:rFonts w:cstheme="majorBidi"/>
      <w:b/>
      <w:bCs/>
      <w:sz w:val="28"/>
      <w:szCs w:val="32"/>
    </w:rPr>
  </w:style>
  <w:style w:type="paragraph" w:styleId="4">
    <w:name w:val="heading 3"/>
    <w:basedOn w:val="1"/>
    <w:next w:val="1"/>
    <w:link w:val="53"/>
    <w:unhideWhenUsed/>
    <w:qFormat/>
    <w:uiPriority w:val="0"/>
    <w:pPr>
      <w:keepNext/>
      <w:keepLines/>
      <w:ind w:firstLine="0" w:firstLineChars="0"/>
      <w:outlineLvl w:val="2"/>
    </w:pPr>
    <w:rPr>
      <w:b/>
      <w:bCs/>
      <w:szCs w:val="32"/>
    </w:rPr>
  </w:style>
  <w:style w:type="paragraph" w:styleId="5">
    <w:name w:val="heading 4"/>
    <w:basedOn w:val="1"/>
    <w:next w:val="1"/>
    <w:link w:val="54"/>
    <w:unhideWhenUsed/>
    <w:qFormat/>
    <w:uiPriority w:val="0"/>
    <w:pPr>
      <w:keepNext/>
      <w:keepLines/>
      <w:ind w:firstLine="0" w:firstLineChars="0"/>
      <w:outlineLvl w:val="3"/>
    </w:pPr>
    <w:rPr>
      <w:b/>
      <w:bCs/>
      <w:sz w:val="28"/>
      <w:szCs w:val="28"/>
    </w:rPr>
  </w:style>
  <w:style w:type="paragraph" w:styleId="6">
    <w:name w:val="heading 5"/>
    <w:basedOn w:val="1"/>
    <w:next w:val="1"/>
    <w:link w:val="80"/>
    <w:qFormat/>
    <w:uiPriority w:val="0"/>
    <w:pPr>
      <w:keepNext/>
      <w:keepLines/>
      <w:spacing w:before="280" w:after="290" w:line="376" w:lineRule="auto"/>
      <w:ind w:firstLine="0" w:firstLineChars="0"/>
      <w:outlineLvl w:val="4"/>
    </w:pPr>
    <w:rPr>
      <w:b/>
      <w:bCs/>
      <w:sz w:val="28"/>
      <w:szCs w:val="28"/>
    </w:rPr>
  </w:style>
  <w:style w:type="paragraph" w:styleId="7">
    <w:name w:val="heading 7"/>
    <w:basedOn w:val="1"/>
    <w:next w:val="1"/>
    <w:link w:val="81"/>
    <w:qFormat/>
    <w:uiPriority w:val="0"/>
    <w:pPr>
      <w:keepNext/>
      <w:keepLines/>
      <w:spacing w:before="240" w:after="64" w:line="320" w:lineRule="auto"/>
      <w:ind w:firstLine="0" w:firstLineChars="0"/>
      <w:outlineLvl w:val="6"/>
    </w:pPr>
    <w:rPr>
      <w:b/>
      <w:bCs/>
      <w:szCs w:val="24"/>
    </w:rPr>
  </w:style>
  <w:style w:type="character" w:default="1" w:styleId="44">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qFormat/>
    <w:uiPriority w:val="39"/>
    <w:pPr>
      <w:spacing w:line="240" w:lineRule="auto"/>
      <w:ind w:left="1260" w:firstLine="0" w:firstLineChars="0"/>
      <w:jc w:val="left"/>
    </w:pPr>
    <w:rPr>
      <w:rFonts w:ascii="Calibri" w:hAnsi="Calibri"/>
      <w:sz w:val="18"/>
      <w:szCs w:val="18"/>
    </w:rPr>
  </w:style>
  <w:style w:type="paragraph" w:styleId="9">
    <w:name w:val="table of authorities"/>
    <w:basedOn w:val="1"/>
    <w:next w:val="1"/>
    <w:qFormat/>
    <w:uiPriority w:val="0"/>
    <w:pPr>
      <w:ind w:left="420" w:leftChars="200"/>
    </w:pPr>
    <w:rPr>
      <w:rFonts w:ascii="FangSong_GB2312" w:eastAsia="FangSong_GB2312"/>
      <w:sz w:val="28"/>
      <w:szCs w:val="24"/>
    </w:rPr>
  </w:style>
  <w:style w:type="paragraph" w:styleId="10">
    <w:name w:val="Note Heading"/>
    <w:basedOn w:val="1"/>
    <w:next w:val="1"/>
    <w:link w:val="142"/>
    <w:qFormat/>
    <w:uiPriority w:val="0"/>
    <w:pPr>
      <w:spacing w:line="240" w:lineRule="auto"/>
      <w:ind w:firstLine="0" w:firstLineChars="0"/>
      <w:jc w:val="center"/>
    </w:pPr>
    <w:rPr>
      <w:szCs w:val="20"/>
    </w:rPr>
  </w:style>
  <w:style w:type="paragraph" w:styleId="11">
    <w:name w:val="Normal Indent"/>
    <w:basedOn w:val="1"/>
    <w:link w:val="93"/>
    <w:qFormat/>
    <w:uiPriority w:val="0"/>
    <w:pPr>
      <w:spacing w:line="0" w:lineRule="atLeast"/>
      <w:ind w:firstLine="420" w:firstLineChars="0"/>
    </w:pPr>
    <w:rPr>
      <w:rFonts w:cstheme="minorBidi"/>
      <w:sz w:val="21"/>
    </w:rPr>
  </w:style>
  <w:style w:type="paragraph" w:styleId="12">
    <w:name w:val="caption"/>
    <w:basedOn w:val="1"/>
    <w:next w:val="1"/>
    <w:link w:val="228"/>
    <w:qFormat/>
    <w:uiPriority w:val="35"/>
    <w:pPr>
      <w:widowControl/>
      <w:adjustRightInd w:val="0"/>
      <w:snapToGrid w:val="0"/>
      <w:spacing w:line="240" w:lineRule="auto"/>
      <w:ind w:firstLine="0" w:firstLineChars="0"/>
      <w:jc w:val="center"/>
    </w:pPr>
    <w:rPr>
      <w:b/>
      <w:szCs w:val="20"/>
    </w:rPr>
  </w:style>
  <w:style w:type="paragraph" w:styleId="13">
    <w:name w:val="Document Map"/>
    <w:basedOn w:val="1"/>
    <w:link w:val="139"/>
    <w:semiHidden/>
    <w:qFormat/>
    <w:uiPriority w:val="0"/>
    <w:pPr>
      <w:shd w:val="clear" w:color="auto" w:fill="000080"/>
      <w:spacing w:line="240" w:lineRule="auto"/>
      <w:ind w:firstLine="0" w:firstLineChars="0"/>
    </w:pPr>
    <w:rPr>
      <w:sz w:val="21"/>
      <w:szCs w:val="24"/>
    </w:rPr>
  </w:style>
  <w:style w:type="paragraph" w:styleId="14">
    <w:name w:val="annotation text"/>
    <w:basedOn w:val="1"/>
    <w:link w:val="66"/>
    <w:unhideWhenUsed/>
    <w:qFormat/>
    <w:uiPriority w:val="0"/>
    <w:pPr>
      <w:jc w:val="left"/>
    </w:pPr>
  </w:style>
  <w:style w:type="paragraph" w:styleId="15">
    <w:name w:val="Body Text"/>
    <w:basedOn w:val="1"/>
    <w:link w:val="70"/>
    <w:unhideWhenUsed/>
    <w:qFormat/>
    <w:uiPriority w:val="99"/>
    <w:pPr>
      <w:autoSpaceDE w:val="0"/>
      <w:autoSpaceDN w:val="0"/>
      <w:adjustRightInd w:val="0"/>
      <w:spacing w:before="44" w:line="240" w:lineRule="auto"/>
      <w:ind w:left="115" w:firstLine="0" w:firstLineChars="0"/>
      <w:jc w:val="left"/>
    </w:pPr>
    <w:rPr>
      <w:rFonts w:hint="eastAsia" w:ascii="宋体" w:hAnsi="宋体"/>
      <w:kern w:val="0"/>
      <w:sz w:val="28"/>
      <w:szCs w:val="24"/>
    </w:rPr>
  </w:style>
  <w:style w:type="paragraph" w:styleId="16">
    <w:name w:val="Body Text Indent"/>
    <w:basedOn w:val="1"/>
    <w:link w:val="150"/>
    <w:qFormat/>
    <w:uiPriority w:val="0"/>
    <w:pPr>
      <w:spacing w:line="560" w:lineRule="exact"/>
      <w:ind w:firstLine="480"/>
    </w:pPr>
    <w:rPr>
      <w:rFonts w:ascii="Arial" w:hAnsi="Arial" w:eastAsia="楷体_GB2312" w:cstheme="minorBidi"/>
      <w:snapToGrid w:val="0"/>
      <w:szCs w:val="24"/>
    </w:rPr>
  </w:style>
  <w:style w:type="paragraph" w:styleId="17">
    <w:name w:val="List 2"/>
    <w:basedOn w:val="1"/>
    <w:link w:val="260"/>
    <w:uiPriority w:val="0"/>
    <w:pPr>
      <w:spacing w:line="240" w:lineRule="auto"/>
      <w:ind w:firstLine="0" w:firstLineChars="0"/>
    </w:pPr>
    <w:rPr>
      <w:rFonts w:ascii="楷体_GB2312" w:hAnsi="宋体" w:eastAsia="楷体_GB2312" w:cstheme="minorBidi"/>
      <w:color w:val="000000"/>
      <w:sz w:val="21"/>
    </w:rPr>
  </w:style>
  <w:style w:type="paragraph" w:styleId="18">
    <w:name w:val="Block Text"/>
    <w:basedOn w:val="1"/>
    <w:qFormat/>
    <w:uiPriority w:val="0"/>
    <w:pPr>
      <w:spacing w:line="240" w:lineRule="auto"/>
      <w:ind w:left="-359" w:right="-693" w:firstLine="675" w:firstLineChars="0"/>
    </w:pPr>
    <w:rPr>
      <w:sz w:val="32"/>
      <w:szCs w:val="20"/>
    </w:rPr>
  </w:style>
  <w:style w:type="paragraph" w:styleId="19">
    <w:name w:val="toc 5"/>
    <w:basedOn w:val="1"/>
    <w:next w:val="1"/>
    <w:qFormat/>
    <w:uiPriority w:val="39"/>
    <w:pPr>
      <w:spacing w:line="240" w:lineRule="auto"/>
      <w:ind w:left="840" w:firstLine="0" w:firstLineChars="0"/>
      <w:jc w:val="left"/>
    </w:pPr>
    <w:rPr>
      <w:rFonts w:ascii="Calibri" w:hAnsi="Calibri"/>
      <w:sz w:val="18"/>
      <w:szCs w:val="18"/>
    </w:rPr>
  </w:style>
  <w:style w:type="paragraph" w:styleId="20">
    <w:name w:val="toc 3"/>
    <w:basedOn w:val="1"/>
    <w:next w:val="1"/>
    <w:qFormat/>
    <w:uiPriority w:val="39"/>
    <w:pPr>
      <w:spacing w:line="240" w:lineRule="auto"/>
      <w:ind w:left="420" w:firstLine="0" w:firstLineChars="0"/>
      <w:jc w:val="left"/>
    </w:pPr>
    <w:rPr>
      <w:rFonts w:ascii="Calibri" w:hAnsi="Calibri"/>
      <w:i/>
      <w:iCs/>
      <w:sz w:val="20"/>
      <w:szCs w:val="20"/>
    </w:rPr>
  </w:style>
  <w:style w:type="paragraph" w:styleId="21">
    <w:name w:val="Plain Text"/>
    <w:basedOn w:val="1"/>
    <w:link w:val="77"/>
    <w:qFormat/>
    <w:uiPriority w:val="0"/>
    <w:pPr>
      <w:spacing w:line="240" w:lineRule="auto"/>
      <w:ind w:firstLine="0" w:firstLineChars="0"/>
    </w:pPr>
    <w:rPr>
      <w:rFonts w:ascii="Courier New" w:hAnsi="Courier New" w:cstheme="minorBidi"/>
      <w:sz w:val="21"/>
    </w:rPr>
  </w:style>
  <w:style w:type="paragraph" w:styleId="22">
    <w:name w:val="toc 8"/>
    <w:basedOn w:val="1"/>
    <w:next w:val="1"/>
    <w:qFormat/>
    <w:uiPriority w:val="39"/>
    <w:pPr>
      <w:spacing w:line="240" w:lineRule="auto"/>
      <w:ind w:left="1470" w:firstLine="0" w:firstLineChars="0"/>
      <w:jc w:val="left"/>
    </w:pPr>
    <w:rPr>
      <w:rFonts w:ascii="Calibri" w:hAnsi="Calibri"/>
      <w:sz w:val="18"/>
      <w:szCs w:val="18"/>
    </w:rPr>
  </w:style>
  <w:style w:type="paragraph" w:styleId="23">
    <w:name w:val="Date"/>
    <w:basedOn w:val="1"/>
    <w:next w:val="1"/>
    <w:link w:val="134"/>
    <w:qFormat/>
    <w:uiPriority w:val="0"/>
    <w:pPr>
      <w:spacing w:line="240" w:lineRule="auto"/>
      <w:ind w:firstLine="0" w:firstLineChars="0"/>
    </w:pPr>
    <w:rPr>
      <w:rFonts w:ascii="宋体" w:cstheme="minorBidi"/>
      <w:sz w:val="28"/>
    </w:rPr>
  </w:style>
  <w:style w:type="paragraph" w:styleId="24">
    <w:name w:val="Body Text Indent 2"/>
    <w:basedOn w:val="1"/>
    <w:link w:val="141"/>
    <w:qFormat/>
    <w:uiPriority w:val="0"/>
    <w:pPr>
      <w:spacing w:after="120" w:line="480" w:lineRule="auto"/>
      <w:ind w:left="420" w:leftChars="200" w:firstLine="0" w:firstLineChars="0"/>
    </w:pPr>
    <w:rPr>
      <w:rFonts w:cstheme="minorBidi"/>
      <w:sz w:val="21"/>
      <w:szCs w:val="24"/>
    </w:rPr>
  </w:style>
  <w:style w:type="paragraph" w:styleId="25">
    <w:name w:val="Balloon Text"/>
    <w:basedOn w:val="1"/>
    <w:link w:val="60"/>
    <w:unhideWhenUsed/>
    <w:qFormat/>
    <w:uiPriority w:val="0"/>
    <w:pPr>
      <w:spacing w:line="240" w:lineRule="auto"/>
    </w:pPr>
    <w:rPr>
      <w:sz w:val="18"/>
      <w:szCs w:val="18"/>
    </w:rPr>
  </w:style>
  <w:style w:type="paragraph" w:styleId="26">
    <w:name w:val="footer"/>
    <w:basedOn w:val="1"/>
    <w:link w:val="56"/>
    <w:unhideWhenUsed/>
    <w:uiPriority w:val="99"/>
    <w:pPr>
      <w:tabs>
        <w:tab w:val="center" w:pos="4153"/>
        <w:tab w:val="right" w:pos="8306"/>
      </w:tabs>
      <w:snapToGrid w:val="0"/>
      <w:spacing w:line="240" w:lineRule="auto"/>
      <w:jc w:val="left"/>
    </w:pPr>
    <w:rPr>
      <w:sz w:val="18"/>
      <w:szCs w:val="18"/>
    </w:rPr>
  </w:style>
  <w:style w:type="paragraph" w:styleId="27">
    <w:name w:val="header"/>
    <w:basedOn w:val="1"/>
    <w:link w:val="55"/>
    <w:unhideWhenUsed/>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28">
    <w:name w:val="toc 1"/>
    <w:basedOn w:val="1"/>
    <w:next w:val="1"/>
    <w:unhideWhenUsed/>
    <w:qFormat/>
    <w:uiPriority w:val="39"/>
  </w:style>
  <w:style w:type="paragraph" w:styleId="29">
    <w:name w:val="toc 4"/>
    <w:basedOn w:val="1"/>
    <w:next w:val="1"/>
    <w:qFormat/>
    <w:uiPriority w:val="39"/>
    <w:pPr>
      <w:spacing w:line="240" w:lineRule="auto"/>
      <w:ind w:left="630" w:firstLine="0" w:firstLineChars="0"/>
      <w:jc w:val="left"/>
    </w:pPr>
    <w:rPr>
      <w:rFonts w:ascii="Calibri" w:hAnsi="Calibri"/>
      <w:sz w:val="18"/>
      <w:szCs w:val="18"/>
    </w:rPr>
  </w:style>
  <w:style w:type="paragraph" w:styleId="30">
    <w:name w:val="Subtitle"/>
    <w:basedOn w:val="1"/>
    <w:next w:val="1"/>
    <w:link w:val="129"/>
    <w:qFormat/>
    <w:uiPriority w:val="0"/>
    <w:pPr>
      <w:spacing w:before="240" w:after="60" w:line="312" w:lineRule="auto"/>
      <w:ind w:firstLine="0" w:firstLineChars="0"/>
      <w:jc w:val="left"/>
      <w:outlineLvl w:val="1"/>
    </w:pPr>
    <w:rPr>
      <w:rFonts w:ascii="Cambria" w:hAnsi="Cambria"/>
      <w:b/>
      <w:bCs/>
      <w:kern w:val="28"/>
      <w:sz w:val="28"/>
      <w:szCs w:val="32"/>
    </w:rPr>
  </w:style>
  <w:style w:type="paragraph" w:styleId="31">
    <w:name w:val="toc 6"/>
    <w:basedOn w:val="1"/>
    <w:next w:val="1"/>
    <w:qFormat/>
    <w:uiPriority w:val="39"/>
    <w:pPr>
      <w:spacing w:line="240" w:lineRule="auto"/>
      <w:ind w:left="1050" w:firstLine="0" w:firstLineChars="0"/>
      <w:jc w:val="left"/>
    </w:pPr>
    <w:rPr>
      <w:rFonts w:ascii="Calibri" w:hAnsi="Calibri"/>
      <w:sz w:val="18"/>
      <w:szCs w:val="18"/>
    </w:rPr>
  </w:style>
  <w:style w:type="paragraph" w:styleId="32">
    <w:name w:val="Body Text Indent 3"/>
    <w:basedOn w:val="1"/>
    <w:link w:val="132"/>
    <w:qFormat/>
    <w:uiPriority w:val="0"/>
    <w:pPr>
      <w:spacing w:after="120" w:line="240" w:lineRule="auto"/>
      <w:ind w:left="420" w:leftChars="200" w:firstLine="0" w:firstLineChars="0"/>
    </w:pPr>
    <w:rPr>
      <w:sz w:val="16"/>
      <w:szCs w:val="16"/>
    </w:rPr>
  </w:style>
  <w:style w:type="paragraph" w:styleId="33">
    <w:name w:val="toc 2"/>
    <w:basedOn w:val="1"/>
    <w:next w:val="1"/>
    <w:unhideWhenUsed/>
    <w:qFormat/>
    <w:uiPriority w:val="39"/>
    <w:pPr>
      <w:ind w:left="420" w:leftChars="200"/>
    </w:pPr>
  </w:style>
  <w:style w:type="paragraph" w:styleId="34">
    <w:name w:val="toc 9"/>
    <w:basedOn w:val="1"/>
    <w:next w:val="1"/>
    <w:qFormat/>
    <w:uiPriority w:val="39"/>
    <w:pPr>
      <w:spacing w:line="240" w:lineRule="auto"/>
      <w:ind w:left="1680" w:firstLine="0" w:firstLineChars="0"/>
      <w:jc w:val="left"/>
    </w:pPr>
    <w:rPr>
      <w:rFonts w:ascii="Calibri" w:hAnsi="Calibri"/>
      <w:sz w:val="18"/>
      <w:szCs w:val="18"/>
    </w:rPr>
  </w:style>
  <w:style w:type="paragraph" w:styleId="35">
    <w:name w:val="Body Text 2"/>
    <w:basedOn w:val="1"/>
    <w:link w:val="125"/>
    <w:semiHidden/>
    <w:qFormat/>
    <w:uiPriority w:val="0"/>
    <w:pPr>
      <w:spacing w:after="120" w:line="480" w:lineRule="auto"/>
      <w:ind w:firstLine="0" w:firstLineChars="0"/>
    </w:pPr>
    <w:rPr>
      <w:sz w:val="21"/>
      <w:szCs w:val="24"/>
    </w:rPr>
  </w:style>
  <w:style w:type="paragraph" w:styleId="36">
    <w:name w:val="HTML Preformatted"/>
    <w:basedOn w:val="1"/>
    <w:link w:val="1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Arial" w:hAnsi="Arial" w:cs="Arial"/>
      <w:kern w:val="0"/>
      <w:szCs w:val="24"/>
    </w:rPr>
  </w:style>
  <w:style w:type="paragraph" w:styleId="37">
    <w:name w:val="Normal (Web)"/>
    <w:basedOn w:val="1"/>
    <w:qFormat/>
    <w:uiPriority w:val="99"/>
    <w:pPr>
      <w:widowControl/>
      <w:spacing w:before="100" w:beforeAutospacing="1" w:after="100" w:afterAutospacing="1" w:line="240" w:lineRule="auto"/>
      <w:ind w:firstLine="0" w:firstLineChars="0"/>
      <w:jc w:val="left"/>
    </w:pPr>
    <w:rPr>
      <w:rFonts w:ascii="宋体" w:hAnsi="宋体" w:cs="宋体"/>
      <w:color w:val="000000"/>
      <w:kern w:val="0"/>
      <w:szCs w:val="24"/>
    </w:rPr>
  </w:style>
  <w:style w:type="paragraph" w:styleId="38">
    <w:name w:val="Title"/>
    <w:basedOn w:val="1"/>
    <w:next w:val="1"/>
    <w:link w:val="215"/>
    <w:qFormat/>
    <w:uiPriority w:val="0"/>
    <w:pPr>
      <w:spacing w:before="240" w:after="60" w:line="240" w:lineRule="auto"/>
      <w:ind w:firstLine="0" w:firstLineChars="0"/>
      <w:jc w:val="center"/>
      <w:outlineLvl w:val="0"/>
    </w:pPr>
    <w:rPr>
      <w:rFonts w:ascii="Cambria" w:hAnsi="Cambria"/>
      <w:b/>
      <w:bCs/>
      <w:sz w:val="32"/>
      <w:szCs w:val="32"/>
    </w:rPr>
  </w:style>
  <w:style w:type="paragraph" w:styleId="39">
    <w:name w:val="annotation subject"/>
    <w:basedOn w:val="14"/>
    <w:next w:val="14"/>
    <w:link w:val="67"/>
    <w:unhideWhenUsed/>
    <w:qFormat/>
    <w:uiPriority w:val="0"/>
    <w:rPr>
      <w:b/>
      <w:bCs/>
    </w:rPr>
  </w:style>
  <w:style w:type="paragraph" w:styleId="40">
    <w:name w:val="Body Text First Indent"/>
    <w:basedOn w:val="15"/>
    <w:link w:val="78"/>
    <w:qFormat/>
    <w:uiPriority w:val="0"/>
    <w:pPr>
      <w:autoSpaceDE/>
      <w:autoSpaceDN/>
      <w:adjustRightInd/>
      <w:spacing w:before="0" w:after="120"/>
      <w:ind w:left="0" w:firstLine="420" w:firstLineChars="100"/>
      <w:jc w:val="both"/>
    </w:pPr>
    <w:rPr>
      <w:rFonts w:hint="default" w:ascii="Times New Roman" w:hAnsi="Times New Roman"/>
      <w:kern w:val="2"/>
      <w:sz w:val="21"/>
    </w:rPr>
  </w:style>
  <w:style w:type="table" w:styleId="42">
    <w:name w:val="Table Grid"/>
    <w:basedOn w:val="4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3">
    <w:name w:val="Table Theme"/>
    <w:basedOn w:val="41"/>
    <w:qFormat/>
    <w:uiPriority w:val="0"/>
    <w:pPr>
      <w:widowControl w:val="0"/>
    </w:pPr>
    <w:rPr>
      <w:rFonts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22"/>
    <w:rPr>
      <w:b/>
      <w:bCs/>
    </w:rPr>
  </w:style>
  <w:style w:type="character" w:styleId="46">
    <w:name w:val="page number"/>
    <w:basedOn w:val="44"/>
    <w:qFormat/>
    <w:uiPriority w:val="0"/>
  </w:style>
  <w:style w:type="character" w:styleId="47">
    <w:name w:val="FollowedHyperlink"/>
    <w:qFormat/>
    <w:uiPriority w:val="0"/>
    <w:rPr>
      <w:color w:val="800080"/>
      <w:u w:val="single"/>
    </w:rPr>
  </w:style>
  <w:style w:type="character" w:styleId="48">
    <w:name w:val="Emphasis"/>
    <w:qFormat/>
    <w:uiPriority w:val="20"/>
    <w:rPr>
      <w:i/>
      <w:iCs/>
    </w:rPr>
  </w:style>
  <w:style w:type="character" w:styleId="49">
    <w:name w:val="Hyperlink"/>
    <w:basedOn w:val="44"/>
    <w:unhideWhenUsed/>
    <w:qFormat/>
    <w:uiPriority w:val="99"/>
    <w:rPr>
      <w:color w:val="0000FF" w:themeColor="hyperlink"/>
      <w:u w:val="single"/>
    </w:rPr>
  </w:style>
  <w:style w:type="character" w:styleId="50">
    <w:name w:val="annotation reference"/>
    <w:basedOn w:val="44"/>
    <w:unhideWhenUsed/>
    <w:qFormat/>
    <w:uiPriority w:val="0"/>
    <w:rPr>
      <w:sz w:val="21"/>
      <w:szCs w:val="21"/>
    </w:rPr>
  </w:style>
  <w:style w:type="character" w:customStyle="1" w:styleId="51">
    <w:name w:val="标题 1 Char"/>
    <w:basedOn w:val="44"/>
    <w:link w:val="2"/>
    <w:qFormat/>
    <w:uiPriority w:val="0"/>
    <w:rPr>
      <w:rFonts w:cs="Times New Roman"/>
      <w:b/>
      <w:bCs/>
      <w:kern w:val="44"/>
      <w:sz w:val="32"/>
      <w:szCs w:val="44"/>
    </w:rPr>
  </w:style>
  <w:style w:type="character" w:customStyle="1" w:styleId="52">
    <w:name w:val="标题 2 Char"/>
    <w:basedOn w:val="44"/>
    <w:link w:val="3"/>
    <w:qFormat/>
    <w:uiPriority w:val="0"/>
    <w:rPr>
      <w:rFonts w:cstheme="majorBidi"/>
      <w:b/>
      <w:bCs/>
      <w:sz w:val="28"/>
      <w:szCs w:val="32"/>
    </w:rPr>
  </w:style>
  <w:style w:type="character" w:customStyle="1" w:styleId="53">
    <w:name w:val="标题 3 Char"/>
    <w:basedOn w:val="44"/>
    <w:link w:val="4"/>
    <w:qFormat/>
    <w:uiPriority w:val="9"/>
    <w:rPr>
      <w:b/>
      <w:bCs/>
      <w:szCs w:val="32"/>
    </w:rPr>
  </w:style>
  <w:style w:type="character" w:customStyle="1" w:styleId="54">
    <w:name w:val="标题 4 Char"/>
    <w:basedOn w:val="44"/>
    <w:link w:val="5"/>
    <w:qFormat/>
    <w:uiPriority w:val="0"/>
    <w:rPr>
      <w:rFonts w:cs="Times New Roman"/>
      <w:b/>
      <w:bCs/>
      <w:sz w:val="28"/>
      <w:szCs w:val="28"/>
    </w:rPr>
  </w:style>
  <w:style w:type="character" w:customStyle="1" w:styleId="55">
    <w:name w:val="页眉 Char"/>
    <w:basedOn w:val="44"/>
    <w:link w:val="27"/>
    <w:uiPriority w:val="0"/>
    <w:rPr>
      <w:rFonts w:cs="Times New Roman"/>
      <w:sz w:val="18"/>
      <w:szCs w:val="18"/>
    </w:rPr>
  </w:style>
  <w:style w:type="character" w:customStyle="1" w:styleId="56">
    <w:name w:val="页脚 Char"/>
    <w:basedOn w:val="44"/>
    <w:link w:val="26"/>
    <w:uiPriority w:val="99"/>
    <w:rPr>
      <w:rFonts w:cs="Times New Roman"/>
      <w:sz w:val="18"/>
      <w:szCs w:val="18"/>
    </w:rPr>
  </w:style>
  <w:style w:type="paragraph" w:customStyle="1" w:styleId="57">
    <w:name w:val="Char Char Char Char Char Char Char Char Char Char Char1 Char"/>
    <w:basedOn w:val="1"/>
    <w:qFormat/>
    <w:uiPriority w:val="0"/>
    <w:pPr>
      <w:widowControl/>
      <w:spacing w:line="240" w:lineRule="auto"/>
      <w:ind w:firstLine="0" w:firstLineChars="0"/>
      <w:jc w:val="left"/>
    </w:pPr>
    <w:rPr>
      <w:kern w:val="0"/>
      <w:szCs w:val="20"/>
    </w:rPr>
  </w:style>
  <w:style w:type="paragraph" w:customStyle="1" w:styleId="58">
    <w:name w:val="Char Char Char Char Char Char Char Char Char Char Char1 Char1"/>
    <w:basedOn w:val="1"/>
    <w:qFormat/>
    <w:uiPriority w:val="0"/>
    <w:pPr>
      <w:widowControl/>
      <w:spacing w:line="240" w:lineRule="auto"/>
      <w:ind w:firstLine="0" w:firstLineChars="0"/>
      <w:jc w:val="left"/>
    </w:pPr>
    <w:rPr>
      <w:kern w:val="0"/>
      <w:szCs w:val="20"/>
    </w:rPr>
  </w:style>
  <w:style w:type="paragraph" w:customStyle="1" w:styleId="59">
    <w:name w:val="Char Char Char Char Char Char Char Char Char Char Char1 Char2"/>
    <w:basedOn w:val="1"/>
    <w:qFormat/>
    <w:uiPriority w:val="0"/>
    <w:pPr>
      <w:widowControl/>
      <w:spacing w:line="240" w:lineRule="auto"/>
      <w:ind w:firstLine="0" w:firstLineChars="0"/>
      <w:jc w:val="left"/>
    </w:pPr>
    <w:rPr>
      <w:kern w:val="0"/>
      <w:szCs w:val="20"/>
    </w:rPr>
  </w:style>
  <w:style w:type="character" w:customStyle="1" w:styleId="60">
    <w:name w:val="批注框文本 Char"/>
    <w:basedOn w:val="44"/>
    <w:link w:val="25"/>
    <w:semiHidden/>
    <w:qFormat/>
    <w:uiPriority w:val="99"/>
    <w:rPr>
      <w:rFonts w:cs="Times New Roman"/>
      <w:sz w:val="18"/>
      <w:szCs w:val="18"/>
    </w:rPr>
  </w:style>
  <w:style w:type="paragraph" w:customStyle="1" w:styleId="61">
    <w:name w:val="Char Char Char Char Char Char Char Char Char Char Char1 Char3"/>
    <w:basedOn w:val="1"/>
    <w:qFormat/>
    <w:uiPriority w:val="0"/>
    <w:pPr>
      <w:widowControl/>
      <w:spacing w:line="240" w:lineRule="auto"/>
      <w:ind w:firstLine="0" w:firstLineChars="0"/>
      <w:jc w:val="left"/>
    </w:pPr>
    <w:rPr>
      <w:kern w:val="0"/>
      <w:szCs w:val="20"/>
    </w:rPr>
  </w:style>
  <w:style w:type="paragraph" w:customStyle="1" w:styleId="62">
    <w:name w:val="Char Char Char Char Char Char Char Char Char Char Char1 Char4"/>
    <w:basedOn w:val="1"/>
    <w:qFormat/>
    <w:uiPriority w:val="0"/>
    <w:pPr>
      <w:widowControl/>
      <w:spacing w:line="240" w:lineRule="auto"/>
      <w:ind w:firstLine="0" w:firstLineChars="0"/>
      <w:jc w:val="left"/>
    </w:pPr>
    <w:rPr>
      <w:kern w:val="0"/>
      <w:szCs w:val="20"/>
    </w:rPr>
  </w:style>
  <w:style w:type="paragraph" w:customStyle="1" w:styleId="63">
    <w:name w:val="Char Char Char Char Char Char Char Char Char Char Char1 Char5"/>
    <w:basedOn w:val="1"/>
    <w:qFormat/>
    <w:uiPriority w:val="0"/>
    <w:pPr>
      <w:widowControl/>
      <w:spacing w:line="240" w:lineRule="auto"/>
      <w:ind w:firstLine="0" w:firstLineChars="0"/>
      <w:jc w:val="left"/>
    </w:pPr>
    <w:rPr>
      <w:kern w:val="0"/>
      <w:szCs w:val="20"/>
    </w:rPr>
  </w:style>
  <w:style w:type="paragraph" w:customStyle="1" w:styleId="64">
    <w:name w:val="Char Char Char Char Char Char Char Char Char Char Char1 Char6"/>
    <w:basedOn w:val="1"/>
    <w:qFormat/>
    <w:uiPriority w:val="0"/>
    <w:pPr>
      <w:widowControl/>
      <w:spacing w:line="240" w:lineRule="auto"/>
      <w:ind w:firstLine="0" w:firstLineChars="0"/>
      <w:jc w:val="left"/>
    </w:pPr>
    <w:rPr>
      <w:kern w:val="0"/>
      <w:szCs w:val="20"/>
    </w:rPr>
  </w:style>
  <w:style w:type="character" w:styleId="65">
    <w:name w:val="Placeholder Text"/>
    <w:basedOn w:val="44"/>
    <w:semiHidden/>
    <w:qFormat/>
    <w:uiPriority w:val="99"/>
    <w:rPr>
      <w:color w:val="808080"/>
    </w:rPr>
  </w:style>
  <w:style w:type="character" w:customStyle="1" w:styleId="66">
    <w:name w:val="批注文字 Char"/>
    <w:basedOn w:val="44"/>
    <w:link w:val="14"/>
    <w:qFormat/>
    <w:uiPriority w:val="0"/>
    <w:rPr>
      <w:rFonts w:cs="Times New Roman"/>
    </w:rPr>
  </w:style>
  <w:style w:type="character" w:customStyle="1" w:styleId="67">
    <w:name w:val="批注主题 Char"/>
    <w:basedOn w:val="66"/>
    <w:link w:val="39"/>
    <w:qFormat/>
    <w:uiPriority w:val="0"/>
    <w:rPr>
      <w:rFonts w:cs="Times New Roman"/>
      <w:b/>
      <w:bCs/>
    </w:rPr>
  </w:style>
  <w:style w:type="paragraph" w:customStyle="1" w:styleId="68">
    <w:name w:val="Char Char Char Char Char Char Char Char Char Char Char1 Char7"/>
    <w:basedOn w:val="1"/>
    <w:qFormat/>
    <w:uiPriority w:val="0"/>
    <w:pPr>
      <w:widowControl/>
      <w:spacing w:line="240" w:lineRule="auto"/>
      <w:ind w:firstLine="0" w:firstLineChars="0"/>
      <w:jc w:val="left"/>
    </w:pPr>
    <w:rPr>
      <w:kern w:val="0"/>
      <w:szCs w:val="20"/>
    </w:rPr>
  </w:style>
  <w:style w:type="paragraph" w:customStyle="1" w:styleId="69">
    <w:name w:val="Char Char Char Char Char Char Char Char Char Char Char1 Char8"/>
    <w:basedOn w:val="1"/>
    <w:qFormat/>
    <w:uiPriority w:val="0"/>
    <w:pPr>
      <w:widowControl/>
      <w:spacing w:line="240" w:lineRule="auto"/>
      <w:ind w:firstLine="0" w:firstLineChars="0"/>
      <w:jc w:val="left"/>
    </w:pPr>
    <w:rPr>
      <w:kern w:val="0"/>
      <w:szCs w:val="20"/>
    </w:rPr>
  </w:style>
  <w:style w:type="character" w:customStyle="1" w:styleId="70">
    <w:name w:val="正文文本 Char"/>
    <w:basedOn w:val="44"/>
    <w:link w:val="15"/>
    <w:qFormat/>
    <w:uiPriority w:val="99"/>
    <w:rPr>
      <w:rFonts w:ascii="宋体" w:hAnsi="宋体" w:cs="Times New Roman"/>
      <w:kern w:val="0"/>
      <w:sz w:val="28"/>
      <w:szCs w:val="24"/>
    </w:rPr>
  </w:style>
  <w:style w:type="paragraph" w:customStyle="1" w:styleId="71">
    <w:name w:val="Table Paragraph"/>
    <w:basedOn w:val="1"/>
    <w:unhideWhenUsed/>
    <w:qFormat/>
    <w:uiPriority w:val="1"/>
    <w:pPr>
      <w:autoSpaceDE w:val="0"/>
      <w:autoSpaceDN w:val="0"/>
      <w:adjustRightInd w:val="0"/>
      <w:spacing w:line="240" w:lineRule="auto"/>
      <w:ind w:firstLine="0" w:firstLineChars="0"/>
      <w:jc w:val="left"/>
    </w:pPr>
    <w:rPr>
      <w:kern w:val="0"/>
      <w:szCs w:val="24"/>
    </w:rPr>
  </w:style>
  <w:style w:type="paragraph" w:customStyle="1" w:styleId="72">
    <w:name w:val="xl31"/>
    <w:basedOn w:val="1"/>
    <w:qFormat/>
    <w:uiPriority w:val="0"/>
    <w:pPr>
      <w:widowControl/>
      <w:pBdr>
        <w:bottom w:val="double" w:color="auto" w:sz="6" w:space="0"/>
        <w:right w:val="single" w:color="auto" w:sz="4" w:space="0"/>
      </w:pBdr>
      <w:spacing w:before="100" w:beforeAutospacing="1" w:after="100" w:afterAutospacing="1"/>
      <w:jc w:val="center"/>
      <w:textAlignment w:val="center"/>
    </w:pPr>
    <w:rPr>
      <w:rFonts w:ascii="宋体" w:hAnsi="宋体" w:eastAsia="Arial Unicode MS" w:cs="宋体"/>
      <w:kern w:val="0"/>
      <w:szCs w:val="24"/>
    </w:rPr>
  </w:style>
  <w:style w:type="character" w:customStyle="1" w:styleId="73">
    <w:name w:val="标准正文 Char"/>
    <w:link w:val="74"/>
    <w:qFormat/>
    <w:uiPriority w:val="0"/>
    <w:rPr>
      <w:rFonts w:hAnsi="宋体"/>
      <w:szCs w:val="24"/>
    </w:rPr>
  </w:style>
  <w:style w:type="paragraph" w:customStyle="1" w:styleId="74">
    <w:name w:val="标准正文"/>
    <w:basedOn w:val="1"/>
    <w:link w:val="73"/>
    <w:qFormat/>
    <w:uiPriority w:val="0"/>
    <w:pPr>
      <w:ind w:firstLine="480"/>
    </w:pPr>
    <w:rPr>
      <w:rFonts w:hAnsi="宋体" w:cstheme="minorBidi"/>
      <w:szCs w:val="24"/>
    </w:rPr>
  </w:style>
  <w:style w:type="paragraph" w:customStyle="1" w:styleId="75">
    <w:name w:val="Default"/>
    <w:qFormat/>
    <w:uiPriority w:val="0"/>
    <w:pPr>
      <w:widowControl w:val="0"/>
      <w:autoSpaceDE w:val="0"/>
      <w:autoSpaceDN w:val="0"/>
      <w:adjustRightInd w:val="0"/>
      <w:jc w:val="left"/>
    </w:pPr>
    <w:rPr>
      <w:rFonts w:ascii="Times New Roman" w:hAnsi="Times New Roman" w:eastAsia="宋体" w:cs="Times New Roman"/>
      <w:color w:val="000000"/>
      <w:kern w:val="0"/>
      <w:sz w:val="24"/>
      <w:szCs w:val="24"/>
      <w:lang w:val="en-US" w:eastAsia="zh-CN" w:bidi="ar-SA"/>
    </w:rPr>
  </w:style>
  <w:style w:type="character" w:customStyle="1" w:styleId="76">
    <w:name w:val="纯文本 Char1"/>
    <w:link w:val="21"/>
    <w:qFormat/>
    <w:uiPriority w:val="0"/>
    <w:rPr>
      <w:rFonts w:ascii="Courier New" w:hAnsi="Courier New"/>
      <w:sz w:val="21"/>
    </w:rPr>
  </w:style>
  <w:style w:type="character" w:customStyle="1" w:styleId="77">
    <w:name w:val="纯文本 Char"/>
    <w:basedOn w:val="44"/>
    <w:link w:val="21"/>
    <w:qFormat/>
    <w:uiPriority w:val="0"/>
    <w:rPr>
      <w:rFonts w:ascii="宋体" w:hAnsi="Courier New" w:cs="Courier New"/>
      <w:sz w:val="21"/>
      <w:szCs w:val="21"/>
    </w:rPr>
  </w:style>
  <w:style w:type="character" w:customStyle="1" w:styleId="78">
    <w:name w:val="正文首行缩进 Char"/>
    <w:basedOn w:val="70"/>
    <w:link w:val="40"/>
    <w:uiPriority w:val="0"/>
    <w:rPr>
      <w:sz w:val="21"/>
    </w:rPr>
  </w:style>
  <w:style w:type="paragraph" w:customStyle="1" w:styleId="79">
    <w:name w:val="样式正文无级"/>
    <w:basedOn w:val="1"/>
    <w:qFormat/>
    <w:uiPriority w:val="0"/>
    <w:pPr>
      <w:ind w:firstLine="480"/>
    </w:pPr>
    <w:rPr>
      <w:kern w:val="0"/>
      <w:szCs w:val="24"/>
    </w:rPr>
  </w:style>
  <w:style w:type="character" w:customStyle="1" w:styleId="80">
    <w:name w:val="标题 5 Char"/>
    <w:basedOn w:val="44"/>
    <w:link w:val="6"/>
    <w:qFormat/>
    <w:uiPriority w:val="0"/>
    <w:rPr>
      <w:rFonts w:cs="Times New Roman"/>
      <w:b/>
      <w:bCs/>
      <w:sz w:val="28"/>
      <w:szCs w:val="28"/>
    </w:rPr>
  </w:style>
  <w:style w:type="character" w:customStyle="1" w:styleId="81">
    <w:name w:val="标题 7 Char"/>
    <w:basedOn w:val="44"/>
    <w:link w:val="7"/>
    <w:qFormat/>
    <w:uiPriority w:val="0"/>
    <w:rPr>
      <w:rFonts w:cs="Times New Roman"/>
      <w:b/>
      <w:bCs/>
      <w:szCs w:val="24"/>
    </w:rPr>
  </w:style>
  <w:style w:type="character" w:customStyle="1" w:styleId="82">
    <w:name w:val="text_edit editable-title"/>
    <w:basedOn w:val="44"/>
    <w:uiPriority w:val="0"/>
  </w:style>
  <w:style w:type="character" w:customStyle="1" w:styleId="83">
    <w:name w:val="123YJ Char Char"/>
    <w:qFormat/>
    <w:uiPriority w:val="0"/>
    <w:rPr>
      <w:kern w:val="2"/>
      <w:sz w:val="18"/>
      <w:szCs w:val="18"/>
    </w:rPr>
  </w:style>
  <w:style w:type="character" w:customStyle="1" w:styleId="84">
    <w:name w:val="项目 Char1"/>
    <w:qFormat/>
    <w:uiPriority w:val="0"/>
    <w:rPr>
      <w:rFonts w:ascii="Arial" w:hAnsi="Arial" w:eastAsia="黑体"/>
      <w:b/>
      <w:bCs/>
      <w:kern w:val="2"/>
      <w:sz w:val="32"/>
      <w:szCs w:val="32"/>
      <w:lang w:val="en-US" w:eastAsia="zh-CN" w:bidi="ar-SA"/>
    </w:rPr>
  </w:style>
  <w:style w:type="character" w:customStyle="1" w:styleId="85">
    <w:name w:val="zzsy051"/>
    <w:qFormat/>
    <w:uiPriority w:val="0"/>
    <w:rPr>
      <w:rFonts w:hint="eastAsia" w:ascii="宋体" w:hAnsi="宋体" w:eastAsia="宋体"/>
      <w:b/>
      <w:bCs/>
      <w:color w:val="FF0000"/>
      <w:sz w:val="24"/>
      <w:szCs w:val="24"/>
    </w:rPr>
  </w:style>
  <w:style w:type="character" w:customStyle="1" w:styleId="86">
    <w:name w:val="keyword"/>
    <w:basedOn w:val="44"/>
    <w:qFormat/>
    <w:uiPriority w:val="0"/>
  </w:style>
  <w:style w:type="character" w:customStyle="1" w:styleId="87">
    <w:name w:val="标题 3 Char4"/>
    <w:qFormat/>
    <w:uiPriority w:val="0"/>
    <w:rPr>
      <w:rFonts w:eastAsia="宋体"/>
      <w:b/>
      <w:bCs/>
      <w:kern w:val="2"/>
      <w:sz w:val="32"/>
      <w:szCs w:val="32"/>
      <w:lang w:val="en-US" w:eastAsia="zh-CN" w:bidi="ar-SA"/>
    </w:rPr>
  </w:style>
  <w:style w:type="character" w:customStyle="1" w:styleId="88">
    <w:name w:val="四级标题 Char"/>
    <w:link w:val="89"/>
    <w:qFormat/>
    <w:uiPriority w:val="0"/>
    <w:rPr>
      <w:rFonts w:hAnsi="Arial" w:eastAsia="黑体" w:cs="Arial"/>
      <w:bCs/>
    </w:rPr>
  </w:style>
  <w:style w:type="paragraph" w:customStyle="1" w:styleId="89">
    <w:name w:val="四级标题"/>
    <w:basedOn w:val="5"/>
    <w:link w:val="88"/>
    <w:qFormat/>
    <w:uiPriority w:val="0"/>
    <w:pPr>
      <w:spacing w:before="120" w:after="120"/>
    </w:pPr>
    <w:rPr>
      <w:rFonts w:hAnsi="Arial" w:eastAsia="黑体" w:cs="Arial"/>
      <w:b w:val="0"/>
      <w:sz w:val="24"/>
      <w:szCs w:val="22"/>
    </w:rPr>
  </w:style>
  <w:style w:type="character" w:customStyle="1" w:styleId="90">
    <w:name w:val="标题 2 Char1"/>
    <w:qFormat/>
    <w:uiPriority w:val="0"/>
    <w:rPr>
      <w:rFonts w:ascii="Arial" w:hAnsi="Arial" w:eastAsia="黑体"/>
      <w:b/>
      <w:bCs/>
      <w:kern w:val="2"/>
      <w:sz w:val="32"/>
      <w:szCs w:val="32"/>
      <w:lang w:val="en-US" w:eastAsia="zh-CN" w:bidi="ar-SA"/>
    </w:rPr>
  </w:style>
  <w:style w:type="character" w:customStyle="1" w:styleId="91">
    <w:name w:val="sample1"/>
    <w:qFormat/>
    <w:uiPriority w:val="0"/>
    <w:rPr>
      <w:sz w:val="20"/>
      <w:szCs w:val="20"/>
    </w:rPr>
  </w:style>
  <w:style w:type="character" w:customStyle="1" w:styleId="92">
    <w:name w:val="Char Char3"/>
    <w:qFormat/>
    <w:uiPriority w:val="0"/>
    <w:rPr>
      <w:rFonts w:eastAsia="宋体"/>
      <w:b/>
      <w:bCs/>
      <w:kern w:val="2"/>
      <w:sz w:val="32"/>
      <w:szCs w:val="32"/>
      <w:lang w:val="en-US" w:eastAsia="zh-CN" w:bidi="ar-SA"/>
    </w:rPr>
  </w:style>
  <w:style w:type="character" w:customStyle="1" w:styleId="93">
    <w:name w:val="正文缩进 Char2"/>
    <w:link w:val="11"/>
    <w:qFormat/>
    <w:uiPriority w:val="0"/>
    <w:rPr>
      <w:sz w:val="21"/>
    </w:rPr>
  </w:style>
  <w:style w:type="character" w:customStyle="1" w:styleId="94">
    <w:name w:val="headline-content"/>
    <w:basedOn w:val="44"/>
    <w:qFormat/>
    <w:uiPriority w:val="0"/>
  </w:style>
  <w:style w:type="character" w:customStyle="1" w:styleId="95">
    <w:name w:val="apple-converted-space"/>
    <w:basedOn w:val="44"/>
    <w:qFormat/>
    <w:uiPriority w:val="0"/>
  </w:style>
  <w:style w:type="character" w:customStyle="1" w:styleId="96">
    <w:name w:val="表格文字1 Char"/>
    <w:link w:val="97"/>
    <w:qFormat/>
    <w:uiPriority w:val="0"/>
    <w:rPr>
      <w:rFonts w:ascii="宋体" w:hAnsi="宋体"/>
      <w:sz w:val="21"/>
      <w:szCs w:val="21"/>
    </w:rPr>
  </w:style>
  <w:style w:type="paragraph" w:customStyle="1" w:styleId="97">
    <w:name w:val="表格文字1"/>
    <w:basedOn w:val="1"/>
    <w:link w:val="96"/>
    <w:qFormat/>
    <w:uiPriority w:val="0"/>
    <w:pPr>
      <w:adjustRightInd w:val="0"/>
      <w:snapToGrid w:val="0"/>
      <w:spacing w:line="240" w:lineRule="auto"/>
      <w:ind w:firstLine="0" w:firstLineChars="0"/>
      <w:jc w:val="center"/>
    </w:pPr>
    <w:rPr>
      <w:rFonts w:ascii="宋体" w:hAnsi="宋体" w:cstheme="minorBidi"/>
      <w:sz w:val="21"/>
      <w:szCs w:val="21"/>
    </w:rPr>
  </w:style>
  <w:style w:type="character" w:customStyle="1" w:styleId="98">
    <w:name w:val="表格标题 Char"/>
    <w:link w:val="99"/>
    <w:qFormat/>
    <w:uiPriority w:val="0"/>
    <w:rPr>
      <w:rFonts w:hAnsi="宋体"/>
      <w:b/>
      <w:sz w:val="22"/>
      <w:szCs w:val="21"/>
    </w:rPr>
  </w:style>
  <w:style w:type="paragraph" w:customStyle="1" w:styleId="99">
    <w:name w:val="表格标题"/>
    <w:basedOn w:val="1"/>
    <w:link w:val="98"/>
    <w:qFormat/>
    <w:uiPriority w:val="0"/>
    <w:pPr>
      <w:adjustRightInd w:val="0"/>
      <w:snapToGrid w:val="0"/>
      <w:ind w:firstLine="0" w:firstLineChars="0"/>
      <w:jc w:val="center"/>
    </w:pPr>
    <w:rPr>
      <w:rFonts w:hAnsi="宋体" w:cstheme="minorBidi"/>
      <w:b/>
      <w:sz w:val="22"/>
      <w:szCs w:val="21"/>
    </w:rPr>
  </w:style>
  <w:style w:type="character" w:customStyle="1" w:styleId="100">
    <w:name w:val="表格 Char"/>
    <w:qFormat/>
    <w:uiPriority w:val="0"/>
    <w:rPr>
      <w:rFonts w:eastAsia="FangSong_GB2312"/>
      <w:snapToGrid w:val="0"/>
      <w:sz w:val="24"/>
      <w:lang w:val="en-US" w:eastAsia="zh-CN" w:bidi="ar-SA"/>
    </w:rPr>
  </w:style>
  <w:style w:type="character" w:customStyle="1" w:styleId="101">
    <w:name w:val="标题 3 Char1"/>
    <w:qFormat/>
    <w:uiPriority w:val="0"/>
    <w:rPr>
      <w:rFonts w:ascii="Arial" w:hAnsi="Arial" w:eastAsia="黑体"/>
      <w:kern w:val="20"/>
      <w:sz w:val="24"/>
      <w:lang w:val="en-US" w:eastAsia="zh-CN" w:bidi="ar-SA"/>
    </w:rPr>
  </w:style>
  <w:style w:type="character" w:customStyle="1" w:styleId="102">
    <w:name w:val="apple-style-span"/>
    <w:basedOn w:val="44"/>
    <w:qFormat/>
    <w:uiPriority w:val="0"/>
  </w:style>
  <w:style w:type="character" w:customStyle="1" w:styleId="103">
    <w:name w:val="Char Char7"/>
    <w:qFormat/>
    <w:uiPriority w:val="0"/>
    <w:rPr>
      <w:rFonts w:eastAsia="宋体"/>
      <w:kern w:val="2"/>
      <w:sz w:val="21"/>
      <w:szCs w:val="24"/>
      <w:lang w:val="en-US" w:eastAsia="zh-CN" w:bidi="ar-SA"/>
    </w:rPr>
  </w:style>
  <w:style w:type="character" w:customStyle="1" w:styleId="104">
    <w:name w:val="headline-content2"/>
    <w:basedOn w:val="44"/>
    <w:qFormat/>
    <w:uiPriority w:val="0"/>
  </w:style>
  <w:style w:type="character" w:customStyle="1" w:styleId="105">
    <w:name w:val="头 Char1"/>
    <w:qFormat/>
    <w:uiPriority w:val="0"/>
    <w:rPr>
      <w:rFonts w:eastAsia="宋体"/>
      <w:b/>
      <w:bCs/>
      <w:kern w:val="2"/>
      <w:sz w:val="32"/>
      <w:szCs w:val="32"/>
      <w:lang w:val="en-US" w:eastAsia="zh-CN" w:bidi="ar-SA"/>
    </w:rPr>
  </w:style>
  <w:style w:type="character" w:customStyle="1" w:styleId="106">
    <w:name w:val="正文文本缩进 2 Char"/>
    <w:link w:val="24"/>
    <w:qFormat/>
    <w:uiPriority w:val="0"/>
    <w:rPr>
      <w:sz w:val="21"/>
      <w:szCs w:val="24"/>
    </w:rPr>
  </w:style>
  <w:style w:type="character" w:customStyle="1" w:styleId="107">
    <w:name w:val="三级标题 Char"/>
    <w:link w:val="108"/>
    <w:qFormat/>
    <w:uiPriority w:val="0"/>
    <w:rPr>
      <w:rFonts w:eastAsia="黑体"/>
      <w:sz w:val="28"/>
      <w:szCs w:val="32"/>
    </w:rPr>
  </w:style>
  <w:style w:type="paragraph" w:customStyle="1" w:styleId="108">
    <w:name w:val="三级标题"/>
    <w:basedOn w:val="4"/>
    <w:link w:val="107"/>
    <w:qFormat/>
    <w:uiPriority w:val="0"/>
    <w:pPr>
      <w:spacing w:before="260" w:after="260"/>
    </w:pPr>
    <w:rPr>
      <w:rFonts w:eastAsia="黑体" w:cstheme="minorBidi"/>
      <w:b w:val="0"/>
      <w:bCs w:val="0"/>
      <w:sz w:val="28"/>
    </w:rPr>
  </w:style>
  <w:style w:type="character" w:customStyle="1" w:styleId="109">
    <w:name w:val="t_tag"/>
    <w:basedOn w:val="44"/>
    <w:qFormat/>
    <w:uiPriority w:val="0"/>
  </w:style>
  <w:style w:type="character" w:customStyle="1" w:styleId="110">
    <w:name w:val="标题 2 Char2"/>
    <w:qFormat/>
    <w:uiPriority w:val="0"/>
    <w:rPr>
      <w:rFonts w:ascii="Arial" w:hAnsi="Arial" w:eastAsia="黑体"/>
      <w:b/>
      <w:bCs/>
      <w:kern w:val="2"/>
      <w:sz w:val="32"/>
      <w:szCs w:val="32"/>
      <w:lang w:val="en-US" w:eastAsia="zh-CN" w:bidi="ar-SA"/>
    </w:rPr>
  </w:style>
  <w:style w:type="character" w:customStyle="1" w:styleId="111">
    <w:name w:val="二级标题 Char"/>
    <w:link w:val="112"/>
    <w:qFormat/>
    <w:uiPriority w:val="0"/>
    <w:rPr>
      <w:rFonts w:eastAsia="黑体"/>
      <w:bCs/>
      <w:sz w:val="28"/>
      <w:szCs w:val="28"/>
    </w:rPr>
  </w:style>
  <w:style w:type="paragraph" w:customStyle="1" w:styleId="112">
    <w:name w:val="二级标题"/>
    <w:basedOn w:val="3"/>
    <w:link w:val="111"/>
    <w:qFormat/>
    <w:uiPriority w:val="0"/>
    <w:pPr>
      <w:spacing w:before="260" w:after="260" w:line="416" w:lineRule="auto"/>
    </w:pPr>
    <w:rPr>
      <w:rFonts w:eastAsia="黑体" w:cstheme="minorBidi"/>
      <w:b w:val="0"/>
      <w:szCs w:val="28"/>
    </w:rPr>
  </w:style>
  <w:style w:type="character" w:customStyle="1" w:styleId="113">
    <w:name w:val="项目 Char"/>
    <w:qFormat/>
    <w:uiPriority w:val="0"/>
    <w:rPr>
      <w:rFonts w:ascii="Arial" w:hAnsi="Arial" w:eastAsia="黑体"/>
      <w:b/>
      <w:bCs/>
      <w:kern w:val="2"/>
      <w:sz w:val="32"/>
      <w:szCs w:val="32"/>
      <w:lang w:val="en-US" w:eastAsia="zh-CN" w:bidi="ar-SA"/>
    </w:rPr>
  </w:style>
  <w:style w:type="character" w:customStyle="1" w:styleId="114">
    <w:name w:val="段落 Char"/>
    <w:link w:val="115"/>
    <w:qFormat/>
    <w:uiPriority w:val="0"/>
    <w:rPr>
      <w:rFonts w:ascii="楷体_GB2312" w:hAnsi="楷体_GB2312" w:eastAsia="楷体_GB2312"/>
      <w:bCs/>
      <w:kern w:val="24"/>
      <w:sz w:val="28"/>
      <w:szCs w:val="28"/>
    </w:rPr>
  </w:style>
  <w:style w:type="paragraph" w:customStyle="1" w:styleId="115">
    <w:name w:val="段落"/>
    <w:basedOn w:val="1"/>
    <w:link w:val="114"/>
    <w:qFormat/>
    <w:uiPriority w:val="0"/>
    <w:pPr>
      <w:spacing w:line="320" w:lineRule="exact"/>
      <w:ind w:firstLine="0" w:firstLineChars="0"/>
      <w:jc w:val="center"/>
    </w:pPr>
    <w:rPr>
      <w:rFonts w:ascii="楷体_GB2312" w:hAnsi="楷体_GB2312" w:eastAsia="楷体_GB2312" w:cstheme="minorBidi"/>
      <w:bCs/>
      <w:kern w:val="24"/>
      <w:sz w:val="28"/>
      <w:szCs w:val="28"/>
    </w:rPr>
  </w:style>
  <w:style w:type="character" w:customStyle="1" w:styleId="116">
    <w:name w:val="正文文本缩进 Char"/>
    <w:link w:val="16"/>
    <w:qFormat/>
    <w:uiPriority w:val="0"/>
    <w:rPr>
      <w:rFonts w:ascii="Arial" w:hAnsi="Arial" w:eastAsia="楷体_GB2312"/>
      <w:snapToGrid w:val="0"/>
      <w:szCs w:val="24"/>
    </w:rPr>
  </w:style>
  <w:style w:type="character" w:customStyle="1" w:styleId="117">
    <w:name w:val="section_tool_right1"/>
    <w:basedOn w:val="44"/>
    <w:qFormat/>
    <w:uiPriority w:val="0"/>
  </w:style>
  <w:style w:type="character" w:customStyle="1" w:styleId="118">
    <w:name w:val="h31"/>
    <w:qFormat/>
    <w:uiPriority w:val="0"/>
    <w:rPr>
      <w:sz w:val="21"/>
      <w:szCs w:val="21"/>
    </w:rPr>
  </w:style>
  <w:style w:type="character" w:customStyle="1" w:styleId="119">
    <w:name w:val="正文文字缩进 2 Char Char"/>
    <w:qFormat/>
    <w:uiPriority w:val="0"/>
    <w:rPr>
      <w:rFonts w:eastAsia="宋体"/>
      <w:kern w:val="2"/>
      <w:sz w:val="21"/>
      <w:szCs w:val="24"/>
      <w:lang w:val="en-US" w:eastAsia="zh-CN" w:bidi="ar-SA"/>
    </w:rPr>
  </w:style>
  <w:style w:type="character" w:customStyle="1" w:styleId="120">
    <w:name w:val="arr1"/>
    <w:basedOn w:val="44"/>
    <w:qFormat/>
    <w:uiPriority w:val="0"/>
  </w:style>
  <w:style w:type="character" w:customStyle="1" w:styleId="121">
    <w:name w:val="t11"/>
    <w:qFormat/>
    <w:uiPriority w:val="0"/>
    <w:rPr>
      <w:b/>
      <w:bCs/>
      <w:sz w:val="24"/>
      <w:szCs w:val="24"/>
      <w:shd w:val="clear" w:color="auto" w:fill="FFFFFF"/>
    </w:rPr>
  </w:style>
  <w:style w:type="character" w:customStyle="1" w:styleId="122">
    <w:name w:val="普通文字 Char Char Char Char Char Char Char Char Char1"/>
    <w:qFormat/>
    <w:uiPriority w:val="0"/>
    <w:rPr>
      <w:rFonts w:ascii="宋体" w:hAnsi="Courier New" w:cs="Courier New"/>
      <w:kern w:val="2"/>
      <w:sz w:val="21"/>
      <w:szCs w:val="21"/>
    </w:rPr>
  </w:style>
  <w:style w:type="character" w:customStyle="1" w:styleId="123">
    <w:name w:val="日期 Char"/>
    <w:link w:val="23"/>
    <w:qFormat/>
    <w:uiPriority w:val="0"/>
    <w:rPr>
      <w:rFonts w:ascii="宋体"/>
      <w:sz w:val="28"/>
    </w:rPr>
  </w:style>
  <w:style w:type="character" w:customStyle="1" w:styleId="124">
    <w:name w:val="Char Char4"/>
    <w:qFormat/>
    <w:uiPriority w:val="0"/>
    <w:rPr>
      <w:rFonts w:ascii="Arial" w:hAnsi="Arial" w:eastAsia="黑体"/>
      <w:b/>
      <w:bCs/>
      <w:kern w:val="2"/>
      <w:sz w:val="32"/>
      <w:szCs w:val="32"/>
      <w:lang w:val="en-US" w:eastAsia="zh-CN" w:bidi="ar-SA"/>
    </w:rPr>
  </w:style>
  <w:style w:type="character" w:customStyle="1" w:styleId="125">
    <w:name w:val="正文文本 2 Char"/>
    <w:basedOn w:val="44"/>
    <w:link w:val="35"/>
    <w:semiHidden/>
    <w:qFormat/>
    <w:uiPriority w:val="0"/>
    <w:rPr>
      <w:rFonts w:cs="Times New Roman"/>
      <w:sz w:val="21"/>
      <w:szCs w:val="24"/>
    </w:rPr>
  </w:style>
  <w:style w:type="paragraph" w:customStyle="1" w:styleId="126">
    <w:name w:val="报告题名"/>
    <w:basedOn w:val="1"/>
    <w:qFormat/>
    <w:uiPriority w:val="0"/>
    <w:pPr>
      <w:adjustRightInd w:val="0"/>
      <w:snapToGrid w:val="0"/>
      <w:spacing w:beforeLines="150" w:afterLines="100" w:line="480" w:lineRule="auto"/>
      <w:ind w:firstLine="0" w:firstLineChars="0"/>
      <w:jc w:val="center"/>
      <w:outlineLvl w:val="0"/>
    </w:pPr>
    <w:rPr>
      <w:b/>
      <w:bCs/>
      <w:sz w:val="52"/>
      <w:szCs w:val="52"/>
    </w:rPr>
  </w:style>
  <w:style w:type="paragraph" w:customStyle="1" w:styleId="127">
    <w:name w:val="标题文字"/>
    <w:next w:val="1"/>
    <w:semiHidden/>
    <w:qFormat/>
    <w:uiPriority w:val="0"/>
    <w:pPr>
      <w:adjustRightInd w:val="0"/>
      <w:snapToGrid w:val="0"/>
      <w:spacing w:beforeLines="50" w:afterLines="50"/>
      <w:jc w:val="center"/>
    </w:pPr>
    <w:rPr>
      <w:rFonts w:ascii="Times New Roman" w:hAnsi="宋体" w:eastAsia="宋体" w:cs="Times New Roman"/>
      <w:b/>
      <w:kern w:val="0"/>
      <w:sz w:val="24"/>
      <w:szCs w:val="24"/>
      <w:lang w:val="en-US" w:eastAsia="zh-CN" w:bidi="ar-SA"/>
    </w:rPr>
  </w:style>
  <w:style w:type="character" w:customStyle="1" w:styleId="128">
    <w:name w:val="HTML 预设格式 Char"/>
    <w:basedOn w:val="44"/>
    <w:link w:val="36"/>
    <w:qFormat/>
    <w:uiPriority w:val="0"/>
    <w:rPr>
      <w:rFonts w:ascii="Arial" w:hAnsi="Arial" w:cs="Arial"/>
      <w:kern w:val="0"/>
      <w:szCs w:val="24"/>
    </w:rPr>
  </w:style>
  <w:style w:type="character" w:customStyle="1" w:styleId="129">
    <w:name w:val="副标题 Char"/>
    <w:basedOn w:val="44"/>
    <w:link w:val="30"/>
    <w:qFormat/>
    <w:uiPriority w:val="0"/>
    <w:rPr>
      <w:rFonts w:ascii="Cambria" w:hAnsi="Cambria" w:cs="Times New Roman"/>
      <w:b/>
      <w:bCs/>
      <w:kern w:val="28"/>
      <w:sz w:val="28"/>
      <w:szCs w:val="32"/>
    </w:rPr>
  </w:style>
  <w:style w:type="paragraph" w:customStyle="1" w:styleId="130">
    <w:name w:val="pic-info"/>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31">
    <w:name w:val="1"/>
    <w:basedOn w:val="1"/>
    <w:qFormat/>
    <w:uiPriority w:val="0"/>
    <w:pPr>
      <w:adjustRightInd w:val="0"/>
      <w:spacing w:line="360" w:lineRule="atLeast"/>
      <w:ind w:firstLine="0" w:firstLineChars="0"/>
      <w:jc w:val="left"/>
      <w:textAlignment w:val="baseline"/>
    </w:pPr>
    <w:rPr>
      <w:rFonts w:ascii="Tahoma" w:hAnsi="Tahoma"/>
      <w:kern w:val="0"/>
      <w:szCs w:val="20"/>
    </w:rPr>
  </w:style>
  <w:style w:type="character" w:customStyle="1" w:styleId="132">
    <w:name w:val="正文文本缩进 3 Char"/>
    <w:basedOn w:val="44"/>
    <w:link w:val="32"/>
    <w:qFormat/>
    <w:uiPriority w:val="0"/>
    <w:rPr>
      <w:rFonts w:cs="Times New Roman"/>
      <w:sz w:val="16"/>
      <w:szCs w:val="16"/>
    </w:rPr>
  </w:style>
  <w:style w:type="paragraph" w:customStyle="1" w:styleId="133">
    <w:name w:val="reader-word-layer reader-word-s1-34"/>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character" w:customStyle="1" w:styleId="134">
    <w:name w:val="日期 Char1"/>
    <w:basedOn w:val="44"/>
    <w:link w:val="23"/>
    <w:semiHidden/>
    <w:qFormat/>
    <w:uiPriority w:val="99"/>
    <w:rPr>
      <w:rFonts w:cs="Times New Roman"/>
    </w:rPr>
  </w:style>
  <w:style w:type="paragraph" w:customStyle="1" w:styleId="135">
    <w:name w:val="Char Char Char Char Char Char Char Char Char Char Char1 Char9"/>
    <w:basedOn w:val="1"/>
    <w:qFormat/>
    <w:uiPriority w:val="0"/>
    <w:pPr>
      <w:spacing w:line="240" w:lineRule="auto"/>
      <w:ind w:firstLine="0" w:firstLineChars="0"/>
    </w:pPr>
    <w:rPr>
      <w:szCs w:val="20"/>
    </w:rPr>
  </w:style>
  <w:style w:type="paragraph" w:customStyle="1" w:styleId="136">
    <w:name w:val="表格"/>
    <w:qFormat/>
    <w:uiPriority w:val="0"/>
    <w:pPr>
      <w:spacing w:line="380" w:lineRule="exact"/>
      <w:jc w:val="center"/>
    </w:pPr>
    <w:rPr>
      <w:rFonts w:ascii="宋体" w:hAnsi="宋体" w:eastAsia="宋体" w:cs="Times New Roman"/>
      <w:snapToGrid w:val="0"/>
      <w:kern w:val="0"/>
      <w:sz w:val="21"/>
      <w:szCs w:val="20"/>
      <w:lang w:val="en-US" w:eastAsia="zh-CN" w:bidi="ar-SA"/>
    </w:rPr>
  </w:style>
  <w:style w:type="paragraph" w:customStyle="1" w:styleId="137">
    <w:name w:val="正文首行缩进1"/>
    <w:qFormat/>
    <w:uiPriority w:val="0"/>
    <w:pPr>
      <w:widowControl w:val="0"/>
      <w:adjustRightInd w:val="0"/>
      <w:snapToGrid w:val="0"/>
      <w:spacing w:line="360" w:lineRule="auto"/>
      <w:ind w:firstLine="200" w:firstLineChars="200"/>
      <w:jc w:val="left"/>
    </w:pPr>
    <w:rPr>
      <w:rFonts w:ascii="Times New Roman" w:hAnsi="Times New Roman" w:eastAsia="宋体" w:cs="Times New Roman"/>
      <w:snapToGrid w:val="0"/>
      <w:kern w:val="28"/>
      <w:sz w:val="26"/>
      <w:szCs w:val="26"/>
      <w:lang w:val="en-US" w:eastAsia="zh-CN" w:bidi="ar-SA"/>
    </w:rPr>
  </w:style>
  <w:style w:type="paragraph" w:customStyle="1" w:styleId="138">
    <w:name w:val="xl25"/>
    <w:basedOn w:val="1"/>
    <w:qFormat/>
    <w:uiPriority w:val="0"/>
    <w:pPr>
      <w:widowControl/>
      <w:pBdr>
        <w:left w:val="single" w:color="auto" w:sz="12" w:space="0"/>
      </w:pBdr>
      <w:spacing w:before="100" w:beforeAutospacing="1" w:after="100" w:afterAutospacing="1" w:line="240" w:lineRule="auto"/>
      <w:ind w:firstLine="0" w:firstLineChars="0"/>
      <w:jc w:val="center"/>
    </w:pPr>
    <w:rPr>
      <w:rFonts w:ascii="宋体" w:hAnsi="宋体"/>
      <w:kern w:val="0"/>
      <w:szCs w:val="24"/>
    </w:rPr>
  </w:style>
  <w:style w:type="character" w:customStyle="1" w:styleId="139">
    <w:name w:val="文档结构图 Char"/>
    <w:basedOn w:val="44"/>
    <w:link w:val="13"/>
    <w:semiHidden/>
    <w:qFormat/>
    <w:uiPriority w:val="0"/>
    <w:rPr>
      <w:rFonts w:cs="Times New Roman"/>
      <w:sz w:val="21"/>
      <w:szCs w:val="24"/>
      <w:shd w:val="clear" w:color="auto" w:fill="000080"/>
    </w:rPr>
  </w:style>
  <w:style w:type="paragraph" w:customStyle="1" w:styleId="140">
    <w:name w:val="acee正文"/>
    <w:basedOn w:val="1"/>
    <w:qFormat/>
    <w:uiPriority w:val="0"/>
    <w:pPr>
      <w:spacing w:line="480" w:lineRule="exact"/>
      <w:ind w:firstLine="640"/>
    </w:pPr>
    <w:rPr>
      <w:rFonts w:ascii="FangSong_GB2312" w:hAnsi="宋体" w:eastAsia="FangSong_GB2312"/>
      <w:sz w:val="32"/>
      <w:szCs w:val="24"/>
    </w:rPr>
  </w:style>
  <w:style w:type="character" w:customStyle="1" w:styleId="141">
    <w:name w:val="正文文本缩进 2 Char1"/>
    <w:basedOn w:val="44"/>
    <w:link w:val="24"/>
    <w:semiHidden/>
    <w:qFormat/>
    <w:uiPriority w:val="99"/>
    <w:rPr>
      <w:rFonts w:cs="Times New Roman"/>
    </w:rPr>
  </w:style>
  <w:style w:type="character" w:customStyle="1" w:styleId="142">
    <w:name w:val="注释标题 Char"/>
    <w:basedOn w:val="44"/>
    <w:link w:val="10"/>
    <w:qFormat/>
    <w:uiPriority w:val="0"/>
    <w:rPr>
      <w:rFonts w:cs="Times New Roman"/>
      <w:szCs w:val="20"/>
    </w:rPr>
  </w:style>
  <w:style w:type="paragraph" w:customStyle="1" w:styleId="143">
    <w:name w:val="表文"/>
    <w:basedOn w:val="1"/>
    <w:link w:val="219"/>
    <w:qFormat/>
    <w:uiPriority w:val="0"/>
    <w:pPr>
      <w:tabs>
        <w:tab w:val="left" w:pos="1021"/>
      </w:tabs>
      <w:adjustRightInd w:val="0"/>
      <w:snapToGrid w:val="0"/>
      <w:spacing w:line="240" w:lineRule="auto"/>
      <w:ind w:firstLine="0" w:firstLineChars="0"/>
      <w:jc w:val="center"/>
    </w:pPr>
    <w:rPr>
      <w:kern w:val="0"/>
      <w:position w:val="-24"/>
      <w:sz w:val="21"/>
      <w:szCs w:val="21"/>
    </w:rPr>
  </w:style>
  <w:style w:type="paragraph" w:customStyle="1" w:styleId="144">
    <w:name w:val="Char Char2 Char Char Char Char Char Char"/>
    <w:basedOn w:val="1"/>
    <w:qFormat/>
    <w:uiPriority w:val="0"/>
    <w:pPr>
      <w:ind w:firstLine="0" w:firstLineChars="0"/>
    </w:pPr>
    <w:rPr>
      <w:rFonts w:ascii="宋体" w:hAnsi="宋体"/>
      <w:sz w:val="22"/>
      <w:szCs w:val="24"/>
    </w:rPr>
  </w:style>
  <w:style w:type="paragraph" w:styleId="145">
    <w:name w:val="List Paragraph"/>
    <w:basedOn w:val="1"/>
    <w:qFormat/>
    <w:uiPriority w:val="34"/>
    <w:pPr>
      <w:spacing w:line="240" w:lineRule="auto"/>
      <w:ind w:firstLine="420"/>
    </w:pPr>
    <w:rPr>
      <w:sz w:val="21"/>
      <w:szCs w:val="24"/>
    </w:rPr>
  </w:style>
  <w:style w:type="paragraph" w:customStyle="1" w:styleId="146">
    <w:name w:val="表文字"/>
    <w:basedOn w:val="1"/>
    <w:qFormat/>
    <w:uiPriority w:val="0"/>
    <w:pPr>
      <w:overflowPunct w:val="0"/>
      <w:autoSpaceDE w:val="0"/>
      <w:autoSpaceDN w:val="0"/>
      <w:adjustRightInd w:val="0"/>
      <w:spacing w:line="240" w:lineRule="atLeast"/>
      <w:ind w:firstLine="0" w:firstLineChars="0"/>
      <w:jc w:val="center"/>
      <w:textAlignment w:val="baseline"/>
    </w:pPr>
    <w:rPr>
      <w:kern w:val="0"/>
      <w:szCs w:val="20"/>
    </w:rPr>
  </w:style>
  <w:style w:type="paragraph" w:customStyle="1" w:styleId="147">
    <w:name w:val="表格文字"/>
    <w:basedOn w:val="15"/>
    <w:qFormat/>
    <w:uiPriority w:val="0"/>
    <w:pPr>
      <w:autoSpaceDE/>
      <w:autoSpaceDN/>
      <w:adjustRightInd/>
      <w:spacing w:before="0" w:line="320" w:lineRule="exact"/>
      <w:ind w:left="0"/>
      <w:jc w:val="center"/>
    </w:pPr>
    <w:rPr>
      <w:rFonts w:hint="default" w:hAnsi="Times New Roman"/>
      <w:kern w:val="2"/>
      <w:sz w:val="21"/>
    </w:rPr>
  </w:style>
  <w:style w:type="paragraph" w:customStyle="1" w:styleId="148">
    <w:name w:val="reader-word-layer reader-word-s1-11"/>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49">
    <w:name w:val="xl22"/>
    <w:basedOn w:val="1"/>
    <w:qFormat/>
    <w:uiPriority w:val="0"/>
    <w:pPr>
      <w:widowControl/>
      <w:pBdr>
        <w:bottom w:val="single" w:color="auto" w:sz="4" w:space="0"/>
        <w:right w:val="single" w:color="auto" w:sz="4" w:space="0"/>
      </w:pBdr>
      <w:spacing w:before="100" w:after="100" w:line="240" w:lineRule="auto"/>
      <w:ind w:firstLine="0" w:firstLineChars="0"/>
      <w:jc w:val="center"/>
    </w:pPr>
    <w:rPr>
      <w:rFonts w:ascii="宋体" w:hAnsi="宋体"/>
      <w:kern w:val="0"/>
      <w:sz w:val="21"/>
      <w:szCs w:val="20"/>
    </w:rPr>
  </w:style>
  <w:style w:type="character" w:customStyle="1" w:styleId="150">
    <w:name w:val="正文文本缩进 Char1"/>
    <w:basedOn w:val="44"/>
    <w:link w:val="16"/>
    <w:semiHidden/>
    <w:qFormat/>
    <w:uiPriority w:val="99"/>
    <w:rPr>
      <w:rFonts w:cs="Times New Roman"/>
    </w:rPr>
  </w:style>
  <w:style w:type="paragraph" w:customStyle="1" w:styleId="151">
    <w:name w:val="Char3"/>
    <w:basedOn w:val="5"/>
    <w:qFormat/>
    <w:uiPriority w:val="0"/>
    <w:pPr>
      <w:widowControl/>
      <w:spacing w:before="120" w:after="120"/>
      <w:jc w:val="left"/>
    </w:pPr>
    <w:rPr>
      <w:rFonts w:eastAsia="FangSong_GB2312" w:cs="宋体"/>
      <w:b w:val="0"/>
      <w:kern w:val="0"/>
    </w:rPr>
  </w:style>
  <w:style w:type="paragraph" w:customStyle="1" w:styleId="152">
    <w:name w:val="_Style 11"/>
    <w:basedOn w:val="1"/>
    <w:qFormat/>
    <w:uiPriority w:val="0"/>
    <w:rPr>
      <w:rFonts w:ascii="宋体" w:hAnsi="宋体" w:cs="宋体"/>
      <w:szCs w:val="24"/>
    </w:rPr>
  </w:style>
  <w:style w:type="paragraph" w:customStyle="1" w:styleId="153">
    <w:name w:val="WPS Plain"/>
    <w:qFormat/>
    <w:uiPriority w:val="0"/>
    <w:pPr>
      <w:jc w:val="left"/>
    </w:pPr>
    <w:rPr>
      <w:rFonts w:ascii="Times New Roman" w:hAnsi="Times New Roman" w:eastAsia="宋体" w:cs="Times New Roman"/>
      <w:kern w:val="0"/>
      <w:sz w:val="21"/>
      <w:szCs w:val="22"/>
      <w:lang w:val="en-US" w:eastAsia="zh-CN" w:bidi="ar-SA"/>
    </w:rPr>
  </w:style>
  <w:style w:type="paragraph" w:customStyle="1" w:styleId="154">
    <w:name w:val="Char"/>
    <w:basedOn w:val="1"/>
    <w:qFormat/>
    <w:uiPriority w:val="0"/>
    <w:pPr>
      <w:spacing w:line="240" w:lineRule="auto"/>
      <w:ind w:firstLine="0" w:firstLineChars="0"/>
    </w:pPr>
    <w:rPr>
      <w:sz w:val="21"/>
      <w:szCs w:val="24"/>
    </w:rPr>
  </w:style>
  <w:style w:type="paragraph" w:customStyle="1" w:styleId="155">
    <w:name w:val="列出段落1"/>
    <w:basedOn w:val="1"/>
    <w:qFormat/>
    <w:uiPriority w:val="0"/>
    <w:pPr>
      <w:spacing w:line="240" w:lineRule="auto"/>
      <w:ind w:firstLine="420"/>
    </w:pPr>
    <w:rPr>
      <w:rFonts w:ascii="Calibri" w:hAnsi="Calibri"/>
      <w:sz w:val="21"/>
    </w:rPr>
  </w:style>
  <w:style w:type="paragraph" w:customStyle="1" w:styleId="156">
    <w:name w:val="Char Char Char Char Char Char Char"/>
    <w:basedOn w:val="1"/>
    <w:next w:val="2"/>
    <w:qFormat/>
    <w:uiPriority w:val="0"/>
    <w:pPr>
      <w:spacing w:line="240" w:lineRule="auto"/>
      <w:ind w:firstLine="0" w:firstLineChars="0"/>
      <w:jc w:val="left"/>
    </w:pPr>
    <w:rPr>
      <w:rFonts w:eastAsia="黑体"/>
      <w:szCs w:val="24"/>
    </w:rPr>
  </w:style>
  <w:style w:type="paragraph" w:customStyle="1" w:styleId="157">
    <w:name w:val="居中正文"/>
    <w:basedOn w:val="40"/>
    <w:qFormat/>
    <w:uiPriority w:val="0"/>
    <w:pPr>
      <w:adjustRightInd w:val="0"/>
      <w:spacing w:before="120" w:after="0" w:line="360" w:lineRule="auto"/>
      <w:ind w:firstLine="0" w:firstLineChars="0"/>
      <w:jc w:val="center"/>
      <w:textAlignment w:val="baseline"/>
    </w:pPr>
    <w:rPr>
      <w:rFonts w:ascii="宋体"/>
      <w:kern w:val="28"/>
      <w:sz w:val="24"/>
      <w:szCs w:val="20"/>
    </w:rPr>
  </w:style>
  <w:style w:type="paragraph" w:customStyle="1" w:styleId="158">
    <w:name w:val="一级标题"/>
    <w:basedOn w:val="2"/>
    <w:link w:val="168"/>
    <w:qFormat/>
    <w:uiPriority w:val="0"/>
    <w:pPr>
      <w:spacing w:before="340" w:after="330" w:line="578" w:lineRule="auto"/>
    </w:pPr>
    <w:rPr>
      <w:bCs w:val="0"/>
    </w:rPr>
  </w:style>
  <w:style w:type="paragraph" w:customStyle="1" w:styleId="159">
    <w:name w:val="表格内容"/>
    <w:basedOn w:val="1"/>
    <w:qFormat/>
    <w:uiPriority w:val="0"/>
    <w:pPr>
      <w:overflowPunct w:val="0"/>
      <w:adjustRightInd w:val="0"/>
      <w:spacing w:before="40" w:after="60" w:line="200" w:lineRule="atLeast"/>
      <w:ind w:firstLine="0" w:firstLineChars="0"/>
      <w:jc w:val="left"/>
      <w:textAlignment w:val="baseline"/>
    </w:pPr>
    <w:rPr>
      <w:rFonts w:ascii="宋体"/>
      <w:kern w:val="0"/>
      <w:szCs w:val="20"/>
    </w:rPr>
  </w:style>
  <w:style w:type="paragraph" w:customStyle="1" w:styleId="160">
    <w:name w:val="表头"/>
    <w:next w:val="1"/>
    <w:link w:val="233"/>
    <w:qFormat/>
    <w:uiPriority w:val="0"/>
    <w:pPr>
      <w:widowControl w:val="0"/>
      <w:adjustRightInd w:val="0"/>
      <w:snapToGrid w:val="0"/>
      <w:spacing w:line="360" w:lineRule="auto"/>
      <w:jc w:val="center"/>
    </w:pPr>
    <w:rPr>
      <w:rFonts w:ascii="宋体" w:hAnsi="宋体" w:eastAsia="宋体" w:cs="Times New Roman"/>
      <w:b/>
      <w:color w:val="000000"/>
      <w:kern w:val="2"/>
      <w:sz w:val="24"/>
      <w:szCs w:val="24"/>
      <w:lang w:val="en-US" w:eastAsia="zh-CN" w:bidi="ar-SA"/>
    </w:rPr>
  </w:style>
  <w:style w:type="paragraph" w:customStyle="1" w:styleId="161">
    <w:name w:val="正文(首行缩进)"/>
    <w:basedOn w:val="1"/>
    <w:qFormat/>
    <w:uiPriority w:val="0"/>
    <w:pPr>
      <w:ind w:firstLine="510" w:firstLineChars="0"/>
    </w:pPr>
    <w:rPr>
      <w:rFonts w:ascii="宋体" w:hAnsi="宋体"/>
      <w:snapToGrid w:val="0"/>
      <w:kern w:val="0"/>
      <w:szCs w:val="24"/>
    </w:rPr>
  </w:style>
  <w:style w:type="paragraph" w:customStyle="1" w:styleId="162">
    <w:name w:val="p0"/>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63">
    <w:name w:val="Char Char Char Char"/>
    <w:basedOn w:val="1"/>
    <w:qFormat/>
    <w:uiPriority w:val="0"/>
    <w:pPr>
      <w:spacing w:line="240" w:lineRule="auto"/>
      <w:ind w:firstLine="0" w:firstLineChars="0"/>
    </w:pPr>
    <w:rPr>
      <w:sz w:val="21"/>
      <w:szCs w:val="24"/>
    </w:rPr>
  </w:style>
  <w:style w:type="paragraph" w:customStyle="1" w:styleId="164">
    <w:name w:val="Char Char Char1 Char Char Char Char Char Char Char Char Char Char Char Char Char Char Char Char"/>
    <w:basedOn w:val="1"/>
    <w:qFormat/>
    <w:uiPriority w:val="0"/>
    <w:pPr>
      <w:adjustRightInd w:val="0"/>
      <w:spacing w:line="360" w:lineRule="atLeast"/>
      <w:ind w:firstLine="0" w:firstLineChars="0"/>
      <w:jc w:val="left"/>
      <w:textAlignment w:val="baseline"/>
    </w:pPr>
    <w:rPr>
      <w:rFonts w:ascii="Tahoma" w:hAnsi="Tahoma"/>
      <w:kern w:val="0"/>
      <w:szCs w:val="20"/>
    </w:rPr>
  </w:style>
  <w:style w:type="paragraph" w:customStyle="1" w:styleId="165">
    <w:name w:val="xl24"/>
    <w:basedOn w:val="1"/>
    <w:qFormat/>
    <w:uiPriority w:val="0"/>
    <w:pPr>
      <w:widowControl/>
      <w:spacing w:before="100" w:beforeAutospacing="1" w:after="100" w:afterAutospacing="1" w:line="240" w:lineRule="auto"/>
      <w:ind w:firstLine="0" w:firstLineChars="0"/>
      <w:jc w:val="center"/>
      <w:textAlignment w:val="bottom"/>
    </w:pPr>
    <w:rPr>
      <w:rFonts w:ascii="Arial Unicode MS" w:hAnsi="Arial Unicode MS" w:eastAsia="Arial Unicode MS"/>
      <w:kern w:val="0"/>
      <w:szCs w:val="20"/>
    </w:rPr>
  </w:style>
  <w:style w:type="paragraph" w:customStyle="1" w:styleId="166">
    <w:name w:val="reader-word-layer reader-word-s2-0"/>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67">
    <w:name w:val="！正文"/>
    <w:basedOn w:val="1"/>
    <w:semiHidden/>
    <w:qFormat/>
    <w:uiPriority w:val="0"/>
    <w:pPr>
      <w:ind w:firstLine="480"/>
    </w:pPr>
    <w:rPr>
      <w:rFonts w:cs="宋体"/>
      <w:szCs w:val="20"/>
    </w:rPr>
  </w:style>
  <w:style w:type="character" w:customStyle="1" w:styleId="168">
    <w:name w:val="一级标题 Char"/>
    <w:link w:val="158"/>
    <w:qFormat/>
    <w:uiPriority w:val="0"/>
    <w:rPr>
      <w:rFonts w:cs="Times New Roman"/>
      <w:b/>
      <w:kern w:val="44"/>
      <w:sz w:val="32"/>
      <w:szCs w:val="44"/>
    </w:rPr>
  </w:style>
  <w:style w:type="paragraph" w:customStyle="1" w:styleId="169">
    <w:name w:val="啊正文"/>
    <w:basedOn w:val="1"/>
    <w:link w:val="170"/>
    <w:qFormat/>
    <w:uiPriority w:val="0"/>
    <w:pPr>
      <w:spacing w:line="520" w:lineRule="exact"/>
      <w:ind w:firstLine="560" w:firstLineChars="0"/>
    </w:pPr>
    <w:rPr>
      <w:rFonts w:eastAsia="FangSong_GB2312"/>
      <w:sz w:val="28"/>
      <w:szCs w:val="28"/>
    </w:rPr>
  </w:style>
  <w:style w:type="character" w:customStyle="1" w:styleId="170">
    <w:name w:val="啊正文 Char"/>
    <w:link w:val="169"/>
    <w:qFormat/>
    <w:uiPriority w:val="0"/>
    <w:rPr>
      <w:rFonts w:eastAsia="FangSong_GB2312" w:cs="Times New Roman"/>
      <w:sz w:val="28"/>
      <w:szCs w:val="28"/>
    </w:rPr>
  </w:style>
  <w:style w:type="paragraph" w:customStyle="1" w:styleId="171">
    <w:name w:val="列出段落11"/>
    <w:basedOn w:val="1"/>
    <w:qFormat/>
    <w:uiPriority w:val="0"/>
    <w:pPr>
      <w:ind w:firstLine="420"/>
    </w:pPr>
    <w:rPr>
      <w:szCs w:val="24"/>
    </w:rPr>
  </w:style>
  <w:style w:type="paragraph" w:customStyle="1" w:styleId="172">
    <w:name w:val="xl27"/>
    <w:basedOn w:val="1"/>
    <w:qFormat/>
    <w:uiPriority w:val="0"/>
    <w:pPr>
      <w:widowControl/>
      <w:pBdr>
        <w:bottom w:val="single" w:color="auto" w:sz="4" w:space="0"/>
      </w:pBdr>
      <w:spacing w:before="100" w:beforeAutospacing="1" w:after="100" w:afterAutospacing="1" w:line="240" w:lineRule="auto"/>
      <w:ind w:firstLine="0" w:firstLineChars="0"/>
      <w:jc w:val="center"/>
    </w:pPr>
    <w:rPr>
      <w:rFonts w:ascii="宋体" w:hAnsi="宋体"/>
      <w:kern w:val="0"/>
      <w:szCs w:val="24"/>
    </w:rPr>
  </w:style>
  <w:style w:type="paragraph" w:customStyle="1" w:styleId="173">
    <w:name w:val="Char Char Char1 Char Char Char Char Char Char Char Char Char Char"/>
    <w:basedOn w:val="1"/>
    <w:qFormat/>
    <w:uiPriority w:val="0"/>
    <w:pPr>
      <w:spacing w:beforeLines="50" w:afterLines="50" w:line="240" w:lineRule="auto"/>
      <w:jc w:val="center"/>
    </w:pPr>
    <w:rPr>
      <w:rFonts w:ascii="宋体" w:hAnsi="宋体" w:cs="Courier New"/>
      <w:sz w:val="32"/>
      <w:szCs w:val="32"/>
    </w:rPr>
  </w:style>
  <w:style w:type="character" w:customStyle="1" w:styleId="174">
    <w:name w:val="Char Char8"/>
    <w:qFormat/>
    <w:uiPriority w:val="0"/>
    <w:rPr>
      <w:rFonts w:ascii="Arial" w:hAnsi="Arial" w:eastAsia="黑体"/>
      <w:b/>
      <w:bCs/>
      <w:kern w:val="2"/>
      <w:sz w:val="28"/>
      <w:szCs w:val="28"/>
      <w:lang w:val="en-US" w:eastAsia="zh-CN" w:bidi="ar-SA"/>
    </w:rPr>
  </w:style>
  <w:style w:type="character" w:customStyle="1" w:styleId="175">
    <w:name w:val="正文文字( 首段缩进两字） Char"/>
    <w:qFormat/>
    <w:uiPriority w:val="0"/>
    <w:rPr>
      <w:rFonts w:ascii="Arial" w:hAnsi="Arial" w:eastAsia="楷体_GB2312"/>
      <w:snapToGrid w:val="0"/>
      <w:sz w:val="24"/>
      <w:szCs w:val="24"/>
      <w:lang w:val="en-US" w:eastAsia="zh-CN" w:bidi="ar-SA"/>
    </w:rPr>
  </w:style>
  <w:style w:type="character" w:customStyle="1" w:styleId="176">
    <w:name w:val="正文文字 Char Char"/>
    <w:qFormat/>
    <w:uiPriority w:val="0"/>
    <w:rPr>
      <w:rFonts w:eastAsia="宋体"/>
      <w:kern w:val="2"/>
      <w:sz w:val="21"/>
      <w:szCs w:val="24"/>
      <w:lang w:val="en-US" w:eastAsia="zh-CN" w:bidi="ar-SA"/>
    </w:rPr>
  </w:style>
  <w:style w:type="character" w:customStyle="1" w:styleId="177">
    <w:name w:val="正文文字缩进 2 Char Char1"/>
    <w:qFormat/>
    <w:uiPriority w:val="0"/>
    <w:rPr>
      <w:rFonts w:eastAsia="宋体"/>
      <w:kern w:val="2"/>
      <w:sz w:val="21"/>
      <w:szCs w:val="24"/>
      <w:lang w:val="en-US" w:eastAsia="zh-CN" w:bidi="ar-SA"/>
    </w:rPr>
  </w:style>
  <w:style w:type="paragraph" w:customStyle="1" w:styleId="178">
    <w:name w:val="Char Char Char1 Char Char Char Char"/>
    <w:basedOn w:val="1"/>
    <w:qFormat/>
    <w:uiPriority w:val="0"/>
    <w:pPr>
      <w:spacing w:line="240" w:lineRule="auto"/>
      <w:ind w:firstLine="0" w:firstLineChars="0"/>
    </w:pPr>
    <w:rPr>
      <w:sz w:val="21"/>
      <w:szCs w:val="21"/>
    </w:rPr>
  </w:style>
  <w:style w:type="paragraph" w:customStyle="1" w:styleId="179">
    <w:name w:val="reader-word-layer reader-word-s1-6"/>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80">
    <w:name w:val="reader-word-layer reader-word-s1-1"/>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81">
    <w:name w:val="reader-word-layer reader-word-s1-18"/>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82">
    <w:name w:val="reader-word-layer reader-word-s1-10"/>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83">
    <w:name w:val="reader-word-layer reader-word-s1-17"/>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84">
    <w:name w:val="正文退后"/>
    <w:basedOn w:val="1"/>
    <w:link w:val="185"/>
    <w:qFormat/>
    <w:uiPriority w:val="0"/>
    <w:pPr>
      <w:ind w:firstLine="480"/>
    </w:pPr>
    <w:rPr>
      <w:rFonts w:ascii="Calibri" w:hAnsi="Calibri"/>
      <w:kern w:val="0"/>
      <w:szCs w:val="20"/>
    </w:rPr>
  </w:style>
  <w:style w:type="character" w:customStyle="1" w:styleId="185">
    <w:name w:val="正文退后 Char"/>
    <w:link w:val="184"/>
    <w:qFormat/>
    <w:uiPriority w:val="0"/>
    <w:rPr>
      <w:rFonts w:ascii="Calibri" w:hAnsi="Calibri" w:cs="Times New Roman"/>
      <w:kern w:val="0"/>
      <w:szCs w:val="20"/>
    </w:rPr>
  </w:style>
  <w:style w:type="paragraph" w:customStyle="1" w:styleId="186">
    <w:name w:val="reader-word-layer reader-word-s1-15"/>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87">
    <w:name w:val="reader-word-layer reader-word-s1-16"/>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88">
    <w:name w:val="reader-word-layer reader-word-s1-9"/>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character" w:customStyle="1" w:styleId="189">
    <w:name w:val="项目 Char2"/>
    <w:uiPriority w:val="0"/>
    <w:rPr>
      <w:rFonts w:ascii="Arial" w:hAnsi="Arial" w:eastAsia="黑体"/>
      <w:b/>
      <w:bCs/>
      <w:kern w:val="2"/>
      <w:sz w:val="32"/>
      <w:szCs w:val="32"/>
      <w:lang w:val="en-US" w:eastAsia="zh-CN" w:bidi="ar-SA"/>
    </w:rPr>
  </w:style>
  <w:style w:type="character" w:customStyle="1" w:styleId="190">
    <w:name w:val="Heading 2 Char"/>
    <w:qFormat/>
    <w:locked/>
    <w:uiPriority w:val="0"/>
    <w:rPr>
      <w:rFonts w:ascii="Arial" w:hAnsi="Arial" w:eastAsia="黑体"/>
      <w:b/>
      <w:bCs/>
      <w:kern w:val="2"/>
      <w:sz w:val="32"/>
      <w:szCs w:val="32"/>
      <w:lang w:val="en-US" w:eastAsia="zh-CN" w:bidi="ar-SA"/>
    </w:rPr>
  </w:style>
  <w:style w:type="paragraph" w:customStyle="1" w:styleId="191">
    <w:name w:val="Char1 Char Char Char Char Char Char Char Char Char"/>
    <w:basedOn w:val="1"/>
    <w:qFormat/>
    <w:uiPriority w:val="0"/>
    <w:pPr>
      <w:widowControl/>
      <w:spacing w:beforeLines="100" w:after="160" w:line="240" w:lineRule="exact"/>
      <w:ind w:firstLine="0" w:firstLineChars="0"/>
      <w:jc w:val="left"/>
    </w:pPr>
    <w:rPr>
      <w:sz w:val="21"/>
      <w:szCs w:val="24"/>
    </w:rPr>
  </w:style>
  <w:style w:type="paragraph" w:customStyle="1" w:styleId="192">
    <w:name w:val="char"/>
    <w:basedOn w:val="1"/>
    <w:qFormat/>
    <w:uiPriority w:val="0"/>
    <w:pPr>
      <w:widowControl/>
      <w:spacing w:after="160" w:line="240" w:lineRule="exact"/>
      <w:ind w:firstLine="0" w:firstLineChars="0"/>
      <w:jc w:val="left"/>
    </w:pPr>
    <w:rPr>
      <w:rFonts w:ascii="Verdana" w:hAnsi="Verdana" w:eastAsia="FangSong_GB2312" w:cs="”“Times New Roman”“"/>
      <w:kern w:val="0"/>
      <w:szCs w:val="20"/>
      <w:lang w:eastAsia="en-US"/>
    </w:rPr>
  </w:style>
  <w:style w:type="character" w:customStyle="1" w:styleId="193">
    <w:name w:val="Char Char12"/>
    <w:qFormat/>
    <w:uiPriority w:val="0"/>
    <w:rPr>
      <w:rFonts w:eastAsia="宋体"/>
      <w:b/>
      <w:bCs/>
      <w:kern w:val="44"/>
      <w:sz w:val="44"/>
      <w:szCs w:val="44"/>
      <w:lang w:val="en-US" w:eastAsia="zh-CN" w:bidi="ar-SA"/>
    </w:rPr>
  </w:style>
  <w:style w:type="character" w:customStyle="1" w:styleId="194">
    <w:name w:val="书籍标题1"/>
    <w:uiPriority w:val="0"/>
    <w:rPr>
      <w:b/>
      <w:bCs/>
      <w:smallCaps/>
      <w:spacing w:val="5"/>
    </w:rPr>
  </w:style>
  <w:style w:type="paragraph" w:customStyle="1" w:styleId="195">
    <w:name w:val="yyp"/>
    <w:basedOn w:val="40"/>
    <w:link w:val="196"/>
    <w:uiPriority w:val="0"/>
    <w:pPr>
      <w:spacing w:line="360" w:lineRule="auto"/>
      <w:ind w:firstLine="480" w:firstLineChars="200"/>
    </w:pPr>
    <w:rPr>
      <w:sz w:val="24"/>
    </w:rPr>
  </w:style>
  <w:style w:type="character" w:customStyle="1" w:styleId="196">
    <w:name w:val="yyp Char"/>
    <w:link w:val="195"/>
    <w:uiPriority w:val="0"/>
    <w:rPr>
      <w:rFonts w:cs="Times New Roman"/>
      <w:szCs w:val="24"/>
    </w:rPr>
  </w:style>
  <w:style w:type="character" w:customStyle="1" w:styleId="197">
    <w:name w:val="Char Char6"/>
    <w:semiHidden/>
    <w:qFormat/>
    <w:uiPriority w:val="0"/>
    <w:rPr>
      <w:rFonts w:eastAsia="宋体"/>
      <w:kern w:val="2"/>
      <w:sz w:val="21"/>
      <w:szCs w:val="24"/>
      <w:lang w:val="en-US" w:eastAsia="zh-CN" w:bidi="ar-SA"/>
    </w:rPr>
  </w:style>
  <w:style w:type="paragraph" w:customStyle="1" w:styleId="198">
    <w:name w:val="Char Char Char Char Char Char Char Char Char1 Char Char Char Char Char Char Char"/>
    <w:basedOn w:val="13"/>
    <w:qFormat/>
    <w:uiPriority w:val="0"/>
    <w:rPr>
      <w:rFonts w:ascii="宋体"/>
      <w:kern w:val="0"/>
      <w:szCs w:val="20"/>
    </w:rPr>
  </w:style>
  <w:style w:type="paragraph" w:customStyle="1" w:styleId="199">
    <w:name w:val="样式4"/>
    <w:basedOn w:val="3"/>
    <w:qFormat/>
    <w:uiPriority w:val="0"/>
    <w:pPr>
      <w:numPr>
        <w:ilvl w:val="0"/>
        <w:numId w:val="1"/>
      </w:numPr>
      <w:tabs>
        <w:tab w:val="left" w:pos="420"/>
      </w:tabs>
      <w:spacing w:before="260" w:after="260" w:line="416" w:lineRule="auto"/>
    </w:pPr>
    <w:rPr>
      <w:rFonts w:cs="Times New Roman"/>
      <w:color w:val="000000"/>
      <w:sz w:val="24"/>
      <w:szCs w:val="24"/>
    </w:rPr>
  </w:style>
  <w:style w:type="character" w:customStyle="1" w:styleId="200">
    <w:name w:val="opt js-edittext"/>
    <w:basedOn w:val="44"/>
    <w:qFormat/>
    <w:uiPriority w:val="0"/>
  </w:style>
  <w:style w:type="paragraph" w:customStyle="1" w:styleId="201">
    <w:name w:val="Char Char28"/>
    <w:basedOn w:val="1"/>
    <w:uiPriority w:val="0"/>
    <w:pPr>
      <w:widowControl/>
      <w:adjustRightInd w:val="0"/>
      <w:spacing w:line="360" w:lineRule="atLeast"/>
      <w:ind w:firstLine="0" w:firstLineChars="0"/>
      <w:jc w:val="left"/>
      <w:textAlignment w:val="baseline"/>
    </w:pPr>
    <w:rPr>
      <w:rFonts w:ascii="Tahoma" w:hAnsi="Tahoma" w:cs="宋体"/>
      <w:kern w:val="0"/>
      <w:szCs w:val="20"/>
    </w:rPr>
  </w:style>
  <w:style w:type="character" w:customStyle="1" w:styleId="202">
    <w:name w:val="标准正文1 Char"/>
    <w:link w:val="203"/>
    <w:qFormat/>
    <w:uiPriority w:val="0"/>
    <w:rPr>
      <w:szCs w:val="24"/>
    </w:rPr>
  </w:style>
  <w:style w:type="paragraph" w:customStyle="1" w:styleId="203">
    <w:name w:val="标准正文1"/>
    <w:basedOn w:val="1"/>
    <w:link w:val="202"/>
    <w:qFormat/>
    <w:uiPriority w:val="0"/>
    <w:pPr>
      <w:widowControl/>
      <w:ind w:firstLine="480"/>
      <w:jc w:val="left"/>
    </w:pPr>
    <w:rPr>
      <w:rFonts w:cstheme="minorBidi"/>
      <w:szCs w:val="24"/>
    </w:rPr>
  </w:style>
  <w:style w:type="paragraph" w:customStyle="1" w:styleId="204">
    <w:name w:val="正文 首行缩进:  2 字符 Char"/>
    <w:basedOn w:val="1"/>
    <w:link w:val="205"/>
    <w:semiHidden/>
    <w:qFormat/>
    <w:uiPriority w:val="0"/>
    <w:pPr>
      <w:spacing w:line="520" w:lineRule="exact"/>
    </w:pPr>
    <w:rPr>
      <w:rFonts w:cs="宋体"/>
      <w:kern w:val="44"/>
      <w:szCs w:val="20"/>
    </w:rPr>
  </w:style>
  <w:style w:type="character" w:customStyle="1" w:styleId="205">
    <w:name w:val="正文 首行缩进:  2 字符 Char Char1"/>
    <w:link w:val="204"/>
    <w:semiHidden/>
    <w:qFormat/>
    <w:uiPriority w:val="0"/>
    <w:rPr>
      <w:rFonts w:cs="宋体"/>
      <w:kern w:val="44"/>
      <w:szCs w:val="20"/>
    </w:rPr>
  </w:style>
  <w:style w:type="paragraph" w:customStyle="1" w:styleId="206">
    <w:name w:val="Char Char Char Char1"/>
    <w:basedOn w:val="1"/>
    <w:qFormat/>
    <w:uiPriority w:val="0"/>
    <w:pPr>
      <w:spacing w:line="240" w:lineRule="auto"/>
      <w:ind w:firstLine="0" w:firstLineChars="0"/>
    </w:pPr>
    <w:rPr>
      <w:sz w:val="21"/>
      <w:szCs w:val="24"/>
    </w:rPr>
  </w:style>
  <w:style w:type="paragraph" w:customStyle="1" w:styleId="207">
    <w:name w:val="_Style 5"/>
    <w:basedOn w:val="1"/>
    <w:qFormat/>
    <w:uiPriority w:val="0"/>
    <w:pPr>
      <w:spacing w:line="240" w:lineRule="auto"/>
      <w:ind w:firstLine="0" w:firstLineChars="0"/>
    </w:pPr>
    <w:rPr>
      <w:sz w:val="21"/>
      <w:szCs w:val="24"/>
    </w:rPr>
  </w:style>
  <w:style w:type="character" w:customStyle="1" w:styleId="208">
    <w:name w:val="表格标题2 Char"/>
    <w:link w:val="209"/>
    <w:uiPriority w:val="0"/>
    <w:rPr>
      <w:rFonts w:hAnsi="宋体"/>
      <w:b/>
      <w:szCs w:val="21"/>
    </w:rPr>
  </w:style>
  <w:style w:type="paragraph" w:customStyle="1" w:styleId="209">
    <w:name w:val="表格标题2"/>
    <w:basedOn w:val="1"/>
    <w:link w:val="208"/>
    <w:qFormat/>
    <w:uiPriority w:val="0"/>
    <w:pPr>
      <w:widowControl/>
      <w:ind w:firstLine="0" w:firstLineChars="0"/>
      <w:jc w:val="center"/>
    </w:pPr>
    <w:rPr>
      <w:rFonts w:hAnsi="宋体" w:cstheme="minorBidi"/>
      <w:b/>
      <w:szCs w:val="21"/>
    </w:rPr>
  </w:style>
  <w:style w:type="character" w:customStyle="1" w:styleId="210">
    <w:name w:val="表格文字33 Char"/>
    <w:link w:val="211"/>
    <w:uiPriority w:val="0"/>
    <w:rPr>
      <w:rFonts w:ascii="宋体" w:hAnsi="宋体"/>
      <w:color w:val="000000"/>
      <w:sz w:val="21"/>
      <w:szCs w:val="21"/>
    </w:rPr>
  </w:style>
  <w:style w:type="paragraph" w:customStyle="1" w:styleId="211">
    <w:name w:val="表格文字33"/>
    <w:basedOn w:val="1"/>
    <w:link w:val="210"/>
    <w:qFormat/>
    <w:uiPriority w:val="0"/>
    <w:pPr>
      <w:widowControl/>
      <w:spacing w:line="240" w:lineRule="auto"/>
      <w:ind w:firstLine="0" w:firstLineChars="0"/>
      <w:jc w:val="center"/>
    </w:pPr>
    <w:rPr>
      <w:rFonts w:ascii="宋体" w:hAnsi="宋体" w:cstheme="minorBidi"/>
      <w:color w:val="000000"/>
      <w:sz w:val="21"/>
      <w:szCs w:val="21"/>
    </w:rPr>
  </w:style>
  <w:style w:type="paragraph" w:customStyle="1" w:styleId="212">
    <w:name w:val="正文1"/>
    <w:basedOn w:val="1"/>
    <w:qFormat/>
    <w:uiPriority w:val="0"/>
    <w:pPr>
      <w:tabs>
        <w:tab w:val="left" w:pos="22680"/>
      </w:tabs>
      <w:ind w:firstLine="602"/>
      <w:jc w:val="left"/>
    </w:pPr>
    <w:rPr>
      <w:rFonts w:ascii="宋体" w:hAnsi="宋体"/>
      <w:szCs w:val="20"/>
    </w:rPr>
  </w:style>
  <w:style w:type="paragraph" w:customStyle="1" w:styleId="213">
    <w:name w:val="正文11"/>
    <w:basedOn w:val="1"/>
    <w:qFormat/>
    <w:uiPriority w:val="0"/>
    <w:pPr>
      <w:tabs>
        <w:tab w:val="left" w:pos="22680"/>
      </w:tabs>
      <w:ind w:firstLine="602"/>
      <w:jc w:val="left"/>
    </w:pPr>
    <w:rPr>
      <w:rFonts w:ascii="宋体" w:hAnsi="宋体"/>
      <w:szCs w:val="20"/>
    </w:rPr>
  </w:style>
  <w:style w:type="paragraph" w:customStyle="1" w:styleId="214">
    <w:name w:val="TOC Heading"/>
    <w:basedOn w:val="2"/>
    <w:next w:val="1"/>
    <w:semiHidden/>
    <w:unhideWhenUsed/>
    <w:qFormat/>
    <w:uiPriority w:val="39"/>
    <w:pPr>
      <w:widowControl/>
      <w:spacing w:before="480" w:line="276" w:lineRule="auto"/>
      <w:jc w:val="left"/>
      <w:outlineLvl w:val="9"/>
    </w:pPr>
    <w:rPr>
      <w:rFonts w:ascii="Cambria" w:hAnsi="Cambria"/>
      <w:color w:val="365F91"/>
      <w:kern w:val="0"/>
      <w:sz w:val="28"/>
      <w:szCs w:val="28"/>
    </w:rPr>
  </w:style>
  <w:style w:type="character" w:customStyle="1" w:styleId="215">
    <w:name w:val="标题 Char"/>
    <w:basedOn w:val="44"/>
    <w:link w:val="38"/>
    <w:uiPriority w:val="0"/>
    <w:rPr>
      <w:rFonts w:ascii="Cambria" w:hAnsi="Cambria" w:cs="Times New Roman"/>
      <w:b/>
      <w:bCs/>
      <w:sz w:val="32"/>
      <w:szCs w:val="32"/>
    </w:rPr>
  </w:style>
  <w:style w:type="paragraph" w:customStyle="1" w:styleId="216">
    <w:name w:val="custom_unionstyle"/>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character" w:customStyle="1" w:styleId="217">
    <w:name w:val="表格文字2 Char"/>
    <w:link w:val="218"/>
    <w:qFormat/>
    <w:uiPriority w:val="0"/>
    <w:rPr>
      <w:rFonts w:ascii="宋体" w:hAnsi="宋体"/>
      <w:color w:val="000000"/>
      <w:szCs w:val="21"/>
    </w:rPr>
  </w:style>
  <w:style w:type="paragraph" w:customStyle="1" w:styleId="218">
    <w:name w:val="表格文字2"/>
    <w:basedOn w:val="1"/>
    <w:link w:val="217"/>
    <w:qFormat/>
    <w:uiPriority w:val="0"/>
    <w:pPr>
      <w:spacing w:line="240" w:lineRule="auto"/>
      <w:ind w:firstLine="0" w:firstLineChars="0"/>
      <w:jc w:val="center"/>
    </w:pPr>
    <w:rPr>
      <w:rFonts w:ascii="宋体" w:hAnsi="宋体" w:cstheme="minorBidi"/>
      <w:color w:val="000000"/>
      <w:szCs w:val="21"/>
    </w:rPr>
  </w:style>
  <w:style w:type="character" w:customStyle="1" w:styleId="219">
    <w:name w:val="表文 Char"/>
    <w:link w:val="143"/>
    <w:qFormat/>
    <w:locked/>
    <w:uiPriority w:val="0"/>
    <w:rPr>
      <w:rFonts w:cs="Times New Roman"/>
      <w:kern w:val="0"/>
      <w:position w:val="-24"/>
      <w:sz w:val="21"/>
      <w:szCs w:val="21"/>
      <w:lang w:val="en-US" w:eastAsia="zh-CN"/>
    </w:rPr>
  </w:style>
  <w:style w:type="paragraph" w:customStyle="1" w:styleId="220">
    <w:name w:val="表头格式"/>
    <w:basedOn w:val="1"/>
    <w:link w:val="221"/>
    <w:qFormat/>
    <w:uiPriority w:val="0"/>
    <w:pPr>
      <w:autoSpaceDE w:val="0"/>
      <w:autoSpaceDN w:val="0"/>
      <w:adjustRightInd w:val="0"/>
      <w:ind w:firstLine="643"/>
      <w:jc w:val="center"/>
    </w:pPr>
    <w:rPr>
      <w:b/>
      <w:szCs w:val="24"/>
      <w:lang w:val="zh-CN"/>
    </w:rPr>
  </w:style>
  <w:style w:type="character" w:customStyle="1" w:styleId="221">
    <w:name w:val="表头格式 Char"/>
    <w:link w:val="220"/>
    <w:qFormat/>
    <w:uiPriority w:val="0"/>
    <w:rPr>
      <w:rFonts w:cs="Times New Roman"/>
      <w:b/>
      <w:szCs w:val="24"/>
      <w:lang w:val="zh-CN"/>
    </w:rPr>
  </w:style>
  <w:style w:type="character" w:customStyle="1" w:styleId="222">
    <w:name w:val="报告正文 Char"/>
    <w:link w:val="223"/>
    <w:qFormat/>
    <w:locked/>
    <w:uiPriority w:val="0"/>
    <w:rPr>
      <w:kern w:val="24"/>
      <w:szCs w:val="21"/>
    </w:rPr>
  </w:style>
  <w:style w:type="paragraph" w:customStyle="1" w:styleId="223">
    <w:name w:val="报告正文"/>
    <w:basedOn w:val="1"/>
    <w:link w:val="222"/>
    <w:uiPriority w:val="0"/>
    <w:pPr>
      <w:adjustRightInd w:val="0"/>
      <w:spacing w:beforeLines="25"/>
      <w:ind w:firstLine="482" w:firstLineChars="0"/>
      <w:textAlignment w:val="baseline"/>
    </w:pPr>
    <w:rPr>
      <w:rFonts w:cstheme="minorBidi"/>
      <w:kern w:val="24"/>
      <w:szCs w:val="21"/>
    </w:rPr>
  </w:style>
  <w:style w:type="character" w:customStyle="1" w:styleId="224">
    <w:name w:val="纯文本 Char3"/>
    <w:uiPriority w:val="0"/>
    <w:rPr>
      <w:rFonts w:ascii="宋体" w:hAnsi="Courier New" w:cs="Courier New"/>
      <w:kern w:val="2"/>
      <w:sz w:val="21"/>
      <w:szCs w:val="21"/>
    </w:rPr>
  </w:style>
  <w:style w:type="character" w:customStyle="1" w:styleId="225">
    <w:name w:val="【正文】 Char"/>
    <w:link w:val="226"/>
    <w:qFormat/>
    <w:locked/>
    <w:uiPriority w:val="0"/>
    <w:rPr>
      <w:color w:val="000000"/>
    </w:rPr>
  </w:style>
  <w:style w:type="paragraph" w:customStyle="1" w:styleId="226">
    <w:name w:val="【正文】"/>
    <w:basedOn w:val="1"/>
    <w:link w:val="225"/>
    <w:qFormat/>
    <w:uiPriority w:val="0"/>
    <w:pPr>
      <w:widowControl/>
      <w:spacing w:line="440" w:lineRule="exact"/>
      <w:ind w:firstLine="544"/>
      <w:jc w:val="left"/>
    </w:pPr>
    <w:rPr>
      <w:rFonts w:cstheme="minorBidi"/>
      <w:color w:val="000000"/>
    </w:rPr>
  </w:style>
  <w:style w:type="paragraph" w:customStyle="1" w:styleId="227">
    <w:name w:val="样式 四号 行距: 1.5 倍行距 首行缩进:  2 字符"/>
    <w:basedOn w:val="1"/>
    <w:qFormat/>
    <w:uiPriority w:val="0"/>
    <w:rPr>
      <w:rFonts w:cs="宋体"/>
      <w:szCs w:val="20"/>
    </w:rPr>
  </w:style>
  <w:style w:type="character" w:customStyle="1" w:styleId="228">
    <w:name w:val="题注 Char"/>
    <w:link w:val="12"/>
    <w:qFormat/>
    <w:locked/>
    <w:uiPriority w:val="35"/>
    <w:rPr>
      <w:rFonts w:cs="Times New Roman"/>
      <w:b/>
      <w:szCs w:val="20"/>
    </w:rPr>
  </w:style>
  <w:style w:type="character" w:customStyle="1" w:styleId="229">
    <w:name w:val="正文文本 Char1"/>
    <w:basedOn w:val="44"/>
    <w:qFormat/>
    <w:locked/>
    <w:uiPriority w:val="0"/>
    <w:rPr>
      <w:rFonts w:ascii="宋体" w:hAnsi="宋体"/>
      <w:kern w:val="2"/>
      <w:sz w:val="24"/>
      <w:szCs w:val="24"/>
    </w:rPr>
  </w:style>
  <w:style w:type="paragraph" w:customStyle="1" w:styleId="230">
    <w:name w:val="报告表正文"/>
    <w:basedOn w:val="1"/>
    <w:link w:val="231"/>
    <w:qFormat/>
    <w:uiPriority w:val="0"/>
    <w:pPr>
      <w:adjustRightInd w:val="0"/>
      <w:spacing w:line="312" w:lineRule="auto"/>
      <w:ind w:left="113" w:right="113" w:firstLine="482" w:firstLineChars="0"/>
      <w:jc w:val="left"/>
      <w:textAlignment w:val="baseline"/>
    </w:pPr>
    <w:rPr>
      <w:kern w:val="0"/>
      <w:szCs w:val="20"/>
    </w:rPr>
  </w:style>
  <w:style w:type="character" w:customStyle="1" w:styleId="231">
    <w:name w:val="报告表正文 Char"/>
    <w:link w:val="230"/>
    <w:qFormat/>
    <w:uiPriority w:val="0"/>
    <w:rPr>
      <w:rFonts w:cs="Times New Roman"/>
      <w:kern w:val="0"/>
      <w:szCs w:val="20"/>
    </w:rPr>
  </w:style>
  <w:style w:type="paragraph" w:customStyle="1" w:styleId="232">
    <w:name w:val="表格内格式"/>
    <w:basedOn w:val="1"/>
    <w:next w:val="1"/>
    <w:qFormat/>
    <w:uiPriority w:val="0"/>
    <w:pPr>
      <w:widowControl/>
      <w:spacing w:line="360" w:lineRule="exact"/>
      <w:ind w:firstLine="0" w:firstLineChars="0"/>
      <w:jc w:val="center"/>
    </w:pPr>
    <w:rPr>
      <w:kern w:val="0"/>
      <w:sz w:val="20"/>
      <w:szCs w:val="20"/>
    </w:rPr>
  </w:style>
  <w:style w:type="character" w:customStyle="1" w:styleId="233">
    <w:name w:val="表头 Char"/>
    <w:link w:val="160"/>
    <w:qFormat/>
    <w:uiPriority w:val="0"/>
    <w:rPr>
      <w:rFonts w:ascii="宋体" w:hAnsi="宋体" w:cs="Times New Roman"/>
      <w:b/>
      <w:color w:val="000000"/>
      <w:szCs w:val="24"/>
    </w:rPr>
  </w:style>
  <w:style w:type="character" w:customStyle="1" w:styleId="234">
    <w:name w:val="段落(G) Char"/>
    <w:link w:val="235"/>
    <w:qFormat/>
    <w:locked/>
    <w:uiPriority w:val="0"/>
    <w:rPr>
      <w:rFonts w:ascii="Arial" w:hAnsi="Arial" w:cs="Arial"/>
      <w:color w:val="000000"/>
      <w:kern w:val="24"/>
      <w:sz w:val="21"/>
      <w:szCs w:val="24"/>
      <w:lang w:val="zh-CN"/>
    </w:rPr>
  </w:style>
  <w:style w:type="paragraph" w:customStyle="1" w:styleId="235">
    <w:name w:val="段落(G)"/>
    <w:basedOn w:val="1"/>
    <w:link w:val="234"/>
    <w:qFormat/>
    <w:uiPriority w:val="0"/>
    <w:pPr>
      <w:tabs>
        <w:tab w:val="left" w:pos="1320"/>
      </w:tabs>
      <w:ind w:firstLine="480"/>
    </w:pPr>
    <w:rPr>
      <w:rFonts w:ascii="Arial" w:hAnsi="Arial" w:cs="Arial"/>
      <w:color w:val="000000"/>
      <w:kern w:val="24"/>
      <w:sz w:val="21"/>
      <w:szCs w:val="24"/>
      <w:lang w:val="zh-CN"/>
    </w:rPr>
  </w:style>
  <w:style w:type="paragraph" w:customStyle="1" w:styleId="236">
    <w:name w:val="样式 小明  正文 + 首行缩进:  2 字符 行距: 固定值 29 磅"/>
    <w:basedOn w:val="1"/>
    <w:qFormat/>
    <w:uiPriority w:val="0"/>
    <w:pPr>
      <w:spacing w:line="560" w:lineRule="exact"/>
    </w:pPr>
    <w:rPr>
      <w:rFonts w:ascii="FangSong_GB2312" w:hAnsi="宋体" w:eastAsia="FangSong_GB2312" w:cs="宋体"/>
      <w:kern w:val="0"/>
      <w:sz w:val="28"/>
      <w:szCs w:val="20"/>
    </w:rPr>
  </w:style>
  <w:style w:type="paragraph" w:customStyle="1" w:styleId="237">
    <w:name w:val="标题3"/>
    <w:basedOn w:val="4"/>
    <w:next w:val="1"/>
    <w:qFormat/>
    <w:uiPriority w:val="0"/>
    <w:rPr>
      <w:szCs w:val="24"/>
    </w:rPr>
  </w:style>
  <w:style w:type="paragraph" w:customStyle="1" w:styleId="238">
    <w:name w:val="无间隔1"/>
    <w:qFormat/>
    <w:uiPriority w:val="0"/>
    <w:pPr>
      <w:widowControl w:val="0"/>
      <w:jc w:val="center"/>
    </w:pPr>
    <w:rPr>
      <w:rFonts w:ascii="Times New Roman" w:hAnsi="Times New Roman" w:eastAsia="Times New Roman" w:cs="Times New Roman"/>
      <w:kern w:val="2"/>
      <w:sz w:val="21"/>
      <w:szCs w:val="22"/>
      <w:lang w:val="en-US" w:eastAsia="zh-CN" w:bidi="ar-SA"/>
    </w:rPr>
  </w:style>
  <w:style w:type="paragraph" w:customStyle="1" w:styleId="239">
    <w:name w:val="样式20"/>
    <w:basedOn w:val="1"/>
    <w:qFormat/>
    <w:uiPriority w:val="0"/>
    <w:pPr>
      <w:widowControl/>
      <w:ind w:firstLine="480"/>
      <w:jc w:val="left"/>
    </w:pPr>
    <w:rPr>
      <w:rFonts w:ascii="宋体" w:hAnsi="宋体" w:cs="宋体"/>
      <w:kern w:val="0"/>
      <w:szCs w:val="21"/>
    </w:rPr>
  </w:style>
  <w:style w:type="character" w:customStyle="1" w:styleId="240">
    <w:name w:val="表格正文 Char"/>
    <w:link w:val="241"/>
    <w:qFormat/>
    <w:uiPriority w:val="0"/>
    <w:rPr>
      <w:color w:val="000000"/>
      <w:sz w:val="21"/>
      <w:szCs w:val="21"/>
    </w:rPr>
  </w:style>
  <w:style w:type="paragraph" w:customStyle="1" w:styleId="241">
    <w:name w:val="表格正文"/>
    <w:basedOn w:val="1"/>
    <w:next w:val="1"/>
    <w:link w:val="240"/>
    <w:qFormat/>
    <w:uiPriority w:val="0"/>
    <w:pPr>
      <w:snapToGrid w:val="0"/>
      <w:spacing w:line="240" w:lineRule="auto"/>
      <w:ind w:firstLine="0" w:firstLineChars="0"/>
      <w:jc w:val="center"/>
    </w:pPr>
    <w:rPr>
      <w:rFonts w:cstheme="minorBidi"/>
      <w:color w:val="000000"/>
      <w:sz w:val="21"/>
      <w:szCs w:val="21"/>
    </w:rPr>
  </w:style>
  <w:style w:type="character" w:customStyle="1" w:styleId="242">
    <w:name w:val="图表标题 字符"/>
    <w:link w:val="243"/>
    <w:uiPriority w:val="0"/>
    <w:rPr>
      <w:b/>
      <w:sz w:val="21"/>
      <w:szCs w:val="24"/>
    </w:rPr>
  </w:style>
  <w:style w:type="paragraph" w:customStyle="1" w:styleId="243">
    <w:name w:val="图表标题"/>
    <w:next w:val="1"/>
    <w:link w:val="242"/>
    <w:qFormat/>
    <w:uiPriority w:val="0"/>
    <w:pPr>
      <w:spacing w:before="120" w:after="120"/>
      <w:jc w:val="center"/>
    </w:pPr>
    <w:rPr>
      <w:rFonts w:ascii="Times New Roman" w:hAnsi="Times New Roman" w:eastAsia="宋体" w:cstheme="minorBidi"/>
      <w:b/>
      <w:kern w:val="2"/>
      <w:sz w:val="21"/>
      <w:szCs w:val="24"/>
      <w:lang w:val="en-US" w:eastAsia="zh-CN" w:bidi="ar-SA"/>
    </w:rPr>
  </w:style>
  <w:style w:type="paragraph" w:customStyle="1" w:styleId="244">
    <w:name w:val="样式 样式 黑体 小三 加粗 居中1 + 段前: 0.5 行 行距: 固定值 26 磅"/>
    <w:basedOn w:val="1"/>
    <w:qFormat/>
    <w:uiPriority w:val="0"/>
    <w:pPr>
      <w:spacing w:beforeLines="50" w:line="520" w:lineRule="exact"/>
      <w:ind w:firstLine="0" w:firstLineChars="0"/>
      <w:jc w:val="center"/>
    </w:pPr>
    <w:rPr>
      <w:rFonts w:ascii="黑体" w:eastAsia="黑体" w:cs="宋体"/>
      <w:szCs w:val="20"/>
    </w:rPr>
  </w:style>
  <w:style w:type="paragraph" w:customStyle="1" w:styleId="245">
    <w:name w:val="T表头"/>
    <w:basedOn w:val="1"/>
    <w:qFormat/>
    <w:uiPriority w:val="0"/>
    <w:pPr>
      <w:spacing w:line="240" w:lineRule="auto"/>
      <w:jc w:val="center"/>
    </w:pPr>
    <w:rPr>
      <w:b/>
      <w:sz w:val="21"/>
      <w:szCs w:val="24"/>
    </w:rPr>
  </w:style>
  <w:style w:type="character" w:customStyle="1" w:styleId="246">
    <w:name w:val="font71"/>
    <w:basedOn w:val="44"/>
    <w:uiPriority w:val="0"/>
    <w:rPr>
      <w:rFonts w:hint="eastAsia" w:ascii="宋体" w:hAnsi="宋体" w:eastAsia="宋体" w:cs="宋体"/>
      <w:color w:val="000000"/>
      <w:sz w:val="24"/>
      <w:szCs w:val="24"/>
      <w:u w:val="none"/>
    </w:rPr>
  </w:style>
  <w:style w:type="paragraph" w:styleId="247">
    <w:name w:val="Intense Quote"/>
    <w:basedOn w:val="1"/>
    <w:next w:val="1"/>
    <w:link w:val="248"/>
    <w:qFormat/>
    <w:uiPriority w:val="0"/>
    <w:pPr>
      <w:spacing w:line="240" w:lineRule="auto"/>
      <w:ind w:firstLine="0" w:firstLineChars="0"/>
      <w:jc w:val="center"/>
    </w:pPr>
    <w:rPr>
      <w:bCs/>
      <w:iCs/>
      <w:sz w:val="21"/>
      <w:szCs w:val="24"/>
      <w:lang w:eastAsia="en-US" w:bidi="en-US"/>
    </w:rPr>
  </w:style>
  <w:style w:type="character" w:customStyle="1" w:styleId="248">
    <w:name w:val="明显引用 Char"/>
    <w:basedOn w:val="44"/>
    <w:link w:val="247"/>
    <w:qFormat/>
    <w:uiPriority w:val="0"/>
    <w:rPr>
      <w:rFonts w:cs="Times New Roman"/>
      <w:bCs/>
      <w:iCs/>
      <w:sz w:val="21"/>
      <w:szCs w:val="24"/>
      <w:lang w:eastAsia="en-US" w:bidi="en-US"/>
    </w:rPr>
  </w:style>
  <w:style w:type="paragraph" w:customStyle="1" w:styleId="249">
    <w:name w:val="lh-表格文字-报告表"/>
    <w:qFormat/>
    <w:uiPriority w:val="0"/>
    <w:pPr>
      <w:jc w:val="center"/>
    </w:pPr>
    <w:rPr>
      <w:rFonts w:ascii="Times New Roman" w:hAnsi="Times New Roman" w:eastAsia="宋体" w:cs="Times New Roman"/>
      <w:snapToGrid w:val="0"/>
      <w:kern w:val="0"/>
      <w:sz w:val="21"/>
      <w:szCs w:val="24"/>
      <w:lang w:val="en-US" w:eastAsia="zh-CN" w:bidi="ar-SA"/>
    </w:rPr>
  </w:style>
  <w:style w:type="paragraph" w:customStyle="1" w:styleId="250">
    <w:name w:val="正文_1"/>
    <w:qFormat/>
    <w:uiPriority w:val="0"/>
    <w:pPr>
      <w:widowControl w:val="0"/>
      <w:jc w:val="both"/>
    </w:pPr>
    <w:rPr>
      <w:rFonts w:ascii="Calibri" w:hAnsi="Calibri" w:eastAsia="宋体" w:cs="Times New Roman"/>
      <w:kern w:val="2"/>
      <w:sz w:val="21"/>
      <w:szCs w:val="20"/>
      <w:lang w:val="en-US" w:eastAsia="zh-CN" w:bidi="ar-SA"/>
    </w:rPr>
  </w:style>
  <w:style w:type="paragraph" w:customStyle="1" w:styleId="251">
    <w:name w:val="表内文字小21212"/>
    <w:basedOn w:val="1"/>
    <w:qFormat/>
    <w:uiPriority w:val="0"/>
    <w:pPr>
      <w:adjustRightInd w:val="0"/>
      <w:snapToGrid w:val="0"/>
      <w:spacing w:line="240" w:lineRule="auto"/>
      <w:ind w:firstLine="0" w:firstLineChars="0"/>
      <w:jc w:val="center"/>
    </w:pPr>
    <w:rPr>
      <w:rFonts w:ascii="宋体" w:hAnsi="Times"/>
      <w:bCs/>
      <w:color w:val="000000"/>
      <w:sz w:val="21"/>
      <w:szCs w:val="20"/>
    </w:rPr>
  </w:style>
  <w:style w:type="character" w:customStyle="1" w:styleId="252">
    <w:name w:val="4号仿宋左空1格行距1倍 Char"/>
    <w:uiPriority w:val="0"/>
    <w:rPr>
      <w:rFonts w:ascii="Arial" w:hAnsi="Arial" w:eastAsia="黑体"/>
      <w:b/>
      <w:snapToGrid w:val="0"/>
      <w:kern w:val="2"/>
      <w:sz w:val="28"/>
      <w:lang w:val="en-US" w:eastAsia="zh-CN"/>
    </w:rPr>
  </w:style>
  <w:style w:type="paragraph" w:customStyle="1" w:styleId="253">
    <w:name w:val="hcp5"/>
    <w:basedOn w:val="1"/>
    <w:uiPriority w:val="0"/>
    <w:pPr>
      <w:widowControl/>
      <w:spacing w:before="100" w:beforeAutospacing="1" w:after="100" w:afterAutospacing="1" w:line="240" w:lineRule="auto"/>
      <w:ind w:firstLine="0" w:firstLineChars="0"/>
    </w:pPr>
    <w:rPr>
      <w:rFonts w:ascii="宋体" w:hAnsi="宋体" w:cs="宋体"/>
      <w:kern w:val="0"/>
      <w:szCs w:val="24"/>
    </w:rPr>
  </w:style>
  <w:style w:type="character" w:customStyle="1" w:styleId="254">
    <w:name w:val="HJ-表格 Char"/>
    <w:link w:val="255"/>
    <w:qFormat/>
    <w:uiPriority w:val="0"/>
    <w:rPr>
      <w:b/>
      <w:sz w:val="18"/>
    </w:rPr>
  </w:style>
  <w:style w:type="paragraph" w:customStyle="1" w:styleId="255">
    <w:name w:val="HJ-表格"/>
    <w:basedOn w:val="1"/>
    <w:link w:val="254"/>
    <w:qFormat/>
    <w:uiPriority w:val="0"/>
    <w:pPr>
      <w:spacing w:line="240" w:lineRule="auto"/>
      <w:ind w:firstLine="0" w:firstLineChars="0"/>
      <w:jc w:val="center"/>
    </w:pPr>
    <w:rPr>
      <w:rFonts w:cstheme="minorBidi"/>
      <w:b/>
      <w:sz w:val="18"/>
    </w:rPr>
  </w:style>
  <w:style w:type="character" w:customStyle="1" w:styleId="256">
    <w:name w:val="xry表格文字 Char"/>
    <w:link w:val="257"/>
    <w:qFormat/>
    <w:uiPriority w:val="0"/>
    <w:rPr>
      <w:szCs w:val="24"/>
      <w:lang w:val="zh-CN"/>
    </w:rPr>
  </w:style>
  <w:style w:type="paragraph" w:customStyle="1" w:styleId="257">
    <w:name w:val="xry表格文字"/>
    <w:basedOn w:val="1"/>
    <w:link w:val="256"/>
    <w:qFormat/>
    <w:uiPriority w:val="0"/>
    <w:pPr>
      <w:spacing w:line="240" w:lineRule="auto"/>
      <w:ind w:firstLine="0" w:firstLineChars="0"/>
      <w:jc w:val="center"/>
    </w:pPr>
    <w:rPr>
      <w:rFonts w:cstheme="minorBidi"/>
      <w:szCs w:val="24"/>
      <w:lang w:val="zh-CN"/>
    </w:rPr>
  </w:style>
  <w:style w:type="paragraph" w:customStyle="1" w:styleId="258">
    <w:name w:val="样式 样式 小四 行距: 1.5 倍行距 + (符号) 宋体 首行缩进:  2 字符"/>
    <w:basedOn w:val="1"/>
    <w:qFormat/>
    <w:uiPriority w:val="0"/>
    <w:pPr>
      <w:adjustRightInd w:val="0"/>
      <w:snapToGrid w:val="0"/>
    </w:pPr>
    <w:rPr>
      <w:rFonts w:cs="宋体"/>
      <w:szCs w:val="20"/>
    </w:rPr>
  </w:style>
  <w:style w:type="character" w:customStyle="1" w:styleId="259">
    <w:name w:val="样式 宋体 小四"/>
    <w:basedOn w:val="44"/>
    <w:uiPriority w:val="0"/>
    <w:rPr>
      <w:rFonts w:ascii="Times New Roman" w:hAnsi="Times New Roman" w:eastAsia="宋体"/>
      <w:sz w:val="24"/>
      <w:vertAlign w:val="baseline"/>
    </w:rPr>
  </w:style>
  <w:style w:type="character" w:customStyle="1" w:styleId="260">
    <w:name w:val="列表 2 Char"/>
    <w:link w:val="17"/>
    <w:uiPriority w:val="0"/>
    <w:rPr>
      <w:rFonts w:ascii="楷体_GB2312" w:hAnsi="宋体" w:eastAsia="楷体_GB2312"/>
      <w:color w:val="000000"/>
      <w:sz w:val="21"/>
    </w:rPr>
  </w:style>
  <w:style w:type="paragraph" w:customStyle="1" w:styleId="261">
    <w:name w:val="x-scope"/>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character" w:customStyle="1" w:styleId="262">
    <w:name w:val="qowt-font2"/>
    <w:basedOn w:val="44"/>
    <w:qFormat/>
    <w:uiPriority w:val="0"/>
  </w:style>
  <w:style w:type="paragraph" w:customStyle="1" w:styleId="263">
    <w:name w:val="qowt-stl-3"/>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jpeg"/><Relationship Id="rId17" Type="http://schemas.openxmlformats.org/officeDocument/2006/relationships/image" Target="media/image2.emf"/><Relationship Id="rId16" Type="http://schemas.openxmlformats.org/officeDocument/2006/relationships/oleObject" Target="embeddings/oleObject1.bin"/><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0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5ADD53-46BC-4217-97DC-A4A8B2A7169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74</Pages>
  <Words>41808</Words>
  <Characters>49138</Characters>
  <Lines>391</Lines>
  <Paragraphs>110</Paragraphs>
  <TotalTime>11000</TotalTime>
  <ScaleCrop>false</ScaleCrop>
  <LinksUpToDate>false</LinksUpToDate>
  <CharactersWithSpaces>49782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2021-08-10T01:38:00Z</dcterms:created>
  <dc:creator>john</dc:creator>
  <cp:lastModifiedBy>陈木沐</cp:lastModifiedBy>
  <cp:lastPrinted>2024-06-06T02:50:00Z</cp:lastPrinted>
  <dcterms:modified xsi:type="dcterms:W3CDTF">2025-07-17T09:36:26Z</dcterms:modified>
  <cp:revision>3171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1C1F40F19F684573BAE0F0C73643055F_12</vt:lpwstr>
  </property>
</Properties>
</file>