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DDA8AB">
      <w:pPr>
        <w:pStyle w:val="16"/>
        <w:widowControl/>
      </w:pPr>
      <mc:AlternateContent>
        <mc:Choice Requires="wpsCustomData">
          <wpsCustomData:docfieldStart id="0" docfieldname="标题_1" hidden="0" print="1" readonly="0" index="3"/>
        </mc:Choice>
      </mc:AlternateContent>
      <w:r>
        <w:t>澧县行政事业单位国有资产管理办法</w:t>
      </w:r>
      <mc:AlternateContent>
        <mc:Choice Requires="wpsCustomData">
          <wpsCustomData:docfieldEnd id="0"/>
        </mc:Choice>
      </mc:AlternateContent>
    </w:p>
    <w:p w14:paraId="018406CE">
      <w:pPr>
        <w:pStyle w:val="11"/>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eastAsia="仿宋_GB2312"/>
          <w:lang w:val="en-US" w:eastAsia="zh-CN"/>
        </w:rPr>
      </w:pPr>
      <w:r>
        <w:rPr>
          <w:rFonts w:hint="eastAsia"/>
          <w:lang w:val="en-US" w:eastAsia="zh-CN"/>
        </w:rPr>
        <w:t>（征求意见稿）</w:t>
      </w:r>
    </w:p>
    <w:p w14:paraId="21CD57BE">
      <w:pPr>
        <w:pStyle w:val="20"/>
        <w:widowControl/>
        <w:numPr>
          <w:ilvl w:val="0"/>
          <w:numId w:val="1"/>
        </w:numPr>
        <w:ind w:left="0" w:leftChars="0" w:firstLine="0" w:firstLineChars="0"/>
        <w:rPr>
          <w:b w:val="0"/>
        </w:rPr>
      </w:pPr>
      <w:r>
        <w:t>总则</w:t>
      </w:r>
    </w:p>
    <w:p w14:paraId="04B4D85B">
      <w:pPr>
        <w:pStyle w:val="11"/>
        <w:widowControl/>
        <w:numPr>
          <w:ilvl w:val="0"/>
          <w:numId w:val="2"/>
        </w:numPr>
        <w:topLinePunct w:val="0"/>
        <w:ind w:left="0" w:leftChars="0" w:firstLine="616" w:firstLineChars="0"/>
        <w:rPr>
          <w:b/>
          <w:i w:val="0"/>
          <w:color w:val="0F1115"/>
        </w:rPr>
      </w:pPr>
      <w:r>
        <w:rPr>
          <w:i w:val="0"/>
          <w:color w:val="0F1115"/>
        </w:rPr>
        <w:t>为加强和规范全县行政事业单位国有资产管理，维护国有资产安全完整，提高资产使用效益，促进资产保值增值，根据《行政事业性国有资产管理条例》《湖南省行政事业性国有资产管理办法》等法律法规和规章，结合本县实际，制定本办法。</w:t>
      </w:r>
    </w:p>
    <w:p w14:paraId="66FDB74B">
      <w:pPr>
        <w:pStyle w:val="11"/>
        <w:widowControl/>
        <w:numPr>
          <w:ilvl w:val="0"/>
          <w:numId w:val="2"/>
        </w:numPr>
        <w:topLinePunct w:val="0"/>
        <w:ind w:left="0" w:leftChars="0" w:firstLine="616" w:firstLineChars="0"/>
        <w:rPr>
          <w:b/>
          <w:i w:val="0"/>
          <w:color w:val="0F1115"/>
        </w:rPr>
      </w:pPr>
      <w:r>
        <w:rPr>
          <w:i w:val="0"/>
          <w:color w:val="0F1115"/>
        </w:rPr>
        <w:t>本办法适用于本县各级党的机关、人大机关、行政机关、政协机关、监察机关、审判机关、检察机关、群团组织以及各类事业单位（以下统称“行政事业单位”）的国有资产管理活动。</w:t>
      </w:r>
    </w:p>
    <w:p w14:paraId="2F414EEB">
      <w:pPr>
        <w:pStyle w:val="11"/>
        <w:widowControl/>
        <w:numPr>
          <w:ilvl w:val="0"/>
          <w:numId w:val="2"/>
        </w:numPr>
        <w:topLinePunct w:val="0"/>
        <w:ind w:left="0" w:leftChars="0" w:firstLine="616" w:firstLineChars="0"/>
        <w:rPr>
          <w:b/>
          <w:i w:val="0"/>
          <w:color w:val="0F1115"/>
        </w:rPr>
      </w:pPr>
      <w:r>
        <w:rPr>
          <w:i w:val="0"/>
          <w:color w:val="0F1115"/>
        </w:rPr>
        <w:t>本办法所称行政事业性国有资产，是指行政事业单位通过以下方式取得或者形成的资产：</w:t>
      </w:r>
    </w:p>
    <w:p w14:paraId="2A6EA96F">
      <w:pPr>
        <w:pStyle w:val="11"/>
        <w:widowControl/>
        <w:numPr>
          <w:ilvl w:val="0"/>
          <w:numId w:val="0"/>
        </w:numPr>
        <w:topLinePunct w:val="0"/>
        <w:ind w:left="616" w:leftChars="0"/>
        <w:rPr>
          <w:rFonts w:hint="eastAsia" w:ascii="仿宋_GB2312" w:hAnsi="仿宋_GB2312" w:eastAsia="仿宋_GB2312" w:cs="仿宋_GB2312"/>
          <w:b w:val="0"/>
          <w:i w:val="0"/>
          <w:color w:val="0F1115"/>
        </w:rPr>
      </w:pPr>
      <w:r>
        <w:rPr>
          <w:rFonts w:hint="eastAsia"/>
          <w:i w:val="0"/>
          <w:color w:val="0F1115"/>
          <w:lang w:val="en-US" w:eastAsia="zh-CN"/>
        </w:rPr>
        <w:t>1.</w:t>
      </w:r>
      <w:r>
        <w:rPr>
          <w:i w:val="0"/>
          <w:color w:val="0F1115"/>
        </w:rPr>
        <w:t>使用财政资金形成的资产；</w:t>
      </w:r>
    </w:p>
    <w:p w14:paraId="0B39CE4A">
      <w:pPr>
        <w:pStyle w:val="11"/>
        <w:widowControl/>
        <w:numPr>
          <w:ilvl w:val="0"/>
          <w:numId w:val="0"/>
        </w:numPr>
        <w:topLinePunct w:val="0"/>
        <w:ind w:left="616" w:leftChars="0"/>
        <w:rPr>
          <w:rFonts w:hint="eastAsia" w:ascii="仿宋_GB2312" w:hAnsi="仿宋_GB2312" w:eastAsia="仿宋_GB2312" w:cs="仿宋_GB2312"/>
          <w:b w:val="0"/>
          <w:i w:val="0"/>
          <w:color w:val="0F1115"/>
        </w:rPr>
      </w:pPr>
      <w:r>
        <w:rPr>
          <w:rFonts w:hint="eastAsia"/>
          <w:i w:val="0"/>
          <w:color w:val="0F1115"/>
          <w:lang w:val="en-US" w:eastAsia="zh-CN"/>
        </w:rPr>
        <w:t>2.</w:t>
      </w:r>
      <w:r>
        <w:rPr>
          <w:i w:val="0"/>
          <w:color w:val="0F1115"/>
        </w:rPr>
        <w:t>接受调拨、划转或者置换形成的资产；</w:t>
      </w:r>
    </w:p>
    <w:p w14:paraId="106BA138">
      <w:pPr>
        <w:pStyle w:val="11"/>
        <w:widowControl/>
        <w:numPr>
          <w:ilvl w:val="0"/>
          <w:numId w:val="0"/>
        </w:numPr>
        <w:topLinePunct w:val="0"/>
        <w:ind w:left="616" w:leftChars="0"/>
        <w:rPr>
          <w:rFonts w:hint="eastAsia" w:ascii="仿宋_GB2312" w:hAnsi="仿宋_GB2312" w:eastAsia="仿宋_GB2312" w:cs="仿宋_GB2312"/>
          <w:b w:val="0"/>
          <w:i w:val="0"/>
          <w:color w:val="0F1115"/>
        </w:rPr>
      </w:pPr>
      <w:r>
        <w:rPr>
          <w:rFonts w:hint="eastAsia"/>
          <w:i w:val="0"/>
          <w:color w:val="0F1115"/>
          <w:lang w:val="en-US" w:eastAsia="zh-CN"/>
        </w:rPr>
        <w:t>3.</w:t>
      </w:r>
      <w:r>
        <w:rPr>
          <w:i w:val="0"/>
          <w:color w:val="0F1115"/>
        </w:rPr>
        <w:t>接受捐赠并确认为国有的资产；</w:t>
      </w:r>
    </w:p>
    <w:p w14:paraId="05F7BB6C">
      <w:pPr>
        <w:pStyle w:val="11"/>
        <w:widowControl/>
        <w:numPr>
          <w:ilvl w:val="0"/>
          <w:numId w:val="0"/>
        </w:numPr>
        <w:topLinePunct w:val="0"/>
        <w:ind w:firstLine="644" w:firstLineChars="200"/>
        <w:rPr>
          <w:rFonts w:hint="eastAsia" w:ascii="仿宋_GB2312" w:hAnsi="仿宋_GB2312" w:eastAsia="仿宋_GB2312" w:cs="仿宋_GB2312"/>
          <w:b w:val="0"/>
          <w:i w:val="0"/>
          <w:color w:val="0F1115"/>
        </w:rPr>
      </w:pPr>
      <w:r>
        <w:rPr>
          <w:rFonts w:hint="eastAsia"/>
          <w:i w:val="0"/>
          <w:color w:val="0F1115"/>
          <w:spacing wpsCustomData:val="-6" w:val="1"/>
          <w:lang w:val="en-US" w:eastAsia="zh-CN"/>
        </w:rPr>
        <w:t>4.</w:t>
      </w:r>
      <w:r>
        <w:rPr>
          <w:i w:val="0"/>
          <w:color w:val="0F1115"/>
          <w:spacing wpsCustomData:val="-6" w:val="1"/>
        </w:rPr>
        <w:t>依据法律法规规定或者经依法认定属于国家所有的其</w:t>
      </w:r>
      <w:r>
        <w:rPr>
          <w:i w:val="0"/>
          <w:color w:val="0F1115"/>
          <w:spacing wpsCustomData:val="-6" w:val="-6"/>
        </w:rPr>
        <w:t>他</w:t>
      </w:r>
      <w:r>
        <w:rPr>
          <w:i w:val="0"/>
          <w:color w:val="0F1115"/>
        </w:rPr>
        <w:t>资产。</w:t>
      </w:r>
    </w:p>
    <w:p w14:paraId="41120831">
      <w:pPr>
        <w:pStyle w:val="11"/>
        <w:widowControl/>
        <w:numPr>
          <w:ilvl w:val="0"/>
          <w:numId w:val="2"/>
        </w:numPr>
        <w:topLinePunct w:val="0"/>
        <w:ind w:left="0" w:leftChars="0" w:firstLine="616" w:firstLineChars="0"/>
        <w:rPr>
          <w:b/>
          <w:i w:val="0"/>
          <w:color w:val="0F1115"/>
        </w:rPr>
      </w:pPr>
      <w:r>
        <w:rPr>
          <w:i w:val="0"/>
          <w:color w:val="0F1115"/>
        </w:rPr>
        <w:t>行政事业单位国有资产管理遵循安全规范、节约高效、公开透明、权责一致的原则，实行资产管理与预算管理、财务管理相结合，实物管理与价值管理相统一的管理模式。</w:t>
      </w:r>
    </w:p>
    <w:p w14:paraId="7140D753">
      <w:pPr>
        <w:pStyle w:val="20"/>
        <w:widowControl/>
        <w:numPr>
          <w:ilvl w:val="0"/>
          <w:numId w:val="1"/>
        </w:numPr>
        <w:ind w:left="0" w:leftChars="0" w:firstLine="0" w:firstLineChars="0"/>
        <w:rPr>
          <w:b w:val="0"/>
        </w:rPr>
      </w:pPr>
      <w:r>
        <w:t>管理机构与职责</w:t>
      </w:r>
    </w:p>
    <w:p w14:paraId="032749B8">
      <w:pPr>
        <w:pStyle w:val="11"/>
        <w:widowControl/>
        <w:numPr>
          <w:ilvl w:val="0"/>
          <w:numId w:val="3"/>
        </w:numPr>
        <w:topLinePunct w:val="0"/>
        <w:ind w:left="0" w:leftChars="0" w:firstLine="616" w:firstLineChars="0"/>
        <w:rPr>
          <w:b/>
          <w:i w:val="0"/>
          <w:color w:val="0F1115"/>
        </w:rPr>
      </w:pPr>
      <w:r>
        <w:rPr>
          <w:i w:val="0"/>
          <w:color w:val="0F1115"/>
        </w:rPr>
        <w:t>县国有资产经营管理中心（以下简称“县国资中心”）</w:t>
      </w:r>
      <w:r>
        <w:rPr>
          <w:rFonts w:hint="eastAsia"/>
          <w:i w:val="0"/>
          <w:color w:val="0F1115"/>
          <w:lang w:eastAsia="zh-CN"/>
        </w:rPr>
        <w:t>受县政府委托，</w:t>
      </w:r>
      <w:r>
        <w:rPr>
          <w:i w:val="0"/>
          <w:color w:val="0F1115"/>
        </w:rPr>
        <w:t>负责监督、指导全县行政事业单位国有资产管理工作，履行综合监管职责</w:t>
      </w:r>
      <w:r>
        <w:rPr>
          <w:rFonts w:hint="eastAsia"/>
          <w:i w:val="0"/>
          <w:color w:val="0F1115"/>
          <w:lang w:eastAsia="zh-CN"/>
        </w:rPr>
        <w:t>，</w:t>
      </w:r>
      <w:r>
        <w:rPr>
          <w:i w:val="0"/>
          <w:color w:val="0F1115"/>
        </w:rPr>
        <w:t>承担具体事务性工作。</w:t>
      </w:r>
    </w:p>
    <w:p w14:paraId="0CC17575">
      <w:pPr>
        <w:pStyle w:val="11"/>
        <w:widowControl/>
        <w:numPr>
          <w:ilvl w:val="0"/>
          <w:numId w:val="3"/>
        </w:numPr>
        <w:topLinePunct w:val="0"/>
        <w:ind w:left="0" w:leftChars="0" w:firstLine="616" w:firstLineChars="0"/>
        <w:rPr>
          <w:b/>
          <w:i w:val="0"/>
          <w:color w:val="0F1115"/>
        </w:rPr>
      </w:pPr>
      <w:r>
        <w:rPr>
          <w:i w:val="0"/>
          <w:color w:val="0F1115"/>
        </w:rPr>
        <w:t>县国资中心在</w:t>
      </w:r>
      <w:r>
        <w:rPr>
          <w:rFonts w:hint="eastAsia"/>
          <w:i w:val="0"/>
          <w:color w:val="0F1115"/>
          <w:lang w:eastAsia="zh-CN"/>
        </w:rPr>
        <w:t>受</w:t>
      </w:r>
      <w:r>
        <w:rPr>
          <w:i w:val="0"/>
          <w:color w:val="0F1115"/>
        </w:rPr>
        <w:t>托范围内履行以下主要职责：</w:t>
      </w:r>
    </w:p>
    <w:p w14:paraId="25DEB093">
      <w:pPr>
        <w:pStyle w:val="11"/>
        <w:widowControl/>
        <w:numPr>
          <w:ilvl w:val="0"/>
          <w:numId w:val="0"/>
        </w:numPr>
        <w:topLinePunct w:val="0"/>
        <w:ind w:firstLine="616" w:firstLineChars="200"/>
        <w:rPr>
          <w:rFonts w:hint="eastAsia" w:ascii="仿宋_GB2312" w:hAnsi="仿宋_GB2312" w:eastAsia="仿宋_GB2312" w:cs="仿宋_GB2312"/>
          <w:b w:val="0"/>
          <w:i w:val="0"/>
          <w:color w:val="0F1115"/>
        </w:rPr>
      </w:pPr>
      <w:r>
        <w:rPr>
          <w:rFonts w:hint="eastAsia"/>
          <w:i w:val="0"/>
          <w:color w:val="0F1115"/>
          <w:lang w:val="en-US" w:eastAsia="zh-CN"/>
        </w:rPr>
        <w:t>1.</w:t>
      </w:r>
      <w:r>
        <w:rPr>
          <w:i w:val="0"/>
          <w:color w:val="0F1115"/>
        </w:rPr>
        <w:t>贯彻执行国家及上级有关国有资产管理的法律法规、规章和政策；</w:t>
      </w:r>
    </w:p>
    <w:p w14:paraId="7F9833C1">
      <w:pPr>
        <w:pStyle w:val="11"/>
        <w:widowControl/>
        <w:numPr>
          <w:ilvl w:val="0"/>
          <w:numId w:val="0"/>
        </w:numPr>
        <w:topLinePunct w:val="0"/>
        <w:ind w:firstLine="644" w:firstLineChars="200"/>
        <w:rPr>
          <w:rFonts w:hint="eastAsia" w:ascii="仿宋_GB2312" w:hAnsi="仿宋_GB2312" w:eastAsia="仿宋_GB2312" w:cs="仿宋_GB2312"/>
          <w:b w:val="0"/>
          <w:i w:val="0"/>
          <w:color w:val="0F1115"/>
        </w:rPr>
      </w:pPr>
      <w:r>
        <w:rPr>
          <w:rFonts w:hint="eastAsia"/>
          <w:i w:val="0"/>
          <w:color w:val="0F1115"/>
          <w:spacing wpsCustomData:val="-6" w:val="1"/>
          <w:lang w:val="en-US" w:eastAsia="zh-CN"/>
        </w:rPr>
        <w:t>2.</w:t>
      </w:r>
      <w:r>
        <w:rPr>
          <w:i w:val="0"/>
          <w:color w:val="0F1115"/>
          <w:spacing wpsCustomData:val="-6" w:val="1"/>
        </w:rPr>
        <w:t>制定本县行政事业单位国有资产管理的具体制度并组</w:t>
      </w:r>
      <w:r>
        <w:rPr>
          <w:i w:val="0"/>
          <w:color w:val="0F1115"/>
          <w:spacing wpsCustomData:val="-6" w:val="-6"/>
        </w:rPr>
        <w:t>织</w:t>
      </w:r>
      <w:r>
        <w:rPr>
          <w:i w:val="0"/>
          <w:color w:val="0F1115"/>
        </w:rPr>
        <w:t>实施；</w:t>
      </w:r>
    </w:p>
    <w:p w14:paraId="5AD9AA1F">
      <w:pPr>
        <w:pStyle w:val="11"/>
        <w:widowControl/>
        <w:numPr>
          <w:ilvl w:val="0"/>
          <w:numId w:val="0"/>
        </w:numPr>
        <w:topLinePunct w:val="0"/>
        <w:ind w:firstLine="616" w:firstLineChars="200"/>
        <w:rPr>
          <w:rFonts w:hint="eastAsia" w:ascii="仿宋_GB2312" w:hAnsi="仿宋_GB2312" w:eastAsia="仿宋_GB2312" w:cs="仿宋_GB2312"/>
          <w:b w:val="0"/>
          <w:i w:val="0"/>
          <w:color w:val="0F1115"/>
        </w:rPr>
      </w:pPr>
      <w:r>
        <w:rPr>
          <w:rFonts w:hint="eastAsia"/>
          <w:i w:val="0"/>
          <w:color w:val="0F1115"/>
          <w:lang w:val="en-US" w:eastAsia="zh-CN"/>
        </w:rPr>
        <w:t>3.</w:t>
      </w:r>
      <w:r>
        <w:rPr>
          <w:i w:val="0"/>
          <w:color w:val="0F1115"/>
        </w:rPr>
        <w:t>负责全县行政事业单位国有资产的产权界定、产权登记、资产清查、资产评估监管、资产统计报告等工作；</w:t>
      </w:r>
    </w:p>
    <w:p w14:paraId="64EC832A">
      <w:pPr>
        <w:pStyle w:val="11"/>
        <w:widowControl/>
        <w:numPr>
          <w:ilvl w:val="0"/>
          <w:numId w:val="0"/>
        </w:numPr>
        <w:topLinePunct w:val="0"/>
        <w:ind w:firstLine="616" w:firstLineChars="200"/>
        <w:rPr>
          <w:rFonts w:hint="eastAsia" w:ascii="仿宋_GB2312" w:hAnsi="仿宋_GB2312" w:eastAsia="仿宋_GB2312" w:cs="仿宋_GB2312"/>
          <w:b w:val="0"/>
          <w:i w:val="0"/>
          <w:color w:val="0F1115"/>
        </w:rPr>
      </w:pPr>
      <w:r>
        <w:rPr>
          <w:rFonts w:hint="eastAsia"/>
          <w:i w:val="0"/>
          <w:color w:val="0F1115"/>
          <w:lang w:val="en-US" w:eastAsia="zh-CN"/>
        </w:rPr>
        <w:t>4.</w:t>
      </w:r>
      <w:r>
        <w:rPr>
          <w:i w:val="0"/>
          <w:color w:val="0F1115"/>
        </w:rPr>
        <w:t>按规定权限审核或审批国有资产配置、处置、出租、出借等事项；</w:t>
      </w:r>
    </w:p>
    <w:p w14:paraId="2507FB79">
      <w:pPr>
        <w:pStyle w:val="11"/>
        <w:widowControl/>
        <w:numPr>
          <w:ilvl w:val="0"/>
          <w:numId w:val="0"/>
        </w:numPr>
        <w:topLinePunct w:val="0"/>
        <w:ind w:firstLine="616" w:firstLineChars="200"/>
        <w:rPr>
          <w:rFonts w:hint="eastAsia" w:ascii="仿宋_GB2312" w:hAnsi="仿宋_GB2312" w:eastAsia="仿宋_GB2312" w:cs="仿宋_GB2312"/>
          <w:b w:val="0"/>
          <w:i w:val="0"/>
          <w:color w:val="0F1115"/>
        </w:rPr>
      </w:pPr>
      <w:r>
        <w:rPr>
          <w:rFonts w:hint="eastAsia"/>
          <w:i w:val="0"/>
          <w:color w:val="0F1115"/>
          <w:lang w:val="en-US" w:eastAsia="zh-CN"/>
        </w:rPr>
        <w:t>5.</w:t>
      </w:r>
      <w:r>
        <w:rPr>
          <w:i w:val="0"/>
          <w:color w:val="0F1115"/>
        </w:rPr>
        <w:t>负责全县行政事业单位闲置资产的统筹管理和优化配置；</w:t>
      </w:r>
    </w:p>
    <w:p w14:paraId="1A97E31A">
      <w:pPr>
        <w:pStyle w:val="11"/>
        <w:widowControl/>
        <w:numPr>
          <w:ilvl w:val="0"/>
          <w:numId w:val="0"/>
        </w:numPr>
        <w:topLinePunct w:val="0"/>
        <w:ind w:firstLine="644" w:firstLineChars="200"/>
        <w:rPr>
          <w:rFonts w:hint="eastAsia" w:ascii="仿宋_GB2312" w:hAnsi="仿宋_GB2312" w:eastAsia="仿宋_GB2312" w:cs="仿宋_GB2312"/>
          <w:b w:val="0"/>
          <w:i w:val="0"/>
          <w:color w:val="0F1115"/>
        </w:rPr>
      </w:pPr>
      <w:r>
        <w:rPr>
          <w:rFonts w:hint="eastAsia"/>
          <w:i w:val="0"/>
          <w:color w:val="0F1115"/>
          <w:spacing wpsCustomData:val="1" w:val="1"/>
          <w:lang w:val="en-US" w:eastAsia="zh-CN"/>
        </w:rPr>
        <w:t>6</w:t>
      </w:r>
      <w:r>
        <w:rPr>
          <w:rFonts w:hint="eastAsia"/>
          <w:i w:val="0"/>
          <w:color w:val="0F1115"/>
          <w:spacing wpsCustomData:val="1" w:val="5"/>
          <w:lang w:val="en-US" w:eastAsia="zh-CN"/>
        </w:rPr>
        <w:t>.</w:t>
      </w:r>
      <w:r>
        <w:rPr>
          <w:i w:val="0"/>
          <w:color w:val="0F1115"/>
          <w:spacing wpsCustomData:val="1" w:val="5"/>
        </w:rPr>
        <w:t>监督</w:t>
      </w:r>
      <w:r>
        <w:rPr>
          <w:i w:val="0"/>
          <w:color w:val="0F1115"/>
          <w:spacing wpsCustomData:val="6" w:val="11"/>
        </w:rPr>
        <w:t>、</w:t>
      </w:r>
      <w:r>
        <w:rPr>
          <w:i w:val="0"/>
          <w:color w:val="0F1115"/>
          <w:spacing wpsCustomData:val="1" w:val="5"/>
        </w:rPr>
        <w:t>指导各主管部门及行政事业单位的国有资产管</w:t>
      </w:r>
      <w:r>
        <w:rPr>
          <w:i w:val="0"/>
          <w:color w:val="0F1115"/>
          <w:spacing wpsCustomData:val="-6" w:val="-6"/>
        </w:rPr>
        <w:t>理</w:t>
      </w:r>
      <w:r>
        <w:rPr>
          <w:i w:val="0"/>
          <w:color w:val="0F1115"/>
        </w:rPr>
        <w:t>工作；</w:t>
      </w:r>
    </w:p>
    <w:p w14:paraId="678FC801">
      <w:pPr>
        <w:pStyle w:val="11"/>
        <w:widowControl/>
        <w:numPr>
          <w:ilvl w:val="0"/>
          <w:numId w:val="0"/>
        </w:numPr>
        <w:topLinePunct w:val="0"/>
        <w:ind w:firstLine="616" w:firstLineChars="200"/>
        <w:rPr>
          <w:rFonts w:hint="eastAsia" w:ascii="仿宋_GB2312" w:hAnsi="仿宋_GB2312" w:eastAsia="仿宋_GB2312" w:cs="仿宋_GB2312"/>
          <w:b w:val="0"/>
          <w:i w:val="0"/>
          <w:color w:val="0F1115"/>
        </w:rPr>
      </w:pPr>
      <w:r>
        <w:rPr>
          <w:rFonts w:hint="eastAsia"/>
          <w:i w:val="0"/>
          <w:color w:val="0F1115"/>
          <w:lang w:val="en-US" w:eastAsia="zh-CN"/>
        </w:rPr>
        <w:t>7.</w:t>
      </w:r>
      <w:r>
        <w:rPr>
          <w:i w:val="0"/>
          <w:color w:val="0F1115"/>
        </w:rPr>
        <w:t>编制全县行政事业性国有资产管理情况综合报告。</w:t>
      </w:r>
    </w:p>
    <w:p w14:paraId="674C2D64">
      <w:pPr>
        <w:pStyle w:val="11"/>
        <w:widowControl/>
        <w:numPr>
          <w:ilvl w:val="0"/>
          <w:numId w:val="3"/>
        </w:numPr>
        <w:topLinePunct w:val="0"/>
        <w:ind w:left="0" w:leftChars="0" w:firstLine="616" w:firstLineChars="0"/>
        <w:rPr>
          <w:b/>
          <w:i w:val="0"/>
          <w:color w:val="0F1115"/>
        </w:rPr>
      </w:pPr>
      <w:r>
        <w:rPr>
          <w:i w:val="0"/>
          <w:color w:val="0F1115"/>
        </w:rPr>
        <w:t>各主管部门负责对本部门及其所属单位的国有资产实施监督管理，建立健全管理制度，督促落实管理责任。</w:t>
      </w:r>
    </w:p>
    <w:p w14:paraId="19FB1ADC">
      <w:pPr>
        <w:pStyle w:val="11"/>
        <w:widowControl/>
        <w:numPr>
          <w:ilvl w:val="0"/>
          <w:numId w:val="3"/>
        </w:numPr>
        <w:topLinePunct w:val="0"/>
        <w:ind w:left="0" w:leftChars="0" w:firstLine="616" w:firstLineChars="0"/>
        <w:rPr>
          <w:b/>
          <w:i w:val="0"/>
          <w:color w:val="0F1115"/>
        </w:rPr>
      </w:pPr>
      <w:r>
        <w:rPr>
          <w:i w:val="0"/>
          <w:color w:val="0F1115"/>
        </w:rPr>
        <w:t>各行政事业单位是本单位国有资产管理的责任主体，负责资产的具体管理工作，履行以下职责：</w:t>
      </w:r>
    </w:p>
    <w:p w14:paraId="0285A4EF">
      <w:pPr>
        <w:pStyle w:val="11"/>
        <w:widowControl/>
        <w:numPr>
          <w:ilvl w:val="0"/>
          <w:numId w:val="0"/>
        </w:numPr>
        <w:topLinePunct w:val="0"/>
        <w:ind w:firstLine="616" w:firstLineChars="200"/>
        <w:rPr>
          <w:rFonts w:hint="eastAsia" w:ascii="仿宋_GB2312" w:hAnsi="仿宋_GB2312" w:eastAsia="仿宋_GB2312" w:cs="仿宋_GB2312"/>
          <w:b w:val="0"/>
          <w:i w:val="0"/>
          <w:color w:val="0F1115"/>
        </w:rPr>
      </w:pPr>
      <w:r>
        <w:rPr>
          <w:rFonts w:hint="eastAsia"/>
          <w:i w:val="0"/>
          <w:color w:val="0F1115"/>
          <w:lang w:val="en-US" w:eastAsia="zh-CN"/>
        </w:rPr>
        <w:t>1.</w:t>
      </w:r>
      <w:r>
        <w:rPr>
          <w:i w:val="0"/>
          <w:color w:val="0F1115"/>
        </w:rPr>
        <w:t>建立健全本单位国有资产内部控制管理制度，明确资产管理机构和</w:t>
      </w:r>
      <w:r>
        <w:rPr>
          <w:rFonts w:hint="eastAsia"/>
          <w:i w:val="0"/>
          <w:color w:val="0F1115"/>
          <w:lang w:eastAsia="zh-CN"/>
        </w:rPr>
        <w:t>分管负责人、资产管理专干</w:t>
      </w:r>
      <w:r>
        <w:rPr>
          <w:i w:val="0"/>
          <w:color w:val="0F1115"/>
        </w:rPr>
        <w:t>；</w:t>
      </w:r>
    </w:p>
    <w:p w14:paraId="0B5B62B1">
      <w:pPr>
        <w:pStyle w:val="11"/>
        <w:widowControl/>
        <w:numPr>
          <w:ilvl w:val="0"/>
          <w:numId w:val="0"/>
        </w:numPr>
        <w:topLinePunct w:val="0"/>
        <w:ind w:firstLine="616" w:firstLineChars="200"/>
        <w:rPr>
          <w:rFonts w:hint="eastAsia" w:ascii="仿宋_GB2312" w:hAnsi="仿宋_GB2312" w:eastAsia="仿宋_GB2312" w:cs="仿宋_GB2312"/>
          <w:b w:val="0"/>
          <w:i w:val="0"/>
          <w:color w:val="0F1115"/>
        </w:rPr>
      </w:pPr>
      <w:r>
        <w:rPr>
          <w:rFonts w:hint="eastAsia"/>
          <w:i w:val="0"/>
          <w:color w:val="0F1115"/>
          <w:lang w:val="en-US" w:eastAsia="zh-CN"/>
        </w:rPr>
        <w:t>2.</w:t>
      </w:r>
      <w:r>
        <w:rPr>
          <w:i w:val="0"/>
          <w:color w:val="0F1115"/>
        </w:rPr>
        <w:t>规范办理国有资产的配置、使用、处置、收益收缴等事项；</w:t>
      </w:r>
    </w:p>
    <w:p w14:paraId="7CEDC88B">
      <w:pPr>
        <w:pStyle w:val="11"/>
        <w:widowControl/>
        <w:numPr>
          <w:ilvl w:val="0"/>
          <w:numId w:val="0"/>
        </w:numPr>
        <w:topLinePunct w:val="0"/>
        <w:ind w:firstLine="616" w:firstLineChars="200"/>
        <w:rPr>
          <w:rFonts w:hint="eastAsia" w:ascii="仿宋_GB2312" w:hAnsi="仿宋_GB2312" w:eastAsia="仿宋_GB2312" w:cs="仿宋_GB2312"/>
          <w:b w:val="0"/>
          <w:i w:val="0"/>
          <w:color w:val="0F1115"/>
        </w:rPr>
      </w:pPr>
      <w:r>
        <w:rPr>
          <w:rFonts w:hint="eastAsia"/>
          <w:i w:val="0"/>
          <w:color w:val="0F1115"/>
          <w:lang w:val="en-US" w:eastAsia="zh-CN"/>
        </w:rPr>
        <w:t>3.</w:t>
      </w:r>
      <w:r>
        <w:rPr>
          <w:i w:val="0"/>
          <w:color w:val="0F1115"/>
        </w:rPr>
        <w:t>负责国有资产的采购验收、登记入账、维修保养、清查盘点等日常管理，确保资产安全完整、高效利用；</w:t>
      </w:r>
    </w:p>
    <w:p w14:paraId="56F6990C">
      <w:pPr>
        <w:pStyle w:val="11"/>
        <w:widowControl/>
        <w:numPr>
          <w:ilvl w:val="0"/>
          <w:numId w:val="0"/>
        </w:numPr>
        <w:topLinePunct w:val="0"/>
        <w:ind w:firstLine="616" w:firstLineChars="200"/>
        <w:rPr>
          <w:rFonts w:hint="eastAsia" w:ascii="仿宋_GB2312" w:hAnsi="仿宋_GB2312" w:eastAsia="仿宋_GB2312" w:cs="仿宋_GB2312"/>
          <w:b w:val="0"/>
          <w:i w:val="0"/>
          <w:color w:val="0F1115"/>
        </w:rPr>
      </w:pPr>
      <w:r>
        <w:rPr>
          <w:rFonts w:hint="eastAsia"/>
          <w:i w:val="0"/>
          <w:color w:val="0F1115"/>
          <w:lang w:val="en-US" w:eastAsia="zh-CN"/>
        </w:rPr>
        <w:t>4.</w:t>
      </w:r>
      <w:r>
        <w:rPr>
          <w:i w:val="0"/>
          <w:color w:val="0F1115"/>
        </w:rPr>
        <w:t>定期编制并报送本单位国有资产管理情况报告；</w:t>
      </w:r>
    </w:p>
    <w:p w14:paraId="1E71697A">
      <w:pPr>
        <w:pStyle w:val="11"/>
        <w:widowControl/>
        <w:numPr>
          <w:ilvl w:val="0"/>
          <w:numId w:val="0"/>
        </w:numPr>
        <w:topLinePunct w:val="0"/>
        <w:ind w:firstLine="616" w:firstLineChars="200"/>
        <w:rPr>
          <w:rFonts w:hint="eastAsia" w:ascii="仿宋_GB2312" w:hAnsi="仿宋_GB2312" w:eastAsia="仿宋_GB2312" w:cs="仿宋_GB2312"/>
          <w:b w:val="0"/>
          <w:i w:val="0"/>
          <w:color w:val="0F1115"/>
        </w:rPr>
      </w:pPr>
      <w:r>
        <w:rPr>
          <w:rFonts w:hint="eastAsia"/>
          <w:i w:val="0"/>
          <w:color w:val="0F1115"/>
          <w:lang w:val="en-US" w:eastAsia="zh-CN"/>
        </w:rPr>
        <w:t>5.</w:t>
      </w:r>
      <w:r>
        <w:rPr>
          <w:i w:val="0"/>
          <w:color w:val="0F1115"/>
        </w:rPr>
        <w:t>组织实施本单位国有资产绩效评价工作；</w:t>
      </w:r>
    </w:p>
    <w:p w14:paraId="22189252">
      <w:pPr>
        <w:pStyle w:val="11"/>
        <w:widowControl/>
        <w:numPr>
          <w:ilvl w:val="0"/>
          <w:numId w:val="0"/>
        </w:numPr>
        <w:topLinePunct w:val="0"/>
        <w:ind w:firstLine="616" w:firstLineChars="200"/>
        <w:rPr>
          <w:rFonts w:hint="eastAsia" w:ascii="仿宋_GB2312" w:hAnsi="仿宋_GB2312" w:eastAsia="仿宋_GB2312" w:cs="仿宋_GB2312"/>
          <w:b w:val="0"/>
          <w:i w:val="0"/>
          <w:color w:val="0F1115"/>
        </w:rPr>
      </w:pPr>
      <w:r>
        <w:rPr>
          <w:rFonts w:hint="eastAsia"/>
          <w:i w:val="0"/>
          <w:color w:val="0F1115"/>
          <w:lang w:val="en-US" w:eastAsia="zh-CN"/>
        </w:rPr>
        <w:t>6.</w:t>
      </w:r>
      <w:r>
        <w:rPr>
          <w:i w:val="0"/>
          <w:color w:val="0F1115"/>
        </w:rPr>
        <w:t>法律、法规、规章规定的其他职责。</w:t>
      </w:r>
    </w:p>
    <w:p w14:paraId="3DB9C427">
      <w:pPr>
        <w:pStyle w:val="20"/>
        <w:widowControl/>
        <w:numPr>
          <w:ilvl w:val="0"/>
          <w:numId w:val="1"/>
        </w:numPr>
        <w:ind w:left="0" w:leftChars="0" w:firstLine="0" w:firstLineChars="0"/>
        <w:rPr>
          <w:b w:val="0"/>
        </w:rPr>
      </w:pPr>
      <w:r>
        <w:t>资产配置、使用与收益管理</w:t>
      </w:r>
    </w:p>
    <w:p w14:paraId="0189D99B">
      <w:pPr>
        <w:pStyle w:val="11"/>
        <w:widowControl/>
        <w:numPr>
          <w:ilvl w:val="0"/>
          <w:numId w:val="4"/>
        </w:numPr>
        <w:topLinePunct w:val="0"/>
        <w:ind w:left="0" w:leftChars="0" w:firstLine="616" w:firstLineChars="0"/>
        <w:rPr>
          <w:b/>
          <w:i w:val="0"/>
          <w:color w:val="0F1115"/>
        </w:rPr>
      </w:pPr>
      <w:r>
        <w:rPr>
          <w:i w:val="0"/>
          <w:color w:val="0F1115"/>
        </w:rPr>
        <w:t>行政事业单位国有资产配置应当符合法律法规和规章制度，与单位履行职能和事业发展需要相适应，遵循保障需要、节俭实用、严格标准、优先调剂的原则，并与预算管理紧密结合。</w:t>
      </w:r>
    </w:p>
    <w:p w14:paraId="20A6305F">
      <w:pPr>
        <w:pStyle w:val="11"/>
        <w:widowControl/>
        <w:numPr>
          <w:ilvl w:val="0"/>
          <w:numId w:val="4"/>
        </w:numPr>
        <w:topLinePunct w:val="0"/>
        <w:ind w:left="0" w:leftChars="0" w:firstLine="616" w:firstLineChars="0"/>
        <w:rPr>
          <w:b/>
          <w:i w:val="0"/>
          <w:color w:val="0F1115"/>
        </w:rPr>
      </w:pPr>
      <w:r>
        <w:rPr>
          <w:i w:val="0"/>
          <w:color w:val="0F1115"/>
        </w:rPr>
        <w:t>行政事业单位国有资产的使用包括单位自用、出租、出借等方式。</w:t>
      </w:r>
    </w:p>
    <w:p w14:paraId="19BAB281">
      <w:pPr>
        <w:pStyle w:val="11"/>
        <w:widowControl/>
        <w:rPr>
          <w:i w:val="0"/>
          <w:color w:val="0F1115"/>
        </w:rPr>
      </w:pPr>
      <w:r>
        <w:rPr>
          <w:i w:val="0"/>
          <w:color w:val="0F1115"/>
        </w:rPr>
        <w:t>资产自用应当明确管理责任，规范使用流程，加强维护保管，提高使用效率，防止闲置浪费和损失。</w:t>
      </w:r>
    </w:p>
    <w:p w14:paraId="66C82370">
      <w:pPr>
        <w:pStyle w:val="11"/>
        <w:widowControl/>
        <w:rPr>
          <w:i w:val="0"/>
          <w:color w:val="0F1115"/>
        </w:rPr>
      </w:pPr>
      <w:r>
        <w:rPr>
          <w:i w:val="0"/>
          <w:color w:val="0F1115"/>
        </w:rPr>
        <w:t>资产出租、出借应当严格履行可行性论证、集体决策和审批程序。未经批准，不得对外出租、出借。</w:t>
      </w:r>
    </w:p>
    <w:p w14:paraId="32648F32">
      <w:pPr>
        <w:pStyle w:val="11"/>
        <w:widowControl/>
        <w:numPr>
          <w:ilvl w:val="0"/>
          <w:numId w:val="4"/>
        </w:numPr>
        <w:topLinePunct w:val="0"/>
        <w:ind w:left="0" w:leftChars="0" w:firstLine="616" w:firstLineChars="0"/>
        <w:rPr>
          <w:b/>
          <w:i w:val="0"/>
          <w:color w:val="0F1115"/>
        </w:rPr>
      </w:pPr>
      <w:r>
        <w:rPr>
          <w:i w:val="0"/>
          <w:color w:val="0F1115"/>
        </w:rPr>
        <w:t>行政事业单位国有资产出租，应当遵循公开、公平、公正原则。</w:t>
      </w:r>
    </w:p>
    <w:p w14:paraId="6DFE70A5">
      <w:pPr>
        <w:pStyle w:val="11"/>
        <w:widowControl/>
        <w:numPr>
          <w:ilvl w:val="0"/>
          <w:numId w:val="0"/>
        </w:numPr>
        <w:topLinePunct w:val="0"/>
        <w:ind w:left="616" w:leftChars="0"/>
        <w:rPr>
          <w:rFonts w:hint="eastAsia" w:ascii="仿宋_GB2312" w:hAnsi="仿宋_GB2312" w:eastAsia="仿宋_GB2312" w:cs="仿宋_GB2312"/>
          <w:b w:val="0"/>
          <w:i w:val="0"/>
          <w:color w:val="0F1115"/>
        </w:rPr>
      </w:pPr>
      <w:r>
        <w:rPr>
          <w:rFonts w:hint="eastAsia"/>
          <w:i w:val="0"/>
          <w:color w:val="0F1115"/>
          <w:lang w:val="en-US" w:eastAsia="zh-CN"/>
        </w:rPr>
        <w:t>1.</w:t>
      </w:r>
      <w:r>
        <w:rPr>
          <w:i w:val="0"/>
          <w:color w:val="0F1115"/>
        </w:rPr>
        <w:t>原则上应当进行资产评估确定招租底价；</w:t>
      </w:r>
    </w:p>
    <w:p w14:paraId="3E633FED">
      <w:pPr>
        <w:pStyle w:val="11"/>
        <w:widowControl/>
        <w:numPr>
          <w:ilvl w:val="0"/>
          <w:numId w:val="0"/>
        </w:numPr>
        <w:topLinePunct w:val="0"/>
        <w:ind w:firstLine="616" w:firstLineChars="200"/>
        <w:rPr>
          <w:rFonts w:hint="eastAsia" w:ascii="仿宋_GB2312" w:hAnsi="仿宋_GB2312" w:eastAsia="仿宋_GB2312" w:cs="仿宋_GB2312"/>
          <w:b w:val="0"/>
          <w:i w:val="0"/>
          <w:color w:val="0F1115"/>
        </w:rPr>
      </w:pPr>
      <w:r>
        <w:rPr>
          <w:rFonts w:hint="eastAsia"/>
          <w:i w:val="0"/>
          <w:color w:val="0F1115"/>
          <w:lang w:val="en-US" w:eastAsia="zh-CN"/>
        </w:rPr>
        <w:t>2.</w:t>
      </w:r>
      <w:r>
        <w:rPr>
          <w:i w:val="0"/>
          <w:color w:val="0F1115"/>
        </w:rPr>
        <w:t>租赁期限一般不超过五年，确需超过五年的，报县人民政府批准；</w:t>
      </w:r>
    </w:p>
    <w:p w14:paraId="44E00D4B">
      <w:pPr>
        <w:pStyle w:val="11"/>
        <w:widowControl/>
        <w:numPr>
          <w:ilvl w:val="0"/>
          <w:numId w:val="0"/>
        </w:numPr>
        <w:topLinePunct w:val="0"/>
        <w:ind w:firstLine="616" w:firstLineChars="200"/>
        <w:rPr>
          <w:rFonts w:hint="eastAsia" w:ascii="仿宋_GB2312" w:hAnsi="仿宋_GB2312" w:eastAsia="仿宋_GB2312" w:cs="仿宋_GB2312"/>
          <w:b w:val="0"/>
          <w:i w:val="0"/>
          <w:color w:val="0F1115"/>
        </w:rPr>
      </w:pPr>
      <w:r>
        <w:rPr>
          <w:rFonts w:hint="eastAsia"/>
          <w:i w:val="0"/>
          <w:color w:val="0F1115"/>
          <w:lang w:val="en-US" w:eastAsia="zh-CN"/>
        </w:rPr>
        <w:t>3.</w:t>
      </w:r>
      <w:r>
        <w:rPr>
          <w:i w:val="0"/>
          <w:color w:val="0F1115"/>
        </w:rPr>
        <w:t>单项资产年招租底价在</w:t>
      </w:r>
      <w:r>
        <w:rPr>
          <w:rFonts w:hint="eastAsia"/>
          <w:i w:val="0"/>
          <w:color w:val="0F1115"/>
          <w:lang w:eastAsia="zh-CN"/>
        </w:rPr>
        <w:t>一</w:t>
      </w:r>
      <w:r>
        <w:rPr>
          <w:i w:val="0"/>
          <w:color w:val="0F1115"/>
        </w:rPr>
        <w:t>万元（含）以上的，应当委托代理机构进入市级公共资源交易平台公开招租；低于</w:t>
      </w:r>
      <w:r>
        <w:rPr>
          <w:rFonts w:hint="eastAsia"/>
          <w:i w:val="0"/>
          <w:color w:val="0F1115"/>
          <w:lang w:eastAsia="zh-CN"/>
        </w:rPr>
        <w:t>一</w:t>
      </w:r>
      <w:r>
        <w:rPr>
          <w:i w:val="0"/>
          <w:color w:val="0F1115"/>
        </w:rPr>
        <w:t>万元的，应在县国资中心监督下规范组织公开招租；</w:t>
      </w:r>
    </w:p>
    <w:p w14:paraId="26469079">
      <w:pPr>
        <w:pStyle w:val="11"/>
        <w:widowControl/>
        <w:numPr>
          <w:ilvl w:val="0"/>
          <w:numId w:val="0"/>
        </w:numPr>
        <w:topLinePunct w:val="0"/>
        <w:ind w:firstLine="616" w:firstLineChars="200"/>
        <w:rPr>
          <w:rFonts w:hint="eastAsia" w:ascii="仿宋_GB2312" w:hAnsi="仿宋_GB2312" w:eastAsia="仿宋_GB2312" w:cs="仿宋_GB2312"/>
          <w:b w:val="0"/>
          <w:i w:val="0"/>
          <w:color w:val="0F1115"/>
        </w:rPr>
      </w:pPr>
      <w:r>
        <w:rPr>
          <w:rFonts w:hint="eastAsia"/>
          <w:i w:val="0"/>
          <w:color w:val="0F1115"/>
          <w:lang w:val="en-US" w:eastAsia="zh-CN"/>
        </w:rPr>
        <w:t>4.</w:t>
      </w:r>
      <w:r>
        <w:rPr>
          <w:i w:val="0"/>
          <w:color w:val="0F1115"/>
        </w:rPr>
        <w:t>租赁期满需继续出租的，应重新履行审批和公开程序。</w:t>
      </w:r>
    </w:p>
    <w:p w14:paraId="0D77DBFA">
      <w:pPr>
        <w:pStyle w:val="11"/>
        <w:widowControl/>
        <w:numPr>
          <w:ilvl w:val="0"/>
          <w:numId w:val="4"/>
        </w:numPr>
        <w:topLinePunct w:val="0"/>
        <w:ind w:left="0" w:leftChars="0" w:firstLine="616" w:firstLineChars="0"/>
        <w:rPr>
          <w:b/>
          <w:i w:val="0"/>
          <w:color w:val="0F1115"/>
        </w:rPr>
      </w:pPr>
      <w:r>
        <w:rPr>
          <w:i w:val="0"/>
          <w:color w:val="0F1115"/>
        </w:rPr>
        <w:t>行政事业单位利用国有资产进行对外投资、担保等事项，必须进行严谨的可行性论证和法律风险评估，严格按照规定的权限和程序报经批准。法律、行政法规另有规定的，从其规定。</w:t>
      </w:r>
    </w:p>
    <w:p w14:paraId="176B56C3">
      <w:pPr>
        <w:pStyle w:val="11"/>
        <w:widowControl/>
        <w:numPr>
          <w:ilvl w:val="0"/>
          <w:numId w:val="4"/>
        </w:numPr>
        <w:topLinePunct w:val="0"/>
        <w:ind w:left="0" w:leftChars="0" w:firstLine="616" w:firstLineChars="0"/>
        <w:rPr>
          <w:b/>
          <w:i w:val="0"/>
          <w:color w:val="0F1115"/>
        </w:rPr>
      </w:pPr>
      <w:r>
        <w:rPr>
          <w:i w:val="0"/>
          <w:color w:val="0F1115"/>
        </w:rPr>
        <w:t>行政事业单位国有资产出租、出借、对外投资等取得的收入，以及资产处置收入，属于政府非税收入，应当按照规定上缴国库，实行“收支两条线”管理。</w:t>
      </w:r>
    </w:p>
    <w:p w14:paraId="6BC13C72">
      <w:pPr>
        <w:pStyle w:val="11"/>
        <w:widowControl/>
        <w:numPr>
          <w:ilvl w:val="0"/>
          <w:numId w:val="4"/>
        </w:numPr>
        <w:topLinePunct w:val="0"/>
        <w:ind w:left="0" w:leftChars="0" w:firstLine="616" w:firstLineChars="0"/>
        <w:rPr>
          <w:b/>
          <w:i w:val="0"/>
          <w:color w:val="0F1115"/>
        </w:rPr>
      </w:pPr>
      <w:r>
        <w:rPr>
          <w:i w:val="0"/>
          <w:color w:val="0F1115"/>
        </w:rPr>
        <w:t>各镇人民政府属地范围内的国有闲置资产、经营性不</w:t>
      </w:r>
      <w:r>
        <w:rPr>
          <w:i w:val="0"/>
          <w:color w:val="0F1115"/>
          <w:spacing wpsCustomData:val="-6" w:val="-3"/>
        </w:rPr>
        <w:t>动</w:t>
      </w:r>
      <w:r>
        <w:rPr>
          <w:i w:val="0"/>
          <w:color w:val="0F1115"/>
          <w:spacing wpsCustomData:val="-6" w:val="-2"/>
        </w:rPr>
        <w:t>产</w:t>
      </w:r>
      <w:r>
        <w:rPr>
          <w:i w:val="0"/>
          <w:color w:val="0F1115"/>
          <w:spacing wpsCustomData:val="-6" w:val="-3"/>
        </w:rPr>
        <w:t>，由县国资中心委托各镇人民政府进行日常管理</w:t>
      </w:r>
      <w:r>
        <w:rPr>
          <w:i w:val="0"/>
          <w:color w:val="0F1115"/>
          <w:spacing wpsCustomData:val="-6" w:val="-2"/>
        </w:rPr>
        <w:t>、</w:t>
      </w:r>
      <w:r>
        <w:rPr>
          <w:i w:val="0"/>
          <w:color w:val="0F1115"/>
          <w:spacing wpsCustomData:val="-6" w:val="-3"/>
        </w:rPr>
        <w:t>维护</w:t>
      </w:r>
      <w:r>
        <w:rPr>
          <w:i w:val="0"/>
          <w:color w:val="0F1115"/>
          <w:spacing wpsCustomData:val="-6" w:val="-6"/>
        </w:rPr>
        <w:t>和</w:t>
      </w:r>
      <w:r>
        <w:rPr>
          <w:i w:val="0"/>
          <w:color w:val="0F1115"/>
        </w:rPr>
        <w:t>运营。</w:t>
      </w:r>
    </w:p>
    <w:p w14:paraId="489D6A2D">
      <w:pPr>
        <w:pStyle w:val="11"/>
        <w:widowControl/>
        <w:rPr>
          <w:i w:val="0"/>
          <w:color w:val="0F1115"/>
        </w:rPr>
      </w:pPr>
      <w:r>
        <w:rPr>
          <w:i w:val="0"/>
          <w:color w:val="0F1115"/>
        </w:rPr>
        <w:t>各镇应遵守县级统一的资产管理规定。资产出租形成的租金收益，全额纳入各镇财政预算管理，用于支持当地经济社会发展和民生改善。</w:t>
      </w:r>
    </w:p>
    <w:p w14:paraId="291E933B">
      <w:pPr>
        <w:pStyle w:val="11"/>
        <w:widowControl/>
        <w:rPr>
          <w:i w:val="0"/>
          <w:color w:val="0F1115"/>
        </w:rPr>
      </w:pPr>
      <w:r>
        <w:rPr>
          <w:i w:val="0"/>
          <w:color w:val="0F1115"/>
        </w:rPr>
        <w:t>委托管理的资产如需公开拍卖处置，其处置收益分配比例由县人民政府按照“一事一议”原则确定。</w:t>
      </w:r>
    </w:p>
    <w:p w14:paraId="48FE04B2">
      <w:pPr>
        <w:pStyle w:val="20"/>
        <w:widowControl/>
        <w:numPr>
          <w:ilvl w:val="0"/>
          <w:numId w:val="1"/>
        </w:numPr>
        <w:ind w:left="0" w:leftChars="0" w:firstLine="0" w:firstLineChars="0"/>
        <w:rPr>
          <w:b w:val="0"/>
        </w:rPr>
      </w:pPr>
      <w:r>
        <w:t>资产权属与登记</w:t>
      </w:r>
    </w:p>
    <w:p w14:paraId="269129CD">
      <w:pPr>
        <w:pStyle w:val="11"/>
        <w:widowControl/>
        <w:numPr>
          <w:ilvl w:val="0"/>
          <w:numId w:val="5"/>
        </w:numPr>
        <w:topLinePunct w:val="0"/>
        <w:ind w:left="0" w:leftChars="0" w:firstLine="616" w:firstLineChars="0"/>
        <w:rPr>
          <w:b/>
          <w:i w:val="0"/>
          <w:color w:val="0F1115"/>
        </w:rPr>
      </w:pPr>
      <w:r>
        <w:rPr>
          <w:i w:val="0"/>
          <w:color w:val="0F1115"/>
        </w:rPr>
        <w:t>对本县行政事业单位占有使用的符合条件的国有闲置资产（包括但不限于闲置土地、房屋建筑物、构筑物等）及经营性不动产，由县国资中心牵头，会同自然资源</w:t>
      </w:r>
      <w:r>
        <w:rPr>
          <w:rFonts w:hint="eastAsia"/>
          <w:i w:val="0"/>
          <w:color w:val="0F1115"/>
          <w:lang w:eastAsia="zh-CN"/>
        </w:rPr>
        <w:t>局</w:t>
      </w:r>
      <w:r>
        <w:rPr>
          <w:i w:val="0"/>
          <w:color w:val="0F1115"/>
        </w:rPr>
        <w:t>、</w:t>
      </w:r>
      <w:r>
        <w:rPr>
          <w:rFonts w:hint="eastAsia"/>
          <w:i w:val="0"/>
          <w:color w:val="0F1115"/>
          <w:lang w:eastAsia="zh-CN"/>
        </w:rPr>
        <w:t>住建局</w:t>
      </w:r>
      <w:r>
        <w:rPr>
          <w:i w:val="0"/>
          <w:color w:val="0F1115"/>
        </w:rPr>
        <w:t>、相关主管部门及原占有使用单位，依法办理不动产确权登记手续，将产权统一登记至县国资中心名下，实行所有权集中统一管理</w:t>
      </w:r>
      <w:r>
        <w:rPr>
          <w:rFonts w:hint="eastAsia"/>
          <w:i w:val="0"/>
          <w:color w:val="0F1115"/>
          <w:lang w:eastAsia="zh-CN"/>
        </w:rPr>
        <w:t>，原则上其经营权、管理权、使用权和收益权不变</w:t>
      </w:r>
      <w:r>
        <w:rPr>
          <w:i w:val="0"/>
          <w:color w:val="0F1115"/>
        </w:rPr>
        <w:t>。</w:t>
      </w:r>
    </w:p>
    <w:p w14:paraId="3B5781B0">
      <w:pPr>
        <w:pStyle w:val="11"/>
        <w:widowControl/>
        <w:numPr>
          <w:ilvl w:val="0"/>
          <w:numId w:val="5"/>
        </w:numPr>
        <w:topLinePunct w:val="0"/>
        <w:ind w:left="0" w:leftChars="0" w:firstLine="616" w:firstLineChars="0"/>
        <w:rPr>
          <w:b/>
          <w:i w:val="0"/>
          <w:color w:val="0F1115"/>
        </w:rPr>
      </w:pPr>
      <w:r>
        <w:rPr>
          <w:i w:val="0"/>
          <w:color w:val="0F1115"/>
        </w:rPr>
        <w:t>对于因历史遗留问题等原因暂时无法办理确权登记的资产，由县国资中心建立备查台账，明确</w:t>
      </w:r>
      <w:r>
        <w:rPr>
          <w:rFonts w:hint="eastAsia"/>
          <w:i w:val="0"/>
          <w:color w:val="0F1115"/>
          <w:lang w:eastAsia="zh-CN"/>
        </w:rPr>
        <w:t>原单位为</w:t>
      </w:r>
      <w:r>
        <w:rPr>
          <w:i w:val="0"/>
          <w:color w:val="0F1115"/>
        </w:rPr>
        <w:t>管理责任单位，确保资产安全完整，并积极创造条件逐步解决权属问题。</w:t>
      </w:r>
    </w:p>
    <w:p w14:paraId="428B9C9C">
      <w:pPr>
        <w:pStyle w:val="11"/>
        <w:widowControl/>
        <w:numPr>
          <w:ilvl w:val="0"/>
          <w:numId w:val="5"/>
        </w:numPr>
        <w:topLinePunct w:val="0"/>
        <w:ind w:left="0" w:leftChars="0" w:firstLine="616" w:firstLineChars="0"/>
        <w:rPr>
          <w:b/>
          <w:i w:val="0"/>
          <w:color w:val="0F1115"/>
        </w:rPr>
      </w:pPr>
      <w:r>
        <w:rPr>
          <w:i w:val="0"/>
          <w:color w:val="0F1115"/>
        </w:rPr>
        <w:t>各行政事业单位因工作需要占有、使用国有资产的，应当向县国资中心办理资产领用或授权使用手续，并按规定及时、准确进行财务核算和资产登记。</w:t>
      </w:r>
    </w:p>
    <w:p w14:paraId="465D7EAF">
      <w:pPr>
        <w:pStyle w:val="20"/>
        <w:widowControl/>
        <w:numPr>
          <w:ilvl w:val="0"/>
          <w:numId w:val="1"/>
        </w:numPr>
        <w:ind w:left="0" w:leftChars="0" w:firstLine="0" w:firstLineChars="0"/>
        <w:rPr>
          <w:b w:val="0"/>
        </w:rPr>
      </w:pPr>
      <w:r>
        <w:t>资产处置与评估</w:t>
      </w:r>
    </w:p>
    <w:p w14:paraId="119FDED6">
      <w:pPr>
        <w:pStyle w:val="11"/>
        <w:widowControl/>
        <w:numPr>
          <w:ilvl w:val="0"/>
          <w:numId w:val="6"/>
        </w:numPr>
        <w:topLinePunct w:val="0"/>
        <w:ind w:left="0" w:leftChars="0" w:firstLine="616" w:firstLineChars="0"/>
        <w:rPr>
          <w:b/>
          <w:i w:val="0"/>
          <w:color w:val="0F1115"/>
        </w:rPr>
      </w:pPr>
      <w:r>
        <w:rPr>
          <w:i w:val="0"/>
          <w:color w:val="0F1115"/>
        </w:rPr>
        <w:t>行政事业单位国有资产处置，是指单位对其占有、使用的国有资产进行产权转移或注销的行为，主要包括无偿划转、对外捐赠、转让、置换、报废、损失核销等方式。</w:t>
      </w:r>
    </w:p>
    <w:p w14:paraId="211CEF54">
      <w:pPr>
        <w:pStyle w:val="11"/>
        <w:widowControl/>
        <w:numPr>
          <w:ilvl w:val="0"/>
          <w:numId w:val="6"/>
        </w:numPr>
        <w:topLinePunct w:val="0"/>
        <w:ind w:left="0" w:leftChars="0" w:firstLine="616" w:firstLineChars="0"/>
        <w:rPr>
          <w:b/>
          <w:i w:val="0"/>
          <w:color w:val="0F1115"/>
        </w:rPr>
      </w:pPr>
      <w:r>
        <w:rPr>
          <w:i w:val="0"/>
          <w:color w:val="0F1115"/>
          <w:spacing wpsCustomData:val="-6" w:val="-2"/>
        </w:rPr>
        <w:t>行政事业单位处置国有资</w:t>
      </w:r>
      <w:r>
        <w:rPr>
          <w:i w:val="0"/>
          <w:color w:val="0F1115"/>
          <w:spacing wpsCustomData:val="-6" w:val="-1"/>
        </w:rPr>
        <w:t>产，</w:t>
      </w:r>
      <w:r>
        <w:rPr>
          <w:i w:val="0"/>
          <w:color w:val="0F1115"/>
          <w:spacing wpsCustomData:val="-6" w:val="-2"/>
        </w:rPr>
        <w:t>应当严格履行审</w:t>
      </w:r>
      <w:r>
        <w:rPr>
          <w:i w:val="0"/>
          <w:color w:val="0F1115"/>
          <w:spacing wpsCustomData:val="-6" w:val="-6"/>
        </w:rPr>
        <w:t>批</w:t>
      </w:r>
      <w:r>
        <w:rPr>
          <w:i w:val="0"/>
          <w:color w:val="0F1115"/>
        </w:rPr>
        <w:t>程序。</w:t>
      </w:r>
    </w:p>
    <w:p w14:paraId="23D9A4AE">
      <w:pPr>
        <w:pStyle w:val="11"/>
        <w:widowControl/>
        <w:numPr>
          <w:ilvl w:val="0"/>
          <w:numId w:val="0"/>
        </w:numPr>
        <w:topLinePunct w:val="0"/>
        <w:ind w:firstLine="616" w:firstLineChars="200"/>
        <w:rPr>
          <w:rFonts w:hint="eastAsia" w:ascii="仿宋_GB2312" w:hAnsi="仿宋_GB2312" w:eastAsia="仿宋_GB2312" w:cs="仿宋_GB2312"/>
          <w:b w:val="0"/>
          <w:i w:val="0"/>
          <w:color w:val="0F1115"/>
        </w:rPr>
      </w:pPr>
      <w:r>
        <w:rPr>
          <w:rFonts w:hint="eastAsia"/>
          <w:i w:val="0"/>
          <w:color w:val="0F1115"/>
          <w:lang w:val="en-US" w:eastAsia="zh-CN"/>
        </w:rPr>
        <w:t>1.</w:t>
      </w:r>
      <w:r>
        <w:rPr>
          <w:i w:val="0"/>
          <w:color w:val="0F1115"/>
        </w:rPr>
        <w:t>处置资产应当权属清晰，取得或形成方式合法合规；</w:t>
      </w:r>
    </w:p>
    <w:p w14:paraId="27E02C36">
      <w:pPr>
        <w:pStyle w:val="11"/>
        <w:widowControl/>
        <w:numPr>
          <w:ilvl w:val="0"/>
          <w:numId w:val="0"/>
        </w:numPr>
        <w:topLinePunct w:val="0"/>
        <w:ind w:firstLine="616" w:firstLineChars="200"/>
        <w:rPr>
          <w:rFonts w:hint="eastAsia" w:ascii="仿宋_GB2312" w:hAnsi="仿宋_GB2312" w:eastAsia="仿宋_GB2312" w:cs="仿宋_GB2312"/>
          <w:b w:val="0"/>
          <w:i w:val="0"/>
          <w:color w:val="0F1115"/>
        </w:rPr>
      </w:pPr>
      <w:r>
        <w:rPr>
          <w:rFonts w:hint="eastAsia"/>
          <w:i w:val="0"/>
          <w:color w:val="0F1115"/>
          <w:lang w:val="en-US" w:eastAsia="zh-CN"/>
        </w:rPr>
        <w:t>2.</w:t>
      </w:r>
      <w:r>
        <w:rPr>
          <w:i w:val="0"/>
          <w:color w:val="0F1115"/>
        </w:rPr>
        <w:t>权属不清或存在纠纷的资产，须待权属明确后方可处置；</w:t>
      </w:r>
    </w:p>
    <w:p w14:paraId="773D630C">
      <w:pPr>
        <w:pStyle w:val="11"/>
        <w:widowControl/>
        <w:numPr>
          <w:ilvl w:val="0"/>
          <w:numId w:val="0"/>
        </w:numPr>
        <w:topLinePunct w:val="0"/>
        <w:ind w:firstLine="616" w:firstLineChars="200"/>
        <w:rPr>
          <w:rFonts w:hint="eastAsia" w:ascii="仿宋_GB2312" w:hAnsi="仿宋_GB2312" w:eastAsia="仿宋_GB2312" w:cs="仿宋_GB2312"/>
          <w:b w:val="0"/>
          <w:i w:val="0"/>
          <w:color w:val="0F1115"/>
        </w:rPr>
      </w:pPr>
      <w:r>
        <w:rPr>
          <w:rFonts w:hint="eastAsia"/>
          <w:i w:val="0"/>
          <w:color w:val="0F1115"/>
          <w:lang w:val="en-US" w:eastAsia="zh-CN"/>
        </w:rPr>
        <w:t>3.</w:t>
      </w:r>
      <w:r>
        <w:rPr>
          <w:i w:val="0"/>
          <w:color w:val="0F1115"/>
        </w:rPr>
        <w:t>处置事项经单位集体研究决策后，按权限报批；</w:t>
      </w:r>
    </w:p>
    <w:p w14:paraId="6FDD61E4">
      <w:pPr>
        <w:pStyle w:val="11"/>
        <w:widowControl/>
        <w:numPr>
          <w:ilvl w:val="0"/>
          <w:numId w:val="0"/>
        </w:numPr>
        <w:topLinePunct w:val="0"/>
        <w:ind w:firstLine="644" w:firstLineChars="200"/>
        <w:rPr>
          <w:rFonts w:hint="eastAsia" w:ascii="仿宋_GB2312" w:hAnsi="仿宋_GB2312" w:eastAsia="仿宋_GB2312" w:cs="仿宋_GB2312"/>
          <w:b w:val="0"/>
          <w:i w:val="0"/>
          <w:color w:val="0F1115"/>
        </w:rPr>
      </w:pPr>
      <w:r>
        <w:rPr>
          <w:rFonts w:hint="eastAsia"/>
          <w:i w:val="0"/>
          <w:color w:val="0F1115"/>
          <w:spacing wpsCustomData:val="1" w:val="1"/>
          <w:lang w:val="en-US" w:eastAsia="zh-CN"/>
        </w:rPr>
        <w:t>4</w:t>
      </w:r>
      <w:r>
        <w:rPr>
          <w:rFonts w:hint="eastAsia"/>
          <w:i w:val="0"/>
          <w:color w:val="0F1115"/>
          <w:spacing wpsCustomData:val="1" w:val="5"/>
          <w:lang w:val="en-US" w:eastAsia="zh-CN"/>
        </w:rPr>
        <w:t>.</w:t>
      </w:r>
      <w:r>
        <w:rPr>
          <w:i w:val="0"/>
          <w:color w:val="0F1115"/>
          <w:spacing wpsCustomData:val="1" w:val="5"/>
        </w:rPr>
        <w:t>根据处置批复及时进行账务处理</w:t>
      </w:r>
      <w:r>
        <w:rPr>
          <w:i w:val="0"/>
          <w:color w:val="0F1115"/>
          <w:spacing wpsCustomData:val="7" w:val="12"/>
        </w:rPr>
        <w:t>，</w:t>
      </w:r>
      <w:r>
        <w:rPr>
          <w:i w:val="0"/>
          <w:color w:val="0F1115"/>
          <w:spacing wpsCustomData:val="1" w:val="5"/>
        </w:rPr>
        <w:t>办理产权变更或注</w:t>
      </w:r>
      <w:r>
        <w:rPr>
          <w:i w:val="0"/>
          <w:color w:val="0F1115"/>
          <w:spacing wpsCustomData:val="-6" w:val="-6"/>
        </w:rPr>
        <w:t>销</w:t>
      </w:r>
      <w:r>
        <w:rPr>
          <w:i w:val="0"/>
          <w:color w:val="0F1115"/>
        </w:rPr>
        <w:t>手续。</w:t>
      </w:r>
    </w:p>
    <w:p w14:paraId="11AB7F01">
      <w:pPr>
        <w:pStyle w:val="11"/>
        <w:widowControl/>
        <w:numPr>
          <w:ilvl w:val="0"/>
          <w:numId w:val="6"/>
        </w:numPr>
        <w:topLinePunct w:val="0"/>
        <w:ind w:left="0" w:leftChars="0" w:firstLine="616" w:firstLineChars="0"/>
        <w:rPr>
          <w:b/>
          <w:i w:val="0"/>
          <w:color w:val="0F1115"/>
        </w:rPr>
      </w:pPr>
      <w:r>
        <w:rPr>
          <w:i w:val="0"/>
          <w:color w:val="0F1115"/>
        </w:rPr>
        <w:t>行政事业单位应当对下列资产及时进行处置：</w:t>
      </w:r>
    </w:p>
    <w:p w14:paraId="49D32DBE">
      <w:pPr>
        <w:pStyle w:val="11"/>
        <w:widowControl/>
        <w:numPr>
          <w:ilvl w:val="0"/>
          <w:numId w:val="0"/>
        </w:numPr>
        <w:topLinePunct w:val="0"/>
        <w:ind w:left="616" w:leftChars="0"/>
        <w:rPr>
          <w:rFonts w:hint="eastAsia" w:ascii="仿宋_GB2312" w:hAnsi="仿宋_GB2312" w:eastAsia="仿宋_GB2312" w:cs="仿宋_GB2312"/>
          <w:b w:val="0"/>
          <w:i w:val="0"/>
          <w:color w:val="0F1115"/>
        </w:rPr>
      </w:pPr>
      <w:r>
        <w:rPr>
          <w:rFonts w:hint="eastAsia"/>
          <w:i w:val="0"/>
          <w:color w:val="0F1115"/>
          <w:lang w:val="en-US" w:eastAsia="zh-CN"/>
        </w:rPr>
        <w:t>1.</w:t>
      </w:r>
      <w:r>
        <w:rPr>
          <w:i w:val="0"/>
          <w:color w:val="0F1115"/>
        </w:rPr>
        <w:t>已超过使用年限且无法满足工作需要的；</w:t>
      </w:r>
    </w:p>
    <w:p w14:paraId="74A97B09">
      <w:pPr>
        <w:pStyle w:val="11"/>
        <w:widowControl/>
        <w:numPr>
          <w:ilvl w:val="0"/>
          <w:numId w:val="0"/>
        </w:numPr>
        <w:topLinePunct w:val="0"/>
        <w:ind w:firstLine="616" w:firstLineChars="200"/>
        <w:rPr>
          <w:rFonts w:hint="eastAsia" w:ascii="仿宋_GB2312" w:hAnsi="仿宋_GB2312" w:eastAsia="仿宋_GB2312" w:cs="仿宋_GB2312"/>
          <w:b w:val="0"/>
          <w:i w:val="0"/>
          <w:color w:val="0F1115"/>
        </w:rPr>
      </w:pPr>
      <w:r>
        <w:rPr>
          <w:rFonts w:hint="eastAsia"/>
          <w:i w:val="0"/>
          <w:color w:val="0F1115"/>
          <w:lang w:val="en-US" w:eastAsia="zh-CN"/>
        </w:rPr>
        <w:t>2.</w:t>
      </w:r>
      <w:r>
        <w:rPr>
          <w:i w:val="0"/>
          <w:color w:val="0F1115"/>
        </w:rPr>
        <w:t>因技术原因确需淘汰、无法修复或无维修价值的；</w:t>
      </w:r>
    </w:p>
    <w:p w14:paraId="56B0BBCC">
      <w:pPr>
        <w:pStyle w:val="11"/>
        <w:widowControl/>
        <w:numPr>
          <w:ilvl w:val="0"/>
          <w:numId w:val="0"/>
        </w:numPr>
        <w:topLinePunct w:val="0"/>
        <w:ind w:firstLine="616" w:firstLineChars="200"/>
        <w:rPr>
          <w:rFonts w:hint="eastAsia" w:ascii="仿宋_GB2312" w:hAnsi="仿宋_GB2312" w:eastAsia="仿宋_GB2312" w:cs="仿宋_GB2312"/>
          <w:b w:val="0"/>
          <w:i w:val="0"/>
          <w:color w:val="0F1115"/>
        </w:rPr>
      </w:pPr>
      <w:r>
        <w:rPr>
          <w:rFonts w:hint="eastAsia"/>
          <w:i w:val="0"/>
          <w:color w:val="0F1115"/>
          <w:lang w:val="en-US" w:eastAsia="zh-CN"/>
        </w:rPr>
        <w:t>3.</w:t>
      </w:r>
      <w:r>
        <w:rPr>
          <w:i w:val="0"/>
          <w:color w:val="0F1115"/>
        </w:rPr>
        <w:t>因不可抗力造成毁损、灭失的；</w:t>
      </w:r>
    </w:p>
    <w:p w14:paraId="11A05460">
      <w:pPr>
        <w:pStyle w:val="11"/>
        <w:widowControl/>
        <w:numPr>
          <w:ilvl w:val="0"/>
          <w:numId w:val="0"/>
        </w:numPr>
        <w:topLinePunct w:val="0"/>
        <w:ind w:firstLine="616" w:firstLineChars="200"/>
        <w:rPr>
          <w:rFonts w:hint="eastAsia" w:ascii="仿宋_GB2312" w:hAnsi="仿宋_GB2312" w:eastAsia="仿宋_GB2312" w:cs="仿宋_GB2312"/>
          <w:b w:val="0"/>
          <w:i w:val="0"/>
          <w:color w:val="0F1115"/>
        </w:rPr>
      </w:pPr>
      <w:r>
        <w:rPr>
          <w:rFonts w:hint="eastAsia"/>
          <w:i w:val="0"/>
          <w:color w:val="0F1115"/>
          <w:lang w:val="en-US" w:eastAsia="zh-CN"/>
        </w:rPr>
        <w:t>4.</w:t>
      </w:r>
      <w:r>
        <w:rPr>
          <w:i w:val="0"/>
          <w:color w:val="0F1115"/>
        </w:rPr>
        <w:t>涉及盘亏、坏账及非正常损失的；</w:t>
      </w:r>
    </w:p>
    <w:p w14:paraId="7F9476A5">
      <w:pPr>
        <w:pStyle w:val="11"/>
        <w:widowControl/>
        <w:numPr>
          <w:ilvl w:val="0"/>
          <w:numId w:val="0"/>
        </w:numPr>
        <w:topLinePunct w:val="0"/>
        <w:ind w:firstLine="616" w:firstLineChars="200"/>
        <w:rPr>
          <w:rFonts w:hint="eastAsia" w:ascii="仿宋_GB2312" w:hAnsi="仿宋_GB2312" w:eastAsia="仿宋_GB2312" w:cs="仿宋_GB2312"/>
          <w:b w:val="0"/>
          <w:i w:val="0"/>
          <w:color w:val="0F1115"/>
        </w:rPr>
      </w:pPr>
      <w:r>
        <w:rPr>
          <w:rFonts w:hint="eastAsia"/>
          <w:i w:val="0"/>
          <w:color w:val="0F1115"/>
          <w:lang w:val="en-US" w:eastAsia="zh-CN"/>
        </w:rPr>
        <w:t>5.</w:t>
      </w:r>
      <w:r>
        <w:rPr>
          <w:i w:val="0"/>
          <w:color w:val="0F1115"/>
        </w:rPr>
        <w:t>长期闲置的资产</w:t>
      </w:r>
      <w:r>
        <w:rPr>
          <w:rFonts w:hint="eastAsia"/>
          <w:i w:val="0"/>
          <w:color w:val="0F1115"/>
          <w:lang w:eastAsia="zh-CN"/>
        </w:rPr>
        <w:t>（闲置的通用设备、办公设备优先纳入公物仓统一管理）</w:t>
      </w:r>
      <w:r>
        <w:rPr>
          <w:i w:val="0"/>
          <w:color w:val="0F1115"/>
        </w:rPr>
        <w:t>；</w:t>
      </w:r>
    </w:p>
    <w:p w14:paraId="334F18EC">
      <w:pPr>
        <w:pStyle w:val="11"/>
        <w:widowControl/>
        <w:numPr>
          <w:ilvl w:val="0"/>
          <w:numId w:val="0"/>
        </w:numPr>
        <w:topLinePunct w:val="0"/>
        <w:ind w:firstLine="616" w:firstLineChars="200"/>
        <w:rPr>
          <w:rFonts w:hint="eastAsia" w:ascii="仿宋_GB2312" w:hAnsi="仿宋_GB2312" w:eastAsia="仿宋_GB2312" w:cs="仿宋_GB2312"/>
          <w:b w:val="0"/>
          <w:i w:val="0"/>
          <w:color w:val="0F1115"/>
        </w:rPr>
      </w:pPr>
      <w:r>
        <w:rPr>
          <w:rFonts w:hint="eastAsia"/>
          <w:i w:val="0"/>
          <w:color w:val="0F1115"/>
          <w:lang w:val="en-US" w:eastAsia="zh-CN"/>
        </w:rPr>
        <w:t>6.</w:t>
      </w:r>
      <w:r>
        <w:rPr>
          <w:i w:val="0"/>
          <w:color w:val="0F1115"/>
        </w:rPr>
        <w:t>因单位分立、合并、改制、撤销、清算或按规定需要处置的其他情形。</w:t>
      </w:r>
    </w:p>
    <w:p w14:paraId="3F927FD5">
      <w:pPr>
        <w:pStyle w:val="11"/>
        <w:widowControl/>
        <w:numPr>
          <w:ilvl w:val="0"/>
          <w:numId w:val="6"/>
        </w:numPr>
        <w:topLinePunct w:val="0"/>
        <w:ind w:left="0" w:leftChars="0" w:firstLine="616" w:firstLineChars="0"/>
        <w:rPr>
          <w:b/>
          <w:i w:val="0"/>
          <w:color w:val="0F1115"/>
        </w:rPr>
      </w:pPr>
      <w:r>
        <w:rPr>
          <w:i w:val="0"/>
          <w:color w:val="0F1115"/>
        </w:rPr>
        <w:t>有下列情形之一的，行政事业单位应当委托具有相应资质的评估机构对相关国有资产进行评估：</w:t>
      </w:r>
    </w:p>
    <w:p w14:paraId="1A381956">
      <w:pPr>
        <w:pStyle w:val="11"/>
        <w:widowControl/>
        <w:numPr>
          <w:ilvl w:val="0"/>
          <w:numId w:val="0"/>
        </w:numPr>
        <w:topLinePunct w:val="0"/>
        <w:ind w:left="616" w:leftChars="0"/>
        <w:rPr>
          <w:rFonts w:hint="eastAsia" w:ascii="仿宋_GB2312" w:hAnsi="仿宋_GB2312" w:eastAsia="仿宋_GB2312" w:cs="仿宋_GB2312"/>
          <w:b w:val="0"/>
          <w:i w:val="0"/>
          <w:color w:val="0F1115"/>
        </w:rPr>
      </w:pPr>
      <w:r>
        <w:rPr>
          <w:rFonts w:hint="eastAsia"/>
          <w:i w:val="0"/>
          <w:color w:val="0F1115"/>
          <w:lang w:val="en-US" w:eastAsia="zh-CN"/>
        </w:rPr>
        <w:t>1.</w:t>
      </w:r>
      <w:r>
        <w:rPr>
          <w:i w:val="0"/>
          <w:color w:val="0F1115"/>
        </w:rPr>
        <w:t>取得没有原始价格凭证资产的；</w:t>
      </w:r>
    </w:p>
    <w:p w14:paraId="5B892A47">
      <w:pPr>
        <w:pStyle w:val="11"/>
        <w:widowControl/>
        <w:numPr>
          <w:ilvl w:val="0"/>
          <w:numId w:val="0"/>
        </w:numPr>
        <w:topLinePunct w:val="0"/>
        <w:ind w:left="616" w:leftChars="0"/>
        <w:rPr>
          <w:rFonts w:hint="eastAsia" w:ascii="仿宋_GB2312" w:hAnsi="仿宋_GB2312" w:eastAsia="仿宋_GB2312" w:cs="仿宋_GB2312"/>
          <w:b w:val="0"/>
          <w:i w:val="0"/>
          <w:color w:val="0F1115"/>
        </w:rPr>
      </w:pPr>
      <w:r>
        <w:rPr>
          <w:rFonts w:hint="eastAsia"/>
          <w:i w:val="0"/>
          <w:color w:val="0F1115"/>
          <w:lang w:val="en-US" w:eastAsia="zh-CN"/>
        </w:rPr>
        <w:t>2.</w:t>
      </w:r>
      <w:r>
        <w:rPr>
          <w:i w:val="0"/>
          <w:color w:val="0F1115"/>
        </w:rPr>
        <w:t>资产用于转让、拍卖、置换、市场化出租的；</w:t>
      </w:r>
    </w:p>
    <w:p w14:paraId="5A4511CC">
      <w:pPr>
        <w:pStyle w:val="11"/>
        <w:widowControl/>
        <w:numPr>
          <w:ilvl w:val="0"/>
          <w:numId w:val="0"/>
        </w:numPr>
        <w:topLinePunct w:val="0"/>
        <w:ind w:left="616" w:leftChars="0"/>
        <w:rPr>
          <w:rFonts w:hint="eastAsia" w:ascii="仿宋_GB2312" w:hAnsi="仿宋_GB2312" w:eastAsia="仿宋_GB2312" w:cs="仿宋_GB2312"/>
          <w:b w:val="0"/>
          <w:i w:val="0"/>
          <w:color w:val="0F1115"/>
        </w:rPr>
      </w:pPr>
      <w:r>
        <w:rPr>
          <w:rFonts w:hint="eastAsia"/>
          <w:i w:val="0"/>
          <w:color w:val="0F1115"/>
          <w:lang w:val="en-US" w:eastAsia="zh-CN"/>
        </w:rPr>
        <w:t>3.</w:t>
      </w:r>
      <w:r>
        <w:rPr>
          <w:i w:val="0"/>
          <w:color w:val="0F1115"/>
        </w:rPr>
        <w:t>确定涉诉资产价值的；</w:t>
      </w:r>
    </w:p>
    <w:p w14:paraId="3E6BE82E">
      <w:pPr>
        <w:pStyle w:val="11"/>
        <w:widowControl/>
        <w:numPr>
          <w:ilvl w:val="0"/>
          <w:numId w:val="0"/>
        </w:numPr>
        <w:topLinePunct w:val="0"/>
        <w:ind w:firstLine="616" w:firstLineChars="200"/>
        <w:rPr>
          <w:rFonts w:hint="eastAsia" w:ascii="仿宋_GB2312" w:hAnsi="仿宋_GB2312" w:eastAsia="仿宋_GB2312" w:cs="仿宋_GB2312"/>
          <w:b w:val="0"/>
          <w:i w:val="0"/>
          <w:color w:val="0F1115"/>
        </w:rPr>
      </w:pPr>
      <w:r>
        <w:rPr>
          <w:rFonts w:hint="eastAsia"/>
          <w:i w:val="0"/>
          <w:color w:val="0F1115"/>
          <w:lang w:val="en-US" w:eastAsia="zh-CN"/>
        </w:rPr>
        <w:t>4.</w:t>
      </w:r>
      <w:r>
        <w:rPr>
          <w:i w:val="0"/>
          <w:color w:val="0F1115"/>
        </w:rPr>
        <w:t>单位分立、合并、改制、撤销、清算，或以非货币性资产对外投资的；</w:t>
      </w:r>
    </w:p>
    <w:p w14:paraId="7B131875">
      <w:pPr>
        <w:pStyle w:val="11"/>
        <w:widowControl/>
        <w:numPr>
          <w:ilvl w:val="0"/>
          <w:numId w:val="0"/>
        </w:numPr>
        <w:topLinePunct w:val="0"/>
        <w:ind w:firstLine="616" w:firstLineChars="200"/>
        <w:rPr>
          <w:rFonts w:hint="eastAsia" w:ascii="仿宋_GB2312" w:hAnsi="仿宋_GB2312" w:eastAsia="仿宋_GB2312" w:cs="仿宋_GB2312"/>
          <w:b w:val="0"/>
          <w:i w:val="0"/>
          <w:color w:val="0F1115"/>
        </w:rPr>
      </w:pPr>
      <w:r>
        <w:rPr>
          <w:rFonts w:hint="eastAsia"/>
          <w:i w:val="0"/>
          <w:color w:val="0F1115"/>
          <w:lang w:val="en-US" w:eastAsia="zh-CN"/>
        </w:rPr>
        <w:t>5.</w:t>
      </w:r>
      <w:r>
        <w:rPr>
          <w:i w:val="0"/>
          <w:color w:val="0F1115"/>
        </w:rPr>
        <w:t>法律、法规、规章规定及管理需要应当进行资产评估的其他情形。</w:t>
      </w:r>
    </w:p>
    <w:p w14:paraId="20822B18">
      <w:pPr>
        <w:pStyle w:val="20"/>
        <w:widowControl/>
        <w:numPr>
          <w:ilvl w:val="0"/>
          <w:numId w:val="1"/>
        </w:numPr>
        <w:ind w:left="0" w:leftChars="0" w:firstLine="0" w:firstLineChars="0"/>
        <w:rPr>
          <w:b w:val="0"/>
        </w:rPr>
      </w:pPr>
      <w:r>
        <w:t>资产报告与监督</w:t>
      </w:r>
    </w:p>
    <w:p w14:paraId="642FC64D">
      <w:pPr>
        <w:pStyle w:val="11"/>
        <w:widowControl/>
        <w:numPr>
          <w:ilvl w:val="0"/>
          <w:numId w:val="7"/>
        </w:numPr>
        <w:topLinePunct w:val="0"/>
        <w:ind w:left="0" w:leftChars="0" w:firstLine="616" w:firstLineChars="0"/>
        <w:rPr>
          <w:b/>
          <w:i w:val="0"/>
          <w:color w:val="0F1115"/>
        </w:rPr>
      </w:pPr>
      <w:r>
        <w:rPr>
          <w:i w:val="0"/>
          <w:color w:val="0F1115"/>
        </w:rPr>
        <w:t>行政事业单位应当建立健全资产信息管理系统和统计报告制度，定期开展资产清查盘点，按规定向主管部门和县国资中心报送资产统计报告。</w:t>
      </w:r>
    </w:p>
    <w:p w14:paraId="354067D0">
      <w:pPr>
        <w:pStyle w:val="11"/>
        <w:widowControl/>
        <w:numPr>
          <w:ilvl w:val="0"/>
          <w:numId w:val="7"/>
        </w:numPr>
        <w:topLinePunct w:val="0"/>
        <w:ind w:left="0" w:leftChars="0" w:firstLine="616" w:firstLineChars="0"/>
        <w:rPr>
          <w:b/>
          <w:i w:val="0"/>
          <w:color w:val="0F1115"/>
        </w:rPr>
      </w:pPr>
      <w:r>
        <w:rPr>
          <w:i w:val="0"/>
          <w:color w:val="0F1115"/>
        </w:rPr>
        <w:t>县国资中心牵头编制全县行政事业性国有资产管理情况年度报告，按规定向县人民政府和上级主管部门报告。</w:t>
      </w:r>
    </w:p>
    <w:p w14:paraId="25683022">
      <w:pPr>
        <w:pStyle w:val="11"/>
        <w:widowControl/>
        <w:numPr>
          <w:ilvl w:val="0"/>
          <w:numId w:val="7"/>
        </w:numPr>
        <w:topLinePunct w:val="0"/>
        <w:ind w:left="0" w:leftChars="0" w:firstLine="616" w:firstLineChars="0"/>
        <w:rPr>
          <w:b/>
          <w:i w:val="0"/>
          <w:color w:val="0F1115"/>
        </w:rPr>
      </w:pPr>
      <w:r>
        <w:rPr>
          <w:i w:val="0"/>
          <w:color w:val="0F1115"/>
        </w:rPr>
        <w:t>财政、审计、国有资产管理等相关部门应当按照各自职责，对行政事业单位国有资产管理情况进行监督检查。</w:t>
      </w:r>
    </w:p>
    <w:p w14:paraId="4AE8D26C">
      <w:pPr>
        <w:pStyle w:val="11"/>
        <w:widowControl/>
        <w:numPr>
          <w:ilvl w:val="0"/>
          <w:numId w:val="7"/>
        </w:numPr>
        <w:topLinePunct w:val="0"/>
        <w:ind w:left="0" w:leftChars="0" w:firstLine="616" w:firstLineChars="0"/>
        <w:rPr>
          <w:b/>
          <w:i w:val="0"/>
          <w:color w:val="0F1115"/>
        </w:rPr>
      </w:pPr>
      <w:r>
        <w:rPr>
          <w:i w:val="0"/>
          <w:color w:val="0F1115"/>
        </w:rPr>
        <w:t>对违反本办法规定，擅自占有、使用、处置国有资产，或隐瞒、截留、挤占、坐支、挪用国有资产收益的，依据《财政违法行为处罚处分条例》等规定追究责任；构成犯罪的，依法移送司法机关追究刑事责任。</w:t>
      </w:r>
    </w:p>
    <w:p w14:paraId="326F9A78">
      <w:pPr>
        <w:pStyle w:val="20"/>
        <w:widowControl/>
        <w:numPr>
          <w:ilvl w:val="0"/>
          <w:numId w:val="1"/>
        </w:numPr>
        <w:ind w:left="0" w:leftChars="0" w:firstLine="0" w:firstLineChars="0"/>
        <w:rPr>
          <w:b w:val="0"/>
        </w:rPr>
      </w:pPr>
      <w:r>
        <w:t>附则</w:t>
      </w:r>
    </w:p>
    <w:p w14:paraId="22F88E37">
      <w:pPr>
        <w:pStyle w:val="11"/>
        <w:widowControl/>
        <w:numPr>
          <w:ilvl w:val="0"/>
          <w:numId w:val="8"/>
        </w:numPr>
        <w:topLinePunct w:val="0"/>
        <w:ind w:left="0" w:leftChars="0" w:firstLine="616" w:firstLineChars="0"/>
        <w:rPr>
          <w:b/>
          <w:i w:val="0"/>
          <w:color w:val="0F1115"/>
        </w:rPr>
      </w:pPr>
      <w:r>
        <w:rPr>
          <w:i w:val="0"/>
          <w:color w:val="0F1115"/>
        </w:rPr>
        <w:t>本办法由县国资中心负责解释。县属国有企业国有资产管理参照本办法执行。</w:t>
      </w:r>
    </w:p>
    <w:p w14:paraId="0D497F88">
      <w:pPr>
        <w:pStyle w:val="11"/>
        <w:widowControl/>
        <w:numPr>
          <w:ilvl w:val="0"/>
          <w:numId w:val="8"/>
        </w:numPr>
        <w:topLinePunct w:val="0"/>
        <w:ind w:left="0" w:leftChars="0" w:firstLine="616" w:firstLineChars="0"/>
        <w:rPr>
          <w:b/>
          <w:i w:val="0"/>
          <w:color w:val="0F1115"/>
        </w:rPr>
      </w:pPr>
      <w:r>
        <w:rPr>
          <w:i w:val="0"/>
          <w:color w:val="0F1115"/>
        </w:rPr>
        <w:t>本办法自印发之日起施行。此前本县发布的有关规定与本办法不一致的，以本办法为准。</w:t>
      </w:r>
    </w:p>
    <w:p w14:paraId="11895D29">
      <w:pPr>
        <w:rPr>
          <w:rFonts w:hint="eastAsia"/>
        </w:rPr>
      </w:pPr>
    </w:p>
    <w:p w14:paraId="49BD610B">
      <w:pPr>
        <w:pStyle w:val="11"/>
        <w:keepNext w:val="0"/>
        <w:keepLines w:val="0"/>
        <w:pageBreakBefore w:val="0"/>
        <w:widowControl/>
        <w:kinsoku/>
        <w:wordWrap/>
        <w:overflowPunct/>
        <w:topLinePunct w:val="0"/>
        <w:autoSpaceDE/>
        <w:autoSpaceDN/>
        <w:bidi w:val="0"/>
        <w:adjustRightInd/>
        <w:snapToGrid/>
        <w:ind w:left="2572" w:leftChars="1225" w:firstLine="0" w:firstLineChars="0"/>
        <w:jc w:val="center"/>
        <w:textAlignment w:val="auto"/>
        <w:rPr>
          <w:rFonts w:hint="eastAsia"/>
          <w:sz w:val="32"/>
          <w:szCs w:val="32"/>
          <w:lang w:val="en-US" w:eastAsia="zh-CN"/>
        </w:rPr>
      </w:pPr>
      <mc:AlternateContent>
        <mc:Choice Requires="wpsCustomData">
          <wpsCustomData:docfieldStart id="1" docfieldname="成文日期_1" hidden="0" print="1" readonly="0" index="12"/>
        </mc:Choice>
      </mc:AlternateContent>
    </w:p>
    <w:p w14:paraId="5B7DD83D">
      <w:pPr>
        <w:pStyle w:val="11"/>
        <w:keepNext w:val="0"/>
        <w:keepLines w:val="0"/>
        <w:pageBreakBefore w:val="0"/>
        <w:widowControl/>
        <w:kinsoku/>
        <w:wordWrap/>
        <w:overflowPunct/>
        <w:topLinePunct w:val="0"/>
        <w:autoSpaceDE/>
        <w:autoSpaceDN/>
        <w:bidi w:val="0"/>
        <w:adjustRightInd/>
        <w:snapToGrid/>
        <w:ind w:left="2572" w:leftChars="1225" w:firstLine="0" w:firstLineChars="0"/>
        <w:jc w:val="center"/>
        <w:textAlignment w:val="auto"/>
        <w:rPr>
          <w:rFonts w:hint="eastAsia"/>
          <w:sz w:val="32"/>
          <w:szCs w:val="32"/>
          <w:lang w:val="en-US" w:eastAsia="zh-CN"/>
        </w:rPr>
      </w:pPr>
      <w:r>
        <w:rPr>
          <w:rFonts w:hint="eastAsia"/>
          <w:sz w:val="32"/>
          <w:szCs w:val="32"/>
          <w:lang w:val="en-US" w:eastAsia="zh-CN"/>
        </w:rPr>
        <w:t xml:space="preserve">                  2025年</w:t>
      </w:r>
      <w:r>
        <w:rPr>
          <w:rFonts w:hint="eastAsia" w:ascii="仿宋_GB2312" w:hAnsi="仿宋_GB2312" w:cs="仿宋_GB2312"/>
          <w:spacing w:val="-6"/>
          <w:sz w:val="32"/>
          <w:szCs w:val="32"/>
          <w:lang w:val="en-US" w:eastAsia="zh-CN"/>
        </w:rPr>
        <w:t>12</w:t>
      </w:r>
      <w:r>
        <w:rPr>
          <w:rFonts w:hint="eastAsia"/>
          <w:sz w:val="32"/>
          <w:szCs w:val="32"/>
          <w:lang w:val="en-US" w:eastAsia="zh-CN"/>
        </w:rPr>
        <w:t>月</w:t>
      </w:r>
      <w:r>
        <w:rPr>
          <w:rFonts w:hint="eastAsia" w:ascii="仿宋_GB2312" w:hAnsi="仿宋_GB2312" w:cs="仿宋_GB2312"/>
          <w:spacing w:val="-6"/>
          <w:sz w:val="32"/>
          <w:szCs w:val="32"/>
          <w:lang w:val="en-US" w:eastAsia="zh-CN"/>
        </w:rPr>
        <w:t>17</w:t>
      </w:r>
      <w:r>
        <w:rPr>
          <w:rFonts w:hint="eastAsia"/>
          <w:sz w:val="32"/>
          <w:szCs w:val="32"/>
          <w:lang w:val="en-US" w:eastAsia="zh-CN"/>
        </w:rPr>
        <w:t>日</w:t>
      </w:r>
      <mc:AlternateContent>
        <mc:Choice Requires="wpsCustomData">
          <wpsCustomData:docfieldEnd id="1"/>
        </mc:Choice>
      </mc:AlternateContent>
    </w:p>
    <w:p w14:paraId="3C6C1CA9">
      <w:pPr>
        <w:pStyle w:val="11"/>
        <w:bidi w:val="0"/>
        <w:rPr>
          <w:rFonts w:hint="eastAsia"/>
        </w:rPr>
      </w:pPr>
      <w:bookmarkStart w:id="0" w:name="_GoBack"/>
      <w:bookmarkEnd w:id="0"/>
    </w:p>
    <w:sectPr>
      <w:headerReference r:id="rId3" w:type="default"/>
      <w:footerReference r:id="rId5" w:type="default"/>
      <w:headerReference r:id="rId4" w:type="even"/>
      <w:footerReference r:id="rId6" w:type="even"/>
      <w:pgSz w:w="11906" w:h="16838"/>
      <w:pgMar w:top="2098" w:right="1474" w:bottom="1984" w:left="1587" w:header="851" w:footer="1417" w:gutter="0"/>
      <w:pgNumType w:fmt="decimal" w:start="1"/>
      <w:cols w:space="720" w:num="1"/>
      <w:docGrid w:type="linesAndChars" w:linePitch="579" w:charSpace="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DejaVu Sans">
    <w:panose1 w:val="020B0606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D6774">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969F8C">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alSs7WAAAABgEAAA8AAAAAAAAAAQAgAAAAIgAAAGRycy9kb3ducmV2&#10;LnhtbFBLAQIUABQAAAAIAIdO4kAMiZEMNwIAAGsEAAAOAAAAAAAAAAEAIAAAACUBAABkcnMvZTJv&#10;RG9jLnhtbFBLBQYAAAAABgAGAFkBAADOBQAAAAA=&#10;">
              <v:fill on="f" focussize="0,0"/>
              <v:stroke on="f" weight="0.5pt"/>
              <v:imagedata o:title=""/>
              <o:lock v:ext="edit" aspectratio="f"/>
              <v:textbox inset="16pt,0mm,16pt,0mm" style="mso-fit-shape-to-text:t;">
                <w:txbxContent>
                  <w:p w14:paraId="6E969F8C">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2D70">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42F6C3">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c3nUujgCAABrBAAADgAAAAAAAAABACAAAAAlAQAAZHJzL2Uy&#10;b0RvYy54bWxQSwUGAAAAAAYABgBZAQAAzwUAAAAA&#10;">
              <v:fill on="f" focussize="0,0"/>
              <v:stroke on="f" weight="0.5pt"/>
              <v:imagedata o:title=""/>
              <o:lock v:ext="edit" aspectratio="f"/>
              <v:textbox inset="16pt,0mm,16pt,0mm" style="mso-fit-shape-to-text:t;">
                <w:txbxContent>
                  <w:p w14:paraId="3D42F6C3">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312D4">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B986D">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86FB0E"/>
    <w:multiLevelType w:val="singleLevel"/>
    <w:tmpl w:val="8786FB0E"/>
    <w:lvl w:ilvl="0" w:tentative="0">
      <w:start w:val="1"/>
      <w:numFmt w:val="chineseCounting"/>
      <w:suff w:val="nothing"/>
      <w:lvlText w:val="第%1条　"/>
      <w:lvlJc w:val="left"/>
      <w:pPr>
        <w:ind w:left="0" w:firstLine="616"/>
      </w:pPr>
      <w:rPr>
        <w:rFonts w:hint="eastAsia"/>
      </w:rPr>
    </w:lvl>
  </w:abstractNum>
  <w:abstractNum w:abstractNumId="1">
    <w:nsid w:val="BD7018D6"/>
    <w:multiLevelType w:val="singleLevel"/>
    <w:tmpl w:val="BD7018D6"/>
    <w:lvl w:ilvl="0" w:tentative="0">
      <w:start w:val="1"/>
      <w:numFmt w:val="taiwaneseCounting"/>
      <w:suff w:val="space"/>
      <w:lvlText w:val="第%1章"/>
      <w:lvlJc w:val="left"/>
      <w:pPr>
        <w:ind w:left="0" w:firstLine="0"/>
      </w:pPr>
      <w:rPr>
        <w:rFonts w:hint="eastAsia"/>
      </w:rPr>
    </w:lvl>
  </w:abstractNum>
  <w:abstractNum w:abstractNumId="2">
    <w:nsid w:val="FCA6FE73"/>
    <w:multiLevelType w:val="singleLevel"/>
    <w:tmpl w:val="FCA6FE73"/>
    <w:lvl w:ilvl="0" w:tentative="0">
      <w:start w:val="5"/>
      <w:numFmt w:val="chineseCounting"/>
      <w:suff w:val="nothing"/>
      <w:lvlText w:val="第%1条　"/>
      <w:lvlJc w:val="left"/>
      <w:pPr>
        <w:ind w:left="0" w:firstLine="616"/>
      </w:pPr>
      <w:rPr>
        <w:rFonts w:hint="eastAsia"/>
      </w:rPr>
    </w:lvl>
  </w:abstractNum>
  <w:abstractNum w:abstractNumId="3">
    <w:nsid w:val="1F67FFA4"/>
    <w:multiLevelType w:val="singleLevel"/>
    <w:tmpl w:val="1F67FFA4"/>
    <w:lvl w:ilvl="0" w:tentative="0">
      <w:start w:val="22"/>
      <w:numFmt w:val="chineseCounting"/>
      <w:suff w:val="nothing"/>
      <w:lvlText w:val="第%1条　"/>
      <w:lvlJc w:val="left"/>
      <w:pPr>
        <w:ind w:left="0" w:firstLine="616"/>
      </w:pPr>
      <w:rPr>
        <w:rFonts w:hint="eastAsia"/>
      </w:rPr>
    </w:lvl>
  </w:abstractNum>
  <w:abstractNum w:abstractNumId="4">
    <w:nsid w:val="31429C80"/>
    <w:multiLevelType w:val="singleLevel"/>
    <w:tmpl w:val="31429C80"/>
    <w:lvl w:ilvl="0" w:tentative="0">
      <w:start w:val="9"/>
      <w:numFmt w:val="chineseCounting"/>
      <w:suff w:val="nothing"/>
      <w:lvlText w:val="第%1条　"/>
      <w:lvlJc w:val="left"/>
      <w:pPr>
        <w:ind w:left="0" w:firstLine="616"/>
      </w:pPr>
      <w:rPr>
        <w:rFonts w:hint="eastAsia"/>
      </w:rPr>
    </w:lvl>
  </w:abstractNum>
  <w:abstractNum w:abstractNumId="5">
    <w:nsid w:val="445C38F5"/>
    <w:multiLevelType w:val="singleLevel"/>
    <w:tmpl w:val="445C38F5"/>
    <w:lvl w:ilvl="0" w:tentative="0">
      <w:start w:val="15"/>
      <w:numFmt w:val="chineseCounting"/>
      <w:suff w:val="nothing"/>
      <w:lvlText w:val="第%1条　"/>
      <w:lvlJc w:val="left"/>
      <w:pPr>
        <w:ind w:left="0" w:firstLine="616"/>
      </w:pPr>
      <w:rPr>
        <w:rFonts w:hint="eastAsia"/>
      </w:rPr>
    </w:lvl>
  </w:abstractNum>
  <w:abstractNum w:abstractNumId="6">
    <w:nsid w:val="5BF748EF"/>
    <w:multiLevelType w:val="singleLevel"/>
    <w:tmpl w:val="5BF748EF"/>
    <w:lvl w:ilvl="0" w:tentative="0">
      <w:start w:val="26"/>
      <w:numFmt w:val="chineseCounting"/>
      <w:suff w:val="nothing"/>
      <w:lvlText w:val="第%1条　"/>
      <w:lvlJc w:val="left"/>
      <w:pPr>
        <w:ind w:left="0" w:firstLine="616"/>
      </w:pPr>
      <w:rPr>
        <w:rFonts w:hint="eastAsia"/>
      </w:rPr>
    </w:lvl>
  </w:abstractNum>
  <w:abstractNum w:abstractNumId="7">
    <w:nsid w:val="7327AD55"/>
    <w:multiLevelType w:val="singleLevel"/>
    <w:tmpl w:val="7327AD55"/>
    <w:lvl w:ilvl="0" w:tentative="0">
      <w:start w:val="18"/>
      <w:numFmt w:val="chineseCounting"/>
      <w:suff w:val="nothing"/>
      <w:lvlText w:val="第%1条　"/>
      <w:lvlJc w:val="left"/>
      <w:pPr>
        <w:ind w:left="0" w:firstLine="616"/>
      </w:pPr>
      <w:rPr>
        <w:rFonts w:hint="eastAsia"/>
      </w:rPr>
    </w:lvl>
  </w:abstractNum>
  <w:num w:numId="1">
    <w:abstractNumId w:val="1"/>
  </w:num>
  <w:num w:numId="2">
    <w:abstractNumId w:val="0"/>
  </w:num>
  <w:num w:numId="3">
    <w:abstractNumId w:val="2"/>
  </w:num>
  <w:num w:numId="4">
    <w:abstractNumId w:val="4"/>
  </w:num>
  <w:num w:numId="5">
    <w:abstractNumId w:val="5"/>
  </w:num>
  <w:num w:numId="6">
    <w:abstractNumId w:val="7"/>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evenAndOddHeaders w:val="1"/>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17476E"/>
    <w:rsid w:val="37294909"/>
    <w:rsid w:val="3826115E"/>
    <w:rsid w:val="3BBFFC50"/>
    <w:rsid w:val="5A76A53A"/>
    <w:rsid w:val="5BFFA8D3"/>
    <w:rsid w:val="7E7F82F2"/>
    <w:rsid w:val="7E9F30FA"/>
    <w:rsid w:val="B96FD11D"/>
    <w:rsid w:val="BFE517F5"/>
    <w:rsid w:val="CEEC5057"/>
    <w:rsid w:val="DBBF3997"/>
    <w:rsid w:val="DF4E1C30"/>
    <w:rsid w:val="F5EF6D9C"/>
    <w:rsid w:val="FD7790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officialmode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3">
    <w:name w:val="heading 2"/>
    <w:next w:val="1"/>
    <w:semiHidden/>
    <w:unhideWhenUsed/>
    <w:qFormat/>
    <w:uiPriority w:val="0"/>
    <w:pPr>
      <w:keepNext/>
      <w:keepLines/>
      <w:spacing w:beforeLines="0" w:beforeAutospacing="0" w:afterLines="0" w:afterAutospacing="0" w:line="560" w:lineRule="exact"/>
      <w:ind w:firstLine="894" w:firstLineChars="200"/>
      <w:outlineLvl w:val="1"/>
    </w:pPr>
    <w:rPr>
      <w:rFonts w:ascii="Times New Roman" w:hAnsi="Times New Roman" w:eastAsia="楷体_GB2312" w:cs="楷体_GB2312"/>
      <w:sz w:val="32"/>
      <w:szCs w:val="32"/>
    </w:rPr>
  </w:style>
  <w:style w:type="paragraph" w:styleId="4">
    <w:name w:val="heading 3"/>
    <w:next w:val="1"/>
    <w:semiHidden/>
    <w:unhideWhenUsed/>
    <w:qFormat/>
    <w:uiPriority w:val="0"/>
    <w:pPr>
      <w:keepNext/>
      <w:keepLines/>
      <w:spacing w:beforeLines="0" w:beforeAutospacing="0" w:afterLines="0" w:afterAutospacing="0" w:line="560" w:lineRule="exact"/>
      <w:ind w:firstLine="894" w:firstLineChars="200"/>
      <w:outlineLvl w:val="2"/>
    </w:pPr>
    <w:rPr>
      <w:rFonts w:ascii="Times New Roman" w:hAnsi="Times New Roman" w:eastAsia="仿宋_GB2312" w:cs="仿宋_GB2312"/>
      <w:sz w:val="32"/>
      <w:szCs w:val="32"/>
    </w:rPr>
  </w:style>
  <w:style w:type="paragraph" w:styleId="5">
    <w:name w:val="heading 4"/>
    <w:next w:val="1"/>
    <w:semiHidden/>
    <w:unhideWhenUsed/>
    <w:qFormat/>
    <w:uiPriority w:val="0"/>
    <w:pPr>
      <w:keepNext/>
      <w:keepLines/>
      <w:spacing w:beforeLines="0" w:beforeAutospacing="0" w:afterLines="0" w:afterAutospacing="0" w:line="560" w:lineRule="exact"/>
      <w:ind w:firstLine="894" w:firstLineChars="200"/>
      <w:outlineLvl w:val="3"/>
    </w:pPr>
    <w:rPr>
      <w:rFonts w:ascii="Times New Roman" w:hAnsi="Times New Roman" w:eastAsia="仿宋_GB2312" w:cs="仿宋_GB2312"/>
      <w:sz w:val="32"/>
      <w:szCs w:val="32"/>
    </w:rPr>
  </w:style>
  <w:style w:type="paragraph" w:styleId="6">
    <w:name w:val="heading 5"/>
    <w:next w:val="1"/>
    <w:semiHidden/>
    <w:unhideWhenUsed/>
    <w:qFormat/>
    <w:uiPriority w:val="0"/>
    <w:pPr>
      <w:spacing w:line="560" w:lineRule="exact"/>
      <w:ind w:firstLine="894" w:firstLineChars="200"/>
      <w:outlineLvl w:val="4"/>
    </w:pPr>
    <w:rPr>
      <w:rFonts w:ascii="Times New Roman" w:hAnsi="Times New Roman" w:eastAsia="仿宋_GB2312" w:cs="仿宋_GB2312"/>
      <w:sz w:val="32"/>
      <w:szCs w:val="32"/>
    </w:rPr>
  </w:style>
  <w:style w:type="paragraph" w:styleId="7">
    <w:name w:val="heading 6"/>
    <w:next w:val="1"/>
    <w:semiHidden/>
    <w:unhideWhenUsed/>
    <w:qFormat/>
    <w:uiPriority w:val="0"/>
    <w:pPr>
      <w:spacing w:line="560" w:lineRule="exact"/>
      <w:ind w:firstLine="894" w:firstLineChars="200"/>
      <w:outlineLvl w:val="5"/>
    </w:pPr>
    <w:rPr>
      <w:rFonts w:ascii="Times New Roman" w:hAnsi="Times New Roman" w:eastAsia="仿宋_GB2312" w:cs="仿宋_GB2312"/>
      <w:sz w:val="32"/>
      <w:szCs w:val="32"/>
    </w:rPr>
  </w:style>
  <w:style w:type="paragraph" w:styleId="8">
    <w:name w:val="heading 7"/>
    <w:next w:val="1"/>
    <w:semiHidden/>
    <w:unhideWhenUsed/>
    <w:qFormat/>
    <w:uiPriority w:val="0"/>
    <w:pPr>
      <w:spacing w:line="560" w:lineRule="exact"/>
      <w:ind w:firstLine="894" w:firstLineChars="200"/>
      <w:outlineLvl w:val="6"/>
    </w:pPr>
    <w:rPr>
      <w:rFonts w:ascii="Times New Roman" w:hAnsi="Times New Roman" w:eastAsia="仿宋_GB2312" w:cs="仿宋_GB2312"/>
      <w:sz w:val="32"/>
      <w:szCs w:val="32"/>
    </w:rPr>
  </w:style>
  <w:style w:type="paragraph" w:styleId="9">
    <w:name w:val="heading 8"/>
    <w:next w:val="1"/>
    <w:semiHidden/>
    <w:unhideWhenUsed/>
    <w:qFormat/>
    <w:uiPriority w:val="0"/>
    <w:pPr>
      <w:spacing w:line="560" w:lineRule="exact"/>
      <w:ind w:firstLine="894" w:firstLineChars="200"/>
      <w:outlineLvl w:val="7"/>
    </w:pPr>
    <w:rPr>
      <w:rFonts w:ascii="Times New Roman" w:hAnsi="Times New Roman" w:eastAsia="仿宋_GB2312" w:cs="仿宋_GB2312"/>
      <w:sz w:val="32"/>
      <w:szCs w:val="32"/>
    </w:rPr>
  </w:style>
  <w:style w:type="paragraph" w:styleId="10">
    <w:name w:val="heading 9"/>
    <w:next w:val="1"/>
    <w:semiHidden/>
    <w:unhideWhenUsed/>
    <w:qFormat/>
    <w:uiPriority w:val="0"/>
    <w:pPr>
      <w:spacing w:line="560" w:lineRule="exact"/>
      <w:ind w:firstLine="894" w:firstLineChars="200"/>
      <w:outlineLvl w:val="8"/>
    </w:pPr>
    <w:rPr>
      <w:rFonts w:ascii="Times New Roman" w:hAnsi="Times New Roman" w:eastAsia="仿宋_GB2312" w:cs="仿宋_GB2312"/>
      <w:sz w:val="32"/>
      <w:szCs w:val="32"/>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11">
    <w:name w:val="Body Text"/>
    <w:qFormat/>
    <w:uiPriority w:val="0"/>
    <w:pPr>
      <w:spacing w:line="560" w:lineRule="exact"/>
      <w:ind w:firstLine="630" w:firstLineChars="200"/>
      <w:jc w:val="both"/>
    </w:pPr>
    <w:rPr>
      <w:rFonts w:ascii="Times New Roman" w:hAnsi="Times New Roman" w:eastAsia="仿宋_GB2312" w:cs="仿宋_GB2312"/>
      <w:spacing w:val="-6"/>
      <w:sz w:val="32"/>
      <w:szCs w:val="32"/>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Subtitle"/>
    <w:qFormat/>
    <w:uiPriority w:val="0"/>
    <w:pPr>
      <w:spacing w:beforeLines="0" w:beforeAutospacing="0" w:afterLines="0" w:afterAutospacing="0" w:line="720" w:lineRule="exact"/>
      <w:jc w:val="center"/>
      <w:outlineLvl w:val="9"/>
    </w:pPr>
    <w:rPr>
      <w:rFonts w:ascii="Times New Roman" w:hAnsi="Times New Roman" w:eastAsia="仿宋_GB2312" w:cs="仿宋_GB2312"/>
      <w:kern w:val="28"/>
      <w:sz w:val="32"/>
      <w:szCs w:val="32"/>
    </w:rPr>
  </w:style>
  <w:style w:type="paragraph" w:styleId="15">
    <w:name w:val="Normal (Web)"/>
    <w:basedOn w:val="1"/>
    <w:qFormat/>
    <w:uiPriority w:val="0"/>
    <w:rPr>
      <w:sz w:val="24"/>
    </w:rPr>
  </w:style>
  <w:style w:type="paragraph" w:styleId="16">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character" w:styleId="19">
    <w:name w:val="Strong"/>
    <w:basedOn w:val="18"/>
    <w:qFormat/>
    <w:uiPriority w:val="0"/>
    <w:rPr>
      <w:b/>
    </w:rPr>
  </w:style>
  <w:style w:type="paragraph" w:customStyle="1" w:styleId="20">
    <w:name w:val="章标题"/>
    <w:next w:val="1"/>
    <w:qFormat/>
    <w:uiPriority w:val="0"/>
    <w:pPr>
      <w:widowControl w:val="0"/>
      <w:spacing w:line="560" w:lineRule="exact"/>
      <w:jc w:val="center"/>
      <w:outlineLvl w:val="0"/>
    </w:pPr>
    <w:rPr>
      <w:rFonts w:ascii="黑体" w:hAnsi="黑体" w:eastAsia="黑体" w:cs="黑体"/>
      <w:bCs/>
      <w:spacing w:val="-6"/>
      <w:kern w:val="44"/>
      <w:sz w:val="32"/>
      <w:szCs w:val="32"/>
      <w:lang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2869</Words>
  <Characters>2869</Characters>
  <Lines>0</Lines>
  <Paragraphs>0</Paragraphs>
  <TotalTime>1</TotalTime>
  <ScaleCrop>false</ScaleCrop>
  <LinksUpToDate>false</LinksUpToDate>
  <CharactersWithSpaces>2945</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2025-11-29T17:24:00Z</dcterms:created>
  <dc:creator>huawei</dc:creator>
  <cp:lastModifiedBy>huawei</cp:lastModifiedBy>
  <cp:lastPrinted>2025-12-11T00:55:00Z</cp:lastPrinted>
  <dcterms:modified xsi:type="dcterms:W3CDTF">2025-12-17T08:17:32Z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6C1D7B671000AAF7EF1B28699E2627DA_42</vt:lpwstr>
  </property>
  <property fmtid="{D5CDD505-2E9C-101B-9397-08002B2CF9AE}" pid="4" name="KSOTemplateDocerSaveRecord">
    <vt:lpwstr>eyJoZGlkIjoiZTRjMzJhOGZjNDFhYTUwNjEzODI0MDNiZDU5MjAwMDgiLCJ1c2VySWQiOiIxMzIxNzU4MjQ4In0=</vt:lpwstr>
  </property>
</Properties>
</file>