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42236">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农业农村</w:t>
      </w:r>
      <w:r>
        <w:rPr>
          <w:rFonts w:hint="eastAsia" w:ascii="Times New Roman" w:hAnsi="Times New Roman" w:eastAsia="方正小标宋_GBK" w:cs="Times New Roman"/>
          <w:b w:val="0"/>
          <w:bCs w:val="0"/>
          <w:sz w:val="36"/>
          <w:szCs w:val="36"/>
          <w:lang w:val="en-US" w:eastAsia="zh-CN"/>
        </w:rPr>
        <w:t>局</w:t>
      </w:r>
    </w:p>
    <w:p w14:paraId="5BD7D9D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4320D7A3">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w:t>
      </w:r>
      <w:r>
        <w:rPr>
          <w:rFonts w:hint="default" w:ascii="Times New Roman" w:hAnsi="Times New Roman" w:eastAsia="楷体" w:cs="Times New Roman"/>
          <w:b/>
          <w:bCs/>
          <w:kern w:val="2"/>
          <w:sz w:val="28"/>
          <w:szCs w:val="28"/>
          <w:lang w:val="en-US" w:eastAsia="zh-CN" w:bidi="ar-SA"/>
        </w:rPr>
        <w:t>农业农村</w:t>
      </w:r>
      <w:r>
        <w:rPr>
          <w:rFonts w:hint="eastAsia" w:ascii="Times New Roman" w:hAnsi="Times New Roman" w:eastAsia="楷体" w:cs="Times New Roman"/>
          <w:b/>
          <w:bCs/>
          <w:kern w:val="2"/>
          <w:sz w:val="28"/>
          <w:szCs w:val="28"/>
          <w:lang w:val="en-US" w:eastAsia="zh-CN" w:bidi="ar-SA"/>
        </w:rPr>
        <w:t>局</w:t>
      </w:r>
    </w:p>
    <w:tbl>
      <w:tblPr>
        <w:tblStyle w:val="3"/>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
        <w:gridCol w:w="623"/>
        <w:gridCol w:w="1033"/>
        <w:gridCol w:w="2077"/>
        <w:gridCol w:w="2945"/>
        <w:gridCol w:w="1173"/>
        <w:gridCol w:w="2632"/>
        <w:gridCol w:w="1841"/>
        <w:gridCol w:w="1860"/>
      </w:tblGrid>
      <w:tr w14:paraId="28F0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 w:hRule="atLeast"/>
          <w:tblHeader/>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41E5D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2DA8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7C8D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7C11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7DAA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5AB3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66E7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1038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7A76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5EE3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D4A9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A8FE8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0C94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3BD3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196E96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5B067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255FC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44007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6775B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63E3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13A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7D5E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805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D22B8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1DDE4C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E85CE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EDD4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B09AC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3A894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"https://www.li-xian.gov.cn/xwzx/gsgg"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https://www.li-xian.gov.cn/xwzx/gsgg</w:t>
            </w:r>
            <w:r>
              <w:rPr>
                <w:rFonts w:hint="default" w:ascii="Times New Roman" w:hAnsi="Times New Roman" w:eastAsia="方正仿宋_GBK" w:cs="Times New Roman"/>
                <w:i w:val="0"/>
                <w:iCs w:val="0"/>
                <w:color w:val="000000"/>
                <w:sz w:val="20"/>
                <w:szCs w:val="20"/>
                <w:u w:val="none"/>
              </w:rPr>
              <w:fldChar w:fldCharType="end"/>
            </w:r>
          </w:p>
        </w:tc>
      </w:tr>
      <w:tr w14:paraId="66FB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FE37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FA5F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9D7B6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2DBC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6B36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D337B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BB67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126B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F93F7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"https://www.li-xian.gov.cn/lxxzf/jgzn/zfbm/lxnyncj1/content_88867"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https://www.li-xian.gov.cn/lxxzf/jgzn/zfbm/lxnyncj1/content_88867</w:t>
            </w:r>
            <w:r>
              <w:rPr>
                <w:rFonts w:hint="default" w:ascii="Times New Roman" w:hAnsi="Times New Roman" w:eastAsia="方正仿宋_GBK" w:cs="Times New Roman"/>
                <w:i w:val="0"/>
                <w:iCs w:val="0"/>
                <w:color w:val="000000"/>
                <w:sz w:val="20"/>
                <w:szCs w:val="20"/>
                <w:u w:val="none"/>
              </w:rPr>
              <w:fldChar w:fldCharType="end"/>
            </w:r>
          </w:p>
        </w:tc>
      </w:tr>
      <w:tr w14:paraId="4557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A69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719D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D3814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AAD5E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6210A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77FA7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5C4F9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BD65F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1B52A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"https://www.li-xian.gov.cn/lxxzf/jgzn/zfbm/lxnyncj1/content_88867"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https://www.li-xian.gov.cn/lxxzf/jgzn/zfbm/lxnyncj1/content_88867</w:t>
            </w:r>
            <w:r>
              <w:rPr>
                <w:rFonts w:hint="default" w:ascii="Times New Roman" w:hAnsi="Times New Roman" w:eastAsia="方正仿宋_GBK" w:cs="Times New Roman"/>
                <w:i w:val="0"/>
                <w:iCs w:val="0"/>
                <w:color w:val="000000"/>
                <w:sz w:val="20"/>
                <w:szCs w:val="20"/>
                <w:u w:val="none"/>
              </w:rPr>
              <w:fldChar w:fldCharType="end"/>
            </w:r>
          </w:p>
        </w:tc>
      </w:tr>
      <w:tr w14:paraId="3890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515B4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AF63A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43B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农业农村领域规划计划</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6C0AB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涉及农业农村业务职能的中长期计划、年度工作计划信息、计划执行情况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361935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6FC1F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B7936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31791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E10CAC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"https://www.li-xian.gov.cn/zwgk/public/column/6616363?type=4&amp;catId=1143372951&amp;action=list&amp;nav=3"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https://www.li-xian.gov.cn/zwgk/public/column/6616363?type=4&amp;catId=1143372951&amp;action=list&amp;nav=3</w:t>
            </w:r>
            <w:r>
              <w:rPr>
                <w:rFonts w:hint="default" w:ascii="Times New Roman" w:hAnsi="Times New Roman" w:eastAsia="方正仿宋_GBK" w:cs="Times New Roman"/>
                <w:i w:val="0"/>
                <w:iCs w:val="0"/>
                <w:color w:val="000000"/>
                <w:sz w:val="20"/>
                <w:szCs w:val="20"/>
                <w:u w:val="none"/>
              </w:rPr>
              <w:fldChar w:fldCharType="end"/>
            </w:r>
          </w:p>
        </w:tc>
      </w:tr>
      <w:tr w14:paraId="5CA3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6"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1EBBD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F2032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089F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农业农村领域政务服务事项信息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8F87C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农业农村领域办理行政许可和其他对外管理服务事项目录，行使事项的依据、条件、程序以及办理结果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89A96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5C56F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AB72B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A0B20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09AC6CA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"http://zwfw-new.hunan.gov.cn/onething/service/index.jsp?type=xndtgr&amp;main=1&amp;areacode=430723999000"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http://zwfw-new.hunan.gov.cn/onething/service/index.jsp?type=xndtgr&amp;main=1&amp;areacode=430723999000</w:t>
            </w:r>
            <w:r>
              <w:rPr>
                <w:rFonts w:hint="default" w:ascii="Times New Roman" w:hAnsi="Times New Roman" w:eastAsia="方正仿宋_GBK" w:cs="Times New Roman"/>
                <w:i w:val="0"/>
                <w:iCs w:val="0"/>
                <w:color w:val="000000"/>
                <w:sz w:val="20"/>
                <w:szCs w:val="20"/>
                <w:u w:val="none"/>
              </w:rPr>
              <w:fldChar w:fldCharType="end"/>
            </w:r>
          </w:p>
        </w:tc>
      </w:tr>
      <w:tr w14:paraId="2BB8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8"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2C904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C3200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B29E1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农业农村领域行政处罚信息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CA6D0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农业农村领域实施行政处罚的依据、条件、程序以及本行政机关认为具有一定社会影响的行政处罚决定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1328B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3B7D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1E90E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w:t>
            </w:r>
            <w:bookmarkStart w:id="0" w:name="_GoBack"/>
            <w:bookmarkEnd w:id="0"/>
            <w:r>
              <w:rPr>
                <w:rFonts w:hint="default" w:ascii="Times New Roman" w:hAnsi="Times New Roman" w:eastAsia="方正仿宋_GBK" w:cs="Times New Roman"/>
                <w:i w:val="0"/>
                <w:iCs w:val="0"/>
                <w:color w:val="000000"/>
                <w:kern w:val="0"/>
                <w:sz w:val="20"/>
                <w:szCs w:val="20"/>
                <w:u w:val="none"/>
                <w:lang w:val="en-US" w:eastAsia="zh-CN" w:bidi="ar"/>
              </w:rPr>
              <w:t>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CD1B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A69CD1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"https://credit.fgw.hunan.gov.cn/cdweb/xygs_info.html?configCode=xzgl2"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https://credit.fgw.hunan.gov.cn/cdweb/xygs_info.html?configCode=xzgl2</w:t>
            </w:r>
            <w:r>
              <w:rPr>
                <w:rFonts w:hint="default" w:ascii="Times New Roman" w:hAnsi="Times New Roman" w:eastAsia="方正仿宋_GBK" w:cs="Times New Roman"/>
                <w:i w:val="0"/>
                <w:iCs w:val="0"/>
                <w:color w:val="000000"/>
                <w:sz w:val="20"/>
                <w:szCs w:val="20"/>
                <w:u w:val="none"/>
              </w:rPr>
              <w:fldChar w:fldCharType="end"/>
            </w:r>
          </w:p>
        </w:tc>
      </w:tr>
      <w:tr w14:paraId="1C05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DB97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EB76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A119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22B84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2F542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0DEC9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FE94A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F6758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C9049A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22E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44A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C67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3C91D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518AB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2687B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A1443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93F2A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92A4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A00E7B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1C6B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ADD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6C9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571C5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6AC02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6CDC7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2B373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93E6E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F2F3D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D09B4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1BF4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44434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3745F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191BC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F0EB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775A4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82D2A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BF10E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C3F9D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E206A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02EF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078C65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F5045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6A879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6319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B4C5A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FC030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10DD1E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84544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2B710A4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4B2A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10F7F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92064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4DCB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农业农村领域重大建设项目的批准和实施情况</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39689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0299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BE98C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2158F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F4276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CE250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6A5F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4A924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44E33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55F6F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78982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农业农村领域突发公共事件应急预案，发布的预警信息和事件应对情况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89D24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78CCF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EB3E7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F910D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38835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484E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CB1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4B54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37222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E455C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AE9E5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CF20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117E4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C2C0D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08111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2AF8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65D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3CC6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0D31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11CDA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677657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8508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F731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6A0C7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0289E9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491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2E2B5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44698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3B0E0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C3B8D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636A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2965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9EA26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DBB82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6A3F5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7771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5"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1FE4D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9B7F1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CA7B3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56FC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E888B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9E09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BF447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8388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4AA2BF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32CB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49C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9CCF3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C5D6E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农产品质量抽查</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54293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可能危及农产品质量安全的农药、兽药、饲料和饲料添加剂、肥料等农业投入品监督抽查结果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AFBA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《中华人民共和国农产品质量安全法》</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F4607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F4BA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62BC7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农产品质量安全监管股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97419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"https://www.li-xian.gov.cn/zwgk/public/index.html"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https://www.li-xian.gov.cn/zwgk/public/index.html</w:t>
            </w:r>
            <w:r>
              <w:rPr>
                <w:rFonts w:hint="default" w:ascii="Times New Roman" w:hAnsi="Times New Roman" w:eastAsia="方正仿宋_GBK" w:cs="Times New Roman"/>
                <w:i w:val="0"/>
                <w:iCs w:val="0"/>
                <w:color w:val="000000"/>
                <w:sz w:val="20"/>
                <w:szCs w:val="20"/>
                <w:u w:val="none"/>
              </w:rPr>
              <w:fldChar w:fldCharType="end"/>
            </w:r>
          </w:p>
        </w:tc>
      </w:tr>
      <w:tr w14:paraId="2BF1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2"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D7E0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B85B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A0F7B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2C9E9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动物防疫等补助政策内容、补贴对象、补贴标准、受益对象等信息</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9CB0A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 农业部关于印发&lt;动物防疫等补助经费管理办法&gt;的通知》（财农〔2017〕43号）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EF5E2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210E3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5A267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畜牧水产股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53940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"https://www.li-xian.gov.cn/zwgk/public/index.html"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https://www.li-xian.gov.cn/zwgk/public/index.html</w:t>
            </w:r>
            <w:r>
              <w:rPr>
                <w:rFonts w:hint="default" w:ascii="Times New Roman" w:hAnsi="Times New Roman" w:eastAsia="方正仿宋_GBK" w:cs="Times New Roman"/>
                <w:i w:val="0"/>
                <w:iCs w:val="0"/>
                <w:color w:val="000000"/>
                <w:sz w:val="20"/>
                <w:szCs w:val="20"/>
                <w:u w:val="none"/>
              </w:rPr>
              <w:fldChar w:fldCharType="end"/>
            </w:r>
          </w:p>
        </w:tc>
      </w:tr>
      <w:tr w14:paraId="409D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F64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0350F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196CA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41BB4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涉及农业农村系统牵头的“高效办成一件事”办理标准化工作规程和办事指南</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91E2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92456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4C759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864F2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val="en-US" w:eastAsia="zh-CN"/>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22B7D3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4397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F63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213" w:type="pct"/>
            <w:vMerge w:val="restart"/>
            <w:tcBorders>
              <w:top w:val="single" w:color="000000" w:sz="4" w:space="0"/>
              <w:left w:val="nil"/>
              <w:bottom w:val="single" w:color="000000" w:sz="4" w:space="0"/>
              <w:right w:val="single" w:color="000000" w:sz="4" w:space="0"/>
            </w:tcBorders>
            <w:noWrap w:val="0"/>
            <w:vAlign w:val="center"/>
          </w:tcPr>
          <w:p w14:paraId="49AB7F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87E99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CEA4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6ED49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3E215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09F01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A4AC7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A27F6A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"https://www.li-xian.gov.cn/zwgk/public/column/6616363?type=4&amp;action=list&amp;nav=1&amp;sub=&amp;catId=1143373671"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https://www.li-xian.gov.cn/zwgk/public/column/6616363?type=4&amp;action=list&amp;nav=1&amp;sub=&amp;catId=1143373671</w:t>
            </w:r>
            <w:r>
              <w:rPr>
                <w:rFonts w:hint="default" w:ascii="Times New Roman" w:hAnsi="Times New Roman" w:eastAsia="方正仿宋_GBK" w:cs="Times New Roman"/>
                <w:i w:val="0"/>
                <w:iCs w:val="0"/>
                <w:color w:val="000000"/>
                <w:sz w:val="20"/>
                <w:szCs w:val="20"/>
                <w:u w:val="none"/>
              </w:rPr>
              <w:fldChar w:fldCharType="end"/>
            </w:r>
          </w:p>
        </w:tc>
      </w:tr>
      <w:tr w14:paraId="79D0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36F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nil"/>
              <w:bottom w:val="single" w:color="000000" w:sz="4" w:space="0"/>
              <w:right w:val="single" w:color="000000" w:sz="4" w:space="0"/>
            </w:tcBorders>
            <w:noWrap w:val="0"/>
            <w:vAlign w:val="center"/>
          </w:tcPr>
          <w:p w14:paraId="59DAC64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11E3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3E6AA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257B2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FDE7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23AC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8382F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BCD0F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0A72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2"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DAE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nil"/>
              <w:bottom w:val="single" w:color="000000" w:sz="4" w:space="0"/>
              <w:right w:val="single" w:color="000000" w:sz="4" w:space="0"/>
            </w:tcBorders>
            <w:noWrap w:val="0"/>
            <w:vAlign w:val="center"/>
          </w:tcPr>
          <w:p w14:paraId="236A7E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954C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3747E0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EF5C3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5DA98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E49E8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1BFFC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3339ED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1046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849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nil"/>
              <w:bottom w:val="single" w:color="000000" w:sz="4" w:space="0"/>
              <w:right w:val="single" w:color="000000" w:sz="4" w:space="0"/>
            </w:tcBorders>
            <w:noWrap w:val="0"/>
            <w:vAlign w:val="center"/>
          </w:tcPr>
          <w:p w14:paraId="72FF949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B6139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C93A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24166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0A26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C60C9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87A98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7F14C3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6459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1"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0D828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A716F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B4E8A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5B42D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DBA6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F7811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EC28D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14D0D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6CE6CE72">
            <w:pPr>
              <w:keepNext w:val="0"/>
              <w:keepLines w:val="0"/>
              <w:pageBreakBefore w:val="0"/>
              <w:widowControl/>
              <w:kinsoku/>
              <w:wordWrap/>
              <w:overflowPunct/>
              <w:topLinePunct w:val="0"/>
              <w:autoSpaceDE/>
              <w:autoSpaceDN/>
              <w:bidi w:val="0"/>
              <w:adjustRightInd/>
              <w:snapToGrid/>
              <w:spacing w:line="300" w:lineRule="exact"/>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方正仿宋_GBK" w:cs="Times New Roman"/>
                <w:i w:val="0"/>
                <w:iCs w:val="0"/>
                <w:color w:val="000000"/>
                <w:sz w:val="20"/>
                <w:szCs w:val="20"/>
                <w:u w:val="none"/>
                <w:lang w:val="en-US" w:eastAsia="zh-CN"/>
              </w:rPr>
              <w:t>本单位无网站</w:t>
            </w:r>
          </w:p>
        </w:tc>
      </w:tr>
    </w:tbl>
    <w:p w14:paraId="6277E5DA">
      <w:pPr>
        <w:keepNext w:val="0"/>
        <w:keepLines w:val="0"/>
        <w:pageBreakBefore w:val="0"/>
        <w:widowControl/>
        <w:kinsoku/>
        <w:wordWrap/>
        <w:overflowPunct/>
        <w:topLinePunct w:val="0"/>
        <w:autoSpaceDE/>
        <w:autoSpaceDN/>
        <w:bidi w:val="0"/>
        <w:adjustRightInd/>
        <w:snapToGrid/>
        <w:spacing w:line="20" w:lineRule="exact"/>
        <w:textAlignment w:val="baseline"/>
        <w:rPr>
          <w:sz w:val="10"/>
        </w:rPr>
      </w:pPr>
    </w:p>
    <w:sectPr>
      <w:pgSz w:w="16838" w:h="11906" w:orient="landscape"/>
      <w:pgMar w:top="1236" w:right="1213" w:bottom="1236" w:left="121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BD0820-5F98-4DBA-AF12-937D204067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DEE58F-1E15-4629-AB12-0B4C88EEECF4}"/>
  </w:font>
  <w:font w:name="方正小标宋_GBK">
    <w:panose1 w:val="02000000000000000000"/>
    <w:charset w:val="86"/>
    <w:family w:val="auto"/>
    <w:pitch w:val="default"/>
    <w:sig w:usb0="A00002BF" w:usb1="38CF7CFA" w:usb2="00082016" w:usb3="00000000" w:csb0="00040001" w:csb1="00000000"/>
    <w:embedRegular r:id="rId3" w:fontKey="{B91A16FD-16FF-46A9-9BB7-464F7267B456}"/>
  </w:font>
  <w:font w:name="楷体">
    <w:panose1 w:val="02010609060101010101"/>
    <w:charset w:val="86"/>
    <w:family w:val="auto"/>
    <w:pitch w:val="default"/>
    <w:sig w:usb0="800002BF" w:usb1="38CF7CFA" w:usb2="00000016" w:usb3="00000000" w:csb0="00040001" w:csb1="00000000"/>
    <w:embedRegular r:id="rId4" w:fontKey="{D89CFB4A-5A11-473F-AAB4-892F2900B63E}"/>
  </w:font>
  <w:font w:name="等线">
    <w:panose1 w:val="02010600030101010101"/>
    <w:charset w:val="86"/>
    <w:family w:val="auto"/>
    <w:pitch w:val="default"/>
    <w:sig w:usb0="A00002BF" w:usb1="38CF7CFA" w:usb2="00000016" w:usb3="00000000" w:csb0="0004000F" w:csb1="00000000"/>
    <w:embedRegular r:id="rId5" w:fontKey="{8DA6424A-B9D5-40F3-B01A-D6C0A6C8CA6E}"/>
  </w:font>
  <w:font w:name="方正仿宋_GBK">
    <w:panose1 w:val="03000509000000000000"/>
    <w:charset w:val="86"/>
    <w:family w:val="auto"/>
    <w:pitch w:val="default"/>
    <w:sig w:usb0="00000001" w:usb1="080E0000" w:usb2="00000000" w:usb3="00000000" w:csb0="00040000" w:csb1="00000000"/>
    <w:embedRegular r:id="rId6" w:fontKey="{343A96C3-BE84-4264-B68F-937BE20FDA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151CE"/>
    <w:rsid w:val="0BDA37C7"/>
    <w:rsid w:val="356F555A"/>
    <w:rsid w:val="52715046"/>
    <w:rsid w:val="66AA0648"/>
    <w:rsid w:val="68E2372D"/>
    <w:rsid w:val="6C4151CE"/>
    <w:rsid w:val="7242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3633</Words>
  <Characters>5950</Characters>
  <Lines>0</Lines>
  <Paragraphs>0</Paragraphs>
  <TotalTime>9</TotalTime>
  <ScaleCrop>false</ScaleCrop>
  <LinksUpToDate>false</LinksUpToDate>
  <CharactersWithSpaces>5954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2025-12-25T00:58:00Z</dcterms:created>
  <dc:creator>Administrator</dc:creator>
  <cp:lastModifiedBy>陈木沐</cp:lastModifiedBy>
  <dcterms:modified xsi:type="dcterms:W3CDTF">2026-01-15T14:56:28Z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ED7015DC536C4A0BAB3A080B2D833C21_13</vt:lpwstr>
  </property>
  <property fmtid="{D5CDD505-2E9C-101B-9397-08002B2CF9AE}" pid="4" name="KSOTemplateDocerSaveRecord">
    <vt:lpwstr>eyJoZGlkIjoiNjZkY2IxY2U3NzVjM2I5YTZkNWI5MmM0OGU0MjY1YmIiLCJ1c2VySWQiOiI0MTc2MzUyMzcifQ==</vt:lpwstr>
  </property>
</Properties>
</file>