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emf"/>
  <Default Extension="bin" ContentType="application/vnd.openxmlformats-officedocument.oleObject"/>
  <Default Extension="png" ContentType="image/png"/>
  <Default Extension="wmf" ContentType="image/wmf"/>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rPr>
          <w:rFonts w:eastAsia="宋体" w:hint="eastAsia"/>
          <w:sz w:val="36"/>
          <w:szCs w:val="36"/>
          <w:lang w:eastAsia="zh-CN"/>
          <w:highlight w:val="none"/>
        </w:rPr>
      </w:pPr>
      <w:r>
        <w:rPr>
          <w:rFonts w:eastAsia="宋体" w:hint="eastAsia"/>
          <w:sz w:val="36"/>
          <w:szCs w:val="36"/>
          <w:lang w:eastAsia="zh-CN"/>
          <w:highlight w:val="none"/>
        </w:rPr>
        <w:drawing>
          <wp:anchor distT="0" distB="0" distL="114300" distR="114300" simplePos="0" relativeHeight="100" behindDoc="0" locked="0" layoutInCell="1" hidden="0" allowOverlap="1">
            <wp:simplePos x="0" y="0"/>
            <wp:positionH relativeFrom="column">
              <wp:posOffset>-997585</wp:posOffset>
            </wp:positionH>
            <wp:positionV relativeFrom="paragraph">
              <wp:posOffset>-894715</wp:posOffset>
            </wp:positionV>
            <wp:extent cx="7590790" cy="10713085"/>
            <wp:effectExtent l="-9525" t="-9525" r="13970" b="635"/>
            <wp:wrapNone/>
            <wp:docPr id="1034" name="图片 1034" descr="DocumentScanner_20260402_325984"/>
            <wp:cNvGraphicFramePr>
              <a:graphicFrameLocks noChangeAspect="1"/>
            </wp:cNvGraphicFramePr>
            <a:graphic>
              <a:graphicData uri="http://schemas.openxmlformats.org/drawingml/2006/picture">
                <pic:pic>
                  <pic:nvPicPr>
                    <pic:cNvPr id="2" name="图片 2"/>
                    <pic:cNvPicPr/>
                  </pic:nvPicPr>
                  <pic:blipFill>
                    <a:blip r:embed="rId4"/>
                    <a:srcRect t="386" b="434" r="638"/>
                    <a:stretch>
                      <a:fillRect/>
                    </a:stretch>
                  </pic:blipFill>
                  <pic:spPr>
                    <a:xfrm rot="0">
                      <a:off x="0" y="0"/>
                      <a:ext cx="7590790" cy="10713085"/>
                    </a:xfrm>
                    <a:prstGeom prst="rect"/>
                    <a:noFill/>
                    <a:ln w="9525" cmpd="sng" cap="flat">
                      <a:noFill/>
                      <a:prstDash val="solid"/>
                      <a:miter/>
                    </a:ln>
                  </pic:spPr>
                </pic:pic>
              </a:graphicData>
            </a:graphic>
          </wp:anchor>
        </w:drawing>
      </w:r>
    </w:p>
    <w:p>
      <w:pPr>
        <w:tabs>
          <w:tab w:val="left" w:pos="2601"/>
        </w:tabs>
        <w:rPr>
          <w:sz w:val="36"/>
          <w:szCs w:val="36"/>
          <w:highlight w:val="none"/>
        </w:rPr>
      </w:pPr>
    </w:p>
    <w:p>
      <w:pPr>
        <w:rPr>
          <w:sz w:val="36"/>
          <w:szCs w:val="36"/>
          <w:highlight w:val="none"/>
        </w:rPr>
      </w:pPr>
    </w:p>
    <w:p>
      <w:pPr>
        <w:rPr>
          <w:sz w:val="36"/>
          <w:szCs w:val="36"/>
          <w:highlight w:val="none"/>
        </w:rPr>
      </w:pPr>
    </w:p>
    <w:p>
      <w:pPr>
        <w:adjustRightInd w:val="0"/>
        <w:snapToGrid w:val="0"/>
        <w:jc w:val="center"/>
        <w:outlineLvl w:val="0"/>
        <w:rPr>
          <w:b/>
          <w:sz w:val="72"/>
          <w:szCs w:val="72"/>
          <w:highlight w:val="none"/>
        </w:rPr>
      </w:pPr>
      <w:bookmarkStart w:id="0" w:name="_Toc135640770"/>
      <w:bookmarkStart w:id="1" w:name="_Toc32454"/>
      <w:r>
        <w:rPr>
          <w:b/>
          <w:sz w:val="72"/>
          <w:szCs w:val="72"/>
          <w:highlight w:val="none"/>
        </w:rPr>
        <w:t>建设项目环境影响报告表</w:t>
      </w:r>
      <w:bookmarkEnd w:id="0"/>
      <w:bookmarkEnd w:id="1"/>
    </w:p>
    <w:p>
      <w:pPr>
        <w:adjustRightInd w:val="0"/>
        <w:snapToGrid w:val="0"/>
        <w:spacing w:beforeLines="80" w:before="192"/>
        <w:jc w:val="center"/>
        <w:rPr>
          <w:b/>
          <w:sz w:val="48"/>
          <w:szCs w:val="48"/>
          <w:highlight w:val="none"/>
        </w:rPr>
      </w:pPr>
      <w:r>
        <w:rPr>
          <w:b/>
          <w:sz w:val="48"/>
          <w:szCs w:val="48"/>
          <w:highlight w:val="none"/>
        </w:rPr>
        <w:t>（污染影响类）</w:t>
      </w:r>
    </w:p>
    <w:p>
      <w:pPr>
        <w:ind w:firstLine="1040"/>
        <w:rPr>
          <w:sz w:val="44"/>
          <w:szCs w:val="44"/>
          <w:highlight w:val="none"/>
        </w:rPr>
      </w:pPr>
    </w:p>
    <w:p>
      <w:pPr>
        <w:ind w:firstLine="1040"/>
        <w:rPr>
          <w:sz w:val="44"/>
          <w:szCs w:val="44"/>
          <w:highlight w:val="none"/>
        </w:rPr>
      </w:pPr>
    </w:p>
    <w:p>
      <w:pPr>
        <w:ind w:firstLine="1040"/>
        <w:rPr>
          <w:sz w:val="44"/>
          <w:szCs w:val="44"/>
          <w:highlight w:val="none"/>
        </w:rPr>
      </w:pPr>
    </w:p>
    <w:p>
      <w:pPr>
        <w:ind w:firstLine="1040"/>
        <w:rPr>
          <w:sz w:val="44"/>
          <w:szCs w:val="44"/>
          <w:highlight w:val="none"/>
        </w:rPr>
      </w:pPr>
    </w:p>
    <w:p>
      <w:pPr>
        <w:ind w:firstLine="1040"/>
        <w:rPr>
          <w:sz w:val="44"/>
          <w:szCs w:val="44"/>
          <w:highlight w:val="none"/>
        </w:rPr>
      </w:pPr>
    </w:p>
    <w:p>
      <w:pPr>
        <w:spacing w:line="360" w:lineRule="auto"/>
        <w:jc w:val="left"/>
        <w:rPr>
          <w:b/>
          <w:bCs/>
          <w:sz w:val="32"/>
          <w:szCs w:val="32"/>
          <w:highlight w:val="none"/>
        </w:rPr>
      </w:pPr>
    </w:p>
    <w:p>
      <w:pPr>
        <w:spacing w:line="360" w:lineRule="auto"/>
        <w:jc w:val="left"/>
        <w:rPr>
          <w:b/>
          <w:bCs/>
          <w:sz w:val="32"/>
          <w:szCs w:val="32"/>
          <w:u w:val="single"/>
          <w:highlight w:val="none"/>
        </w:rPr>
      </w:pPr>
      <w:r>
        <w:rPr>
          <w:b/>
          <w:bCs/>
          <w:sz w:val="32"/>
          <w:szCs w:val="32"/>
          <w:highlight w:val="none"/>
        </w:rPr>
        <w:t>项目名称：</w:t>
      </w:r>
      <w:r>
        <w:rPr>
          <w:b/>
          <w:bCs/>
          <w:sz w:val="32"/>
          <w:szCs w:val="32"/>
          <w:u w:val="single"/>
          <w:highlight w:val="none"/>
        </w:rPr>
        <w:t xml:space="preserve">   </w:t>
      </w:r>
      <w:r>
        <w:rPr>
          <w:rFonts w:hint="eastAsia"/>
          <w:b/>
          <w:bCs/>
          <w:sz w:val="32"/>
          <w:szCs w:val="32"/>
          <w:u w:val="single"/>
          <w:lang w:val="en-US" w:eastAsia="zh-CN"/>
          <w:highlight w:val="none"/>
        </w:rPr>
        <w:t xml:space="preserve"> </w:t>
      </w:r>
      <w:r>
        <w:rPr>
          <w:rFonts w:hint="eastAsia"/>
          <w:b/>
          <w:bCs/>
          <w:sz w:val="32"/>
          <w:szCs w:val="32"/>
          <w:u w:val="single"/>
          <w:lang w:eastAsia="zh-CN"/>
          <w:highlight w:val="none"/>
        </w:rPr>
        <w:t>澧县甘溪滩片区农村供水建设项目（</w:t>
      </w:r>
      <w:r>
        <w:rPr>
          <w:rFonts w:hint="eastAsia"/>
          <w:b/>
          <w:bCs/>
          <w:sz w:val="32"/>
          <w:szCs w:val="32"/>
          <w:u w:val="single"/>
          <w:lang w:val="en-US" w:eastAsia="zh-CN"/>
          <w:highlight w:val="none"/>
        </w:rPr>
        <w:t>一期</w:t>
      </w:r>
      <w:r>
        <w:rPr>
          <w:rFonts w:hint="eastAsia"/>
          <w:b/>
          <w:bCs/>
          <w:sz w:val="32"/>
          <w:szCs w:val="32"/>
          <w:u w:val="single"/>
          <w:lang w:eastAsia="zh-CN"/>
          <w:highlight w:val="none"/>
        </w:rPr>
        <w:t>）</w:t>
      </w:r>
      <w:r>
        <w:rPr>
          <w:rFonts w:hint="eastAsia"/>
          <w:b/>
          <w:bCs/>
          <w:sz w:val="32"/>
          <w:szCs w:val="32"/>
          <w:u w:val="single"/>
          <w:highlight w:val="none"/>
        </w:rPr>
        <w:t xml:space="preserve">    </w:t>
      </w:r>
      <w:r>
        <w:rPr>
          <w:b/>
          <w:bCs/>
          <w:sz w:val="32"/>
          <w:szCs w:val="32"/>
          <w:u w:val="single"/>
          <w:highlight w:val="none"/>
        </w:rPr>
        <w:t xml:space="preserve">   </w:t>
      </w:r>
      <w:r>
        <w:rPr>
          <w:rFonts w:hint="eastAsia"/>
          <w:b/>
          <w:bCs/>
          <w:color w:val="FFFFFF"/>
          <w:sz w:val="32"/>
          <w:szCs w:val="32"/>
          <w:u w:val="single"/>
          <w:highlight w:val="none"/>
        </w:rPr>
        <w:t>。</w:t>
      </w:r>
    </w:p>
    <w:p>
      <w:pPr>
        <w:spacing w:line="360" w:lineRule="auto"/>
        <w:rPr>
          <w:b/>
          <w:bCs/>
          <w:sz w:val="32"/>
          <w:szCs w:val="32"/>
          <w:u w:val="single"/>
          <w:highlight w:val="none"/>
        </w:rPr>
      </w:pPr>
      <w:r>
        <w:rPr>
          <w:b/>
          <w:bCs/>
          <w:sz w:val="32"/>
          <w:szCs w:val="32"/>
          <w:highlight w:val="none"/>
        </w:rPr>
        <w:t>建设单位（盖章）：</w:t>
      </w:r>
      <w:r>
        <w:rPr>
          <w:b/>
          <w:bCs/>
          <w:sz w:val="32"/>
          <w:szCs w:val="32"/>
          <w:u w:val="single"/>
          <w:highlight w:val="none"/>
        </w:rPr>
        <w:t xml:space="preserve">    </w:t>
      </w:r>
      <w:r>
        <w:rPr>
          <w:rFonts w:hint="eastAsia"/>
          <w:b/>
          <w:bCs/>
          <w:sz w:val="32"/>
          <w:szCs w:val="32"/>
          <w:u w:val="single"/>
          <w:lang w:eastAsia="zh-CN"/>
          <w:highlight w:val="none"/>
        </w:rPr>
        <w:t>澧县惠民村镇供水有限公司</w:t>
      </w:r>
      <w:r>
        <w:rPr>
          <w:rFonts w:hint="eastAsia"/>
          <w:b/>
          <w:bCs/>
          <w:sz w:val="32"/>
          <w:szCs w:val="32"/>
          <w:u w:val="single"/>
          <w:highlight w:val="none"/>
        </w:rPr>
        <w:t xml:space="preserve">     </w:t>
      </w:r>
      <w:r>
        <w:rPr>
          <w:b/>
          <w:bCs/>
          <w:sz w:val="32"/>
          <w:szCs w:val="32"/>
          <w:u w:val="single"/>
          <w:highlight w:val="none"/>
        </w:rPr>
        <w:t xml:space="preserve">          </w:t>
      </w:r>
      <w:r>
        <w:rPr>
          <w:rFonts w:hint="eastAsia"/>
          <w:b/>
          <w:bCs/>
          <w:sz w:val="32"/>
          <w:szCs w:val="32"/>
          <w:u w:val="single"/>
          <w:lang w:val="en-US" w:eastAsia="zh-CN"/>
          <w:highlight w:val="none"/>
        </w:rPr>
        <w:t xml:space="preserve">  </w:t>
      </w:r>
      <w:r>
        <w:rPr>
          <w:rFonts w:hint="eastAsia"/>
          <w:b/>
          <w:bCs/>
          <w:color w:val="FFFFFF"/>
          <w:sz w:val="32"/>
          <w:szCs w:val="32"/>
          <w:u w:val="single"/>
          <w:highlight w:val="none"/>
        </w:rPr>
        <w:t>。</w:t>
      </w:r>
    </w:p>
    <w:p>
      <w:pPr>
        <w:adjustRightInd w:val="0"/>
        <w:snapToGrid w:val="0"/>
        <w:spacing w:line="360" w:lineRule="auto"/>
        <w:rPr>
          <w:sz w:val="36"/>
          <w:szCs w:val="36"/>
          <w:u w:val="single"/>
          <w:highlight w:val="none"/>
        </w:rPr>
      </w:pPr>
      <w:r>
        <w:rPr>
          <w:b/>
          <w:bCs/>
          <w:sz w:val="32"/>
          <w:szCs w:val="32"/>
          <w:highlight w:val="none"/>
        </w:rPr>
        <w:t>编制日期：</w:t>
      </w:r>
      <w:r>
        <w:rPr>
          <w:b/>
          <w:bCs/>
          <w:sz w:val="32"/>
          <w:szCs w:val="32"/>
          <w:u w:val="single"/>
          <w:highlight w:val="none"/>
        </w:rPr>
        <w:t xml:space="preserve">                             二零二</w:t>
      </w:r>
      <w:r>
        <w:rPr>
          <w:rFonts w:hint="eastAsia"/>
          <w:b/>
          <w:bCs/>
          <w:sz w:val="32"/>
          <w:szCs w:val="32"/>
          <w:u w:val="single"/>
          <w:lang w:val="en-US" w:eastAsia="zh-CN"/>
          <w:highlight w:val="none"/>
        </w:rPr>
        <w:t>六</w:t>
      </w:r>
      <w:r>
        <w:rPr>
          <w:b/>
          <w:bCs/>
          <w:sz w:val="32"/>
          <w:szCs w:val="32"/>
          <w:u w:val="single"/>
          <w:highlight w:val="none"/>
        </w:rPr>
        <w:t>年</w:t>
      </w:r>
      <w:r>
        <w:rPr>
          <w:rFonts w:hint="eastAsia"/>
          <w:b/>
          <w:bCs/>
          <w:sz w:val="32"/>
          <w:szCs w:val="32"/>
          <w:u w:val="single"/>
          <w:lang w:val="en-US" w:eastAsia="zh-CN"/>
          <w:highlight w:val="none"/>
        </w:rPr>
        <w:t>三</w:t>
      </w:r>
      <w:r>
        <w:rPr>
          <w:b/>
          <w:bCs/>
          <w:sz w:val="32"/>
          <w:szCs w:val="32"/>
          <w:u w:val="single"/>
          <w:highlight w:val="none"/>
        </w:rPr>
        <w:t>月</w:t>
      </w:r>
      <w:r>
        <w:rPr>
          <w:rFonts w:hint="eastAsia"/>
          <w:b/>
          <w:bCs/>
          <w:sz w:val="32"/>
          <w:szCs w:val="32"/>
          <w:u w:val="single"/>
          <w:highlight w:val="none"/>
        </w:rPr>
        <w:t xml:space="preserve"> </w:t>
      </w:r>
      <w:r>
        <w:rPr>
          <w:b/>
          <w:bCs/>
          <w:sz w:val="32"/>
          <w:szCs w:val="32"/>
          <w:u w:val="single"/>
          <w:highlight w:val="none"/>
        </w:rPr>
        <w:t xml:space="preserve">                       </w:t>
      </w:r>
      <w:r>
        <w:rPr>
          <w:rFonts w:hint="eastAsia"/>
          <w:b/>
          <w:bCs/>
          <w:sz w:val="32"/>
          <w:szCs w:val="32"/>
          <w:u w:val="single"/>
          <w:lang w:val="en-US" w:eastAsia="zh-CN"/>
          <w:highlight w:val="none"/>
        </w:rPr>
        <w:t xml:space="preserve">  </w:t>
      </w:r>
      <w:r>
        <w:rPr>
          <w:rFonts w:hint="eastAsia"/>
          <w:b/>
          <w:bCs/>
          <w:color w:val="FFFFFF"/>
          <w:sz w:val="32"/>
          <w:szCs w:val="32"/>
          <w:u w:val="single"/>
          <w:highlight w:val="none"/>
        </w:rPr>
        <w:t>。</w:t>
      </w:r>
      <w:r>
        <w:rPr>
          <w:sz w:val="36"/>
          <w:szCs w:val="36"/>
          <w:u w:val="single"/>
          <w:highlight w:val="none"/>
        </w:rPr>
        <w:t xml:space="preserve"> </w:t>
      </w:r>
    </w:p>
    <w:p>
      <w:pPr>
        <w:adjustRightInd w:val="0"/>
        <w:snapToGrid w:val="0"/>
        <w:spacing w:line="288" w:lineRule="auto"/>
        <w:ind w:firstLine="1040"/>
        <w:rPr>
          <w:sz w:val="36"/>
          <w:szCs w:val="36"/>
          <w:u w:val="single"/>
          <w:highlight w:val="none"/>
        </w:rPr>
      </w:pPr>
      <w:bookmarkStart w:id="2" w:name="_Hlk57884087"/>
    </w:p>
    <w:p>
      <w:pPr>
        <w:adjustRightInd w:val="0"/>
        <w:snapToGrid w:val="0"/>
        <w:spacing w:line="288" w:lineRule="auto"/>
        <w:ind w:firstLine="1040"/>
        <w:rPr>
          <w:sz w:val="36"/>
          <w:szCs w:val="36"/>
          <w:highlight w:val="none"/>
        </w:rPr>
      </w:pPr>
    </w:p>
    <w:p>
      <w:pPr>
        <w:adjustRightInd w:val="0"/>
        <w:snapToGrid w:val="0"/>
        <w:spacing w:line="288" w:lineRule="auto"/>
        <w:ind w:firstLine="1040"/>
        <w:rPr>
          <w:sz w:val="36"/>
          <w:szCs w:val="36"/>
          <w:highlight w:val="none"/>
        </w:rPr>
      </w:pPr>
    </w:p>
    <w:p>
      <w:pPr>
        <w:adjustRightInd w:val="0"/>
        <w:snapToGrid w:val="0"/>
        <w:spacing w:line="288" w:lineRule="auto"/>
        <w:ind w:firstLine="1040"/>
        <w:rPr>
          <w:sz w:val="36"/>
          <w:szCs w:val="36"/>
          <w:highlight w:val="none"/>
        </w:rPr>
      </w:pPr>
    </w:p>
    <w:p>
      <w:pPr>
        <w:adjustRightInd w:val="0"/>
        <w:snapToGrid w:val="0"/>
        <w:spacing w:line="288" w:lineRule="auto"/>
        <w:ind w:firstLine="1040"/>
        <w:rPr>
          <w:sz w:val="36"/>
          <w:szCs w:val="36"/>
          <w:highlight w:val="none"/>
        </w:rPr>
      </w:pPr>
    </w:p>
    <w:p>
      <w:pPr>
        <w:adjustRightInd w:val="0"/>
        <w:snapToGrid w:val="0"/>
        <w:spacing w:line="288" w:lineRule="auto"/>
        <w:ind w:firstLine="1040"/>
        <w:rPr>
          <w:sz w:val="36"/>
          <w:szCs w:val="36"/>
          <w:highlight w:val="none"/>
        </w:rPr>
      </w:pPr>
    </w:p>
    <w:p>
      <w:pPr>
        <w:adjustRightInd w:val="0"/>
        <w:snapToGrid w:val="0"/>
        <w:spacing w:line="288" w:lineRule="auto"/>
        <w:jc w:val="center"/>
        <w:rPr>
          <w:b/>
          <w:bCs/>
          <w:sz w:val="36"/>
          <w:szCs w:val="36"/>
          <w:highlight w:val="none"/>
        </w:rPr>
      </w:pPr>
      <w:bookmarkEnd w:id="2"/>
    </w:p>
    <w:p>
      <w:pPr>
        <w:adjustRightInd w:val="0"/>
        <w:snapToGrid w:val="0"/>
        <w:spacing w:line="288" w:lineRule="auto"/>
        <w:jc w:val="center"/>
        <w:rPr>
          <w:b/>
          <w:bCs/>
          <w:sz w:val="36"/>
          <w:szCs w:val="36"/>
          <w:highlight w:val="none"/>
        </w:rPr>
      </w:pPr>
      <w:r>
        <w:rPr>
          <w:b/>
          <w:bCs/>
          <w:sz w:val="36"/>
          <w:szCs w:val="36"/>
          <w:highlight w:val="none"/>
        </w:rPr>
        <w:t>中华人民共和国生态环境部制</w:t>
      </w:r>
    </w:p>
    <w:p>
      <w:pPr>
        <w:widowControl/>
        <w:jc w:val="left"/>
        <w:rPr>
          <w:sz w:val="36"/>
          <w:szCs w:val="36"/>
          <w:highlight w:val="none"/>
        </w:rPr>
      </w:pPr>
      <w:r>
        <w:rPr>
          <w:sz w:val="36"/>
          <w:szCs w:val="36"/>
          <w:highlight w:val="none"/>
        </w:rPr>
        <w:br w:type="page"/>
      </w:r>
    </w:p>
    <w:p>
      <w:pPr>
        <w:widowControl/>
        <w:jc w:val="left"/>
        <w:rPr>
          <w:rFonts w:hint="eastAsia"/>
          <w:sz w:val="36"/>
          <w:szCs w:val="36"/>
          <w:lang w:eastAsia="zh-CN"/>
          <w:highlight w:val="none"/>
        </w:rPr>
      </w:pPr>
      <w:r>
        <w:rPr>
          <w:rFonts w:hint="eastAsia"/>
          <w:sz w:val="36"/>
          <w:szCs w:val="36"/>
          <w:lang w:eastAsia="zh-CN"/>
          <w:highlight w:val="none"/>
        </w:rPr>
        <w:drawing>
          <wp:inline distT="0" distB="0" distL="114300" distR="114300">
            <wp:extent cx="5615304" cy="7506969"/>
            <wp:effectExtent l="0" t="1" r="1" b="1"/>
            <wp:docPr id="1042" name="图片 1042" descr="DocumentScanner_20260324_508456"/>
            <wp:cNvGraphicFramePr>
              <a:graphicFrameLocks noChangeAspect="1"/>
            </wp:cNvGraphicFramePr>
            <a:graphic>
              <a:graphicData uri="http://schemas.openxmlformats.org/drawingml/2006/picture">
                <pic:pic>
                  <pic:nvPicPr>
                    <pic:cNvPr id="4" name="图片 4"/>
                    <pic:cNvPicPr/>
                  </pic:nvPicPr>
                  <pic:blipFill>
                    <a:blip r:embed="rId5"/>
                    <a:srcRect t="1437" b="3684"/>
                    <a:stretch>
                      <a:fillRect/>
                    </a:stretch>
                  </pic:blipFill>
                  <pic:spPr>
                    <a:xfrm rot="0">
                      <a:off x="0" y="0"/>
                      <a:ext cx="5615304" cy="7506969"/>
                    </a:xfrm>
                    <a:prstGeom prst="rect"/>
                    <a:noFill/>
                    <a:ln w="9525" cmpd="sng" cap="flat">
                      <a:noFill/>
                      <a:prstDash val="solid"/>
                      <a:miter/>
                    </a:ln>
                  </pic:spPr>
                </pic:pic>
              </a:graphicData>
            </a:graphic>
          </wp:inline>
        </w:drawing>
      </w:r>
    </w:p>
    <w:p>
      <w:pPr>
        <w:widowControl/>
        <w:jc w:val="left"/>
        <w:rPr>
          <w:rFonts w:hint="eastAsia"/>
          <w:sz w:val="36"/>
          <w:szCs w:val="36"/>
          <w:lang w:eastAsia="zh-CN"/>
          <w:highlight w:val="none"/>
        </w:rPr>
      </w:pPr>
    </w:p>
    <w:p>
      <w:pPr>
        <w:widowControl/>
        <w:jc w:val="left"/>
        <w:rPr>
          <w:rFonts w:hint="eastAsia"/>
          <w:sz w:val="36"/>
          <w:szCs w:val="36"/>
          <w:lang w:eastAsia="zh-CN"/>
          <w:highlight w:val="none"/>
        </w:rPr>
      </w:pPr>
    </w:p>
    <w:p>
      <w:pPr>
        <w:widowControl/>
        <w:jc w:val="left"/>
        <w:rPr>
          <w:rFonts w:hint="eastAsia"/>
          <w:sz w:val="36"/>
          <w:szCs w:val="36"/>
          <w:lang w:eastAsia="zh-CN"/>
          <w:highlight w:val="none"/>
        </w:rPr>
      </w:pPr>
    </w:p>
    <w:p>
      <w:pPr>
        <w:widowControl/>
        <w:jc w:val="left"/>
        <w:rPr>
          <w:rFonts w:eastAsia="宋体" w:hint="eastAsia"/>
          <w:sz w:val="36"/>
          <w:szCs w:val="36"/>
          <w:lang w:eastAsia="zh-CN"/>
          <w:highlight w:val="none"/>
        </w:rPr>
      </w:pPr>
    </w:p>
    <w:p>
      <w:pPr>
        <w:spacing w:beforeLines="100" w:before="240" w:afterLines="100" w:after="240"/>
        <w:jc w:val="center"/>
        <w:rPr>
          <w:highlight w:val="none"/>
        </w:rPr>
      </w:pPr>
      <w:r>
        <w:rPr>
          <w:rFonts w:ascii="宋体" w:hAnsi="宋体" w:hint="eastAsia"/>
          <w:b/>
          <w:sz w:val="36"/>
          <w:szCs w:val="36"/>
          <w:highlight w:val="none"/>
        </w:rPr>
        <w:t>目   录</w:t>
      </w:r>
      <w:r>
        <w:rPr>
          <w:sz w:val="28"/>
          <w:szCs w:val="28"/>
          <w:highlight w:val="none"/>
        </w:rPr>
        <w:fldChar w:fldCharType="begin"/>
      </w:r>
      <w:r>
        <w:rPr>
          <w:sz w:val="28"/>
          <w:szCs w:val="28"/>
          <w:highlight w:val="none"/>
        </w:rPr>
        <w:instrText xml:space="preserve">TOC \o "1-1" \h \u </w:instrText>
      </w:r>
      <w:r>
        <w:rPr>
          <w:sz w:val="28"/>
          <w:szCs w:val="28"/>
          <w:highlight w:val="none"/>
        </w:rPr>
        <w:fldChar w:fldCharType="separate"/>
      </w:r>
    </w:p>
    <w:p>
      <w:pPr>
        <w:pStyle w:val="24"/>
        <w:tabs>
          <w:tab w:val="right" w:leader="dot" w:pos="8844"/>
        </w:tabs>
        <w:spacing w:line="360" w:lineRule="auto"/>
        <w:rPr>
          <w:b/>
          <w:bCs/>
          <w:sz w:val="24"/>
          <w:szCs w:val="24"/>
          <w:highlight w:val="none"/>
        </w:rPr>
      </w:pPr>
      <w:r>
        <w:rPr>
          <w:b/>
          <w:bCs/>
          <w:sz w:val="24"/>
          <w:szCs w:val="24"/>
          <w:highlight w:val="none"/>
        </w:rPr>
        <w:fldChar w:fldCharType="begin"/>
      </w:r>
      <w:r>
        <w:rPr>
          <w:b/>
          <w:bCs/>
          <w:sz w:val="24"/>
          <w:szCs w:val="24"/>
          <w:highlight w:val="none"/>
        </w:rPr>
        <w:instrText xml:space="preserve"> HYPERLINK \l _Toc5929 </w:instrText>
      </w:r>
      <w:r>
        <w:rPr>
          <w:b/>
          <w:bCs/>
          <w:sz w:val="24"/>
          <w:szCs w:val="24"/>
          <w:highlight w:val="none"/>
        </w:rPr>
        <w:fldChar w:fldCharType="separate"/>
      </w:r>
      <w:r>
        <w:rPr>
          <w:rFonts w:ascii="Times New Roman" w:hAnsi="Times New Roman"/>
          <w:b/>
          <w:bCs/>
          <w:snapToGrid w:val="0"/>
          <w:sz w:val="24"/>
          <w:szCs w:val="24"/>
          <w:highlight w:val="none"/>
        </w:rPr>
        <w:t>一、建设项目基本情况</w:t>
      </w:r>
      <w:r>
        <w:rPr>
          <w:b/>
          <w:bCs/>
          <w:sz w:val="24"/>
          <w:szCs w:val="24"/>
          <w:highlight w:val="none"/>
        </w:rPr>
        <w:tab/>
      </w:r>
      <w:r>
        <w:rPr>
          <w:b/>
          <w:bCs/>
          <w:sz w:val="24"/>
          <w:szCs w:val="24"/>
          <w:highlight w:val="none"/>
        </w:rPr>
        <w:fldChar w:fldCharType="begin"/>
      </w:r>
      <w:r>
        <w:rPr>
          <w:b/>
          <w:bCs/>
          <w:sz w:val="24"/>
          <w:szCs w:val="24"/>
          <w:highlight w:val="none"/>
        </w:rPr>
        <w:instrText xml:space="preserve"> PAGEREF _Toc5929 \h </w:instrText>
      </w:r>
      <w:r>
        <w:rPr>
          <w:b/>
          <w:bCs/>
          <w:sz w:val="24"/>
          <w:szCs w:val="24"/>
          <w:highlight w:val="none"/>
        </w:rPr>
        <w:fldChar w:fldCharType="separate"/>
      </w:r>
      <w:r>
        <w:rPr>
          <w:b/>
          <w:bCs/>
          <w:sz w:val="24"/>
          <w:szCs w:val="24"/>
          <w:highlight w:val="none"/>
        </w:rPr>
        <w:t>1</w:t>
      </w:r>
      <w:r>
        <w:rPr>
          <w:b/>
          <w:bCs/>
          <w:sz w:val="24"/>
          <w:szCs w:val="24"/>
          <w:highlight w:val="none"/>
        </w:rPr>
        <w:fldChar w:fldCharType="end"/>
      </w:r>
      <w:r>
        <w:rPr>
          <w:b/>
          <w:bCs/>
          <w:sz w:val="24"/>
          <w:szCs w:val="24"/>
          <w:highlight w:val="none"/>
        </w:rPr>
        <w:fldChar w:fldCharType="end"/>
      </w:r>
    </w:p>
    <w:p>
      <w:pPr>
        <w:pStyle w:val="24"/>
        <w:tabs>
          <w:tab w:val="right" w:leader="dot" w:pos="8844"/>
        </w:tabs>
        <w:spacing w:line="360" w:lineRule="auto"/>
        <w:rPr>
          <w:b/>
          <w:bCs/>
          <w:sz w:val="24"/>
          <w:szCs w:val="24"/>
          <w:highlight w:val="none"/>
        </w:rPr>
      </w:pPr>
      <w:r>
        <w:rPr>
          <w:b/>
          <w:bCs/>
          <w:sz w:val="24"/>
          <w:szCs w:val="24"/>
          <w:highlight w:val="none"/>
        </w:rPr>
        <w:fldChar w:fldCharType="begin"/>
      </w:r>
      <w:r>
        <w:rPr>
          <w:b/>
          <w:bCs/>
          <w:sz w:val="24"/>
          <w:szCs w:val="24"/>
          <w:highlight w:val="none"/>
        </w:rPr>
        <w:instrText xml:space="preserve"> HYPERLINK \l _Toc7086 </w:instrText>
      </w:r>
      <w:r>
        <w:rPr>
          <w:b/>
          <w:bCs/>
          <w:sz w:val="24"/>
          <w:szCs w:val="24"/>
          <w:highlight w:val="none"/>
        </w:rPr>
        <w:fldChar w:fldCharType="separate"/>
      </w:r>
      <w:r>
        <w:rPr>
          <w:rFonts w:ascii="Times New Roman" w:hAnsi="Times New Roman"/>
          <w:b/>
          <w:bCs/>
          <w:snapToGrid w:val="0"/>
          <w:sz w:val="24"/>
          <w:szCs w:val="24"/>
          <w:highlight w:val="none"/>
        </w:rPr>
        <w:t>二、建设项目工程分析</w:t>
      </w:r>
      <w:r>
        <w:rPr>
          <w:b/>
          <w:bCs/>
          <w:sz w:val="24"/>
          <w:szCs w:val="24"/>
          <w:highlight w:val="none"/>
        </w:rPr>
        <w:tab/>
      </w:r>
      <w:r>
        <w:rPr>
          <w:b/>
          <w:bCs/>
          <w:sz w:val="24"/>
          <w:szCs w:val="24"/>
          <w:highlight w:val="none"/>
        </w:rPr>
        <w:fldChar w:fldCharType="begin"/>
      </w:r>
      <w:r>
        <w:rPr>
          <w:b/>
          <w:bCs/>
          <w:sz w:val="24"/>
          <w:szCs w:val="24"/>
          <w:highlight w:val="none"/>
        </w:rPr>
        <w:instrText xml:space="preserve"> PAGEREF _Toc7086 \h </w:instrText>
      </w:r>
      <w:r>
        <w:rPr>
          <w:b/>
          <w:bCs/>
          <w:sz w:val="24"/>
          <w:szCs w:val="24"/>
          <w:highlight w:val="none"/>
        </w:rPr>
        <w:fldChar w:fldCharType="separate"/>
      </w:r>
      <w:r>
        <w:rPr>
          <w:b/>
          <w:bCs/>
          <w:sz w:val="24"/>
          <w:szCs w:val="24"/>
          <w:highlight w:val="none"/>
        </w:rPr>
        <w:t>13</w:t>
      </w:r>
      <w:r>
        <w:rPr>
          <w:b/>
          <w:bCs/>
          <w:sz w:val="24"/>
          <w:szCs w:val="24"/>
          <w:highlight w:val="none"/>
        </w:rPr>
        <w:fldChar w:fldCharType="end"/>
      </w:r>
      <w:r>
        <w:rPr>
          <w:b/>
          <w:bCs/>
          <w:sz w:val="24"/>
          <w:szCs w:val="24"/>
          <w:highlight w:val="none"/>
        </w:rPr>
        <w:fldChar w:fldCharType="end"/>
      </w:r>
    </w:p>
    <w:p>
      <w:pPr>
        <w:pStyle w:val="24"/>
        <w:tabs>
          <w:tab w:val="right" w:leader="dot" w:pos="8844"/>
        </w:tabs>
        <w:spacing w:line="360" w:lineRule="auto"/>
        <w:rPr>
          <w:b/>
          <w:bCs/>
          <w:sz w:val="24"/>
          <w:szCs w:val="24"/>
          <w:highlight w:val="none"/>
        </w:rPr>
      </w:pPr>
      <w:r>
        <w:rPr>
          <w:b/>
          <w:bCs/>
          <w:sz w:val="24"/>
          <w:szCs w:val="24"/>
          <w:highlight w:val="none"/>
        </w:rPr>
        <w:fldChar w:fldCharType="begin"/>
      </w:r>
      <w:r>
        <w:rPr>
          <w:b/>
          <w:bCs/>
          <w:sz w:val="24"/>
          <w:szCs w:val="24"/>
          <w:highlight w:val="none"/>
        </w:rPr>
        <w:instrText xml:space="preserve"> HYPERLINK \l _Toc23815 </w:instrText>
      </w:r>
      <w:r>
        <w:rPr>
          <w:b/>
          <w:bCs/>
          <w:sz w:val="24"/>
          <w:szCs w:val="24"/>
          <w:highlight w:val="none"/>
        </w:rPr>
        <w:fldChar w:fldCharType="separate"/>
      </w:r>
      <w:r>
        <w:rPr>
          <w:rFonts w:ascii="Times New Roman" w:hAnsi="Times New Roman"/>
          <w:b/>
          <w:bCs/>
          <w:snapToGrid w:val="0"/>
          <w:sz w:val="24"/>
          <w:szCs w:val="24"/>
          <w:highlight w:val="none"/>
        </w:rPr>
        <w:t>三、区域环境质量现状、环境保护目标及评价标准</w:t>
      </w:r>
      <w:r>
        <w:rPr>
          <w:b/>
          <w:bCs/>
          <w:sz w:val="24"/>
          <w:szCs w:val="24"/>
          <w:highlight w:val="none"/>
        </w:rPr>
        <w:tab/>
      </w:r>
      <w:r>
        <w:rPr>
          <w:b/>
          <w:bCs/>
          <w:sz w:val="24"/>
          <w:szCs w:val="24"/>
          <w:highlight w:val="none"/>
        </w:rPr>
        <w:fldChar w:fldCharType="begin"/>
      </w:r>
      <w:r>
        <w:rPr>
          <w:b/>
          <w:bCs/>
          <w:sz w:val="24"/>
          <w:szCs w:val="24"/>
          <w:highlight w:val="none"/>
        </w:rPr>
        <w:instrText xml:space="preserve"> PAGEREF _Toc23815 \h </w:instrText>
      </w:r>
      <w:r>
        <w:rPr>
          <w:b/>
          <w:bCs/>
          <w:sz w:val="24"/>
          <w:szCs w:val="24"/>
          <w:highlight w:val="none"/>
        </w:rPr>
        <w:fldChar w:fldCharType="separate"/>
      </w:r>
      <w:r>
        <w:rPr>
          <w:b/>
          <w:bCs/>
          <w:sz w:val="24"/>
          <w:szCs w:val="24"/>
          <w:highlight w:val="none"/>
        </w:rPr>
        <w:t>41</w:t>
      </w:r>
      <w:r>
        <w:rPr>
          <w:b/>
          <w:bCs/>
          <w:sz w:val="24"/>
          <w:szCs w:val="24"/>
          <w:highlight w:val="none"/>
        </w:rPr>
        <w:fldChar w:fldCharType="end"/>
      </w:r>
      <w:r>
        <w:rPr>
          <w:b/>
          <w:bCs/>
          <w:sz w:val="24"/>
          <w:szCs w:val="24"/>
          <w:highlight w:val="none"/>
        </w:rPr>
        <w:fldChar w:fldCharType="end"/>
      </w:r>
    </w:p>
    <w:p>
      <w:pPr>
        <w:pStyle w:val="24"/>
        <w:tabs>
          <w:tab w:val="right" w:leader="dot" w:pos="8844"/>
        </w:tabs>
        <w:spacing w:line="360" w:lineRule="auto"/>
        <w:rPr>
          <w:b/>
          <w:bCs/>
          <w:sz w:val="24"/>
          <w:szCs w:val="24"/>
          <w:highlight w:val="none"/>
        </w:rPr>
      </w:pPr>
      <w:r>
        <w:rPr>
          <w:b/>
          <w:bCs/>
          <w:sz w:val="24"/>
          <w:szCs w:val="24"/>
          <w:highlight w:val="none"/>
        </w:rPr>
        <w:fldChar w:fldCharType="begin"/>
      </w:r>
      <w:r>
        <w:rPr>
          <w:b/>
          <w:bCs/>
          <w:sz w:val="24"/>
          <w:szCs w:val="24"/>
          <w:highlight w:val="none"/>
        </w:rPr>
        <w:instrText xml:space="preserve"> HYPERLINK \l _Toc17523 </w:instrText>
      </w:r>
      <w:r>
        <w:rPr>
          <w:b/>
          <w:bCs/>
          <w:sz w:val="24"/>
          <w:szCs w:val="24"/>
          <w:highlight w:val="none"/>
        </w:rPr>
        <w:fldChar w:fldCharType="separate"/>
      </w:r>
      <w:r>
        <w:rPr>
          <w:rFonts w:ascii="Times New Roman" w:hAnsi="Times New Roman"/>
          <w:b/>
          <w:bCs/>
          <w:snapToGrid w:val="0"/>
          <w:sz w:val="24"/>
          <w:szCs w:val="24"/>
          <w:highlight w:val="none"/>
        </w:rPr>
        <w:t>四、主要环境影响和保护措施</w:t>
      </w:r>
      <w:r>
        <w:rPr>
          <w:b/>
          <w:bCs/>
          <w:sz w:val="24"/>
          <w:szCs w:val="24"/>
          <w:highlight w:val="none"/>
        </w:rPr>
        <w:tab/>
      </w:r>
      <w:r>
        <w:rPr>
          <w:b/>
          <w:bCs/>
          <w:sz w:val="24"/>
          <w:szCs w:val="24"/>
          <w:highlight w:val="none"/>
        </w:rPr>
        <w:fldChar w:fldCharType="begin"/>
      </w:r>
      <w:r>
        <w:rPr>
          <w:b/>
          <w:bCs/>
          <w:sz w:val="24"/>
          <w:szCs w:val="24"/>
          <w:highlight w:val="none"/>
        </w:rPr>
        <w:instrText xml:space="preserve"> PAGEREF _Toc17523 \h </w:instrText>
      </w:r>
      <w:r>
        <w:rPr>
          <w:b/>
          <w:bCs/>
          <w:sz w:val="24"/>
          <w:szCs w:val="24"/>
          <w:highlight w:val="none"/>
        </w:rPr>
        <w:fldChar w:fldCharType="separate"/>
      </w:r>
      <w:r>
        <w:rPr>
          <w:b/>
          <w:bCs/>
          <w:sz w:val="24"/>
          <w:szCs w:val="24"/>
          <w:highlight w:val="none"/>
        </w:rPr>
        <w:t>49</w:t>
      </w:r>
      <w:r>
        <w:rPr>
          <w:b/>
          <w:bCs/>
          <w:sz w:val="24"/>
          <w:szCs w:val="24"/>
          <w:highlight w:val="none"/>
        </w:rPr>
        <w:fldChar w:fldCharType="end"/>
      </w:r>
      <w:r>
        <w:rPr>
          <w:b/>
          <w:bCs/>
          <w:sz w:val="24"/>
          <w:szCs w:val="24"/>
          <w:highlight w:val="none"/>
        </w:rPr>
        <w:fldChar w:fldCharType="end"/>
      </w:r>
    </w:p>
    <w:p>
      <w:pPr>
        <w:pStyle w:val="24"/>
        <w:tabs>
          <w:tab w:val="right" w:leader="dot" w:pos="8844"/>
        </w:tabs>
        <w:spacing w:line="360" w:lineRule="auto"/>
        <w:rPr>
          <w:b/>
          <w:bCs/>
          <w:sz w:val="24"/>
          <w:szCs w:val="24"/>
          <w:highlight w:val="none"/>
        </w:rPr>
      </w:pPr>
      <w:r>
        <w:rPr>
          <w:b/>
          <w:bCs/>
          <w:sz w:val="24"/>
          <w:szCs w:val="24"/>
          <w:highlight w:val="none"/>
        </w:rPr>
        <w:fldChar w:fldCharType="begin"/>
      </w:r>
      <w:r>
        <w:rPr>
          <w:b/>
          <w:bCs/>
          <w:sz w:val="24"/>
          <w:szCs w:val="24"/>
          <w:highlight w:val="none"/>
        </w:rPr>
        <w:instrText xml:space="preserve"> HYPERLINK \l _Toc824 </w:instrText>
      </w:r>
      <w:r>
        <w:rPr>
          <w:b/>
          <w:bCs/>
          <w:sz w:val="24"/>
          <w:szCs w:val="24"/>
          <w:highlight w:val="none"/>
        </w:rPr>
        <w:fldChar w:fldCharType="separate"/>
      </w:r>
      <w:r>
        <w:rPr>
          <w:rFonts w:ascii="Times New Roman" w:hAnsi="Times New Roman"/>
          <w:b/>
          <w:bCs/>
          <w:snapToGrid w:val="0"/>
          <w:sz w:val="24"/>
          <w:szCs w:val="24"/>
          <w:highlight w:val="none"/>
        </w:rPr>
        <w:t>五、环境保护措施监督检查清单</w:t>
      </w:r>
      <w:r>
        <w:rPr>
          <w:b/>
          <w:bCs/>
          <w:sz w:val="24"/>
          <w:szCs w:val="24"/>
          <w:highlight w:val="none"/>
        </w:rPr>
        <w:tab/>
      </w:r>
      <w:r>
        <w:rPr>
          <w:b/>
          <w:bCs/>
          <w:sz w:val="24"/>
          <w:szCs w:val="24"/>
          <w:highlight w:val="none"/>
        </w:rPr>
        <w:fldChar w:fldCharType="begin"/>
      </w:r>
      <w:r>
        <w:rPr>
          <w:b/>
          <w:bCs/>
          <w:sz w:val="24"/>
          <w:szCs w:val="24"/>
          <w:highlight w:val="none"/>
        </w:rPr>
        <w:instrText xml:space="preserve"> PAGEREF _Toc824 \h </w:instrText>
      </w:r>
      <w:r>
        <w:rPr>
          <w:b/>
          <w:bCs/>
          <w:sz w:val="24"/>
          <w:szCs w:val="24"/>
          <w:highlight w:val="none"/>
        </w:rPr>
        <w:fldChar w:fldCharType="separate"/>
      </w:r>
      <w:r>
        <w:rPr>
          <w:b/>
          <w:bCs/>
          <w:sz w:val="24"/>
          <w:szCs w:val="24"/>
          <w:highlight w:val="none"/>
        </w:rPr>
        <w:t>82</w:t>
      </w:r>
      <w:r>
        <w:rPr>
          <w:b/>
          <w:bCs/>
          <w:sz w:val="24"/>
          <w:szCs w:val="24"/>
          <w:highlight w:val="none"/>
        </w:rPr>
        <w:fldChar w:fldCharType="end"/>
      </w:r>
      <w:r>
        <w:rPr>
          <w:b/>
          <w:bCs/>
          <w:sz w:val="24"/>
          <w:szCs w:val="24"/>
          <w:highlight w:val="none"/>
        </w:rPr>
        <w:fldChar w:fldCharType="end"/>
      </w:r>
    </w:p>
    <w:p>
      <w:pPr>
        <w:pStyle w:val="24"/>
        <w:tabs>
          <w:tab w:val="right" w:leader="dot" w:pos="8844"/>
        </w:tabs>
        <w:spacing w:line="360" w:lineRule="auto"/>
        <w:rPr>
          <w:b/>
          <w:bCs/>
          <w:sz w:val="24"/>
          <w:szCs w:val="24"/>
          <w:highlight w:val="none"/>
        </w:rPr>
      </w:pPr>
      <w:r>
        <w:rPr>
          <w:b/>
          <w:bCs/>
          <w:sz w:val="24"/>
          <w:szCs w:val="24"/>
          <w:highlight w:val="none"/>
        </w:rPr>
        <w:fldChar w:fldCharType="begin"/>
      </w:r>
      <w:r>
        <w:rPr>
          <w:b/>
          <w:bCs/>
          <w:sz w:val="24"/>
          <w:szCs w:val="24"/>
          <w:highlight w:val="none"/>
        </w:rPr>
        <w:instrText xml:space="preserve"> HYPERLINK \l _Toc16761 </w:instrText>
      </w:r>
      <w:r>
        <w:rPr>
          <w:b/>
          <w:bCs/>
          <w:sz w:val="24"/>
          <w:szCs w:val="24"/>
          <w:highlight w:val="none"/>
        </w:rPr>
        <w:fldChar w:fldCharType="separate"/>
      </w:r>
      <w:r>
        <w:rPr>
          <w:rFonts w:ascii="Times New Roman" w:hAnsi="Times New Roman"/>
          <w:b/>
          <w:bCs/>
          <w:snapToGrid w:val="0"/>
          <w:sz w:val="24"/>
          <w:szCs w:val="24"/>
          <w:highlight w:val="none"/>
        </w:rPr>
        <w:t>六、结论</w:t>
      </w:r>
      <w:r>
        <w:rPr>
          <w:b/>
          <w:bCs/>
          <w:sz w:val="24"/>
          <w:szCs w:val="24"/>
          <w:highlight w:val="none"/>
        </w:rPr>
        <w:tab/>
      </w:r>
      <w:r>
        <w:rPr>
          <w:b/>
          <w:bCs/>
          <w:sz w:val="24"/>
          <w:szCs w:val="24"/>
          <w:highlight w:val="none"/>
        </w:rPr>
        <w:fldChar w:fldCharType="begin"/>
      </w:r>
      <w:r>
        <w:rPr>
          <w:b/>
          <w:bCs/>
          <w:sz w:val="24"/>
          <w:szCs w:val="24"/>
          <w:highlight w:val="none"/>
        </w:rPr>
        <w:instrText xml:space="preserve"> PAGEREF _Toc16761 \h </w:instrText>
      </w:r>
      <w:r>
        <w:rPr>
          <w:b/>
          <w:bCs/>
          <w:sz w:val="24"/>
          <w:szCs w:val="24"/>
          <w:highlight w:val="none"/>
        </w:rPr>
        <w:fldChar w:fldCharType="separate"/>
      </w:r>
      <w:r>
        <w:rPr>
          <w:b/>
          <w:bCs/>
          <w:sz w:val="24"/>
          <w:szCs w:val="24"/>
          <w:highlight w:val="none"/>
        </w:rPr>
        <w:t>85</w:t>
      </w:r>
      <w:r>
        <w:rPr>
          <w:b/>
          <w:bCs/>
          <w:sz w:val="24"/>
          <w:szCs w:val="24"/>
          <w:highlight w:val="none"/>
        </w:rPr>
        <w:fldChar w:fldCharType="end"/>
      </w:r>
      <w:r>
        <w:rPr>
          <w:b/>
          <w:bCs/>
          <w:sz w:val="24"/>
          <w:szCs w:val="24"/>
          <w:highlight w:val="none"/>
        </w:rPr>
        <w:fldChar w:fldCharType="end"/>
      </w:r>
    </w:p>
    <w:p>
      <w:pPr>
        <w:pStyle w:val="24"/>
        <w:tabs>
          <w:tab w:val="right" w:leader="dot" w:pos="8844"/>
        </w:tabs>
        <w:spacing w:line="360" w:lineRule="auto"/>
        <w:rPr>
          <w:b/>
          <w:bCs/>
          <w:sz w:val="24"/>
          <w:szCs w:val="24"/>
          <w:highlight w:val="none"/>
        </w:rPr>
      </w:pPr>
      <w:r>
        <w:rPr>
          <w:b/>
          <w:bCs/>
          <w:sz w:val="24"/>
          <w:szCs w:val="24"/>
          <w:highlight w:val="none"/>
        </w:rPr>
        <w:fldChar w:fldCharType="begin"/>
      </w:r>
      <w:r>
        <w:rPr>
          <w:b/>
          <w:bCs/>
          <w:sz w:val="24"/>
          <w:szCs w:val="24"/>
          <w:highlight w:val="none"/>
        </w:rPr>
        <w:instrText xml:space="preserve"> HYPERLINK \l _Toc18935 </w:instrText>
      </w:r>
      <w:r>
        <w:rPr>
          <w:b/>
          <w:bCs/>
          <w:sz w:val="24"/>
          <w:szCs w:val="24"/>
          <w:highlight w:val="none"/>
        </w:rPr>
        <w:fldChar w:fldCharType="separate"/>
      </w:r>
      <w:r>
        <w:rPr>
          <w:rFonts w:ascii="Times New Roman" w:hAnsi="Times New Roman"/>
          <w:b/>
          <w:bCs/>
          <w:snapToGrid w:val="0"/>
          <w:sz w:val="24"/>
          <w:szCs w:val="24"/>
          <w:highlight w:val="none"/>
        </w:rPr>
        <w:t>附表</w:t>
      </w:r>
      <w:r>
        <w:rPr>
          <w:b/>
          <w:bCs/>
          <w:sz w:val="24"/>
          <w:szCs w:val="24"/>
          <w:highlight w:val="none"/>
        </w:rPr>
        <w:tab/>
      </w:r>
      <w:r>
        <w:rPr>
          <w:b/>
          <w:bCs/>
          <w:sz w:val="24"/>
          <w:szCs w:val="24"/>
          <w:highlight w:val="none"/>
        </w:rPr>
        <w:fldChar w:fldCharType="begin"/>
      </w:r>
      <w:r>
        <w:rPr>
          <w:b/>
          <w:bCs/>
          <w:sz w:val="24"/>
          <w:szCs w:val="24"/>
          <w:highlight w:val="none"/>
        </w:rPr>
        <w:instrText xml:space="preserve"> PAGEREF _Toc18935 \h </w:instrText>
      </w:r>
      <w:r>
        <w:rPr>
          <w:b/>
          <w:bCs/>
          <w:sz w:val="24"/>
          <w:szCs w:val="24"/>
          <w:highlight w:val="none"/>
        </w:rPr>
        <w:fldChar w:fldCharType="separate"/>
      </w:r>
      <w:r>
        <w:rPr>
          <w:b/>
          <w:bCs/>
          <w:sz w:val="24"/>
          <w:szCs w:val="24"/>
          <w:highlight w:val="none"/>
        </w:rPr>
        <w:t>86</w:t>
      </w:r>
      <w:r>
        <w:rPr>
          <w:b/>
          <w:bCs/>
          <w:sz w:val="24"/>
          <w:szCs w:val="24"/>
          <w:highlight w:val="none"/>
        </w:rPr>
        <w:fldChar w:fldCharType="end"/>
      </w:r>
      <w:r>
        <w:rPr>
          <w:b/>
          <w:bCs/>
          <w:sz w:val="24"/>
          <w:szCs w:val="24"/>
          <w:highlight w:val="none"/>
        </w:rPr>
        <w:fldChar w:fldCharType="end"/>
      </w:r>
    </w:p>
    <w:p>
      <w:pPr>
        <w:adjustRightInd w:val="0"/>
        <w:snapToGrid w:val="0"/>
        <w:spacing w:line="480" w:lineRule="auto"/>
        <w:jc w:val="left"/>
        <w:rPr>
          <w:szCs w:val="28"/>
          <w:highlight w:val="none"/>
        </w:rPr>
      </w:pPr>
      <w:r>
        <w:rPr>
          <w:szCs w:val="28"/>
          <w:highlight w:val="none"/>
        </w:rPr>
        <w:fldChar w:fldCharType="end"/>
      </w:r>
    </w:p>
    <w:p>
      <w:pPr>
        <w:adjustRightInd w:val="0"/>
        <w:snapToGrid w:val="0"/>
        <w:spacing w:line="480" w:lineRule="auto"/>
        <w:jc w:val="left"/>
        <w:rPr>
          <w:b/>
          <w:sz w:val="24"/>
          <w:highlight w:val="none"/>
        </w:rPr>
      </w:pPr>
      <w:r>
        <w:rPr>
          <w:b/>
          <w:sz w:val="24"/>
          <w:highlight w:val="none"/>
        </w:rPr>
        <w:t>附件：</w:t>
      </w:r>
    </w:p>
    <w:p>
      <w:pPr>
        <w:adjustRightInd w:val="0"/>
        <w:snapToGrid w:val="0"/>
        <w:spacing w:line="312" w:lineRule="auto"/>
        <w:ind w:firstLineChars="200" w:firstLine="480"/>
        <w:jc w:val="left"/>
        <w:rPr>
          <w:sz w:val="24"/>
          <w:highlight w:val="none"/>
        </w:rPr>
      </w:pPr>
      <w:r>
        <w:rPr>
          <w:rFonts w:hint="eastAsia"/>
          <w:sz w:val="24"/>
          <w:highlight w:val="none"/>
        </w:rPr>
        <w:t>附件1</w:t>
      </w:r>
      <w:r>
        <w:rPr>
          <w:sz w:val="24"/>
          <w:highlight w:val="none"/>
        </w:rPr>
        <w:t xml:space="preserve">  </w:t>
      </w:r>
      <w:r>
        <w:rPr>
          <w:rFonts w:hint="eastAsia"/>
          <w:sz w:val="24"/>
          <w:highlight w:val="none"/>
        </w:rPr>
        <w:t>委托书</w:t>
      </w:r>
    </w:p>
    <w:p>
      <w:pPr>
        <w:adjustRightInd w:val="0"/>
        <w:snapToGrid w:val="0"/>
        <w:spacing w:line="312" w:lineRule="auto"/>
        <w:ind w:firstLineChars="200" w:firstLine="480"/>
        <w:jc w:val="left"/>
        <w:rPr>
          <w:rFonts w:eastAsia="宋体" w:hint="eastAsia"/>
          <w:sz w:val="24"/>
          <w:lang w:val="en-US" w:eastAsia="zh-CN"/>
          <w:highlight w:val="none"/>
        </w:rPr>
      </w:pPr>
      <w:r>
        <w:rPr>
          <w:rFonts w:hint="eastAsia"/>
          <w:sz w:val="24"/>
          <w:highlight w:val="none"/>
        </w:rPr>
        <w:t>附件2</w:t>
      </w:r>
      <w:r>
        <w:rPr>
          <w:sz w:val="24"/>
          <w:highlight w:val="none"/>
        </w:rPr>
        <w:t xml:space="preserve">  </w:t>
      </w:r>
      <w:r>
        <w:rPr>
          <w:rFonts w:hint="eastAsia"/>
          <w:sz w:val="24"/>
          <w:lang w:val="en-US" w:eastAsia="zh-CN"/>
          <w:highlight w:val="none"/>
        </w:rPr>
        <w:t>营业执照</w:t>
      </w:r>
    </w:p>
    <w:p>
      <w:pPr>
        <w:adjustRightInd w:val="0"/>
        <w:snapToGrid w:val="0"/>
        <w:spacing w:line="312" w:lineRule="auto"/>
        <w:ind w:firstLineChars="200" w:firstLine="480"/>
        <w:jc w:val="left"/>
        <w:rPr>
          <w:sz w:val="24"/>
          <w:highlight w:val="none"/>
        </w:rPr>
      </w:pPr>
      <w:r>
        <w:rPr>
          <w:rFonts w:hint="eastAsia"/>
          <w:sz w:val="24"/>
          <w:highlight w:val="none"/>
        </w:rPr>
        <w:t>附件3</w:t>
      </w:r>
      <w:r>
        <w:rPr>
          <w:sz w:val="24"/>
          <w:highlight w:val="none"/>
        </w:rPr>
        <w:t xml:space="preserve">  </w:t>
      </w:r>
      <w:bookmarkStart w:id="3" w:name="_Hlk182496786"/>
      <w:r>
        <w:rPr>
          <w:rFonts w:hint="eastAsia"/>
          <w:sz w:val="24"/>
          <w:lang w:val="en-US" w:eastAsia="zh-CN"/>
          <w:highlight w:val="none"/>
        </w:rPr>
        <w:t>澧县水利局</w:t>
      </w:r>
      <w:r>
        <w:rPr>
          <w:rFonts w:hint="eastAsia"/>
          <w:sz w:val="24"/>
          <w:lang w:eastAsia="zh-CN"/>
          <w:highlight w:val="none"/>
        </w:rPr>
        <w:t>《</w:t>
      </w:r>
      <w:r>
        <w:rPr>
          <w:rFonts w:hint="eastAsia"/>
          <w:sz w:val="24"/>
          <w:highlight w:val="none"/>
        </w:rPr>
        <w:t>关于</w:t>
      </w:r>
      <w:r>
        <w:rPr>
          <w:rFonts w:hint="eastAsia"/>
          <w:sz w:val="24"/>
          <w:lang w:eastAsia="zh-CN"/>
          <w:highlight w:val="none"/>
        </w:rPr>
        <w:t>澧县甘溪滩片区农村供水</w:t>
      </w:r>
      <w:r>
        <w:rPr>
          <w:rFonts w:hint="eastAsia"/>
          <w:sz w:val="24"/>
          <w:lang w:val="en-US" w:eastAsia="zh-CN"/>
          <w:highlight w:val="none"/>
        </w:rPr>
        <w:t>工程</w:t>
      </w:r>
      <w:r>
        <w:rPr>
          <w:rFonts w:hint="eastAsia"/>
          <w:sz w:val="24"/>
          <w:highlight w:val="none"/>
        </w:rPr>
        <w:t>初步设计</w:t>
      </w:r>
      <w:r>
        <w:rPr>
          <w:rFonts w:hint="eastAsia"/>
          <w:sz w:val="24"/>
          <w:lang w:eastAsia="zh-CN"/>
          <w:highlight w:val="none"/>
        </w:rPr>
        <w:t>》</w:t>
      </w:r>
      <w:r>
        <w:rPr>
          <w:rFonts w:hint="eastAsia"/>
          <w:sz w:val="24"/>
          <w:highlight w:val="none"/>
        </w:rPr>
        <w:t>的批复</w:t>
      </w:r>
      <w:bookmarkEnd w:id="3"/>
    </w:p>
    <w:p>
      <w:pPr>
        <w:adjustRightInd w:val="0"/>
        <w:snapToGrid w:val="0"/>
        <w:spacing w:line="312" w:lineRule="auto"/>
        <w:ind w:firstLineChars="200" w:firstLine="480"/>
        <w:jc w:val="left"/>
        <w:rPr>
          <w:rFonts w:eastAsia="宋体"/>
          <w:sz w:val="24"/>
          <w:lang w:val="en-US" w:eastAsia="zh-CN"/>
          <w:highlight w:val="none"/>
        </w:rPr>
      </w:pPr>
      <w:r>
        <w:rPr>
          <w:rFonts w:hint="eastAsia"/>
          <w:sz w:val="24"/>
          <w:highlight w:val="none"/>
        </w:rPr>
        <w:t>附件4</w:t>
      </w:r>
      <w:r>
        <w:rPr>
          <w:sz w:val="24"/>
          <w:highlight w:val="none"/>
        </w:rPr>
        <w:t xml:space="preserve">  </w:t>
      </w:r>
      <w:r>
        <w:rPr>
          <w:rFonts w:hint="eastAsia"/>
          <w:sz w:val="24"/>
          <w:lang w:val="en-US" w:eastAsia="zh-CN"/>
          <w:highlight w:val="none"/>
        </w:rPr>
        <w:t>澧县发展和改革局</w:t>
      </w:r>
      <w:r>
        <w:rPr>
          <w:rFonts w:hint="eastAsia"/>
          <w:sz w:val="24"/>
          <w:highlight w:val="none"/>
        </w:rPr>
        <w:t>关于</w:t>
      </w:r>
      <w:r>
        <w:rPr>
          <w:rFonts w:hint="eastAsia"/>
          <w:sz w:val="24"/>
          <w:lang w:eastAsia="zh-CN"/>
          <w:highlight w:val="none"/>
        </w:rPr>
        <w:t>澧县甘溪滩片区农村供水建设项目</w:t>
      </w:r>
      <w:r>
        <w:rPr>
          <w:rFonts w:hint="eastAsia"/>
          <w:sz w:val="24"/>
          <w:lang w:val="en-US" w:eastAsia="zh-CN"/>
          <w:highlight w:val="none"/>
        </w:rPr>
        <w:t>可行性研究报告的批复</w:t>
      </w:r>
    </w:p>
    <w:p>
      <w:pPr>
        <w:adjustRightInd w:val="0"/>
        <w:snapToGrid w:val="0"/>
        <w:spacing w:line="312" w:lineRule="auto"/>
        <w:ind w:firstLineChars="200" w:firstLine="480"/>
        <w:jc w:val="left"/>
        <w:rPr>
          <w:rFonts w:eastAsia="宋体"/>
          <w:sz w:val="24"/>
          <w:lang w:val="en-US" w:eastAsia="zh-CN"/>
          <w:highlight w:val="none"/>
        </w:rPr>
      </w:pPr>
      <w:r>
        <w:rPr>
          <w:rFonts w:hint="eastAsia"/>
          <w:sz w:val="24"/>
          <w:highlight w:val="none"/>
        </w:rPr>
        <w:t>附件</w:t>
      </w:r>
      <w:r>
        <w:rPr>
          <w:rFonts w:hint="eastAsia"/>
          <w:sz w:val="24"/>
          <w:lang w:val="en-US" w:eastAsia="zh-CN"/>
          <w:highlight w:val="none"/>
        </w:rPr>
        <w:t>5</w:t>
      </w:r>
      <w:r>
        <w:rPr>
          <w:sz w:val="24"/>
          <w:highlight w:val="none"/>
        </w:rPr>
        <w:t xml:space="preserve">  </w:t>
      </w:r>
      <w:r>
        <w:rPr>
          <w:rFonts w:hint="eastAsia"/>
          <w:sz w:val="24"/>
          <w:lang w:val="en-US" w:eastAsia="zh-CN"/>
          <w:highlight w:val="none"/>
        </w:rPr>
        <w:t>用地审批单</w:t>
      </w:r>
    </w:p>
    <w:p>
      <w:pPr>
        <w:adjustRightInd w:val="0"/>
        <w:snapToGrid w:val="0"/>
        <w:spacing w:line="312" w:lineRule="auto"/>
        <w:ind w:firstLineChars="200" w:firstLine="480"/>
        <w:jc w:val="left"/>
        <w:rPr>
          <w:sz w:val="24"/>
          <w:lang w:val="en-US"/>
          <w:highlight w:val="none"/>
        </w:rPr>
      </w:pPr>
      <w:r>
        <w:rPr>
          <w:rFonts w:hint="eastAsia"/>
          <w:sz w:val="24"/>
          <w:highlight w:val="none"/>
        </w:rPr>
        <w:t>附件</w:t>
      </w:r>
      <w:r>
        <w:rPr>
          <w:rFonts w:hint="eastAsia"/>
          <w:sz w:val="24"/>
          <w:lang w:val="en-US" w:eastAsia="zh-CN"/>
          <w:highlight w:val="none"/>
        </w:rPr>
        <w:t>6</w:t>
      </w:r>
      <w:r>
        <w:rPr>
          <w:sz w:val="24"/>
          <w:highlight w:val="none"/>
        </w:rPr>
        <w:t xml:space="preserve">  </w:t>
      </w:r>
      <w:r>
        <w:rPr>
          <w:rFonts w:hint="eastAsia"/>
          <w:sz w:val="24"/>
          <w:lang w:val="en-US" w:eastAsia="zh-CN"/>
          <w:highlight w:val="none"/>
        </w:rPr>
        <w:t>用地使用协议</w:t>
      </w:r>
    </w:p>
    <w:p>
      <w:pPr>
        <w:adjustRightInd w:val="0"/>
        <w:snapToGrid w:val="0"/>
        <w:spacing w:line="312" w:lineRule="auto"/>
        <w:ind w:firstLineChars="200" w:firstLine="480"/>
        <w:jc w:val="left"/>
        <w:rPr>
          <w:sz w:val="24"/>
          <w:highlight w:val="none"/>
        </w:rPr>
      </w:pPr>
      <w:r>
        <w:rPr>
          <w:rFonts w:hint="eastAsia"/>
          <w:sz w:val="24"/>
          <w:highlight w:val="none"/>
        </w:rPr>
        <w:t>附件</w:t>
      </w:r>
      <w:r>
        <w:rPr>
          <w:rFonts w:hint="eastAsia"/>
          <w:sz w:val="24"/>
          <w:lang w:val="en-US" w:eastAsia="zh-CN"/>
          <w:highlight w:val="none"/>
        </w:rPr>
        <w:t>7</w:t>
      </w:r>
      <w:r>
        <w:rPr>
          <w:sz w:val="24"/>
          <w:highlight w:val="none"/>
        </w:rPr>
        <w:t xml:space="preserve">  </w:t>
      </w:r>
      <w:r>
        <w:rPr>
          <w:rFonts w:hint="eastAsia"/>
          <w:sz w:val="24"/>
          <w:lang w:val="en-US" w:eastAsia="zh-CN"/>
          <w:highlight w:val="none"/>
        </w:rPr>
        <w:t>监测</w:t>
      </w:r>
      <w:r>
        <w:rPr>
          <w:sz w:val="24"/>
          <w:highlight w:val="none"/>
        </w:rPr>
        <w:t>报告</w:t>
      </w:r>
    </w:p>
    <w:p>
      <w:pPr>
        <w:adjustRightInd w:val="0"/>
        <w:snapToGrid w:val="0"/>
        <w:spacing w:line="312" w:lineRule="auto"/>
        <w:ind w:firstLineChars="200" w:firstLine="480"/>
        <w:jc w:val="left"/>
        <w:rPr>
          <w:rFonts w:eastAsia="宋体" w:hint="eastAsia"/>
          <w:sz w:val="24"/>
          <w:highlight w:val="none"/>
        </w:rPr>
      </w:pPr>
      <w:r>
        <w:rPr>
          <w:rFonts w:eastAsia="宋体" w:hint="eastAsia"/>
          <w:sz w:val="24"/>
          <w:highlight w:val="none"/>
        </w:rPr>
        <w:t>附件</w:t>
      </w:r>
      <w:r>
        <w:rPr>
          <w:rFonts w:eastAsia="宋体" w:hint="eastAsia"/>
          <w:sz w:val="24"/>
          <w:lang w:val="en-US" w:eastAsia="zh-CN"/>
          <w:highlight w:val="none"/>
        </w:rPr>
        <w:t>8</w:t>
      </w:r>
      <w:r>
        <w:rPr>
          <w:rFonts w:eastAsia="宋体" w:hint="eastAsia"/>
          <w:sz w:val="24"/>
          <w:highlight w:val="none"/>
        </w:rPr>
        <w:t xml:space="preserve"> </w:t>
      </w:r>
      <w:r>
        <w:rPr>
          <w:rFonts w:eastAsia="宋体" w:hint="eastAsia"/>
          <w:sz w:val="24"/>
          <w:lang w:val="en-US" w:eastAsia="zh-CN"/>
          <w:highlight w:val="none"/>
        </w:rPr>
        <w:t xml:space="preserve"> 澧县人民政府常务会议纪要及汇报材料</w:t>
      </w:r>
    </w:p>
    <w:p>
      <w:pPr>
        <w:adjustRightInd w:val="0"/>
        <w:snapToGrid w:val="0"/>
        <w:spacing w:line="312" w:lineRule="auto"/>
        <w:ind w:firstLineChars="200" w:firstLine="480"/>
        <w:jc w:val="left"/>
        <w:rPr>
          <w:b/>
          <w:sz w:val="24"/>
          <w:u w:val="none"/>
          <w:lang w:val="en-US"/>
          <w:highlight w:val="none"/>
        </w:rPr>
      </w:pPr>
      <w:r>
        <w:rPr>
          <w:rFonts w:hint="eastAsia"/>
          <w:sz w:val="24"/>
          <w:u w:val="none"/>
          <w:highlight w:val="none"/>
        </w:rPr>
        <w:t>附件</w:t>
      </w:r>
      <w:r>
        <w:rPr>
          <w:rFonts w:hint="eastAsia"/>
          <w:sz w:val="24"/>
          <w:u w:val="none"/>
          <w:lang w:val="en-US" w:eastAsia="zh-CN"/>
          <w:highlight w:val="none"/>
        </w:rPr>
        <w:t>9</w:t>
      </w:r>
      <w:r>
        <w:rPr>
          <w:sz w:val="24"/>
          <w:u w:val="none"/>
          <w:highlight w:val="none"/>
        </w:rPr>
        <w:t xml:space="preserve">  </w:t>
      </w:r>
      <w:r>
        <w:rPr>
          <w:rFonts w:hint="eastAsia"/>
          <w:sz w:val="24"/>
          <w:u w:val="none"/>
          <w:lang w:val="en-US" w:eastAsia="zh-CN"/>
          <w:highlight w:val="none"/>
        </w:rPr>
        <w:t>取水许可批复</w:t>
      </w:r>
    </w:p>
    <w:p>
      <w:pPr>
        <w:adjustRightInd w:val="0"/>
        <w:snapToGrid w:val="0"/>
        <w:spacing w:line="312" w:lineRule="auto"/>
        <w:ind w:firstLineChars="200" w:firstLine="480"/>
        <w:jc w:val="left"/>
        <w:rPr>
          <w:rFonts w:hint="eastAsia"/>
          <w:sz w:val="24"/>
          <w:u w:val="none"/>
          <w:highlight w:val="none"/>
        </w:rPr>
      </w:pPr>
      <w:r>
        <w:rPr>
          <w:rFonts w:hint="eastAsia"/>
          <w:sz w:val="24"/>
          <w:u w:val="none"/>
          <w:highlight w:val="none"/>
        </w:rPr>
        <w:t>附件</w:t>
      </w:r>
      <w:r>
        <w:rPr>
          <w:rFonts w:hint="eastAsia"/>
          <w:sz w:val="24"/>
          <w:u w:val="none"/>
          <w:lang w:val="en-US" w:eastAsia="zh-CN"/>
          <w:highlight w:val="none"/>
        </w:rPr>
        <w:t>10</w:t>
      </w:r>
      <w:r>
        <w:rPr>
          <w:sz w:val="24"/>
          <w:u w:val="none"/>
          <w:highlight w:val="none"/>
        </w:rPr>
        <w:t xml:space="preserve">  </w:t>
      </w:r>
      <w:r>
        <w:rPr>
          <w:rFonts w:hint="eastAsia"/>
          <w:sz w:val="24"/>
          <w:u w:val="none"/>
          <w:lang w:val="en-US" w:eastAsia="zh-CN"/>
          <w:highlight w:val="none"/>
        </w:rPr>
        <w:t>水土保持批复</w:t>
      </w:r>
    </w:p>
    <w:p>
      <w:pPr>
        <w:adjustRightInd w:val="0"/>
        <w:snapToGrid w:val="0"/>
        <w:spacing w:line="312" w:lineRule="auto"/>
        <w:ind w:firstLineChars="200" w:firstLine="480"/>
        <w:jc w:val="left"/>
        <w:rPr>
          <w:rFonts w:hint="eastAsia"/>
          <w:b/>
          <w:sz w:val="24"/>
          <w:u w:val="single"/>
          <w:highlight w:val="none"/>
        </w:rPr>
      </w:pPr>
      <w:r>
        <w:rPr>
          <w:rFonts w:hint="eastAsia"/>
          <w:sz w:val="24"/>
          <w:u w:val="none"/>
          <w:highlight w:val="none"/>
        </w:rPr>
        <w:t>附件</w:t>
      </w:r>
      <w:r>
        <w:rPr>
          <w:rFonts w:hint="eastAsia"/>
          <w:sz w:val="24"/>
          <w:u w:val="none"/>
          <w:lang w:val="en-US" w:eastAsia="zh-CN"/>
          <w:highlight w:val="none"/>
        </w:rPr>
        <w:t>11</w:t>
      </w:r>
      <w:r>
        <w:rPr>
          <w:sz w:val="24"/>
          <w:u w:val="none"/>
          <w:highlight w:val="none"/>
        </w:rPr>
        <w:t xml:space="preserve">  </w:t>
      </w:r>
      <w:r>
        <w:rPr>
          <w:rFonts w:hint="eastAsia"/>
          <w:sz w:val="24"/>
          <w:u w:val="none"/>
          <w:lang w:val="en-US" w:eastAsia="zh-CN"/>
          <w:highlight w:val="none"/>
        </w:rPr>
        <w:t>地表水</w:t>
      </w:r>
      <w:r>
        <w:rPr>
          <w:rFonts w:eastAsia="宋体" w:hint="eastAsia"/>
          <w:sz w:val="24"/>
          <w:u w:val="none"/>
          <w:lang w:val="en-US" w:eastAsia="zh-CN"/>
          <w:highlight w:val="none"/>
        </w:rPr>
        <w:t>全分析检测</w:t>
      </w:r>
      <w:r>
        <w:rPr>
          <w:sz w:val="24"/>
          <w:u w:val="none"/>
          <w:highlight w:val="none"/>
        </w:rPr>
        <w:t>报告</w:t>
      </w:r>
    </w:p>
    <w:p>
      <w:pPr>
        <w:adjustRightInd w:val="0"/>
        <w:snapToGrid w:val="0"/>
        <w:spacing w:line="312" w:lineRule="auto"/>
        <w:ind w:firstLineChars="200" w:firstLine="480"/>
        <w:jc w:val="left"/>
        <w:rPr>
          <w:sz w:val="24"/>
          <w:u w:val="single"/>
          <w:lang w:val="en-US"/>
          <w:highlight w:val="none"/>
        </w:rPr>
      </w:pPr>
      <w:r>
        <w:rPr>
          <w:rFonts w:hint="eastAsia"/>
          <w:sz w:val="24"/>
          <w:u w:val="single"/>
          <w:highlight w:val="none"/>
        </w:rPr>
        <w:t>附件</w:t>
      </w:r>
      <w:r>
        <w:rPr>
          <w:rFonts w:hint="eastAsia"/>
          <w:sz w:val="24"/>
          <w:u w:val="single"/>
          <w:lang w:val="en-US" w:eastAsia="zh-CN"/>
          <w:highlight w:val="none"/>
        </w:rPr>
        <w:t>12</w:t>
      </w:r>
      <w:r>
        <w:rPr>
          <w:sz w:val="24"/>
          <w:u w:val="single"/>
          <w:highlight w:val="none"/>
        </w:rPr>
        <w:t xml:space="preserve">  </w:t>
      </w:r>
      <w:r>
        <w:rPr>
          <w:rFonts w:hint="eastAsia"/>
          <w:sz w:val="24"/>
          <w:u w:val="single"/>
          <w:lang w:val="en-US" w:eastAsia="zh-CN"/>
          <w:highlight w:val="none"/>
        </w:rPr>
        <w:t>饮用水源保护区划定的批复</w:t>
      </w:r>
    </w:p>
    <w:p>
      <w:pPr>
        <w:adjustRightInd w:val="0"/>
        <w:snapToGrid w:val="0"/>
        <w:spacing w:line="312" w:lineRule="auto"/>
        <w:ind w:firstLineChars="200" w:firstLine="480"/>
        <w:jc w:val="left"/>
        <w:rPr>
          <w:b/>
          <w:sz w:val="24"/>
          <w:u w:val="single"/>
          <w:lang w:val="en-US"/>
          <w:highlight w:val="none"/>
        </w:rPr>
      </w:pPr>
      <w:r>
        <w:rPr>
          <w:rFonts w:hint="eastAsia"/>
          <w:sz w:val="24"/>
          <w:u w:val="single"/>
          <w:highlight w:val="none"/>
        </w:rPr>
        <w:t>附件</w:t>
      </w:r>
      <w:r>
        <w:rPr>
          <w:rFonts w:hint="eastAsia"/>
          <w:sz w:val="24"/>
          <w:u w:val="single"/>
          <w:lang w:val="en-US" w:eastAsia="zh-CN"/>
          <w:highlight w:val="none"/>
        </w:rPr>
        <w:t>13</w:t>
      </w:r>
      <w:r>
        <w:rPr>
          <w:sz w:val="24"/>
          <w:u w:val="single"/>
          <w:highlight w:val="none"/>
        </w:rPr>
        <w:t xml:space="preserve">  </w:t>
      </w:r>
      <w:r>
        <w:rPr>
          <w:rFonts w:hint="eastAsia"/>
          <w:sz w:val="24"/>
          <w:u w:val="single"/>
          <w:lang w:val="en-US" w:eastAsia="zh-CN"/>
          <w:highlight w:val="none"/>
        </w:rPr>
        <w:t>乡村建设规划许可证</w:t>
      </w:r>
    </w:p>
    <w:p>
      <w:pPr>
        <w:adjustRightInd w:val="0"/>
        <w:snapToGrid w:val="0"/>
        <w:spacing w:line="312" w:lineRule="auto"/>
        <w:ind w:firstLineChars="200" w:firstLine="480"/>
        <w:jc w:val="left"/>
        <w:rPr>
          <w:b/>
          <w:sz w:val="24"/>
          <w:u w:val="single"/>
          <w:lang w:val="en-US"/>
          <w:highlight w:val="none"/>
        </w:rPr>
      </w:pPr>
      <w:r>
        <w:rPr>
          <w:rFonts w:hint="eastAsia"/>
          <w:sz w:val="24"/>
          <w:u w:val="single"/>
          <w:highlight w:val="none"/>
        </w:rPr>
        <w:t>附件</w:t>
      </w:r>
      <w:r>
        <w:rPr>
          <w:rFonts w:hint="eastAsia"/>
          <w:sz w:val="24"/>
          <w:u w:val="single"/>
          <w:lang w:val="en-US" w:eastAsia="zh-CN"/>
          <w:highlight w:val="none"/>
        </w:rPr>
        <w:t>14</w:t>
      </w:r>
      <w:r>
        <w:rPr>
          <w:sz w:val="24"/>
          <w:u w:val="single"/>
          <w:highlight w:val="none"/>
        </w:rPr>
        <w:t xml:space="preserve">  </w:t>
      </w:r>
      <w:r>
        <w:rPr>
          <w:rFonts w:hint="eastAsia"/>
          <w:sz w:val="24"/>
          <w:u w:val="single"/>
          <w:highlight w:val="none"/>
        </w:rPr>
        <w:t>澧县生态环境保护综合行政执法局</w:t>
      </w:r>
      <w:r>
        <w:rPr>
          <w:rFonts w:hint="eastAsia"/>
          <w:sz w:val="24"/>
          <w:u w:val="single"/>
          <w:lang w:val="en-US" w:eastAsia="zh-CN"/>
          <w:highlight w:val="none"/>
        </w:rPr>
        <w:t>关于本项目“未批先建”环境违法行为免于行政处罚的决定</w:t>
      </w:r>
    </w:p>
    <w:p>
      <w:pPr>
        <w:adjustRightInd w:val="0"/>
        <w:snapToGrid w:val="0"/>
        <w:spacing w:line="312" w:lineRule="auto"/>
        <w:ind w:firstLineChars="200" w:firstLine="480"/>
        <w:jc w:val="left"/>
        <w:rPr>
          <w:b/>
          <w:sz w:val="24"/>
          <w:u w:val="single"/>
          <w:lang w:val="en-US"/>
          <w:highlight w:val="none"/>
        </w:rPr>
      </w:pPr>
      <w:r>
        <w:rPr>
          <w:rFonts w:hint="eastAsia"/>
          <w:sz w:val="24"/>
          <w:u w:val="single"/>
          <w:highlight w:val="none"/>
        </w:rPr>
        <w:t>附件</w:t>
      </w:r>
      <w:r>
        <w:rPr>
          <w:rFonts w:hint="eastAsia"/>
          <w:sz w:val="24"/>
          <w:u w:val="single"/>
          <w:lang w:val="en-US" w:eastAsia="zh-CN"/>
          <w:highlight w:val="none"/>
        </w:rPr>
        <w:t>15</w:t>
      </w:r>
      <w:r>
        <w:rPr>
          <w:sz w:val="24"/>
          <w:u w:val="single"/>
          <w:highlight w:val="none"/>
        </w:rPr>
        <w:t xml:space="preserve">  </w:t>
      </w:r>
      <w:r>
        <w:rPr>
          <w:rFonts w:hint="eastAsia"/>
          <w:sz w:val="24"/>
          <w:u w:val="single"/>
          <w:lang w:val="en-US" w:eastAsia="zh-CN"/>
          <w:highlight w:val="none"/>
        </w:rPr>
        <w:t>专家评审意见及签到表</w:t>
      </w:r>
    </w:p>
    <w:p>
      <w:pPr>
        <w:adjustRightInd w:val="0"/>
        <w:snapToGrid w:val="0"/>
        <w:spacing w:line="312" w:lineRule="auto"/>
        <w:jc w:val="left"/>
        <w:rPr>
          <w:rFonts w:hint="eastAsia"/>
          <w:b/>
          <w:sz w:val="24"/>
          <w:highlight w:val="none"/>
        </w:rPr>
      </w:pPr>
    </w:p>
    <w:p>
      <w:pPr>
        <w:adjustRightInd w:val="0"/>
        <w:snapToGrid w:val="0"/>
        <w:spacing w:line="312" w:lineRule="auto"/>
        <w:jc w:val="left"/>
        <w:rPr>
          <w:b/>
          <w:sz w:val="24"/>
          <w:highlight w:val="none"/>
        </w:rPr>
      </w:pPr>
      <w:r>
        <w:rPr>
          <w:rFonts w:hint="eastAsia"/>
          <w:b/>
          <w:sz w:val="24"/>
          <w:highlight w:val="none"/>
        </w:rPr>
        <w:t>附图：</w:t>
      </w:r>
    </w:p>
    <w:p>
      <w:pPr>
        <w:adjustRightInd w:val="0"/>
        <w:snapToGrid w:val="0"/>
        <w:spacing w:line="312" w:lineRule="auto"/>
        <w:ind w:firstLineChars="200" w:firstLine="480"/>
        <w:jc w:val="left"/>
        <w:rPr>
          <w:sz w:val="24"/>
          <w:highlight w:val="none"/>
        </w:rPr>
      </w:pPr>
      <w:r>
        <w:rPr>
          <w:rFonts w:hint="eastAsia"/>
          <w:sz w:val="24"/>
          <w:highlight w:val="none"/>
        </w:rPr>
        <w:t>附图1</w:t>
      </w:r>
      <w:r>
        <w:rPr>
          <w:sz w:val="24"/>
          <w:highlight w:val="none"/>
        </w:rPr>
        <w:t xml:space="preserve">  </w:t>
      </w:r>
      <w:r>
        <w:rPr>
          <w:rFonts w:hint="eastAsia"/>
          <w:sz w:val="24"/>
          <w:highlight w:val="none"/>
        </w:rPr>
        <w:t>项目地理位置图</w:t>
      </w:r>
    </w:p>
    <w:p>
      <w:pPr>
        <w:adjustRightInd w:val="0"/>
        <w:snapToGrid w:val="0"/>
        <w:spacing w:line="312" w:lineRule="auto"/>
        <w:ind w:firstLineChars="200" w:firstLine="480"/>
        <w:jc w:val="left"/>
        <w:rPr>
          <w:sz w:val="24"/>
          <w:highlight w:val="none"/>
        </w:rPr>
      </w:pPr>
      <w:r>
        <w:rPr>
          <w:rFonts w:hint="eastAsia"/>
          <w:sz w:val="24"/>
          <w:highlight w:val="none"/>
        </w:rPr>
        <w:t>附图2</w:t>
      </w:r>
      <w:r>
        <w:rPr>
          <w:sz w:val="24"/>
          <w:highlight w:val="none"/>
        </w:rPr>
        <w:t xml:space="preserve">  </w:t>
      </w:r>
      <w:r>
        <w:rPr>
          <w:rFonts w:hint="eastAsia"/>
          <w:sz w:val="24"/>
          <w:highlight w:val="none"/>
        </w:rPr>
        <w:t>项目</w:t>
      </w:r>
      <w:r>
        <w:rPr>
          <w:rFonts w:hint="eastAsia"/>
          <w:sz w:val="24"/>
          <w:lang w:val="en-US" w:eastAsia="zh-CN"/>
          <w:highlight w:val="none"/>
        </w:rPr>
        <w:t>总平面布置</w:t>
      </w:r>
      <w:r>
        <w:rPr>
          <w:rFonts w:hint="eastAsia"/>
          <w:sz w:val="24"/>
          <w:highlight w:val="none"/>
        </w:rPr>
        <w:t>图</w:t>
      </w:r>
    </w:p>
    <w:p>
      <w:pPr>
        <w:adjustRightInd w:val="0"/>
        <w:snapToGrid w:val="0"/>
        <w:spacing w:line="312" w:lineRule="auto"/>
        <w:ind w:firstLineChars="200" w:firstLine="480"/>
        <w:jc w:val="left"/>
        <w:rPr>
          <w:sz w:val="24"/>
          <w:highlight w:val="none"/>
        </w:rPr>
      </w:pPr>
      <w:r>
        <w:rPr>
          <w:rFonts w:hint="eastAsia"/>
          <w:sz w:val="24"/>
          <w:highlight w:val="none"/>
        </w:rPr>
        <w:t>附图</w:t>
      </w:r>
      <w:r>
        <w:rPr>
          <w:rFonts w:hint="eastAsia"/>
          <w:sz w:val="24"/>
          <w:lang w:val="en-US" w:eastAsia="zh-CN"/>
          <w:highlight w:val="none"/>
        </w:rPr>
        <w:t>3</w:t>
      </w:r>
      <w:r>
        <w:rPr>
          <w:sz w:val="24"/>
          <w:highlight w:val="none"/>
        </w:rPr>
        <w:t xml:space="preserve">  </w:t>
      </w:r>
      <w:r>
        <w:rPr>
          <w:rFonts w:hint="eastAsia"/>
          <w:sz w:val="24"/>
          <w:lang w:val="en-US" w:eastAsia="zh-CN"/>
          <w:highlight w:val="none"/>
        </w:rPr>
        <w:t>本</w:t>
      </w:r>
      <w:r>
        <w:rPr>
          <w:rFonts w:hint="eastAsia"/>
          <w:sz w:val="24"/>
          <w:highlight w:val="none"/>
        </w:rPr>
        <w:t>项目</w:t>
      </w:r>
      <w:r>
        <w:rPr>
          <w:rFonts w:hint="eastAsia"/>
          <w:sz w:val="24"/>
          <w:lang w:val="en-US" w:eastAsia="zh-CN"/>
          <w:highlight w:val="none"/>
        </w:rPr>
        <w:t>水厂平面布置</w:t>
      </w:r>
      <w:r>
        <w:rPr>
          <w:rFonts w:hint="eastAsia"/>
          <w:sz w:val="24"/>
          <w:highlight w:val="none"/>
        </w:rPr>
        <w:t>图</w:t>
      </w:r>
    </w:p>
    <w:p>
      <w:pPr>
        <w:adjustRightInd w:val="0"/>
        <w:snapToGrid w:val="0"/>
        <w:spacing w:line="312" w:lineRule="auto"/>
        <w:ind w:firstLineChars="200" w:firstLine="480"/>
        <w:jc w:val="left"/>
        <w:rPr>
          <w:sz w:val="24"/>
          <w:highlight w:val="none"/>
        </w:rPr>
      </w:pPr>
      <w:r>
        <w:rPr>
          <w:rFonts w:hint="eastAsia"/>
          <w:sz w:val="24"/>
          <w:highlight w:val="none"/>
        </w:rPr>
        <w:t>附图</w:t>
      </w:r>
      <w:r>
        <w:rPr>
          <w:rFonts w:hint="eastAsia"/>
          <w:sz w:val="24"/>
          <w:lang w:val="en-US" w:eastAsia="zh-CN"/>
          <w:highlight w:val="none"/>
        </w:rPr>
        <w:t>4</w:t>
      </w:r>
      <w:r>
        <w:rPr>
          <w:sz w:val="24"/>
          <w:highlight w:val="none"/>
        </w:rPr>
        <w:t xml:space="preserve">  </w:t>
      </w:r>
      <w:r>
        <w:rPr>
          <w:rFonts w:hint="eastAsia"/>
          <w:sz w:val="24"/>
          <w:lang w:val="en-US" w:eastAsia="zh-CN"/>
          <w:highlight w:val="none"/>
        </w:rPr>
        <w:t>太青水厂取水口</w:t>
      </w:r>
      <w:r>
        <w:rPr>
          <w:rFonts w:hint="eastAsia"/>
          <w:sz w:val="24"/>
          <w:highlight w:val="none"/>
        </w:rPr>
        <w:t>平面布置图</w:t>
      </w:r>
    </w:p>
    <w:p>
      <w:pPr>
        <w:adjustRightInd w:val="0"/>
        <w:snapToGrid w:val="0"/>
        <w:spacing w:line="312" w:lineRule="auto"/>
        <w:ind w:firstLineChars="200" w:firstLine="480"/>
        <w:jc w:val="left"/>
        <w:rPr>
          <w:sz w:val="24"/>
          <w:highlight w:val="none"/>
        </w:rPr>
      </w:pPr>
      <w:r>
        <w:rPr>
          <w:rFonts w:hint="eastAsia"/>
          <w:sz w:val="24"/>
          <w:highlight w:val="none"/>
        </w:rPr>
        <w:t>附图</w:t>
      </w:r>
      <w:r>
        <w:rPr>
          <w:rFonts w:hint="eastAsia"/>
          <w:sz w:val="24"/>
          <w:lang w:val="en-US" w:eastAsia="zh-CN"/>
          <w:highlight w:val="none"/>
        </w:rPr>
        <w:t>5（1）</w:t>
      </w:r>
      <w:r>
        <w:rPr>
          <w:sz w:val="24"/>
          <w:highlight w:val="none"/>
        </w:rPr>
        <w:t xml:space="preserve">  </w:t>
      </w:r>
      <w:r>
        <w:rPr>
          <w:rFonts w:hint="eastAsia"/>
          <w:sz w:val="24"/>
          <w:lang w:val="en-US" w:eastAsia="zh-CN"/>
          <w:highlight w:val="none"/>
        </w:rPr>
        <w:t>水厂监测点位</w:t>
      </w:r>
      <w:r>
        <w:rPr>
          <w:rFonts w:hint="eastAsia"/>
          <w:sz w:val="24"/>
          <w:highlight w:val="none"/>
        </w:rPr>
        <w:t>图</w:t>
      </w:r>
    </w:p>
    <w:p>
      <w:pPr>
        <w:adjustRightInd w:val="0"/>
        <w:snapToGrid w:val="0"/>
        <w:spacing w:line="312" w:lineRule="auto"/>
        <w:ind w:firstLineChars="200" w:firstLine="480"/>
        <w:jc w:val="left"/>
        <w:rPr>
          <w:sz w:val="24"/>
          <w:highlight w:val="none"/>
        </w:rPr>
      </w:pPr>
      <w:r>
        <w:rPr>
          <w:rFonts w:hint="eastAsia"/>
          <w:sz w:val="24"/>
          <w:highlight w:val="none"/>
        </w:rPr>
        <w:t>附图</w:t>
      </w:r>
      <w:r>
        <w:rPr>
          <w:rFonts w:hint="eastAsia"/>
          <w:sz w:val="24"/>
          <w:lang w:val="en-US" w:eastAsia="zh-CN"/>
          <w:highlight w:val="none"/>
        </w:rPr>
        <w:t>5（2）</w:t>
      </w:r>
      <w:r>
        <w:rPr>
          <w:sz w:val="24"/>
          <w:highlight w:val="none"/>
        </w:rPr>
        <w:t xml:space="preserve">  </w:t>
      </w:r>
      <w:r>
        <w:rPr>
          <w:rFonts w:hint="eastAsia"/>
          <w:sz w:val="24"/>
          <w:lang w:val="en-US" w:eastAsia="zh-CN"/>
          <w:highlight w:val="none"/>
        </w:rPr>
        <w:t>泵站监测点位</w:t>
      </w:r>
      <w:r>
        <w:rPr>
          <w:rFonts w:hint="eastAsia"/>
          <w:sz w:val="24"/>
          <w:highlight w:val="none"/>
        </w:rPr>
        <w:t>图</w:t>
      </w:r>
    </w:p>
    <w:p>
      <w:pPr>
        <w:adjustRightInd w:val="0"/>
        <w:snapToGrid w:val="0"/>
        <w:spacing w:line="312" w:lineRule="auto"/>
        <w:ind w:firstLineChars="200" w:firstLine="480"/>
        <w:jc w:val="left"/>
        <w:rPr>
          <w:sz w:val="24"/>
          <w:highlight w:val="none"/>
        </w:rPr>
      </w:pPr>
      <w:r>
        <w:rPr>
          <w:rFonts w:hint="eastAsia"/>
          <w:sz w:val="24"/>
          <w:highlight w:val="none"/>
        </w:rPr>
        <w:t>附图</w:t>
      </w:r>
      <w:r>
        <w:rPr>
          <w:rFonts w:hint="eastAsia"/>
          <w:sz w:val="24"/>
          <w:lang w:val="en-US" w:eastAsia="zh-CN"/>
          <w:highlight w:val="none"/>
        </w:rPr>
        <w:t>6</w:t>
      </w:r>
      <w:r>
        <w:rPr>
          <w:rFonts w:hint="eastAsia"/>
          <w:sz w:val="24"/>
          <w:lang w:eastAsia="zh-CN"/>
          <w:highlight w:val="none"/>
        </w:rPr>
        <w:t>（</w:t>
      </w:r>
      <w:r>
        <w:rPr>
          <w:rFonts w:hint="eastAsia"/>
          <w:sz w:val="24"/>
          <w:lang w:val="en-US" w:eastAsia="zh-CN"/>
          <w:highlight w:val="none"/>
        </w:rPr>
        <w:t>1</w:t>
      </w:r>
      <w:r>
        <w:rPr>
          <w:rFonts w:hint="eastAsia"/>
          <w:sz w:val="24"/>
          <w:lang w:eastAsia="zh-CN"/>
          <w:highlight w:val="none"/>
        </w:rPr>
        <w:t>）</w:t>
      </w:r>
      <w:r>
        <w:rPr>
          <w:rFonts w:hint="eastAsia"/>
          <w:sz w:val="24"/>
          <w:lang w:val="en-US" w:eastAsia="zh-CN"/>
          <w:highlight w:val="none"/>
        </w:rPr>
        <w:t xml:space="preserve"> 水厂</w:t>
      </w:r>
      <w:r>
        <w:rPr>
          <w:rFonts w:ascii="Times New Roman" w:eastAsia="宋体" w:cs="Times New Roman" w:hAnsi="Times New Roman" w:hint="eastAsia"/>
          <w:sz w:val="24"/>
          <w:lang w:val="en-US" w:eastAsia="zh-CN"/>
          <w:highlight w:val="none"/>
        </w:rPr>
        <w:t>周边环境敏感目标分布图</w:t>
      </w:r>
    </w:p>
    <w:p>
      <w:pPr>
        <w:adjustRightInd w:val="0"/>
        <w:snapToGrid w:val="0"/>
        <w:spacing w:line="312" w:lineRule="auto"/>
        <w:ind w:firstLineChars="200" w:firstLine="480"/>
        <w:jc w:val="left"/>
        <w:rPr>
          <w:sz w:val="24"/>
          <w:highlight w:val="none"/>
        </w:rPr>
      </w:pPr>
      <w:r>
        <w:rPr>
          <w:rFonts w:hint="eastAsia"/>
          <w:sz w:val="24"/>
          <w:highlight w:val="none"/>
        </w:rPr>
        <w:t>附图</w:t>
      </w:r>
      <w:r>
        <w:rPr>
          <w:rFonts w:hint="eastAsia"/>
          <w:sz w:val="24"/>
          <w:lang w:val="en-US" w:eastAsia="zh-CN"/>
          <w:highlight w:val="none"/>
        </w:rPr>
        <w:t>6</w:t>
      </w:r>
      <w:r>
        <w:rPr>
          <w:rFonts w:hint="eastAsia"/>
          <w:sz w:val="24"/>
          <w:lang w:eastAsia="zh-CN"/>
          <w:highlight w:val="none"/>
        </w:rPr>
        <w:t>（</w:t>
      </w:r>
      <w:r>
        <w:rPr>
          <w:rFonts w:hint="eastAsia"/>
          <w:sz w:val="24"/>
          <w:lang w:val="en-US" w:eastAsia="zh-CN"/>
          <w:highlight w:val="none"/>
        </w:rPr>
        <w:t>2</w:t>
      </w:r>
      <w:r>
        <w:rPr>
          <w:rFonts w:hint="eastAsia"/>
          <w:sz w:val="24"/>
          <w:lang w:eastAsia="zh-CN"/>
          <w:highlight w:val="none"/>
        </w:rPr>
        <w:t>）</w:t>
      </w:r>
      <w:r>
        <w:rPr>
          <w:rFonts w:hint="eastAsia"/>
          <w:sz w:val="24"/>
          <w:lang w:val="en-US" w:eastAsia="zh-CN"/>
          <w:highlight w:val="none"/>
        </w:rPr>
        <w:t xml:space="preserve"> 泵站</w:t>
      </w:r>
      <w:r>
        <w:rPr>
          <w:rFonts w:ascii="Times New Roman" w:eastAsia="宋体" w:cs="Times New Roman" w:hAnsi="Times New Roman" w:hint="eastAsia"/>
          <w:sz w:val="24"/>
          <w:lang w:val="en-US" w:eastAsia="zh-CN"/>
          <w:highlight w:val="none"/>
        </w:rPr>
        <w:t>周边环境敏感目标分布图</w:t>
      </w:r>
    </w:p>
    <w:p>
      <w:pPr>
        <w:adjustRightInd w:val="0"/>
        <w:snapToGrid w:val="0"/>
        <w:spacing w:line="312" w:lineRule="auto"/>
        <w:ind w:firstLineChars="200" w:firstLine="480"/>
        <w:jc w:val="left"/>
        <w:rPr>
          <w:rFonts w:hint="eastAsia"/>
          <w:sz w:val="24"/>
          <w:highlight w:val="none"/>
        </w:rPr>
      </w:pPr>
      <w:r>
        <w:rPr>
          <w:rFonts w:hint="eastAsia"/>
          <w:sz w:val="24"/>
          <w:highlight w:val="none"/>
        </w:rPr>
        <w:t>附图</w:t>
      </w:r>
      <w:r>
        <w:rPr>
          <w:rFonts w:hint="eastAsia"/>
          <w:sz w:val="24"/>
          <w:lang w:val="en-US" w:eastAsia="zh-CN"/>
          <w:highlight w:val="none"/>
        </w:rPr>
        <w:t>6</w:t>
      </w:r>
      <w:r>
        <w:rPr>
          <w:rFonts w:hint="eastAsia"/>
          <w:sz w:val="24"/>
          <w:lang w:eastAsia="zh-CN"/>
          <w:highlight w:val="none"/>
        </w:rPr>
        <w:t>（</w:t>
      </w:r>
      <w:r>
        <w:rPr>
          <w:rFonts w:hint="eastAsia"/>
          <w:sz w:val="24"/>
          <w:lang w:val="en-US" w:eastAsia="zh-CN"/>
          <w:highlight w:val="none"/>
        </w:rPr>
        <w:t>3</w:t>
      </w:r>
      <w:r>
        <w:rPr>
          <w:rFonts w:hint="eastAsia"/>
          <w:sz w:val="24"/>
          <w:lang w:eastAsia="zh-CN"/>
          <w:highlight w:val="none"/>
        </w:rPr>
        <w:t>）</w:t>
      </w:r>
      <w:r>
        <w:rPr>
          <w:rFonts w:hint="eastAsia"/>
          <w:sz w:val="24"/>
          <w:lang w:val="en-US" w:eastAsia="zh-CN"/>
          <w:highlight w:val="none"/>
        </w:rPr>
        <w:t xml:space="preserve"> 管网</w:t>
      </w:r>
      <w:r>
        <w:rPr>
          <w:rFonts w:ascii="Times New Roman" w:eastAsia="宋体" w:cs="Times New Roman" w:hAnsi="Times New Roman" w:hint="eastAsia"/>
          <w:sz w:val="24"/>
          <w:lang w:val="en-US" w:eastAsia="zh-CN"/>
          <w:highlight w:val="none"/>
        </w:rPr>
        <w:t>周边环境敏感目标分布图</w:t>
      </w:r>
    </w:p>
    <w:p>
      <w:pPr>
        <w:adjustRightInd w:val="0"/>
        <w:snapToGrid w:val="0"/>
        <w:spacing w:line="312" w:lineRule="auto"/>
        <w:ind w:firstLineChars="200" w:firstLine="480"/>
        <w:jc w:val="left"/>
        <w:rPr>
          <w:sz w:val="24"/>
          <w:highlight w:val="none"/>
        </w:rPr>
      </w:pPr>
      <w:r>
        <w:rPr>
          <w:rFonts w:hint="eastAsia"/>
          <w:sz w:val="24"/>
          <w:highlight w:val="none"/>
        </w:rPr>
        <w:t>附图</w:t>
      </w:r>
      <w:r>
        <w:rPr>
          <w:rFonts w:hint="eastAsia"/>
          <w:sz w:val="24"/>
          <w:lang w:val="en-US" w:eastAsia="zh-CN"/>
          <w:highlight w:val="none"/>
        </w:rPr>
        <w:t>7</w:t>
      </w:r>
      <w:r>
        <w:rPr>
          <w:sz w:val="24"/>
          <w:highlight w:val="none"/>
        </w:rPr>
        <w:t xml:space="preserve"> </w:t>
      </w:r>
      <w:r>
        <w:rPr>
          <w:rFonts w:hint="eastAsia"/>
          <w:sz w:val="24"/>
          <w:lang w:val="en-US" w:eastAsia="zh-CN"/>
          <w:highlight w:val="none"/>
        </w:rPr>
        <w:t xml:space="preserve"> </w:t>
      </w:r>
      <w:r>
        <w:rPr>
          <w:sz w:val="24"/>
          <w:highlight w:val="none"/>
        </w:rPr>
        <w:t xml:space="preserve"> </w:t>
      </w:r>
      <w:r>
        <w:rPr>
          <w:rFonts w:hint="eastAsia"/>
          <w:sz w:val="24"/>
          <w:lang w:val="en-US" w:eastAsia="zh-CN"/>
          <w:highlight w:val="none"/>
        </w:rPr>
        <w:t>项目现状照片</w:t>
      </w:r>
      <w:r>
        <w:rPr>
          <w:rFonts w:hint="eastAsia"/>
          <w:sz w:val="24"/>
          <w:highlight w:val="none"/>
        </w:rPr>
        <w:t>图</w:t>
      </w:r>
    </w:p>
    <w:p>
      <w:pPr>
        <w:adjustRightInd w:val="0"/>
        <w:snapToGrid w:val="0"/>
        <w:spacing w:line="312" w:lineRule="auto"/>
        <w:ind w:firstLineChars="200" w:firstLine="480"/>
        <w:jc w:val="left"/>
        <w:rPr>
          <w:rFonts w:hint="eastAsia"/>
          <w:sz w:val="24"/>
          <w:u w:val="single"/>
          <w:lang w:val="en-US" w:eastAsia="zh-CN"/>
          <w:highlight w:val="none"/>
        </w:rPr>
      </w:pPr>
      <w:r>
        <w:rPr>
          <w:rFonts w:hint="eastAsia"/>
          <w:sz w:val="24"/>
          <w:u w:val="single"/>
          <w:lang w:val="en-US" w:eastAsia="zh-CN"/>
          <w:highlight w:val="none"/>
        </w:rPr>
        <w:t>附图8   太青水库饮用水源保护区现状区划图</w:t>
      </w:r>
    </w:p>
    <w:p>
      <w:pPr>
        <w:adjustRightInd w:val="0"/>
        <w:snapToGrid w:val="0"/>
        <w:spacing w:line="312" w:lineRule="auto"/>
        <w:jc w:val="left"/>
        <w:rPr>
          <w:rFonts w:eastAsia="宋体"/>
          <w:sz w:val="24"/>
          <w:lang w:val="en-US" w:eastAsia="zh-CN"/>
          <w:highlight w:val="none"/>
        </w:rPr>
      </w:pPr>
    </w:p>
    <w:p>
      <w:pPr>
        <w:adjustRightInd w:val="0"/>
        <w:snapToGrid w:val="0"/>
        <w:spacing w:line="312" w:lineRule="auto"/>
        <w:jc w:val="left"/>
        <w:rPr>
          <w:sz w:val="24"/>
          <w:highlight w:val="none"/>
        </w:rPr>
        <w:sectPr>
          <w:footerReference w:type="default" r:id="rId2"/>
          <w:footerReference w:type="even" r:id="rId3"/>
          <w:pgSz w:w="11906" w:h="16838"/>
          <w:pgMar w:top="1417" w:right="1531" w:bottom="1417" w:left="1531" w:header="851" w:footer="1077" w:gutter="0"/>
          <w:pgBorders>
            <w:top w:val="none" w:sz="0" w:space="0" w:color="auto"/>
            <w:left w:val="none" w:sz="0" w:space="0" w:color="auto"/>
            <w:bottom w:val="none" w:sz="0" w:space="0" w:color="auto"/>
            <w:right w:val="none" w:sz="0" w:space="0" w:color="auto"/>
          </w:pgBorders>
          <w:pgNumType w:start="3"/>
          <w:cols w:num="1" w:space="720"/>
          <w:docGrid w:linePitch="312" w:charSpace="0"/>
        </w:sectPr>
      </w:pPr>
    </w:p>
    <w:p>
      <w:pPr>
        <w:pStyle w:val="34"/>
        <w:spacing w:before="0" w:beforeAutospacing="0" w:after="0" w:afterAutospacing="0" w:line="360" w:lineRule="auto"/>
        <w:jc w:val="center"/>
        <w:outlineLvl w:val="0"/>
        <w:rPr>
          <w:rFonts w:ascii="Times New Roman" w:hAnsi="Times New Roman"/>
          <w:b/>
          <w:bCs/>
          <w:snapToGrid w:val="0"/>
          <w:sz w:val="30"/>
          <w:szCs w:val="30"/>
          <w:highlight w:val="none"/>
        </w:rPr>
      </w:pPr>
      <w:bookmarkStart w:id="4" w:name="_Toc5929"/>
      <w:r>
        <w:rPr>
          <w:rFonts w:ascii="Times New Roman" w:hAnsi="Times New Roman"/>
          <w:b/>
          <w:bCs/>
          <w:snapToGrid w:val="0"/>
          <w:sz w:val="30"/>
          <w:szCs w:val="30"/>
          <w:highlight w:val="none"/>
        </w:rPr>
        <w:t>一、建设项目基本情况</w:t>
      </w:r>
      <w:bookmarkEnd w:id="4"/>
    </w:p>
    <w:tbl>
      <w:tblPr>
        <w:jc w:val="center"/>
        <w:tblW w:w="930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0" w:type="dxa"/>
          <w:bottom w:w="0" w:type="dxa"/>
          <w:right w:w="0" w:type="dxa"/>
        </w:tblCellMar>
        <w:tblLook w:val="0600" w:firstRow="0" w:lastRow="0" w:firstColumn="0" w:lastColumn="0" w:noHBand="1" w:noVBand="1"/>
      </w:tblPr>
      <w:tblGrid>
        <w:gridCol w:w="1911"/>
        <w:gridCol w:w="2108"/>
        <w:gridCol w:w="2212"/>
        <w:gridCol w:w="3071"/>
      </w:tblGrid>
      <w:tr>
        <w:trPr>
          <w:trHeight w:val="454"/>
        </w:trPr>
        <w:tc>
          <w:tcPr>
            <w:tcW w:w="1911" w:type="dxa"/>
            <w:tcMar>
              <w:top w:w="16" w:type="dxa"/>
              <w:left w:w="16" w:type="dxa"/>
              <w:right w:w="16" w:type="dxa"/>
            </w:tcMar>
            <w:vAlign w:val="center"/>
          </w:tcPr>
          <w:p>
            <w:pPr>
              <w:jc w:val="center"/>
              <w:rPr>
                <w:sz w:val="24"/>
                <w:highlight w:val="none"/>
              </w:rPr>
            </w:pPr>
            <w:r>
              <w:rPr>
                <w:sz w:val="24"/>
                <w:highlight w:val="none"/>
              </w:rPr>
              <w:t>建设项目名称</w:t>
            </w:r>
          </w:p>
        </w:tc>
        <w:tc>
          <w:tcPr>
            <w:tcW w:w="7391" w:type="dxa"/>
            <w:gridSpan w:val="3"/>
            <w:vAlign w:val="center"/>
          </w:tcPr>
          <w:p>
            <w:pPr>
              <w:jc w:val="center"/>
              <w:rPr>
                <w:rFonts w:eastAsia="宋体" w:hint="eastAsia"/>
                <w:sz w:val="24"/>
                <w:lang w:eastAsia="zh-CN"/>
                <w:highlight w:val="none"/>
              </w:rPr>
            </w:pPr>
            <w:r>
              <w:rPr>
                <w:rFonts w:hint="eastAsia"/>
                <w:sz w:val="24"/>
                <w:lang w:eastAsia="zh-CN"/>
                <w:highlight w:val="none"/>
              </w:rPr>
              <w:t>澧县甘溪滩片区农村供水建设项目（一期）</w:t>
            </w:r>
          </w:p>
        </w:tc>
      </w:tr>
      <w:tr>
        <w:trPr>
          <w:trHeight w:val="454"/>
        </w:trPr>
        <w:tc>
          <w:tcPr>
            <w:tcW w:w="1911" w:type="dxa"/>
            <w:tcMar>
              <w:top w:w="16" w:type="dxa"/>
              <w:left w:w="16" w:type="dxa"/>
              <w:right w:w="16" w:type="dxa"/>
            </w:tcMar>
            <w:vAlign w:val="center"/>
          </w:tcPr>
          <w:p>
            <w:pPr>
              <w:jc w:val="center"/>
              <w:rPr>
                <w:sz w:val="24"/>
                <w:highlight w:val="none"/>
              </w:rPr>
            </w:pPr>
            <w:r>
              <w:rPr>
                <w:sz w:val="24"/>
                <w:highlight w:val="none"/>
              </w:rPr>
              <w:t>项目代码</w:t>
            </w:r>
          </w:p>
        </w:tc>
        <w:tc>
          <w:tcPr>
            <w:tcW w:w="7391" w:type="dxa"/>
            <w:gridSpan w:val="3"/>
            <w:vAlign w:val="center"/>
          </w:tcPr>
          <w:p>
            <w:pPr>
              <w:jc w:val="center"/>
              <w:rPr>
                <w:rFonts w:eastAsia="宋体"/>
                <w:sz w:val="24"/>
                <w:lang w:val="en-US" w:eastAsia="zh-CN"/>
                <w:highlight w:val="none"/>
              </w:rPr>
            </w:pPr>
            <w:r>
              <w:rPr>
                <w:sz w:val="24"/>
                <w:highlight w:val="none"/>
              </w:rPr>
              <w:t>2</w:t>
            </w:r>
            <w:r>
              <w:rPr>
                <w:rFonts w:hint="eastAsia"/>
                <w:sz w:val="24"/>
                <w:lang w:val="en-US" w:eastAsia="zh-CN"/>
                <w:highlight w:val="none"/>
              </w:rPr>
              <w:t>302</w:t>
            </w:r>
            <w:r>
              <w:rPr>
                <w:sz w:val="24"/>
                <w:highlight w:val="none"/>
              </w:rPr>
              <w:t>-430</w:t>
            </w:r>
            <w:r>
              <w:rPr>
                <w:rFonts w:hint="eastAsia"/>
                <w:sz w:val="24"/>
                <w:lang w:val="en-US" w:eastAsia="zh-CN"/>
                <w:highlight w:val="none"/>
              </w:rPr>
              <w:t>723</w:t>
            </w:r>
            <w:r>
              <w:rPr>
                <w:sz w:val="24"/>
                <w:highlight w:val="none"/>
              </w:rPr>
              <w:t>-04-0</w:t>
            </w:r>
            <w:r>
              <w:rPr>
                <w:rFonts w:hint="eastAsia"/>
                <w:sz w:val="24"/>
                <w:lang w:val="en-US" w:eastAsia="zh-CN"/>
                <w:highlight w:val="none"/>
              </w:rPr>
              <w:t>1</w:t>
            </w:r>
            <w:r>
              <w:rPr>
                <w:sz w:val="24"/>
                <w:highlight w:val="none"/>
              </w:rPr>
              <w:t>-</w:t>
            </w:r>
            <w:r>
              <w:rPr>
                <w:rFonts w:hint="eastAsia"/>
                <w:sz w:val="24"/>
                <w:lang w:val="en-US" w:eastAsia="zh-CN"/>
                <w:highlight w:val="none"/>
              </w:rPr>
              <w:t>775810</w:t>
            </w:r>
            <w:bookmarkStart w:id="5" w:name="_GoBack"/>
            <w:bookmarkEnd w:id="5"/>
          </w:p>
        </w:tc>
      </w:tr>
      <w:tr>
        <w:trPr>
          <w:trHeight w:val="454"/>
        </w:trPr>
        <w:tc>
          <w:tcPr>
            <w:tcW w:w="1911" w:type="dxa"/>
            <w:shd w:val="clear" w:color="auto" w:fill="auto"/>
            <w:tcMar>
              <w:top w:w="16" w:type="dxa"/>
              <w:left w:w="16" w:type="dxa"/>
              <w:right w:w="16" w:type="dxa"/>
            </w:tcMar>
            <w:vAlign w:val="center"/>
          </w:tcPr>
          <w:p>
            <w:pPr>
              <w:jc w:val="center"/>
              <w:rPr>
                <w:sz w:val="24"/>
                <w:highlight w:val="none"/>
              </w:rPr>
            </w:pPr>
            <w:r>
              <w:rPr>
                <w:sz w:val="24"/>
                <w:highlight w:val="none"/>
              </w:rPr>
              <w:t>建设单位联系人</w:t>
            </w:r>
          </w:p>
        </w:tc>
        <w:tc>
          <w:tcPr>
            <w:tcW w:w="2108" w:type="dxa"/>
            <w:shd w:val="clear" w:color="auto" w:fill="auto"/>
            <w:vAlign w:val="center"/>
          </w:tcPr>
          <w:p>
            <w:pPr>
              <w:jc w:val="center"/>
              <w:rPr>
                <w:rFonts w:eastAsia="宋体"/>
                <w:sz w:val="24"/>
                <w:lang w:val="en-US" w:eastAsia="zh-CN"/>
                <w:highlight w:val="none"/>
              </w:rPr>
            </w:pPr>
            <w:r>
              <w:rPr>
                <w:rFonts w:hint="eastAsia"/>
                <w:sz w:val="24"/>
                <w:lang w:val="en-US" w:eastAsia="zh-CN"/>
                <w:highlight w:val="none"/>
              </w:rPr>
              <w:t>卢丽</w:t>
            </w:r>
          </w:p>
        </w:tc>
        <w:tc>
          <w:tcPr>
            <w:tcW w:w="2212" w:type="dxa"/>
            <w:shd w:val="clear" w:color="auto" w:fill="auto"/>
            <w:vAlign w:val="center"/>
          </w:tcPr>
          <w:p>
            <w:pPr>
              <w:jc w:val="center"/>
              <w:rPr>
                <w:sz w:val="24"/>
                <w:highlight w:val="none"/>
              </w:rPr>
            </w:pPr>
            <w:r>
              <w:rPr>
                <w:sz w:val="24"/>
                <w:highlight w:val="none"/>
              </w:rPr>
              <w:t>联系方式</w:t>
            </w:r>
          </w:p>
        </w:tc>
        <w:tc>
          <w:tcPr>
            <w:tcW w:w="3071" w:type="dxa"/>
            <w:shd w:val="clear" w:color="auto" w:fill="auto"/>
            <w:vAlign w:val="center"/>
          </w:tcPr>
          <w:p>
            <w:pPr>
              <w:jc w:val="center"/>
              <w:rPr>
                <w:rFonts w:eastAsia="宋体"/>
                <w:sz w:val="24"/>
                <w:lang w:val="en-US" w:eastAsia="zh-CN"/>
                <w:highlight w:val="none"/>
              </w:rPr>
            </w:pPr>
            <w:r>
              <w:rPr>
                <w:sz w:val="24"/>
              </w:rPr>
              <mc:AlternateContent>
                <mc:Choice Requires="wps">
                  <w:drawing>
                    <wp:anchor distT="0" distB="0" distL="114300" distR="114300" simplePos="0" relativeHeight="102" behindDoc="0" locked="0" layoutInCell="1" hidden="0" allowOverlap="1">
                      <wp:simplePos x="0" y="0"/>
                      <wp:positionH relativeFrom="column">
                        <wp:posOffset>389889</wp:posOffset>
                      </wp:positionH>
                      <wp:positionV relativeFrom="paragraph">
                        <wp:posOffset>3810</wp:posOffset>
                      </wp:positionV>
                      <wp:extent cx="1121410" cy="209550"/>
                      <wp:effectExtent l="4444" t="4444" r="17145" b="14604"/>
                      <wp:wrapNone/>
                      <wp:docPr id="9" name="文本框 9"/>
                      <wp:cNvGraphicFramePr>
                        <a:graphicFrameLocks noChangeAspect="0"/>
                      </wp:cNvGraphicFramePr>
                      <a:graphic>
                        <a:graphicData uri="http://schemas.microsoft.com/office/word/2010/wordprocessingShape">
                          <wps:wsp>
                            <wps:cNvSpPr/>
                            <wps:spPr>
                              <a:xfrm rot="0">
                                <a:off x="0" y="0"/>
                                <a:ext cx="1121410" cy="209550"/>
                              </a:xfrm>
                              <a:prstGeom prst="rect"/>
                              <a:solidFill>
                                <a:srgbClr val="000000"/>
                              </a:solidFill>
                              <a:ln w="6350" cmpd="sng" cap="flat">
                                <a:solidFill>
                                  <a:srgbClr val="000000"/>
                                </a:solidFill>
                                <a:prstDash val="solid"/>
                                <a:round/>
                              </a:ln>
                            </wps:spPr>
                            <wps:txbx id="5">
                              <w:txbxContent>
                                <w:p/>
                              </w:txbxContent>
                            </wps:txbx>
                            <wps:bodyPr vert="horz" wrap="square" lIns="91440" tIns="45720" rIns="91440" bIns="45720" anchor="t" anchorCtr="0" upright="0">
                              <a:noAutofit/>
                            </wps:bodyPr>
                          </wps:wsp>
                        </a:graphicData>
                      </a:graphic>
                    </wp:anchor>
                  </w:drawing>
                </mc:Choice>
                <mc:Fallback>
                  <w:pict>
                    <v:rect type="#_x0000_t1" id="文本框 9" o:spid="_x0000_s6" fillcolor="#000000" stroked="t" strokeweight="0.5pt" style="position:absolute;margin-left:30.69999pt;margin-top:0.30000687pt;width:88.3pt;height:16.500011pt;z-index:102;mso-position-horizontal:absolute;mso-position-vertical:absolute;mso-wrap-style:square;">
                      <v:stroke color="#000000"/>
                      <v:textbox id="862" inset="2.54mm,1.27mm,2.54mm,1.27mm" o:insetmode="custom" style="layout-flow:horizontal;v-text-anchor:top;">
                        <w:txbxContent>
                          <w:p/>
                        </w:txbxContent>
                      </v:textbox>
                    </v:rect>
                  </w:pict>
                </mc:Fallback>
              </mc:AlternateContent>
            </w:r>
            <w:r>
              <w:rPr>
                <w:sz w:val="24"/>
                <w:highlight w:val="none"/>
              </w:rPr>
              <w:t>18173670758</w:t>
            </w:r>
          </w:p>
        </w:tc>
      </w:tr>
      <w:tr>
        <w:trPr>
          <w:trHeight w:val="454"/>
        </w:trPr>
        <w:tc>
          <w:tcPr>
            <w:tcW w:w="1911" w:type="dxa"/>
            <w:shd w:val="clear" w:color="auto" w:fill="auto"/>
            <w:tcMar>
              <w:top w:w="16" w:type="dxa"/>
              <w:left w:w="16" w:type="dxa"/>
              <w:right w:w="16" w:type="dxa"/>
            </w:tcMar>
            <w:vAlign w:val="center"/>
          </w:tcPr>
          <w:p>
            <w:pPr>
              <w:jc w:val="center"/>
              <w:rPr>
                <w:sz w:val="24"/>
                <w:highlight w:val="none"/>
              </w:rPr>
            </w:pPr>
            <w:r>
              <w:rPr>
                <w:sz w:val="24"/>
                <w:highlight w:val="none"/>
              </w:rPr>
              <w:t>建设地点</w:t>
            </w:r>
          </w:p>
        </w:tc>
        <w:tc>
          <w:tcPr>
            <w:tcW w:w="7391" w:type="dxa"/>
            <w:gridSpan w:val="3"/>
            <w:shd w:val="clear" w:color="auto" w:fill="auto"/>
            <w:vAlign w:val="center"/>
          </w:tcPr>
          <w:p>
            <w:pPr>
              <w:jc w:val="center"/>
              <w:rPr>
                <w:rFonts w:eastAsia="宋体"/>
                <w:sz w:val="24"/>
                <w:lang w:val="en-US" w:eastAsia="zh-CN"/>
                <w:highlight w:val="none"/>
              </w:rPr>
            </w:pPr>
            <w:r>
              <w:rPr>
                <w:rFonts w:hint="eastAsia"/>
                <w:sz w:val="24"/>
                <w:highlight w:val="none"/>
              </w:rPr>
              <w:t>湖南省</w:t>
            </w:r>
            <w:r>
              <w:rPr>
                <w:rFonts w:hint="eastAsia"/>
                <w:sz w:val="24"/>
                <w:lang w:val="en-US" w:eastAsia="zh-CN"/>
                <w:highlight w:val="none"/>
              </w:rPr>
              <w:t>常德市</w:t>
            </w:r>
            <w:r>
              <w:rPr>
                <w:rFonts w:ascii="Times New Roman" w:eastAsia="宋体" w:cs="Times New Roman" w:hAnsi="Times New Roman" w:hint="eastAsia"/>
                <w:sz w:val="24"/>
                <w:lang w:val="en-US" w:eastAsia="zh-CN"/>
                <w:highlight w:val="none"/>
              </w:rPr>
              <w:t>澧县甘溪滩镇、火连坡镇</w:t>
            </w:r>
          </w:p>
        </w:tc>
      </w:tr>
      <w:tr>
        <w:trPr>
          <w:trHeight w:val="454"/>
        </w:trPr>
        <w:tc>
          <w:tcPr>
            <w:tcW w:w="1911" w:type="dxa"/>
            <w:tcMar>
              <w:top w:w="16" w:type="dxa"/>
              <w:left w:w="16" w:type="dxa"/>
              <w:right w:w="16" w:type="dxa"/>
            </w:tcMar>
            <w:vAlign w:val="center"/>
          </w:tcPr>
          <w:p>
            <w:pPr>
              <w:jc w:val="center"/>
              <w:rPr>
                <w:sz w:val="24"/>
                <w:highlight w:val="none"/>
              </w:rPr>
            </w:pPr>
            <w:r>
              <w:rPr>
                <w:sz w:val="24"/>
                <w:highlight w:val="none"/>
              </w:rPr>
              <w:t>地理坐标</w:t>
            </w:r>
          </w:p>
        </w:tc>
        <w:tc>
          <w:tcPr>
            <w:tcW w:w="7391" w:type="dxa"/>
            <w:gridSpan w:val="3"/>
            <w:vAlign w:val="center"/>
          </w:tcPr>
          <w:p>
            <w:pPr>
              <w:jc w:val="left"/>
              <w:rPr>
                <w:sz w:val="24"/>
                <w:highlight w:val="none"/>
              </w:rPr>
            </w:pPr>
            <w:r>
              <w:rPr>
                <w:rFonts w:hint="eastAsia"/>
                <w:sz w:val="24"/>
                <w:lang w:val="en-US" w:eastAsia="zh-CN"/>
                <w:highlight w:val="none"/>
              </w:rPr>
              <w:t>太青</w:t>
            </w:r>
            <w:r>
              <w:rPr>
                <w:sz w:val="24"/>
                <w:highlight w:val="none"/>
              </w:rPr>
              <w:t>水厂：E：11</w:t>
            </w:r>
            <w:r>
              <w:rPr>
                <w:rFonts w:hint="eastAsia"/>
                <w:sz w:val="24"/>
                <w:lang w:val="en-US" w:eastAsia="zh-CN"/>
                <w:highlight w:val="none"/>
              </w:rPr>
              <w:t>1</w:t>
            </w:r>
            <w:r>
              <w:rPr>
                <w:sz w:val="24"/>
                <w:highlight w:val="none"/>
              </w:rPr>
              <w:t>°</w:t>
            </w:r>
            <w:r>
              <w:rPr>
                <w:rFonts w:hint="eastAsia"/>
                <w:sz w:val="24"/>
                <w:lang w:val="en-US" w:eastAsia="zh-CN"/>
                <w:highlight w:val="none"/>
              </w:rPr>
              <w:t>17</w:t>
            </w:r>
            <w:r>
              <w:rPr>
                <w:sz w:val="24"/>
                <w:highlight w:val="none"/>
              </w:rPr>
              <w:t>′</w:t>
            </w:r>
            <w:r>
              <w:rPr>
                <w:rFonts w:hint="eastAsia"/>
                <w:sz w:val="24"/>
                <w:lang w:val="en-US" w:eastAsia="zh-CN"/>
                <w:highlight w:val="none"/>
              </w:rPr>
              <w:t>6.785</w:t>
            </w:r>
            <w:r>
              <w:rPr>
                <w:sz w:val="24"/>
                <w:highlight w:val="none"/>
              </w:rPr>
              <w:t>″，N：2</w:t>
            </w:r>
            <w:r>
              <w:rPr>
                <w:rFonts w:hint="eastAsia"/>
                <w:sz w:val="24"/>
                <w:highlight w:val="none"/>
              </w:rPr>
              <w:t>9</w:t>
            </w:r>
            <w:r>
              <w:rPr>
                <w:sz w:val="24"/>
                <w:highlight w:val="none"/>
              </w:rPr>
              <w:t>°</w:t>
            </w:r>
            <w:r>
              <w:rPr>
                <w:rFonts w:hint="eastAsia"/>
                <w:sz w:val="24"/>
                <w:lang w:val="en-US" w:eastAsia="zh-CN"/>
                <w:highlight w:val="none"/>
              </w:rPr>
              <w:t>53</w:t>
            </w:r>
            <w:r>
              <w:rPr>
                <w:sz w:val="24"/>
                <w:highlight w:val="none"/>
              </w:rPr>
              <w:t>′</w:t>
            </w:r>
            <w:r>
              <w:rPr>
                <w:rFonts w:hint="eastAsia"/>
                <w:sz w:val="24"/>
                <w:lang w:val="en-US" w:eastAsia="zh-CN"/>
                <w:highlight w:val="none"/>
              </w:rPr>
              <w:t>32.028</w:t>
            </w:r>
            <w:r>
              <w:rPr>
                <w:sz w:val="24"/>
                <w:highlight w:val="none"/>
              </w:rPr>
              <w:t>″</w:t>
            </w:r>
            <w:r>
              <w:rPr>
                <w:rFonts w:hint="eastAsia"/>
                <w:sz w:val="24"/>
                <w:highlight w:val="none"/>
              </w:rPr>
              <w:t>；</w:t>
            </w:r>
          </w:p>
          <w:p>
            <w:pPr>
              <w:jc w:val="left"/>
              <w:rPr>
                <w:sz w:val="24"/>
                <w:highlight w:val="none"/>
              </w:rPr>
            </w:pPr>
            <w:r>
              <w:rPr>
                <w:rFonts w:hint="eastAsia"/>
                <w:sz w:val="24"/>
                <w:lang w:val="en-US" w:eastAsia="zh-CN"/>
                <w:highlight w:val="none"/>
              </w:rPr>
              <w:t>取水口</w:t>
            </w:r>
            <w:r>
              <w:rPr>
                <w:rFonts w:hint="eastAsia"/>
                <w:sz w:val="24"/>
                <w:highlight w:val="none"/>
              </w:rPr>
              <w:t>：</w:t>
            </w:r>
            <w:r>
              <w:rPr>
                <w:sz w:val="24"/>
                <w:highlight w:val="none"/>
              </w:rPr>
              <w:t>E：11</w:t>
            </w:r>
            <w:r>
              <w:rPr>
                <w:rFonts w:hint="eastAsia"/>
                <w:sz w:val="24"/>
                <w:lang w:val="en-US" w:eastAsia="zh-CN"/>
                <w:highlight w:val="none"/>
              </w:rPr>
              <w:t>1</w:t>
            </w:r>
            <w:r>
              <w:rPr>
                <w:sz w:val="24"/>
                <w:highlight w:val="none"/>
              </w:rPr>
              <w:t>°</w:t>
            </w:r>
            <w:r>
              <w:rPr>
                <w:rFonts w:hint="eastAsia"/>
                <w:sz w:val="24"/>
                <w:lang w:val="en-US" w:eastAsia="zh-CN"/>
                <w:highlight w:val="none"/>
              </w:rPr>
              <w:t>17</w:t>
            </w:r>
            <w:r>
              <w:rPr>
                <w:sz w:val="24"/>
                <w:highlight w:val="none"/>
              </w:rPr>
              <w:t>′</w:t>
            </w:r>
            <w:r>
              <w:rPr>
                <w:rFonts w:hint="eastAsia"/>
                <w:sz w:val="24"/>
                <w:lang w:val="en-US" w:eastAsia="zh-CN"/>
                <w:highlight w:val="none"/>
              </w:rPr>
              <w:t>5.752</w:t>
            </w:r>
            <w:r>
              <w:rPr>
                <w:sz w:val="24"/>
                <w:highlight w:val="none"/>
              </w:rPr>
              <w:t>″，N：2</w:t>
            </w:r>
            <w:r>
              <w:rPr>
                <w:rFonts w:hint="eastAsia"/>
                <w:sz w:val="24"/>
                <w:highlight w:val="none"/>
              </w:rPr>
              <w:t>9</w:t>
            </w:r>
            <w:r>
              <w:rPr>
                <w:sz w:val="24"/>
                <w:highlight w:val="none"/>
              </w:rPr>
              <w:t>°</w:t>
            </w:r>
            <w:r>
              <w:rPr>
                <w:rFonts w:hint="eastAsia"/>
                <w:sz w:val="24"/>
                <w:lang w:val="en-US" w:eastAsia="zh-CN"/>
                <w:highlight w:val="none"/>
              </w:rPr>
              <w:t>53</w:t>
            </w:r>
            <w:r>
              <w:rPr>
                <w:sz w:val="24"/>
                <w:highlight w:val="none"/>
              </w:rPr>
              <w:t>′</w:t>
            </w:r>
            <w:r>
              <w:rPr>
                <w:rFonts w:hint="eastAsia"/>
                <w:sz w:val="24"/>
                <w:lang w:val="en-US" w:eastAsia="zh-CN"/>
                <w:highlight w:val="none"/>
              </w:rPr>
              <w:t>30.314</w:t>
            </w:r>
            <w:r>
              <w:rPr>
                <w:sz w:val="24"/>
                <w:highlight w:val="none"/>
              </w:rPr>
              <w:t>″</w:t>
            </w:r>
            <w:r>
              <w:rPr>
                <w:rFonts w:hint="eastAsia"/>
                <w:sz w:val="24"/>
                <w:highlight w:val="none"/>
              </w:rPr>
              <w:t>；</w:t>
            </w:r>
          </w:p>
          <w:p>
            <w:pPr>
              <w:jc w:val="left"/>
              <w:rPr>
                <w:sz w:val="24"/>
                <w:highlight w:val="none"/>
              </w:rPr>
            </w:pPr>
            <w:r>
              <w:rPr>
                <w:rFonts w:hint="eastAsia"/>
                <w:sz w:val="24"/>
                <w:lang w:val="en-US" w:eastAsia="zh-CN"/>
                <w:highlight w:val="none"/>
              </w:rPr>
              <w:t>探裕-遇市村加压</w:t>
            </w:r>
            <w:r>
              <w:rPr>
                <w:rFonts w:hint="eastAsia"/>
                <w:sz w:val="24"/>
                <w:highlight w:val="none"/>
              </w:rPr>
              <w:t>泵站</w:t>
            </w:r>
            <w:r>
              <w:rPr>
                <w:rFonts w:hint="eastAsia"/>
                <w:color w:val="000000"/>
                <w:sz w:val="24"/>
                <w:highlight w:val="none"/>
              </w:rPr>
              <w:t>：</w:t>
            </w:r>
            <w:r>
              <w:rPr>
                <w:sz w:val="24"/>
                <w:highlight w:val="none"/>
              </w:rPr>
              <w:t>E：11</w:t>
            </w:r>
            <w:r>
              <w:rPr>
                <w:rFonts w:hint="eastAsia"/>
                <w:sz w:val="24"/>
                <w:lang w:val="en-US" w:eastAsia="zh-CN"/>
                <w:highlight w:val="none"/>
              </w:rPr>
              <w:t>1</w:t>
            </w:r>
            <w:r>
              <w:rPr>
                <w:sz w:val="24"/>
                <w:highlight w:val="none"/>
              </w:rPr>
              <w:t>°</w:t>
            </w:r>
            <w:r>
              <w:rPr>
                <w:rFonts w:hint="eastAsia"/>
                <w:sz w:val="24"/>
                <w:lang w:val="en-US" w:eastAsia="zh-CN"/>
                <w:highlight w:val="none"/>
              </w:rPr>
              <w:t>19</w:t>
            </w:r>
            <w:r>
              <w:rPr>
                <w:sz w:val="24"/>
                <w:highlight w:val="none"/>
              </w:rPr>
              <w:t>′</w:t>
            </w:r>
            <w:r>
              <w:rPr>
                <w:rFonts w:hint="eastAsia"/>
                <w:sz w:val="24"/>
                <w:lang w:val="en-US" w:eastAsia="zh-CN"/>
                <w:highlight w:val="none"/>
              </w:rPr>
              <w:t>34.284</w:t>
            </w:r>
            <w:r>
              <w:rPr>
                <w:sz w:val="24"/>
                <w:highlight w:val="none"/>
              </w:rPr>
              <w:t>″，N：2</w:t>
            </w:r>
            <w:r>
              <w:rPr>
                <w:rFonts w:hint="eastAsia"/>
                <w:sz w:val="24"/>
                <w:highlight w:val="none"/>
              </w:rPr>
              <w:t>9</w:t>
            </w:r>
            <w:r>
              <w:rPr>
                <w:sz w:val="24"/>
                <w:highlight w:val="none"/>
              </w:rPr>
              <w:t>°</w:t>
            </w:r>
            <w:r>
              <w:rPr>
                <w:rFonts w:hint="eastAsia"/>
                <w:sz w:val="24"/>
                <w:lang w:val="en-US" w:eastAsia="zh-CN"/>
                <w:highlight w:val="none"/>
              </w:rPr>
              <w:t>52</w:t>
            </w:r>
            <w:r>
              <w:rPr>
                <w:sz w:val="24"/>
                <w:highlight w:val="none"/>
              </w:rPr>
              <w:t>′</w:t>
            </w:r>
            <w:r>
              <w:rPr>
                <w:rFonts w:hint="eastAsia"/>
                <w:sz w:val="24"/>
                <w:lang w:val="en-US" w:eastAsia="zh-CN"/>
                <w:highlight w:val="none"/>
              </w:rPr>
              <w:t>27.952</w:t>
            </w:r>
            <w:r>
              <w:rPr>
                <w:sz w:val="24"/>
                <w:highlight w:val="none"/>
              </w:rPr>
              <w:t>″</w:t>
            </w:r>
            <w:r>
              <w:rPr>
                <w:rFonts w:hint="eastAsia"/>
                <w:sz w:val="24"/>
                <w:highlight w:val="none"/>
              </w:rPr>
              <w:t>；</w:t>
            </w:r>
          </w:p>
          <w:p>
            <w:pPr>
              <w:jc w:val="left"/>
              <w:rPr>
                <w:rFonts w:hint="eastAsia"/>
                <w:sz w:val="24"/>
                <w:highlight w:val="none"/>
              </w:rPr>
            </w:pPr>
            <w:r>
              <w:rPr>
                <w:rFonts w:hint="eastAsia"/>
                <w:sz w:val="24"/>
                <w:lang w:val="en-US" w:eastAsia="zh-CN"/>
                <w:highlight w:val="none"/>
              </w:rPr>
              <w:t>东门村加压</w:t>
            </w:r>
            <w:r>
              <w:rPr>
                <w:rFonts w:hint="eastAsia"/>
                <w:sz w:val="24"/>
                <w:highlight w:val="none"/>
              </w:rPr>
              <w:t>泵站</w:t>
            </w:r>
            <w:r>
              <w:rPr>
                <w:rFonts w:hint="eastAsia"/>
                <w:color w:val="000000"/>
                <w:sz w:val="24"/>
                <w:highlight w:val="none"/>
              </w:rPr>
              <w:t>：</w:t>
            </w:r>
            <w:r>
              <w:rPr>
                <w:sz w:val="24"/>
                <w:highlight w:val="none"/>
              </w:rPr>
              <w:t>E：11</w:t>
            </w:r>
            <w:r>
              <w:rPr>
                <w:rFonts w:hint="eastAsia"/>
                <w:sz w:val="24"/>
                <w:lang w:val="en-US" w:eastAsia="zh-CN"/>
                <w:highlight w:val="none"/>
              </w:rPr>
              <w:t>1</w:t>
            </w:r>
            <w:r>
              <w:rPr>
                <w:sz w:val="24"/>
                <w:highlight w:val="none"/>
              </w:rPr>
              <w:t>°</w:t>
            </w:r>
            <w:r>
              <w:rPr>
                <w:rFonts w:hint="eastAsia"/>
                <w:sz w:val="24"/>
                <w:lang w:val="en-US" w:eastAsia="zh-CN"/>
                <w:highlight w:val="none"/>
              </w:rPr>
              <w:t>21</w:t>
            </w:r>
            <w:r>
              <w:rPr>
                <w:sz w:val="24"/>
                <w:highlight w:val="none"/>
              </w:rPr>
              <w:t>′</w:t>
            </w:r>
            <w:r>
              <w:rPr>
                <w:rFonts w:hint="eastAsia"/>
                <w:sz w:val="24"/>
                <w:lang w:val="en-US" w:eastAsia="zh-CN"/>
                <w:highlight w:val="none"/>
              </w:rPr>
              <w:t>10.109</w:t>
            </w:r>
            <w:r>
              <w:rPr>
                <w:sz w:val="24"/>
                <w:highlight w:val="none"/>
              </w:rPr>
              <w:t>″，N：2</w:t>
            </w:r>
            <w:r>
              <w:rPr>
                <w:rFonts w:hint="eastAsia"/>
                <w:sz w:val="24"/>
                <w:highlight w:val="none"/>
              </w:rPr>
              <w:t>9</w:t>
            </w:r>
            <w:r>
              <w:rPr>
                <w:sz w:val="24"/>
                <w:highlight w:val="none"/>
              </w:rPr>
              <w:t>°</w:t>
            </w:r>
            <w:r>
              <w:rPr>
                <w:rFonts w:hint="eastAsia"/>
                <w:sz w:val="24"/>
                <w:lang w:val="en-US" w:eastAsia="zh-CN"/>
                <w:highlight w:val="none"/>
              </w:rPr>
              <w:t>53</w:t>
            </w:r>
            <w:r>
              <w:rPr>
                <w:sz w:val="24"/>
                <w:highlight w:val="none"/>
              </w:rPr>
              <w:t>′</w:t>
            </w:r>
            <w:r>
              <w:rPr>
                <w:rFonts w:hint="eastAsia"/>
                <w:sz w:val="24"/>
                <w:lang w:val="en-US" w:eastAsia="zh-CN"/>
                <w:highlight w:val="none"/>
              </w:rPr>
              <w:t>40.114</w:t>
            </w:r>
            <w:r>
              <w:rPr>
                <w:sz w:val="24"/>
                <w:highlight w:val="none"/>
              </w:rPr>
              <w:t>″</w:t>
            </w:r>
            <w:r>
              <w:rPr>
                <w:rFonts w:hint="eastAsia"/>
                <w:sz w:val="24"/>
                <w:highlight w:val="none"/>
              </w:rPr>
              <w:t>；</w:t>
            </w:r>
          </w:p>
          <w:p>
            <w:pPr>
              <w:jc w:val="left"/>
              <w:rPr>
                <w:rFonts w:hint="eastAsia"/>
                <w:sz w:val="24"/>
                <w:highlight w:val="none"/>
              </w:rPr>
            </w:pPr>
            <w:r>
              <w:rPr>
                <w:rFonts w:hint="eastAsia"/>
                <w:sz w:val="24"/>
                <w:lang w:val="en-US" w:eastAsia="zh-CN"/>
                <w:highlight w:val="none"/>
              </w:rPr>
              <w:t>干管D加压</w:t>
            </w:r>
            <w:r>
              <w:rPr>
                <w:rFonts w:hint="eastAsia"/>
                <w:sz w:val="24"/>
                <w:highlight w:val="none"/>
              </w:rPr>
              <w:t>泵站</w:t>
            </w:r>
            <w:r>
              <w:rPr>
                <w:rFonts w:hint="eastAsia"/>
                <w:color w:val="000000"/>
                <w:sz w:val="24"/>
                <w:highlight w:val="none"/>
              </w:rPr>
              <w:t>：</w:t>
            </w:r>
            <w:r>
              <w:rPr>
                <w:sz w:val="24"/>
                <w:highlight w:val="none"/>
              </w:rPr>
              <w:t>E：11</w:t>
            </w:r>
            <w:r>
              <w:rPr>
                <w:rFonts w:hint="eastAsia"/>
                <w:sz w:val="24"/>
                <w:lang w:val="en-US" w:eastAsia="zh-CN"/>
                <w:highlight w:val="none"/>
              </w:rPr>
              <w:t>1</w:t>
            </w:r>
            <w:r>
              <w:rPr>
                <w:sz w:val="24"/>
                <w:highlight w:val="none"/>
              </w:rPr>
              <w:t>°</w:t>
            </w:r>
            <w:r>
              <w:rPr>
                <w:rFonts w:hint="eastAsia"/>
                <w:sz w:val="24"/>
                <w:lang w:val="en-US" w:eastAsia="zh-CN"/>
                <w:highlight w:val="none"/>
              </w:rPr>
              <w:t>22</w:t>
            </w:r>
            <w:r>
              <w:rPr>
                <w:sz w:val="24"/>
                <w:highlight w:val="none"/>
              </w:rPr>
              <w:t>′</w:t>
            </w:r>
            <w:r>
              <w:rPr>
                <w:rFonts w:hint="eastAsia"/>
                <w:sz w:val="24"/>
                <w:lang w:val="en-US" w:eastAsia="zh-CN"/>
                <w:highlight w:val="none"/>
              </w:rPr>
              <w:t>22.217</w:t>
            </w:r>
            <w:r>
              <w:rPr>
                <w:sz w:val="24"/>
                <w:highlight w:val="none"/>
              </w:rPr>
              <w:t>″，N：2</w:t>
            </w:r>
            <w:r>
              <w:rPr>
                <w:rFonts w:hint="eastAsia"/>
                <w:sz w:val="24"/>
                <w:highlight w:val="none"/>
              </w:rPr>
              <w:t>9</w:t>
            </w:r>
            <w:r>
              <w:rPr>
                <w:sz w:val="24"/>
                <w:highlight w:val="none"/>
              </w:rPr>
              <w:t>°</w:t>
            </w:r>
            <w:r>
              <w:rPr>
                <w:rFonts w:hint="eastAsia"/>
                <w:sz w:val="24"/>
                <w:lang w:val="en-US" w:eastAsia="zh-CN"/>
                <w:highlight w:val="none"/>
              </w:rPr>
              <w:t>51</w:t>
            </w:r>
            <w:r>
              <w:rPr>
                <w:sz w:val="24"/>
                <w:highlight w:val="none"/>
              </w:rPr>
              <w:t>′</w:t>
            </w:r>
            <w:r>
              <w:rPr>
                <w:rFonts w:hint="eastAsia"/>
                <w:sz w:val="24"/>
                <w:lang w:val="en-US" w:eastAsia="zh-CN"/>
                <w:highlight w:val="none"/>
              </w:rPr>
              <w:t>39.596</w:t>
            </w:r>
            <w:r>
              <w:rPr>
                <w:sz w:val="24"/>
                <w:highlight w:val="none"/>
              </w:rPr>
              <w:t>″</w:t>
            </w:r>
            <w:r>
              <w:rPr>
                <w:rFonts w:hint="eastAsia"/>
                <w:sz w:val="24"/>
                <w:highlight w:val="none"/>
              </w:rPr>
              <w:t>；</w:t>
            </w:r>
          </w:p>
          <w:p>
            <w:pPr>
              <w:jc w:val="left"/>
              <w:rPr>
                <w:rFonts w:hint="eastAsia"/>
                <w:sz w:val="24"/>
                <w:highlight w:val="none"/>
              </w:rPr>
            </w:pPr>
            <w:r>
              <w:rPr>
                <w:rFonts w:hint="eastAsia"/>
                <w:sz w:val="24"/>
                <w:lang w:val="en-US" w:eastAsia="zh-CN"/>
                <w:highlight w:val="none"/>
              </w:rPr>
              <w:t>三岔湾加压</w:t>
            </w:r>
            <w:r>
              <w:rPr>
                <w:rFonts w:hint="eastAsia"/>
                <w:sz w:val="24"/>
                <w:highlight w:val="none"/>
              </w:rPr>
              <w:t>泵站</w:t>
            </w:r>
            <w:r>
              <w:rPr>
                <w:rFonts w:hint="eastAsia"/>
                <w:color w:val="000000"/>
                <w:sz w:val="24"/>
                <w:highlight w:val="none"/>
              </w:rPr>
              <w:t>：</w:t>
            </w:r>
            <w:r>
              <w:rPr>
                <w:sz w:val="24"/>
                <w:highlight w:val="none"/>
              </w:rPr>
              <w:t>E：11</w:t>
            </w:r>
            <w:r>
              <w:rPr>
                <w:rFonts w:hint="eastAsia"/>
                <w:sz w:val="24"/>
                <w:lang w:val="en-US" w:eastAsia="zh-CN"/>
                <w:highlight w:val="none"/>
              </w:rPr>
              <w:t>1</w:t>
            </w:r>
            <w:r>
              <w:rPr>
                <w:sz w:val="24"/>
                <w:highlight w:val="none"/>
              </w:rPr>
              <w:t>°</w:t>
            </w:r>
            <w:r>
              <w:rPr>
                <w:rFonts w:hint="eastAsia"/>
                <w:sz w:val="24"/>
                <w:lang w:val="en-US" w:eastAsia="zh-CN"/>
                <w:highlight w:val="none"/>
              </w:rPr>
              <w:t>22</w:t>
            </w:r>
            <w:r>
              <w:rPr>
                <w:sz w:val="24"/>
                <w:highlight w:val="none"/>
              </w:rPr>
              <w:t>′</w:t>
            </w:r>
            <w:r>
              <w:rPr>
                <w:rFonts w:hint="eastAsia"/>
                <w:sz w:val="24"/>
                <w:lang w:val="en-US" w:eastAsia="zh-CN"/>
                <w:highlight w:val="none"/>
              </w:rPr>
              <w:t>11.006</w:t>
            </w:r>
            <w:r>
              <w:rPr>
                <w:sz w:val="24"/>
                <w:highlight w:val="none"/>
              </w:rPr>
              <w:t>″，N：2</w:t>
            </w:r>
            <w:r>
              <w:rPr>
                <w:rFonts w:hint="eastAsia"/>
                <w:sz w:val="24"/>
                <w:highlight w:val="none"/>
              </w:rPr>
              <w:t>9</w:t>
            </w:r>
            <w:r>
              <w:rPr>
                <w:sz w:val="24"/>
                <w:highlight w:val="none"/>
              </w:rPr>
              <w:t>°</w:t>
            </w:r>
            <w:r>
              <w:rPr>
                <w:rFonts w:hint="eastAsia"/>
                <w:sz w:val="24"/>
                <w:lang w:val="en-US" w:eastAsia="zh-CN"/>
                <w:highlight w:val="none"/>
              </w:rPr>
              <w:t>51</w:t>
            </w:r>
            <w:r>
              <w:rPr>
                <w:sz w:val="24"/>
                <w:highlight w:val="none"/>
              </w:rPr>
              <w:t>′</w:t>
            </w:r>
            <w:r>
              <w:rPr>
                <w:rFonts w:hint="eastAsia"/>
                <w:sz w:val="24"/>
                <w:lang w:val="en-US" w:eastAsia="zh-CN"/>
                <w:highlight w:val="none"/>
              </w:rPr>
              <w:t>29.671</w:t>
            </w:r>
            <w:r>
              <w:rPr>
                <w:sz w:val="24"/>
                <w:highlight w:val="none"/>
              </w:rPr>
              <w:t>″</w:t>
            </w:r>
            <w:r>
              <w:rPr>
                <w:rFonts w:hint="eastAsia"/>
                <w:sz w:val="24"/>
                <w:highlight w:val="none"/>
              </w:rPr>
              <w:t>；</w:t>
            </w:r>
          </w:p>
          <w:p>
            <w:pPr>
              <w:jc w:val="left"/>
              <w:rPr>
                <w:rFonts w:hint="eastAsia"/>
                <w:sz w:val="24"/>
                <w:highlight w:val="none"/>
              </w:rPr>
            </w:pPr>
            <w:r>
              <w:rPr>
                <w:rFonts w:hint="eastAsia"/>
                <w:sz w:val="24"/>
                <w:lang w:val="en-US" w:eastAsia="zh-CN"/>
                <w:highlight w:val="none"/>
              </w:rPr>
              <w:t>楠木加压</w:t>
            </w:r>
            <w:r>
              <w:rPr>
                <w:rFonts w:hint="eastAsia"/>
                <w:sz w:val="24"/>
                <w:highlight w:val="none"/>
              </w:rPr>
              <w:t>泵站</w:t>
            </w:r>
            <w:r>
              <w:rPr>
                <w:rFonts w:hint="eastAsia"/>
                <w:color w:val="000000"/>
                <w:sz w:val="24"/>
                <w:highlight w:val="none"/>
              </w:rPr>
              <w:t>：</w:t>
            </w:r>
            <w:r>
              <w:rPr>
                <w:sz w:val="24"/>
                <w:highlight w:val="none"/>
              </w:rPr>
              <w:t>E：11</w:t>
            </w:r>
            <w:r>
              <w:rPr>
                <w:rFonts w:hint="eastAsia"/>
                <w:sz w:val="24"/>
                <w:lang w:val="en-US" w:eastAsia="zh-CN"/>
                <w:highlight w:val="none"/>
              </w:rPr>
              <w:t>1</w:t>
            </w:r>
            <w:r>
              <w:rPr>
                <w:sz w:val="24"/>
                <w:highlight w:val="none"/>
              </w:rPr>
              <w:t>°</w:t>
            </w:r>
            <w:r>
              <w:rPr>
                <w:rFonts w:hint="eastAsia"/>
                <w:sz w:val="24"/>
                <w:lang w:val="en-US" w:eastAsia="zh-CN"/>
                <w:highlight w:val="none"/>
              </w:rPr>
              <w:t>26</w:t>
            </w:r>
            <w:r>
              <w:rPr>
                <w:sz w:val="24"/>
                <w:highlight w:val="none"/>
              </w:rPr>
              <w:t>′</w:t>
            </w:r>
            <w:r>
              <w:rPr>
                <w:rFonts w:hint="eastAsia"/>
                <w:sz w:val="24"/>
                <w:lang w:val="en-US" w:eastAsia="zh-CN"/>
                <w:highlight w:val="none"/>
              </w:rPr>
              <w:t>3.476</w:t>
            </w:r>
            <w:r>
              <w:rPr>
                <w:sz w:val="24"/>
                <w:highlight w:val="none"/>
              </w:rPr>
              <w:t>″，N：2</w:t>
            </w:r>
            <w:r>
              <w:rPr>
                <w:rFonts w:hint="eastAsia"/>
                <w:sz w:val="24"/>
                <w:highlight w:val="none"/>
              </w:rPr>
              <w:t>9</w:t>
            </w:r>
            <w:r>
              <w:rPr>
                <w:sz w:val="24"/>
                <w:highlight w:val="none"/>
              </w:rPr>
              <w:t>°</w:t>
            </w:r>
            <w:r>
              <w:rPr>
                <w:rFonts w:hint="eastAsia"/>
                <w:sz w:val="24"/>
                <w:lang w:val="en-US" w:eastAsia="zh-CN"/>
                <w:highlight w:val="none"/>
              </w:rPr>
              <w:t>53</w:t>
            </w:r>
            <w:r>
              <w:rPr>
                <w:sz w:val="24"/>
                <w:highlight w:val="none"/>
              </w:rPr>
              <w:t>′</w:t>
            </w:r>
            <w:r>
              <w:rPr>
                <w:rFonts w:hint="eastAsia"/>
                <w:sz w:val="24"/>
                <w:lang w:val="en-US" w:eastAsia="zh-CN"/>
                <w:highlight w:val="none"/>
              </w:rPr>
              <w:t>43.512</w:t>
            </w:r>
            <w:r>
              <w:rPr>
                <w:sz w:val="24"/>
                <w:highlight w:val="none"/>
              </w:rPr>
              <w:t>″</w:t>
            </w:r>
            <w:r>
              <w:rPr>
                <w:rFonts w:hint="eastAsia"/>
                <w:sz w:val="24"/>
                <w:highlight w:val="none"/>
              </w:rPr>
              <w:t>；</w:t>
            </w:r>
          </w:p>
          <w:p>
            <w:pPr>
              <w:jc w:val="left"/>
              <w:rPr>
                <w:rFonts w:eastAsia="宋体" w:hint="eastAsia"/>
                <w:lang w:eastAsia="zh-CN"/>
                <w:highlight w:val="none"/>
              </w:rPr>
            </w:pPr>
            <w:r>
              <w:rPr>
                <w:rFonts w:hint="eastAsia"/>
                <w:sz w:val="24"/>
                <w:lang w:val="en-US" w:eastAsia="zh-CN"/>
                <w:highlight w:val="none"/>
              </w:rPr>
              <w:t>古台加压</w:t>
            </w:r>
            <w:r>
              <w:rPr>
                <w:rFonts w:hint="eastAsia"/>
                <w:sz w:val="24"/>
                <w:highlight w:val="none"/>
              </w:rPr>
              <w:t>泵站</w:t>
            </w:r>
            <w:r>
              <w:rPr>
                <w:rFonts w:hint="eastAsia"/>
                <w:color w:val="000000"/>
                <w:sz w:val="24"/>
                <w:highlight w:val="none"/>
              </w:rPr>
              <w:t>：</w:t>
            </w:r>
            <w:r>
              <w:rPr>
                <w:sz w:val="24"/>
                <w:highlight w:val="none"/>
              </w:rPr>
              <w:t>E：11</w:t>
            </w:r>
            <w:r>
              <w:rPr>
                <w:rFonts w:hint="eastAsia"/>
                <w:sz w:val="24"/>
                <w:lang w:val="en-US" w:eastAsia="zh-CN"/>
                <w:highlight w:val="none"/>
              </w:rPr>
              <w:t>1</w:t>
            </w:r>
            <w:r>
              <w:rPr>
                <w:sz w:val="24"/>
                <w:highlight w:val="none"/>
              </w:rPr>
              <w:t>°</w:t>
            </w:r>
            <w:r>
              <w:rPr>
                <w:rFonts w:hint="eastAsia"/>
                <w:sz w:val="24"/>
                <w:lang w:val="en-US" w:eastAsia="zh-CN"/>
                <w:highlight w:val="none"/>
              </w:rPr>
              <w:t>28</w:t>
            </w:r>
            <w:r>
              <w:rPr>
                <w:sz w:val="24"/>
                <w:highlight w:val="none"/>
              </w:rPr>
              <w:t>′</w:t>
            </w:r>
            <w:r>
              <w:rPr>
                <w:rFonts w:hint="eastAsia"/>
                <w:sz w:val="24"/>
                <w:lang w:val="en-US" w:eastAsia="zh-CN"/>
                <w:highlight w:val="none"/>
              </w:rPr>
              <w:t>54.599</w:t>
            </w:r>
            <w:r>
              <w:rPr>
                <w:sz w:val="24"/>
                <w:highlight w:val="none"/>
              </w:rPr>
              <w:t>″，N：2</w:t>
            </w:r>
            <w:r>
              <w:rPr>
                <w:rFonts w:hint="eastAsia"/>
                <w:sz w:val="24"/>
                <w:highlight w:val="none"/>
              </w:rPr>
              <w:t>9</w:t>
            </w:r>
            <w:r>
              <w:rPr>
                <w:sz w:val="24"/>
                <w:highlight w:val="none"/>
              </w:rPr>
              <w:t>°</w:t>
            </w:r>
            <w:r>
              <w:rPr>
                <w:rFonts w:hint="eastAsia"/>
                <w:sz w:val="24"/>
                <w:lang w:val="en-US" w:eastAsia="zh-CN"/>
                <w:highlight w:val="none"/>
              </w:rPr>
              <w:t>54</w:t>
            </w:r>
            <w:r>
              <w:rPr>
                <w:sz w:val="24"/>
                <w:highlight w:val="none"/>
              </w:rPr>
              <w:t>′</w:t>
            </w:r>
            <w:r>
              <w:rPr>
                <w:rFonts w:hint="eastAsia"/>
                <w:sz w:val="24"/>
                <w:lang w:val="en-US" w:eastAsia="zh-CN"/>
                <w:highlight w:val="none"/>
              </w:rPr>
              <w:t>21.877</w:t>
            </w:r>
            <w:r>
              <w:rPr>
                <w:sz w:val="24"/>
                <w:highlight w:val="none"/>
              </w:rPr>
              <w:t>″</w:t>
            </w:r>
            <w:r>
              <w:rPr>
                <w:rFonts w:hint="eastAsia"/>
                <w:sz w:val="24"/>
                <w:highlight w:val="none"/>
              </w:rPr>
              <w:t>；</w:t>
            </w:r>
          </w:p>
        </w:tc>
      </w:tr>
      <w:tr>
        <w:trPr>
          <w:trHeight w:val="454"/>
        </w:trPr>
        <w:tc>
          <w:tcPr>
            <w:tcW w:w="1911" w:type="dxa"/>
            <w:tcMar>
              <w:top w:w="16" w:type="dxa"/>
              <w:left w:w="16" w:type="dxa"/>
              <w:right w:w="16" w:type="dxa"/>
            </w:tcMar>
            <w:vAlign w:val="center"/>
          </w:tcPr>
          <w:p>
            <w:pPr>
              <w:jc w:val="center"/>
              <w:rPr>
                <w:sz w:val="24"/>
                <w:highlight w:val="none"/>
              </w:rPr>
            </w:pPr>
            <w:r>
              <w:rPr>
                <w:sz w:val="24"/>
                <w:highlight w:val="none"/>
              </w:rPr>
              <w:t>国民经济</w:t>
            </w:r>
          </w:p>
          <w:p>
            <w:pPr>
              <w:jc w:val="center"/>
              <w:rPr>
                <w:sz w:val="24"/>
                <w:highlight w:val="none"/>
              </w:rPr>
            </w:pPr>
            <w:r>
              <w:rPr>
                <w:sz w:val="24"/>
                <w:highlight w:val="none"/>
              </w:rPr>
              <w:t>行业类别</w:t>
            </w:r>
          </w:p>
        </w:tc>
        <w:tc>
          <w:tcPr>
            <w:tcW w:w="2108" w:type="dxa"/>
            <w:vAlign w:val="center"/>
          </w:tcPr>
          <w:p>
            <w:pPr>
              <w:jc w:val="center"/>
              <w:rPr>
                <w:sz w:val="24"/>
                <w:u w:val="single"/>
                <w:highlight w:val="none"/>
              </w:rPr>
            </w:pPr>
            <w:r>
              <w:rPr>
                <w:sz w:val="24"/>
                <w:u w:val="single"/>
                <w:highlight w:val="none"/>
              </w:rPr>
              <w:t>D4610</w:t>
            </w:r>
          </w:p>
          <w:p>
            <w:pPr>
              <w:jc w:val="center"/>
              <w:rPr>
                <w:sz w:val="24"/>
                <w:highlight w:val="none"/>
              </w:rPr>
            </w:pPr>
            <w:r>
              <w:rPr>
                <w:sz w:val="24"/>
                <w:u w:val="single"/>
                <w:highlight w:val="none"/>
              </w:rPr>
              <w:t>自来水生产和供应</w:t>
            </w:r>
          </w:p>
        </w:tc>
        <w:tc>
          <w:tcPr>
            <w:tcW w:w="2212" w:type="dxa"/>
            <w:vAlign w:val="center"/>
          </w:tcPr>
          <w:p>
            <w:pPr>
              <w:jc w:val="center"/>
              <w:rPr>
                <w:sz w:val="24"/>
                <w:highlight w:val="none"/>
              </w:rPr>
            </w:pPr>
            <w:bookmarkStart w:id="6" w:name="_Hlk49843745"/>
            <w:r>
              <w:rPr>
                <w:sz w:val="24"/>
                <w:highlight w:val="none"/>
              </w:rPr>
              <w:t>建设项目</w:t>
            </w:r>
          </w:p>
          <w:p>
            <w:pPr>
              <w:jc w:val="center"/>
              <w:rPr>
                <w:sz w:val="24"/>
                <w:highlight w:val="none"/>
              </w:rPr>
            </w:pPr>
            <w:r>
              <w:rPr>
                <w:sz w:val="24"/>
                <w:highlight w:val="none"/>
              </w:rPr>
              <w:t>行业类别</w:t>
            </w:r>
            <w:bookmarkEnd w:id="6"/>
          </w:p>
        </w:tc>
        <w:tc>
          <w:tcPr>
            <w:tcW w:w="3071" w:type="dxa"/>
            <w:vAlign w:val="center"/>
          </w:tcPr>
          <w:p>
            <w:pPr>
              <w:jc w:val="center"/>
              <w:rPr>
                <w:sz w:val="24"/>
                <w:highlight w:val="none"/>
              </w:rPr>
            </w:pPr>
            <w:r>
              <w:rPr>
                <w:sz w:val="24"/>
                <w:u w:val="single"/>
                <w:highlight w:val="none"/>
              </w:rPr>
              <w:t>94、自来水生产和供应461（不含供应工程；不含村庄供应工程）</w:t>
            </w:r>
          </w:p>
        </w:tc>
      </w:tr>
      <w:tr>
        <w:trPr>
          <w:trHeight w:val="454"/>
        </w:trPr>
        <w:tc>
          <w:tcPr>
            <w:tcW w:w="1911" w:type="dxa"/>
            <w:tcMar>
              <w:top w:w="16" w:type="dxa"/>
              <w:left w:w="16" w:type="dxa"/>
              <w:right w:w="16" w:type="dxa"/>
            </w:tcMar>
            <w:vAlign w:val="center"/>
          </w:tcPr>
          <w:p>
            <w:pPr>
              <w:jc w:val="center"/>
              <w:rPr>
                <w:sz w:val="24"/>
                <w:highlight w:val="none"/>
              </w:rPr>
            </w:pPr>
            <w:r>
              <w:rPr>
                <w:sz w:val="24"/>
                <w:highlight w:val="none"/>
              </w:rPr>
              <w:t>建设性质</w:t>
            </w:r>
          </w:p>
        </w:tc>
        <w:tc>
          <w:tcPr>
            <w:tcW w:w="2108" w:type="dxa"/>
            <w:vAlign w:val="center"/>
          </w:tcPr>
          <w:p>
            <w:pPr>
              <w:jc w:val="left"/>
              <w:rPr>
                <w:sz w:val="24"/>
                <w:highlight w:val="none"/>
              </w:rPr>
            </w:pPr>
            <w:r>
              <w:rPr>
                <w:rFonts w:hint="eastAsia"/>
                <w:sz w:val="24"/>
                <w:lang w:eastAsia="zh-CN"/>
                <w:highlight w:val="none"/>
              </w:rPr>
              <w:t>☑</w:t>
            </w:r>
            <w:r>
              <w:rPr>
                <w:sz w:val="24"/>
                <w:highlight w:val="none"/>
              </w:rPr>
              <w:t>新建（迁建）</w:t>
            </w:r>
          </w:p>
          <w:p>
            <w:pPr>
              <w:jc w:val="left"/>
              <w:rPr>
                <w:sz w:val="24"/>
                <w:highlight w:val="none"/>
              </w:rPr>
            </w:pPr>
            <w:r>
              <w:rPr>
                <w:sz w:val="24"/>
                <w:highlight w:val="none"/>
              </w:rPr>
              <w:sym w:font="Wingdings 2" w:char="A3"/>
            </w:r>
            <w:r>
              <w:rPr>
                <w:sz w:val="24"/>
                <w:highlight w:val="none"/>
              </w:rPr>
              <w:t>改建</w:t>
            </w:r>
          </w:p>
          <w:p>
            <w:pPr>
              <w:jc w:val="left"/>
              <w:rPr>
                <w:sz w:val="24"/>
                <w:highlight w:val="none"/>
              </w:rPr>
            </w:pPr>
            <w:r>
              <w:rPr>
                <w:sz w:val="24"/>
                <w:highlight w:val="none"/>
              </w:rPr>
              <w:sym w:font="Wingdings 2" w:char="A3"/>
            </w:r>
            <w:r>
              <w:rPr>
                <w:sz w:val="24"/>
                <w:highlight w:val="none"/>
              </w:rPr>
              <w:t>扩建</w:t>
            </w:r>
          </w:p>
          <w:p>
            <w:pPr>
              <w:jc w:val="left"/>
              <w:rPr>
                <w:sz w:val="24"/>
                <w:highlight w:val="none"/>
              </w:rPr>
            </w:pPr>
            <w:r>
              <w:rPr>
                <w:sz w:val="24"/>
                <w:highlight w:val="none"/>
              </w:rPr>
              <w:t>□技术改造</w:t>
            </w:r>
          </w:p>
        </w:tc>
        <w:tc>
          <w:tcPr>
            <w:tcW w:w="2212" w:type="dxa"/>
            <w:vAlign w:val="center"/>
          </w:tcPr>
          <w:p>
            <w:pPr>
              <w:jc w:val="center"/>
              <w:rPr>
                <w:sz w:val="24"/>
                <w:highlight w:val="none"/>
              </w:rPr>
            </w:pPr>
            <w:r>
              <w:rPr>
                <w:sz w:val="24"/>
                <w:highlight w:val="none"/>
              </w:rPr>
              <w:t>建设项目</w:t>
            </w:r>
          </w:p>
          <w:p>
            <w:pPr>
              <w:jc w:val="center"/>
              <w:rPr>
                <w:sz w:val="24"/>
                <w:highlight w:val="none"/>
              </w:rPr>
            </w:pPr>
            <w:r>
              <w:rPr>
                <w:sz w:val="24"/>
                <w:highlight w:val="none"/>
              </w:rPr>
              <w:t>申报情形</w:t>
            </w:r>
          </w:p>
        </w:tc>
        <w:tc>
          <w:tcPr>
            <w:tcW w:w="3071" w:type="dxa"/>
            <w:vAlign w:val="center"/>
          </w:tcPr>
          <w:p>
            <w:pPr>
              <w:jc w:val="left"/>
              <w:rPr>
                <w:sz w:val="24"/>
                <w:highlight w:val="none"/>
              </w:rPr>
            </w:pPr>
            <w:r>
              <w:rPr>
                <w:sz w:val="24"/>
                <w:highlight w:val="none"/>
              </w:rPr>
              <w:sym w:font="Wingdings 2" w:char="52"/>
            </w:r>
            <w:r>
              <w:rPr>
                <w:sz w:val="24"/>
                <w:highlight w:val="none"/>
              </w:rPr>
              <w:t xml:space="preserve">首次申报项目 </w:t>
            </w:r>
          </w:p>
          <w:p>
            <w:pPr>
              <w:jc w:val="left"/>
              <w:rPr>
                <w:sz w:val="24"/>
                <w:highlight w:val="none"/>
              </w:rPr>
            </w:pPr>
            <w:r>
              <w:rPr>
                <w:sz w:val="24"/>
                <w:highlight w:val="none"/>
              </w:rPr>
              <w:sym w:font="Wingdings 2" w:char="A3"/>
            </w:r>
            <w:r>
              <w:rPr>
                <w:sz w:val="24"/>
                <w:highlight w:val="none"/>
              </w:rPr>
              <w:t>不予批准后再次申报项目</w:t>
            </w:r>
          </w:p>
          <w:p>
            <w:pPr>
              <w:jc w:val="left"/>
              <w:rPr>
                <w:sz w:val="24"/>
                <w:highlight w:val="none"/>
              </w:rPr>
            </w:pPr>
            <w:r>
              <w:rPr>
                <w:sz w:val="24"/>
                <w:highlight w:val="none"/>
              </w:rPr>
              <w:sym w:font="Wingdings 2" w:char="A3"/>
            </w:r>
            <w:r>
              <w:rPr>
                <w:sz w:val="24"/>
                <w:highlight w:val="none"/>
              </w:rPr>
              <w:t xml:space="preserve">超五年重新审核项目     </w:t>
            </w:r>
          </w:p>
          <w:p>
            <w:pPr>
              <w:jc w:val="left"/>
              <w:rPr>
                <w:sz w:val="24"/>
                <w:highlight w:val="none"/>
              </w:rPr>
            </w:pPr>
            <w:r>
              <w:rPr>
                <w:sz w:val="24"/>
                <w:highlight w:val="none"/>
              </w:rPr>
              <w:sym w:font="Wingdings 2" w:char="A3"/>
            </w:r>
            <w:r>
              <w:rPr>
                <w:sz w:val="24"/>
                <w:highlight w:val="none"/>
              </w:rPr>
              <w:t>重大变动重新报批项目</w:t>
            </w:r>
          </w:p>
        </w:tc>
      </w:tr>
      <w:tr>
        <w:trPr>
          <w:trHeight w:val="454"/>
        </w:trPr>
        <w:tc>
          <w:tcPr>
            <w:tcW w:w="1911" w:type="dxa"/>
            <w:shd w:val="clear" w:color="auto" w:fill="auto"/>
            <w:tcMar>
              <w:top w:w="16" w:type="dxa"/>
              <w:left w:w="16" w:type="dxa"/>
              <w:right w:w="16" w:type="dxa"/>
            </w:tcMar>
            <w:vAlign w:val="center"/>
          </w:tcPr>
          <w:p>
            <w:pPr>
              <w:jc w:val="center"/>
              <w:rPr>
                <w:sz w:val="24"/>
                <w:highlight w:val="none"/>
              </w:rPr>
            </w:pPr>
            <w:r>
              <w:rPr>
                <w:sz w:val="24"/>
                <w:highlight w:val="none"/>
              </w:rPr>
              <w:t>项目审批（核准/</w:t>
            </w:r>
          </w:p>
          <w:p>
            <w:pPr>
              <w:jc w:val="center"/>
              <w:rPr>
                <w:sz w:val="24"/>
                <w:highlight w:val="none"/>
              </w:rPr>
            </w:pPr>
            <w:r>
              <w:rPr>
                <w:sz w:val="24"/>
                <w:highlight w:val="none"/>
              </w:rPr>
              <w:t>备案）部门（选填）</w:t>
            </w:r>
          </w:p>
        </w:tc>
        <w:tc>
          <w:tcPr>
            <w:tcW w:w="2108" w:type="dxa"/>
            <w:shd w:val="clear" w:color="auto" w:fill="auto"/>
            <w:vAlign w:val="center"/>
          </w:tcPr>
          <w:p>
            <w:pPr>
              <w:jc w:val="center"/>
              <w:rPr>
                <w:rFonts w:eastAsia="宋体"/>
                <w:sz w:val="24"/>
                <w:lang w:val="en-US" w:eastAsia="zh-CN"/>
                <w:highlight w:val="none"/>
              </w:rPr>
            </w:pPr>
            <w:r>
              <w:rPr>
                <w:rFonts w:hint="eastAsia"/>
                <w:sz w:val="24"/>
                <w:lang w:val="en-US" w:eastAsia="zh-CN"/>
                <w:highlight w:val="none"/>
              </w:rPr>
              <w:t>澧县发展和改革局</w:t>
            </w:r>
          </w:p>
        </w:tc>
        <w:tc>
          <w:tcPr>
            <w:tcW w:w="2212" w:type="dxa"/>
            <w:shd w:val="clear" w:color="auto" w:fill="auto"/>
            <w:vAlign w:val="center"/>
          </w:tcPr>
          <w:p>
            <w:pPr>
              <w:jc w:val="center"/>
              <w:rPr>
                <w:sz w:val="24"/>
                <w:highlight w:val="none"/>
              </w:rPr>
            </w:pPr>
            <w:r>
              <w:rPr>
                <w:sz w:val="24"/>
                <w:highlight w:val="none"/>
              </w:rPr>
              <w:t>项目审批（核准/</w:t>
            </w:r>
          </w:p>
          <w:p>
            <w:pPr>
              <w:jc w:val="center"/>
              <w:rPr>
                <w:sz w:val="24"/>
                <w:highlight w:val="none"/>
              </w:rPr>
            </w:pPr>
            <w:r>
              <w:rPr>
                <w:sz w:val="24"/>
                <w:highlight w:val="none"/>
              </w:rPr>
              <w:t>备案）文号（选填）</w:t>
            </w:r>
          </w:p>
        </w:tc>
        <w:tc>
          <w:tcPr>
            <w:tcW w:w="3071" w:type="dxa"/>
            <w:shd w:val="clear" w:color="auto" w:fill="auto"/>
            <w:vAlign w:val="center"/>
          </w:tcPr>
          <w:p>
            <w:pPr>
              <w:jc w:val="center"/>
              <w:rPr>
                <w:rFonts w:eastAsia="宋体"/>
                <w:sz w:val="24"/>
                <w:lang w:val="en-US" w:eastAsia="zh-CN"/>
                <w:highlight w:val="none"/>
              </w:rPr>
            </w:pPr>
            <w:r>
              <w:rPr>
                <w:rFonts w:hint="eastAsia"/>
                <w:sz w:val="24"/>
                <w:lang w:val="en-US" w:eastAsia="zh-CN"/>
                <w:highlight w:val="none"/>
              </w:rPr>
              <w:t>澧发改审</w:t>
            </w:r>
            <w:r>
              <w:rPr>
                <w:rFonts w:hint="eastAsia"/>
                <w:color w:val="000000"/>
                <w:kern w:val="0"/>
                <w:sz w:val="24"/>
                <w:highlight w:val="none"/>
              </w:rPr>
              <w:t>[202</w:t>
            </w:r>
            <w:r>
              <w:rPr>
                <w:rFonts w:hint="eastAsia"/>
                <w:color w:val="000000"/>
                <w:kern w:val="0"/>
                <w:sz w:val="24"/>
                <w:lang w:val="en-US" w:eastAsia="zh-CN"/>
                <w:highlight w:val="none"/>
              </w:rPr>
              <w:t>3</w:t>
            </w:r>
            <w:r>
              <w:rPr>
                <w:rFonts w:hint="eastAsia"/>
                <w:color w:val="000000"/>
                <w:kern w:val="0"/>
                <w:sz w:val="24"/>
                <w:highlight w:val="none"/>
              </w:rPr>
              <w:t>]</w:t>
            </w:r>
            <w:r>
              <w:rPr>
                <w:rFonts w:hint="eastAsia"/>
                <w:color w:val="000000"/>
                <w:kern w:val="0"/>
                <w:sz w:val="24"/>
                <w:lang w:val="en-US" w:eastAsia="zh-CN"/>
                <w:highlight w:val="none"/>
              </w:rPr>
              <w:t>420</w:t>
            </w:r>
            <w:r>
              <w:rPr>
                <w:rFonts w:hint="eastAsia"/>
                <w:color w:val="000000"/>
                <w:kern w:val="0"/>
                <w:sz w:val="24"/>
                <w:highlight w:val="none"/>
              </w:rPr>
              <w:t xml:space="preserve"> 号</w:t>
            </w:r>
          </w:p>
        </w:tc>
      </w:tr>
      <w:tr>
        <w:trPr>
          <w:trHeight w:val="454"/>
        </w:trPr>
        <w:tc>
          <w:tcPr>
            <w:tcW w:w="1911" w:type="dxa"/>
            <w:shd w:val="clear" w:color="auto" w:fill="auto"/>
            <w:tcMar>
              <w:top w:w="16" w:type="dxa"/>
              <w:left w:w="16" w:type="dxa"/>
              <w:right w:w="16" w:type="dxa"/>
            </w:tcMar>
            <w:vAlign w:val="center"/>
          </w:tcPr>
          <w:p>
            <w:pPr>
              <w:jc w:val="center"/>
              <w:rPr>
                <w:sz w:val="24"/>
                <w:highlight w:val="none"/>
              </w:rPr>
            </w:pPr>
            <w:r>
              <w:rPr>
                <w:sz w:val="24"/>
                <w:highlight w:val="none"/>
              </w:rPr>
              <w:t>总投资（万元）</w:t>
            </w:r>
          </w:p>
        </w:tc>
        <w:tc>
          <w:tcPr>
            <w:tcW w:w="2108" w:type="dxa"/>
            <w:shd w:val="clear" w:color="auto" w:fill="auto"/>
            <w:vAlign w:val="center"/>
          </w:tcPr>
          <w:p>
            <w:pPr>
              <w:jc w:val="center"/>
              <w:rPr>
                <w:rFonts w:eastAsia="宋体"/>
                <w:sz w:val="24"/>
                <w:lang w:val="en-US" w:eastAsia="zh-CN"/>
                <w:highlight w:val="none"/>
              </w:rPr>
            </w:pPr>
            <w:r>
              <w:rPr>
                <w:rFonts w:hint="eastAsia"/>
                <w:sz w:val="24"/>
                <w:lang w:val="en-US" w:eastAsia="zh-CN"/>
                <w:highlight w:val="none"/>
              </w:rPr>
              <w:t>9238.82</w:t>
            </w:r>
          </w:p>
        </w:tc>
        <w:tc>
          <w:tcPr>
            <w:tcW w:w="2212" w:type="dxa"/>
            <w:shd w:val="clear" w:color="auto" w:fill="auto"/>
            <w:tcMar>
              <w:top w:w="16" w:type="dxa"/>
              <w:left w:w="16" w:type="dxa"/>
              <w:right w:w="16" w:type="dxa"/>
            </w:tcMar>
            <w:vAlign w:val="center"/>
          </w:tcPr>
          <w:p>
            <w:pPr>
              <w:jc w:val="center"/>
              <w:rPr>
                <w:sz w:val="24"/>
                <w:highlight w:val="none"/>
              </w:rPr>
            </w:pPr>
            <w:r>
              <w:rPr>
                <w:sz w:val="24"/>
                <w:highlight w:val="none"/>
              </w:rPr>
              <w:t>环保投资（万元）</w:t>
            </w:r>
          </w:p>
        </w:tc>
        <w:tc>
          <w:tcPr>
            <w:tcW w:w="3071" w:type="dxa"/>
            <w:shd w:val="clear" w:color="auto" w:fill="auto"/>
            <w:vAlign w:val="center"/>
          </w:tcPr>
          <w:p>
            <w:pPr>
              <w:jc w:val="center"/>
              <w:rPr>
                <w:rFonts w:eastAsia="宋体"/>
                <w:sz w:val="24"/>
                <w:lang w:val="en-US" w:eastAsia="zh-CN"/>
                <w:highlight w:val="none"/>
              </w:rPr>
            </w:pPr>
            <w:r>
              <w:rPr>
                <w:rFonts w:hint="eastAsia"/>
                <w:sz w:val="24"/>
                <w:u w:val="single"/>
                <w:lang w:val="en-US" w:eastAsia="zh-CN"/>
                <w:highlight w:val="none"/>
              </w:rPr>
              <w:t>82</w:t>
            </w:r>
          </w:p>
        </w:tc>
      </w:tr>
      <w:tr>
        <w:trPr>
          <w:trHeight w:val="454"/>
        </w:trPr>
        <w:tc>
          <w:tcPr>
            <w:tcW w:w="1911" w:type="dxa"/>
            <w:shd w:val="clear" w:color="auto" w:fill="auto"/>
            <w:tcMar>
              <w:top w:w="16" w:type="dxa"/>
              <w:left w:w="16" w:type="dxa"/>
              <w:right w:w="16" w:type="dxa"/>
            </w:tcMar>
            <w:vAlign w:val="center"/>
          </w:tcPr>
          <w:p>
            <w:pPr>
              <w:jc w:val="center"/>
              <w:rPr>
                <w:sz w:val="24"/>
                <w:highlight w:val="none"/>
              </w:rPr>
            </w:pPr>
            <w:r>
              <w:rPr>
                <w:sz w:val="24"/>
                <w:highlight w:val="none"/>
              </w:rPr>
              <w:t>环保投资占比（%）</w:t>
            </w:r>
          </w:p>
        </w:tc>
        <w:tc>
          <w:tcPr>
            <w:tcW w:w="2108" w:type="dxa"/>
            <w:shd w:val="clear" w:color="auto" w:fill="auto"/>
            <w:vAlign w:val="center"/>
          </w:tcPr>
          <w:p>
            <w:pPr>
              <w:jc w:val="center"/>
              <w:rPr>
                <w:rFonts w:eastAsia="宋体"/>
                <w:sz w:val="24"/>
                <w:lang w:val="en-US" w:eastAsia="zh-CN"/>
                <w:highlight w:val="none"/>
              </w:rPr>
            </w:pPr>
            <w:r>
              <w:rPr>
                <w:rFonts w:hint="eastAsia"/>
                <w:sz w:val="24"/>
                <w:u w:val="single"/>
                <w:lang w:val="en-US" w:eastAsia="zh-CN"/>
                <w:highlight w:val="none"/>
              </w:rPr>
              <w:t>0.89</w:t>
            </w:r>
          </w:p>
        </w:tc>
        <w:tc>
          <w:tcPr>
            <w:tcW w:w="2212" w:type="dxa"/>
            <w:shd w:val="clear" w:color="auto" w:fill="auto"/>
            <w:tcMar>
              <w:top w:w="16" w:type="dxa"/>
              <w:left w:w="16" w:type="dxa"/>
              <w:right w:w="16" w:type="dxa"/>
            </w:tcMar>
            <w:vAlign w:val="center"/>
          </w:tcPr>
          <w:p>
            <w:pPr>
              <w:jc w:val="center"/>
              <w:rPr>
                <w:sz w:val="24"/>
                <w:highlight w:val="none"/>
              </w:rPr>
            </w:pPr>
            <w:r>
              <w:rPr>
                <w:sz w:val="24"/>
                <w:highlight w:val="none"/>
              </w:rPr>
              <w:t>施工工期</w:t>
            </w:r>
          </w:p>
        </w:tc>
        <w:tc>
          <w:tcPr>
            <w:tcW w:w="3071" w:type="dxa"/>
            <w:shd w:val="clear" w:color="auto" w:fill="auto"/>
            <w:vAlign w:val="center"/>
          </w:tcPr>
          <w:p>
            <w:pPr>
              <w:jc w:val="center"/>
              <w:rPr>
                <w:sz w:val="24"/>
                <w:highlight w:val="none"/>
              </w:rPr>
            </w:pPr>
            <w:r>
              <w:rPr>
                <w:rFonts w:hint="eastAsia"/>
                <w:sz w:val="24"/>
                <w:lang w:val="en-US" w:eastAsia="zh-CN"/>
                <w:highlight w:val="none"/>
              </w:rPr>
              <w:t>10</w:t>
            </w:r>
            <w:r>
              <w:rPr>
                <w:sz w:val="24"/>
                <w:highlight w:val="none"/>
              </w:rPr>
              <w:t>个月</w:t>
            </w:r>
          </w:p>
        </w:tc>
      </w:tr>
      <w:tr>
        <w:trPr>
          <w:trHeight w:val="454"/>
        </w:trPr>
        <w:tc>
          <w:tcPr>
            <w:tcW w:w="1911" w:type="dxa"/>
            <w:shd w:val="clear" w:color="auto" w:fill="auto"/>
            <w:tcMar>
              <w:top w:w="16" w:type="dxa"/>
              <w:left w:w="16" w:type="dxa"/>
              <w:right w:w="16" w:type="dxa"/>
            </w:tcMar>
            <w:vAlign w:val="center"/>
          </w:tcPr>
          <w:p>
            <w:pPr>
              <w:adjustRightInd w:val="0"/>
              <w:snapToGrid w:val="0"/>
              <w:jc w:val="center"/>
              <w:rPr>
                <w:sz w:val="24"/>
                <w:highlight w:val="none"/>
              </w:rPr>
            </w:pPr>
            <w:r>
              <w:rPr>
                <w:sz w:val="24"/>
                <w:highlight w:val="none"/>
              </w:rPr>
              <w:t>是否开工建设</w:t>
            </w:r>
          </w:p>
        </w:tc>
        <w:tc>
          <w:tcPr>
            <w:tcW w:w="2108" w:type="dxa"/>
            <w:shd w:val="clear" w:color="auto" w:fill="auto"/>
            <w:vAlign w:val="center"/>
          </w:tcPr>
          <w:p>
            <w:pPr>
              <w:adjustRightInd w:val="0"/>
              <w:snapToGrid w:val="0"/>
              <w:rPr>
                <w:sz w:val="24"/>
                <w:highlight w:val="none"/>
              </w:rPr>
            </w:pPr>
            <w:r>
              <w:rPr>
                <w:sz w:val="24"/>
                <w:highlight w:val="none"/>
              </w:rPr>
              <w:sym w:font="Wingdings 2" w:char="A3"/>
            </w:r>
            <w:r>
              <w:rPr>
                <w:sz w:val="24"/>
                <w:highlight w:val="none"/>
              </w:rPr>
              <w:t>否</w:t>
            </w:r>
          </w:p>
          <w:p>
            <w:pPr>
              <w:adjustRightInd w:val="0"/>
              <w:snapToGrid w:val="0"/>
              <w:rPr>
                <w:sz w:val="24"/>
                <w:highlight w:val="none"/>
              </w:rPr>
            </w:pPr>
            <w:r>
              <w:rPr>
                <w:sz w:val="24"/>
                <w:highlight w:val="none"/>
              </w:rPr>
              <w:sym w:font="Wingdings 2" w:char="52"/>
            </w:r>
            <w:r>
              <w:rPr>
                <w:sz w:val="24"/>
                <w:highlight w:val="none"/>
              </w:rPr>
              <w:t xml:space="preserve"> 是：</w:t>
            </w:r>
            <w:r>
              <w:rPr>
                <w:sz w:val="24"/>
                <w:u w:val="none"/>
                <w:highlight w:val="none"/>
              </w:rPr>
              <w:t xml:space="preserve"> </w:t>
            </w:r>
            <w:r>
              <w:rPr>
                <w:rFonts w:hint="eastAsia"/>
                <w:sz w:val="24"/>
                <w:u w:val="single"/>
                <w:lang w:val="en-US" w:eastAsia="zh-CN"/>
                <w:highlight w:val="none"/>
              </w:rPr>
              <w:t>项目已于2025年10月开工建设，未建设完成，目前已停止建设。</w:t>
            </w:r>
            <w:r>
              <w:rPr>
                <w:rFonts w:ascii="Times New Roman" w:eastAsia="宋体" w:cs="Times New Roman" w:hAnsi="Times New Roman" w:hint="eastAsia"/>
                <w:sz w:val="24"/>
                <w:u w:val="single"/>
                <w:lang w:val="en-US" w:eastAsia="zh-CN"/>
                <w:highlight w:val="none"/>
              </w:rPr>
              <w:t xml:space="preserve">澧县生态环境保护综合行政执法局于2026年3月10日出具了关于本项目“未批先建”环境违法行为免于行政处罚的决定。 </w:t>
            </w:r>
            <w:r>
              <w:rPr>
                <w:sz w:val="24"/>
                <w:u w:val="none"/>
                <w:highlight w:val="none"/>
              </w:rPr>
              <w:t xml:space="preserve">          </w:t>
            </w:r>
          </w:p>
        </w:tc>
        <w:tc>
          <w:tcPr>
            <w:tcW w:w="2212" w:type="dxa"/>
            <w:shd w:val="clear" w:color="auto" w:fill="auto"/>
            <w:tcMar>
              <w:top w:w="16" w:type="dxa"/>
              <w:left w:w="16" w:type="dxa"/>
              <w:right w:w="16" w:type="dxa"/>
            </w:tcMar>
            <w:vAlign w:val="center"/>
          </w:tcPr>
          <w:p>
            <w:pPr>
              <w:adjustRightInd w:val="0"/>
              <w:snapToGrid w:val="0"/>
              <w:jc w:val="center"/>
              <w:rPr>
                <w:spacing w:val="-6"/>
                <w:sz w:val="24"/>
                <w:highlight w:val="none"/>
              </w:rPr>
            </w:pPr>
            <w:r>
              <w:rPr>
                <w:spacing w:val="-6"/>
                <w:sz w:val="24"/>
                <w:highlight w:val="none"/>
              </w:rPr>
              <w:t>用地（用海）</w:t>
            </w:r>
          </w:p>
          <w:p>
            <w:pPr>
              <w:adjustRightInd w:val="0"/>
              <w:snapToGrid w:val="0"/>
              <w:jc w:val="center"/>
              <w:rPr>
                <w:sz w:val="24"/>
                <w:highlight w:val="none"/>
              </w:rPr>
            </w:pPr>
            <w:r>
              <w:rPr>
                <w:spacing w:val="-6"/>
                <w:sz w:val="24"/>
                <w:highlight w:val="none"/>
              </w:rPr>
              <w:t>面积（m</w:t>
            </w:r>
            <w:r>
              <w:rPr>
                <w:spacing w:val="-6"/>
                <w:sz w:val="24"/>
                <w:vertAlign w:val="superscript"/>
                <w:highlight w:val="none"/>
              </w:rPr>
              <w:t>2</w:t>
            </w:r>
            <w:r>
              <w:rPr>
                <w:spacing w:val="-6"/>
                <w:sz w:val="24"/>
                <w:highlight w:val="none"/>
              </w:rPr>
              <w:t>）</w:t>
            </w:r>
          </w:p>
        </w:tc>
        <w:tc>
          <w:tcPr>
            <w:tcW w:w="3071" w:type="dxa"/>
            <w:shd w:val="clear" w:color="auto" w:fill="auto"/>
            <w:vAlign w:val="center"/>
          </w:tcPr>
          <w:p>
            <w:pPr>
              <w:adjustRightInd w:val="0"/>
              <w:snapToGrid w:val="0"/>
              <w:jc w:val="center"/>
              <w:rPr>
                <w:sz w:val="24"/>
                <w:highlight w:val="none"/>
              </w:rPr>
            </w:pPr>
            <w:r>
              <w:rPr>
                <w:rFonts w:hint="eastAsia"/>
                <w:sz w:val="24"/>
                <w:lang w:val="en-US" w:eastAsia="zh-CN"/>
                <w:highlight w:val="none"/>
              </w:rPr>
              <w:t>太青水厂</w:t>
            </w:r>
            <w:r>
              <w:rPr>
                <w:rFonts w:hint="eastAsia"/>
                <w:sz w:val="24"/>
                <w:highlight w:val="none"/>
              </w:rPr>
              <w:t>占地面积</w:t>
            </w:r>
            <w:r>
              <w:rPr>
                <w:rFonts w:hint="eastAsia"/>
                <w:sz w:val="24"/>
                <w:lang w:val="en-US" w:eastAsia="zh-CN"/>
                <w:highlight w:val="none"/>
              </w:rPr>
              <w:t>3734.5</w:t>
            </w:r>
            <w:r>
              <w:rPr>
                <w:rFonts w:hint="eastAsia"/>
                <w:sz w:val="24"/>
                <w:highlight w:val="none"/>
              </w:rPr>
              <w:t>m</w:t>
            </w:r>
            <w:r>
              <w:rPr>
                <w:rFonts w:hint="eastAsia"/>
                <w:sz w:val="24"/>
                <w:vertAlign w:val="superscript"/>
                <w:highlight w:val="none"/>
              </w:rPr>
              <w:t>2</w:t>
            </w:r>
            <w:r>
              <w:rPr>
                <w:rFonts w:hint="eastAsia"/>
                <w:sz w:val="24"/>
                <w:highlight w:val="none"/>
              </w:rPr>
              <w:t>；</w:t>
            </w:r>
            <w:r>
              <w:rPr>
                <w:rFonts w:hint="eastAsia"/>
                <w:sz w:val="24"/>
                <w:lang w:val="en-US" w:eastAsia="zh-CN"/>
                <w:highlight w:val="none"/>
              </w:rPr>
              <w:t>新建、改建</w:t>
            </w:r>
            <w:r>
              <w:rPr>
                <w:rFonts w:hint="eastAsia"/>
                <w:sz w:val="24"/>
                <w:highlight w:val="none"/>
              </w:rPr>
              <w:t>管线总长</w:t>
            </w:r>
            <w:r>
              <w:rPr>
                <w:rFonts w:hint="eastAsia"/>
                <w:sz w:val="24"/>
                <w:lang w:val="en-US" w:eastAsia="zh-CN"/>
                <w:highlight w:val="none"/>
              </w:rPr>
              <w:t>189.43</w:t>
            </w:r>
            <w:r>
              <w:rPr>
                <w:rFonts w:hint="eastAsia"/>
                <w:sz w:val="24"/>
                <w:highlight w:val="none"/>
              </w:rPr>
              <w:t>km</w:t>
            </w:r>
          </w:p>
        </w:tc>
      </w:tr>
      <w:tr>
        <w:trPr>
          <w:trHeight w:val="454"/>
        </w:trPr>
        <w:tc>
          <w:tcPr>
            <w:tcW w:w="1911" w:type="dxa"/>
            <w:tcMar>
              <w:left w:w="108" w:type="dxa"/>
            </w:tcMar>
            <w:vAlign w:val="center"/>
          </w:tcPr>
          <w:p>
            <w:pPr>
              <w:autoSpaceDE w:val="0"/>
              <w:autoSpaceDN w:val="0"/>
              <w:jc w:val="center"/>
              <w:rPr>
                <w:kern w:val="0"/>
                <w:sz w:val="24"/>
                <w:highlight w:val="none"/>
              </w:rPr>
            </w:pPr>
            <w:r>
              <w:rPr>
                <w:kern w:val="0"/>
                <w:sz w:val="24"/>
                <w:highlight w:val="none"/>
              </w:rPr>
              <w:t>专项评价设置情况</w:t>
            </w:r>
          </w:p>
        </w:tc>
        <w:tc>
          <w:tcPr>
            <w:tcW w:w="7391" w:type="dxa"/>
            <w:gridSpan w:val="3"/>
            <w:tcMar>
              <w:left w:w="108" w:type="dxa"/>
            </w:tcMar>
            <w:vAlign w:val="center"/>
          </w:tcPr>
          <w:p>
            <w:pPr>
              <w:jc w:val="center"/>
              <w:rPr>
                <w:b/>
                <w:szCs w:val="21"/>
                <w:highlight w:val="none"/>
              </w:rPr>
            </w:pPr>
            <w:r>
              <w:rPr>
                <w:b/>
                <w:szCs w:val="21"/>
                <w:highlight w:val="none"/>
              </w:rPr>
              <w:t xml:space="preserve">表1-1 </w:t>
            </w:r>
            <w:r>
              <w:rPr>
                <w:rFonts w:hint="eastAsia"/>
                <w:b/>
                <w:szCs w:val="21"/>
                <w:highlight w:val="none"/>
              </w:rPr>
              <w:t xml:space="preserve"> </w:t>
            </w:r>
            <w:r>
              <w:rPr>
                <w:b/>
                <w:szCs w:val="21"/>
                <w:highlight w:val="none"/>
              </w:rPr>
              <w:t>专项评价设置原则说明表</w:t>
            </w:r>
          </w:p>
          <w:tbl>
            <w:tblPr>
              <w:jc w:val="left"/>
              <w:tblInd w:w="0" w:type="dxa"/>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007"/>
              <w:gridCol w:w="3341"/>
              <w:gridCol w:w="2822"/>
            </w:tblGrid>
            <w:tr>
              <w:trPr>
                <w:trHeight w:val="340"/>
              </w:trPr>
              <w:tc>
                <w:tcPr>
                  <w:tcW w:w="281" w:type="dxa"/>
                  <w:vAlign w:val="center"/>
                </w:tcPr>
                <w:p>
                  <w:pPr>
                    <w:pStyle w:val="76"/>
                    <w:adjustRightInd w:val="0"/>
                    <w:snapToGrid w:val="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专项评价类别</w:t>
                  </w:r>
                </w:p>
              </w:tc>
              <w:tc>
                <w:tcPr>
                  <w:tcW w:w="932" w:type="dxa"/>
                  <w:vAlign w:val="center"/>
                </w:tcPr>
                <w:p>
                  <w:pPr>
                    <w:pStyle w:val="76"/>
                    <w:adjustRightInd w:val="0"/>
                    <w:snapToGrid w:val="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设置原则</w:t>
                  </w:r>
                </w:p>
              </w:tc>
              <w:tc>
                <w:tcPr>
                  <w:tcW w:w="787" w:type="dxa"/>
                  <w:vAlign w:val="center"/>
                </w:tcPr>
                <w:p>
                  <w:pPr>
                    <w:pStyle w:val="76"/>
                    <w:adjustRightInd w:val="0"/>
                    <w:snapToGrid w:val="0"/>
                    <w:jc w:val="center"/>
                    <w:rPr>
                      <w:rFonts w:ascii="Times New Roman" w:hAnsi="Times New Roman"/>
                      <w:b/>
                      <w:bCs/>
                      <w:color w:val="auto"/>
                      <w:sz w:val="21"/>
                      <w:szCs w:val="21"/>
                      <w:highlight w:val="none"/>
                    </w:rPr>
                  </w:pPr>
                  <w:r>
                    <w:rPr>
                      <w:rFonts w:ascii="Times New Roman" w:hAnsi="Times New Roman" w:hint="eastAsia"/>
                      <w:b/>
                      <w:bCs/>
                      <w:color w:val="auto"/>
                      <w:sz w:val="21"/>
                      <w:szCs w:val="21"/>
                      <w:highlight w:val="none"/>
                    </w:rPr>
                    <w:t>项目情况</w:t>
                  </w:r>
                </w:p>
              </w:tc>
            </w:tr>
            <w:tr>
              <w:trPr>
                <w:trHeight w:val="340"/>
              </w:trPr>
              <w:tc>
                <w:tcPr>
                  <w:tcW w:w="281"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大气</w:t>
                  </w:r>
                </w:p>
              </w:tc>
              <w:tc>
                <w:tcPr>
                  <w:tcW w:w="932" w:type="dxa"/>
                  <w:vAlign w:val="center"/>
                </w:tcPr>
                <w:p>
                  <w:pPr>
                    <w:pStyle w:val="76"/>
                    <w:adjustRightInd w:val="0"/>
                    <w:snapToGrid w:val="0"/>
                    <w:rPr>
                      <w:rFonts w:ascii="Times New Roman" w:hAnsi="Times New Roman"/>
                      <w:color w:val="auto"/>
                      <w:sz w:val="21"/>
                      <w:szCs w:val="21"/>
                      <w:highlight w:val="none"/>
                    </w:rPr>
                  </w:pPr>
                  <w:r>
                    <w:rPr>
                      <w:rFonts w:ascii="Times New Roman" w:hAnsi="Times New Roman"/>
                      <w:color w:val="auto"/>
                      <w:sz w:val="21"/>
                      <w:szCs w:val="21"/>
                      <w:highlight w:val="none"/>
                    </w:rPr>
                    <w:t>排放废气含有有毒有害污染物、二噁英、苯并[a]芘、氰化物、氯气且厂界外500米范围内有环境空气保护目标的建设项目</w:t>
                  </w:r>
                </w:p>
              </w:tc>
              <w:tc>
                <w:tcPr>
                  <w:tcW w:w="787"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hint="eastAsia"/>
                      <w:color w:val="auto"/>
                      <w:sz w:val="21"/>
                      <w:szCs w:val="21"/>
                      <w:highlight w:val="none"/>
                    </w:rPr>
                    <w:t>项目不涉及</w:t>
                  </w:r>
                  <w:r>
                    <w:rPr>
                      <w:rFonts w:ascii="Times New Roman" w:hAnsi="Times New Roman"/>
                      <w:color w:val="auto"/>
                      <w:sz w:val="21"/>
                      <w:szCs w:val="21"/>
                      <w:highlight w:val="none"/>
                    </w:rPr>
                    <w:t>有毒有害污染物、二噁英、苯并[a]芘、氰化物、氯气</w:t>
                  </w:r>
                </w:p>
              </w:tc>
            </w:tr>
            <w:tr>
              <w:trPr>
                <w:trHeight w:val="340"/>
              </w:trPr>
              <w:tc>
                <w:tcPr>
                  <w:tcW w:w="281"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地表水</w:t>
                  </w:r>
                </w:p>
              </w:tc>
              <w:tc>
                <w:tcPr>
                  <w:tcW w:w="932" w:type="dxa"/>
                  <w:vAlign w:val="center"/>
                </w:tcPr>
                <w:p>
                  <w:pPr>
                    <w:pStyle w:val="76"/>
                    <w:adjustRightInd w:val="0"/>
                    <w:snapToGrid w:val="0"/>
                    <w:rPr>
                      <w:rFonts w:ascii="Times New Roman" w:hAnsi="Times New Roman"/>
                      <w:color w:val="auto"/>
                      <w:sz w:val="21"/>
                      <w:szCs w:val="21"/>
                      <w:highlight w:val="none"/>
                    </w:rPr>
                  </w:pPr>
                  <w:r>
                    <w:rPr>
                      <w:rFonts w:ascii="Times New Roman" w:hAnsi="Times New Roman"/>
                      <w:color w:val="auto"/>
                      <w:sz w:val="21"/>
                      <w:szCs w:val="21"/>
                      <w:highlight w:val="none"/>
                    </w:rPr>
                    <w:t>新增工业废水直排建设项目（槽罐车送污水处理厂除外）；新增废水直排的污水集中处理厂</w:t>
                  </w:r>
                </w:p>
              </w:tc>
              <w:tc>
                <w:tcPr>
                  <w:tcW w:w="787"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hint="eastAsia"/>
                      <w:color w:val="auto"/>
                      <w:sz w:val="21"/>
                      <w:szCs w:val="21"/>
                      <w:highlight w:val="none"/>
                    </w:rPr>
                    <w:t>项目生产废水回用不外排，生活污水排入污水处理厂。</w:t>
                  </w:r>
                </w:p>
              </w:tc>
            </w:tr>
            <w:tr>
              <w:trPr>
                <w:trHeight w:val="340"/>
              </w:trPr>
              <w:tc>
                <w:tcPr>
                  <w:tcW w:w="281"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环境风险</w:t>
                  </w:r>
                </w:p>
              </w:tc>
              <w:tc>
                <w:tcPr>
                  <w:tcW w:w="932" w:type="dxa"/>
                  <w:vAlign w:val="center"/>
                </w:tcPr>
                <w:p>
                  <w:pPr>
                    <w:pStyle w:val="76"/>
                    <w:adjustRightInd w:val="0"/>
                    <w:snapToGrid w:val="0"/>
                    <w:rPr>
                      <w:rFonts w:ascii="Times New Roman" w:hAnsi="Times New Roman"/>
                      <w:color w:val="auto"/>
                      <w:sz w:val="21"/>
                      <w:szCs w:val="21"/>
                      <w:highlight w:val="none"/>
                    </w:rPr>
                  </w:pPr>
                  <w:r>
                    <w:rPr>
                      <w:rFonts w:ascii="Times New Roman" w:hAnsi="Times New Roman"/>
                      <w:color w:val="auto"/>
                      <w:sz w:val="21"/>
                      <w:szCs w:val="21"/>
                      <w:highlight w:val="none"/>
                    </w:rPr>
                    <w:t>有毒有害和易燃易爆危险物质存储量超过临界量的建设项目</w:t>
                  </w:r>
                </w:p>
              </w:tc>
              <w:tc>
                <w:tcPr>
                  <w:tcW w:w="787"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hint="eastAsia"/>
                      <w:color w:val="auto"/>
                      <w:sz w:val="21"/>
                      <w:szCs w:val="21"/>
                      <w:highlight w:val="none"/>
                    </w:rPr>
                    <w:t>项目Q值为</w:t>
                  </w:r>
                  <w:r>
                    <w:rPr>
                      <w:rFonts w:ascii="Times New Roman" w:hAnsi="Times New Roman" w:hint="eastAsia"/>
                      <w:color w:val="auto"/>
                      <w:sz w:val="21"/>
                      <w:szCs w:val="21"/>
                      <w:lang w:eastAsia="zh-CN"/>
                      <w:highlight w:val="none"/>
                    </w:rPr>
                    <w:t>0.1948</w:t>
                  </w:r>
                  <w:r>
                    <w:rPr>
                      <w:rFonts w:ascii="Times New Roman" w:hAnsi="Times New Roman" w:hint="eastAsia"/>
                      <w:color w:val="auto"/>
                      <w:sz w:val="21"/>
                      <w:szCs w:val="21"/>
                      <w:highlight w:val="none"/>
                    </w:rPr>
                    <w:t>，即Q＜1</w:t>
                  </w:r>
                </w:p>
              </w:tc>
            </w:tr>
            <w:tr>
              <w:trPr>
                <w:trHeight w:val="340"/>
              </w:trPr>
              <w:tc>
                <w:tcPr>
                  <w:tcW w:w="281"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生态</w:t>
                  </w:r>
                </w:p>
              </w:tc>
              <w:tc>
                <w:tcPr>
                  <w:tcW w:w="932" w:type="dxa"/>
                  <w:vAlign w:val="center"/>
                </w:tcPr>
                <w:p>
                  <w:pPr>
                    <w:pStyle w:val="76"/>
                    <w:adjustRightInd w:val="0"/>
                    <w:snapToGrid w:val="0"/>
                    <w:rPr>
                      <w:rFonts w:ascii="Times New Roman" w:hAnsi="Times New Roman"/>
                      <w:color w:val="auto"/>
                      <w:sz w:val="21"/>
                      <w:szCs w:val="21"/>
                      <w:highlight w:val="none"/>
                    </w:rPr>
                  </w:pPr>
                  <w:r>
                    <w:rPr>
                      <w:rFonts w:ascii="Times New Roman" w:hAnsi="Times New Roman"/>
                      <w:color w:val="auto"/>
                      <w:sz w:val="21"/>
                      <w:szCs w:val="21"/>
                      <w:highlight w:val="none"/>
                    </w:rPr>
                    <w:t>取水口下游500米范围内有重要水生生物的自然产卵场、索饵场越冬场和洄游通道的新增河道取水的污染类建设项目</w:t>
                  </w:r>
                </w:p>
              </w:tc>
              <w:tc>
                <w:tcPr>
                  <w:tcW w:w="787"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项目取水口所在</w:t>
                  </w:r>
                  <w:r>
                    <w:rPr>
                      <w:rFonts w:ascii="Times New Roman" w:hAnsi="Times New Roman"/>
                      <w:sz w:val="21"/>
                      <w:szCs w:val="21"/>
                      <w:highlight w:val="none"/>
                    </w:rPr>
                    <w:t>下游500m</w:t>
                  </w:r>
                  <w:r>
                    <w:rPr>
                      <w:rFonts w:ascii="Times New Roman" w:hAnsi="Times New Roman"/>
                      <w:color w:val="auto"/>
                      <w:sz w:val="21"/>
                      <w:szCs w:val="21"/>
                      <w:highlight w:val="none"/>
                    </w:rPr>
                    <w:t>范围内</w:t>
                  </w:r>
                  <w:r>
                    <w:rPr>
                      <w:rFonts w:ascii="Times New Roman" w:hAnsi="Times New Roman"/>
                      <w:sz w:val="21"/>
                      <w:szCs w:val="21"/>
                      <w:highlight w:val="none"/>
                    </w:rPr>
                    <w:t>不涉及</w:t>
                  </w:r>
                  <w:r>
                    <w:rPr>
                      <w:rFonts w:ascii="Times New Roman" w:hAnsi="Times New Roman"/>
                      <w:color w:val="auto"/>
                      <w:sz w:val="21"/>
                      <w:szCs w:val="21"/>
                      <w:highlight w:val="none"/>
                    </w:rPr>
                    <w:t>重要水生生物的自然产卵场、索饵场越冬场和洄游通道。</w:t>
                  </w:r>
                </w:p>
              </w:tc>
            </w:tr>
            <w:tr>
              <w:trPr>
                <w:trHeight w:val="340"/>
              </w:trPr>
              <w:tc>
                <w:tcPr>
                  <w:tcW w:w="281"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海洋</w:t>
                  </w:r>
                </w:p>
              </w:tc>
              <w:tc>
                <w:tcPr>
                  <w:tcW w:w="932" w:type="dxa"/>
                  <w:vAlign w:val="center"/>
                </w:tcPr>
                <w:p>
                  <w:pPr>
                    <w:pStyle w:val="76"/>
                    <w:adjustRightInd w:val="0"/>
                    <w:snapToGrid w:val="0"/>
                    <w:rPr>
                      <w:rFonts w:ascii="Times New Roman" w:hAnsi="Times New Roman"/>
                      <w:color w:val="auto"/>
                      <w:sz w:val="21"/>
                      <w:szCs w:val="21"/>
                      <w:highlight w:val="none"/>
                    </w:rPr>
                  </w:pPr>
                  <w:r>
                    <w:rPr>
                      <w:rFonts w:ascii="Times New Roman" w:hAnsi="Times New Roman"/>
                      <w:color w:val="auto"/>
                      <w:sz w:val="21"/>
                      <w:szCs w:val="21"/>
                      <w:highlight w:val="none"/>
                    </w:rPr>
                    <w:t>直接向海排放污染物的海洋工程建设项目</w:t>
                  </w:r>
                </w:p>
              </w:tc>
              <w:tc>
                <w:tcPr>
                  <w:tcW w:w="787"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hint="eastAsia"/>
                      <w:color w:val="auto"/>
                      <w:sz w:val="21"/>
                      <w:szCs w:val="21"/>
                      <w:highlight w:val="none"/>
                    </w:rPr>
                    <w:t>不涉及</w:t>
                  </w:r>
                </w:p>
              </w:tc>
            </w:tr>
            <w:tr>
              <w:trPr>
                <w:trHeight w:val="340"/>
              </w:trPr>
              <w:tc>
                <w:tcPr>
                  <w:tcW w:w="281"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地下水</w:t>
                  </w:r>
                </w:p>
              </w:tc>
              <w:tc>
                <w:tcPr>
                  <w:tcW w:w="932" w:type="dxa"/>
                  <w:vAlign w:val="center"/>
                </w:tcPr>
                <w:p>
                  <w:pPr>
                    <w:pStyle w:val="76"/>
                    <w:adjustRightInd w:val="0"/>
                    <w:snapToGrid w:val="0"/>
                    <w:rPr>
                      <w:rFonts w:ascii="Times New Roman" w:hAnsi="Times New Roman"/>
                      <w:color w:val="auto"/>
                      <w:sz w:val="21"/>
                      <w:szCs w:val="21"/>
                      <w:highlight w:val="none"/>
                    </w:rPr>
                  </w:pPr>
                  <w:r>
                    <w:rPr>
                      <w:rFonts w:ascii="Times New Roman" w:hAnsi="Times New Roman" w:hint="eastAsia"/>
                      <w:color w:val="auto"/>
                      <w:sz w:val="21"/>
                      <w:szCs w:val="21"/>
                      <w:highlight w:val="none"/>
                    </w:rPr>
                    <w:t>涉及</w:t>
                  </w:r>
                  <w:r>
                    <w:rPr>
                      <w:rFonts w:ascii="Times New Roman" w:hAnsi="Times New Roman"/>
                      <w:color w:val="auto"/>
                      <w:sz w:val="21"/>
                      <w:szCs w:val="21"/>
                      <w:highlight w:val="none"/>
                    </w:rPr>
                    <w:t>集中式饮用水水源和热水、矿泉水、温泉等特殊地下水资源保护区的</w:t>
                  </w:r>
                </w:p>
              </w:tc>
              <w:tc>
                <w:tcPr>
                  <w:tcW w:w="787" w:type="dxa"/>
                  <w:vAlign w:val="center"/>
                </w:tcPr>
                <w:p>
                  <w:pPr>
                    <w:pStyle w:val="76"/>
                    <w:adjustRightInd w:val="0"/>
                    <w:snapToGrid w:val="0"/>
                    <w:jc w:val="center"/>
                    <w:rPr>
                      <w:rFonts w:ascii="Times New Roman" w:hAnsi="Times New Roman"/>
                      <w:color w:val="auto"/>
                      <w:sz w:val="21"/>
                      <w:szCs w:val="21"/>
                      <w:highlight w:val="none"/>
                    </w:rPr>
                  </w:pPr>
                  <w:r>
                    <w:rPr>
                      <w:rFonts w:ascii="Times New Roman" w:hAnsi="Times New Roman" w:hint="eastAsia"/>
                      <w:color w:val="auto"/>
                      <w:sz w:val="21"/>
                      <w:szCs w:val="21"/>
                      <w:highlight w:val="none"/>
                    </w:rPr>
                    <w:t>不涉及</w:t>
                  </w:r>
                </w:p>
              </w:tc>
            </w:tr>
          </w:tbl>
          <w:p>
            <w:pPr>
              <w:tabs>
                <w:tab w:val="left" w:pos="360"/>
              </w:tabs>
              <w:adjustRightInd w:val="0"/>
              <w:snapToGrid w:val="0"/>
              <w:spacing w:line="360" w:lineRule="auto"/>
              <w:ind w:firstLineChars="200" w:firstLine="480"/>
              <w:rPr>
                <w:kern w:val="0"/>
                <w:sz w:val="24"/>
                <w:highlight w:val="none"/>
              </w:rPr>
            </w:pPr>
            <w:r>
              <w:rPr>
                <w:bCs/>
                <w:snapToGrid w:val="0"/>
                <w:color w:val="000000"/>
                <w:sz w:val="24"/>
                <w:highlight w:val="none"/>
              </w:rPr>
              <w:t>由</w:t>
            </w:r>
            <w:r>
              <w:rPr>
                <w:rFonts w:hint="eastAsia"/>
                <w:bCs/>
                <w:snapToGrid w:val="0"/>
                <w:color w:val="000000"/>
                <w:sz w:val="24"/>
                <w:highlight w:val="none"/>
              </w:rPr>
              <w:t>上表可知</w:t>
            </w:r>
            <w:r>
              <w:rPr>
                <w:bCs/>
                <w:snapToGrid w:val="0"/>
                <w:color w:val="000000"/>
                <w:sz w:val="24"/>
                <w:highlight w:val="none"/>
              </w:rPr>
              <w:t>，本项目无需设置专项评价。</w:t>
            </w:r>
          </w:p>
        </w:tc>
      </w:tr>
      <w:tr>
        <w:trPr>
          <w:trHeight w:val="454"/>
        </w:trPr>
        <w:tc>
          <w:tcPr>
            <w:tcW w:w="1911" w:type="dxa"/>
            <w:tcMar>
              <w:left w:w="108" w:type="dxa"/>
            </w:tcMar>
            <w:vAlign w:val="center"/>
          </w:tcPr>
          <w:p>
            <w:pPr>
              <w:autoSpaceDE w:val="0"/>
              <w:autoSpaceDN w:val="0"/>
              <w:adjustRightInd w:val="0"/>
              <w:snapToGrid w:val="0"/>
              <w:jc w:val="center"/>
              <w:rPr>
                <w:kern w:val="0"/>
                <w:sz w:val="24"/>
                <w:highlight w:val="none"/>
              </w:rPr>
            </w:pPr>
            <w:r>
              <w:rPr>
                <w:sz w:val="24"/>
                <w:highlight w:val="none"/>
              </w:rPr>
              <w:t>规划情况</w:t>
            </w:r>
          </w:p>
        </w:tc>
        <w:tc>
          <w:tcPr>
            <w:tcW w:w="7391" w:type="dxa"/>
            <w:gridSpan w:val="3"/>
            <w:tcMar>
              <w:left w:w="108" w:type="dxa"/>
            </w:tcMar>
            <w:vAlign w:val="center"/>
          </w:tcPr>
          <w:p>
            <w:pPr>
              <w:autoSpaceDE w:val="0"/>
              <w:autoSpaceDN w:val="0"/>
              <w:adjustRightInd w:val="0"/>
              <w:snapToGrid w:val="0"/>
              <w:spacing w:line="360" w:lineRule="auto"/>
              <w:jc w:val="center"/>
              <w:rPr>
                <w:rFonts w:hint="eastAsia"/>
                <w:kern w:val="0"/>
                <w:sz w:val="24"/>
                <w:u w:val="single"/>
                <w:lang w:eastAsia="zh-CN"/>
                <w:highlight w:val="none"/>
              </w:rPr>
            </w:pPr>
            <w:r>
              <w:rPr>
                <w:rFonts w:hint="eastAsia"/>
                <w:kern w:val="0"/>
                <w:sz w:val="24"/>
                <w:u w:val="single"/>
                <w:lang w:eastAsia="zh-CN"/>
                <w:highlight w:val="none"/>
              </w:rPr>
              <w:t>《</w:t>
            </w:r>
            <w:r>
              <w:rPr>
                <w:rFonts w:ascii="Times New Roman" w:eastAsia="宋体" w:cs="Times New Roman" w:hAnsi="Times New Roman" w:hint="eastAsia"/>
                <w:kern w:val="0"/>
                <w:sz w:val="24"/>
                <w:u w:val="single"/>
                <w:lang w:eastAsia="zh-CN"/>
                <w:highlight w:val="none"/>
              </w:rPr>
              <w:t>澧县</w:t>
            </w:r>
            <w:r>
              <w:rPr>
                <w:rFonts w:ascii="Times New Roman" w:eastAsia="宋体" w:cs="Times New Roman" w:hAnsi="Times New Roman"/>
                <w:kern w:val="0"/>
                <w:sz w:val="24"/>
                <w:u w:val="single"/>
                <w:lang w:eastAsia="zh-CN"/>
                <w:highlight w:val="none"/>
              </w:rPr>
              <w:t>国土空间总体规划（2021</w:t>
            </w:r>
            <w:r>
              <w:rPr>
                <w:rFonts w:ascii="Times New Roman" w:eastAsia="宋体" w:cs="Times New Roman" w:hAnsi="Times New Roman" w:hint="eastAsia"/>
                <w:kern w:val="0"/>
                <w:sz w:val="24"/>
                <w:u w:val="single"/>
                <w:lang w:eastAsia="zh-CN"/>
                <w:highlight w:val="none"/>
              </w:rPr>
              <w:t>—</w:t>
            </w:r>
            <w:r>
              <w:rPr>
                <w:rFonts w:ascii="Times New Roman" w:eastAsia="宋体" w:cs="Times New Roman" w:hAnsi="Times New Roman"/>
                <w:kern w:val="0"/>
                <w:sz w:val="24"/>
                <w:u w:val="single"/>
                <w:lang w:eastAsia="zh-CN"/>
                <w:highlight w:val="none"/>
              </w:rPr>
              <w:t>2035年）</w:t>
            </w:r>
            <w:r>
              <w:rPr>
                <w:rFonts w:hint="eastAsia"/>
                <w:kern w:val="0"/>
                <w:sz w:val="24"/>
                <w:u w:val="single"/>
                <w:lang w:eastAsia="zh-CN"/>
                <w:highlight w:val="none"/>
              </w:rPr>
              <w:t>》</w:t>
            </w:r>
          </w:p>
          <w:p>
            <w:pPr>
              <w:autoSpaceDE w:val="0"/>
              <w:autoSpaceDN w:val="0"/>
              <w:adjustRightInd w:val="0"/>
              <w:snapToGrid w:val="0"/>
              <w:spacing w:line="360" w:lineRule="auto"/>
              <w:jc w:val="center"/>
              <w:rPr>
                <w:highlight w:val="none"/>
              </w:rPr>
            </w:pPr>
            <w:r>
              <w:rPr>
                <w:rFonts w:hint="eastAsia"/>
                <w:kern w:val="0"/>
                <w:sz w:val="24"/>
                <w:highlight w:val="none"/>
              </w:rPr>
              <w:t>《</w:t>
            </w:r>
            <w:r>
              <w:rPr>
                <w:rFonts w:hint="eastAsia"/>
                <w:kern w:val="0"/>
                <w:sz w:val="24"/>
                <w:lang w:val="en-US" w:eastAsia="zh-CN"/>
                <w:highlight w:val="none"/>
              </w:rPr>
              <w:t>澧县甘溪滩镇</w:t>
            </w:r>
            <w:r>
              <w:rPr>
                <w:rFonts w:hint="eastAsia"/>
                <w:kern w:val="0"/>
                <w:sz w:val="24"/>
                <w:highlight w:val="none"/>
              </w:rPr>
              <w:t>总体规划（20</w:t>
            </w:r>
            <w:r>
              <w:rPr>
                <w:rFonts w:hint="eastAsia"/>
                <w:kern w:val="0"/>
                <w:sz w:val="24"/>
                <w:lang w:val="en-US" w:eastAsia="zh-CN"/>
                <w:highlight w:val="none"/>
              </w:rPr>
              <w:t>16</w:t>
            </w:r>
            <w:r>
              <w:rPr>
                <w:rFonts w:hint="eastAsia"/>
                <w:kern w:val="0"/>
                <w:sz w:val="24"/>
                <w:highlight w:val="none"/>
              </w:rPr>
              <w:t>—203</w:t>
            </w:r>
            <w:r>
              <w:rPr>
                <w:rFonts w:hint="eastAsia"/>
                <w:kern w:val="0"/>
                <w:sz w:val="24"/>
                <w:lang w:val="en-US" w:eastAsia="zh-CN"/>
                <w:highlight w:val="none"/>
              </w:rPr>
              <w:t>0</w:t>
            </w:r>
            <w:r>
              <w:rPr>
                <w:rFonts w:hint="eastAsia"/>
                <w:kern w:val="0"/>
                <w:sz w:val="24"/>
                <w:highlight w:val="none"/>
              </w:rPr>
              <w:t>）》</w:t>
            </w:r>
          </w:p>
        </w:tc>
      </w:tr>
      <w:tr>
        <w:trPr>
          <w:trHeight w:val="454"/>
        </w:trPr>
        <w:tc>
          <w:tcPr>
            <w:tcW w:w="1911" w:type="dxa"/>
            <w:tcMar>
              <w:left w:w="108" w:type="dxa"/>
            </w:tcMar>
            <w:vAlign w:val="center"/>
          </w:tcPr>
          <w:p>
            <w:pPr>
              <w:adjustRightInd w:val="0"/>
              <w:snapToGrid w:val="0"/>
              <w:jc w:val="center"/>
              <w:rPr>
                <w:sz w:val="24"/>
                <w:highlight w:val="none"/>
              </w:rPr>
            </w:pPr>
            <w:r>
              <w:rPr>
                <w:sz w:val="24"/>
                <w:highlight w:val="none"/>
              </w:rPr>
              <w:t>规划环境影响</w:t>
            </w:r>
          </w:p>
          <w:p>
            <w:pPr>
              <w:adjustRightInd w:val="0"/>
              <w:snapToGrid w:val="0"/>
              <w:jc w:val="center"/>
              <w:rPr>
                <w:kern w:val="0"/>
                <w:sz w:val="24"/>
                <w:highlight w:val="none"/>
              </w:rPr>
            </w:pPr>
            <w:r>
              <w:rPr>
                <w:sz w:val="24"/>
                <w:highlight w:val="none"/>
              </w:rPr>
              <w:t>评价情况</w:t>
            </w:r>
          </w:p>
        </w:tc>
        <w:tc>
          <w:tcPr>
            <w:tcW w:w="7391" w:type="dxa"/>
            <w:gridSpan w:val="3"/>
            <w:tcMar>
              <w:left w:w="108" w:type="dxa"/>
            </w:tcMar>
            <w:vAlign w:val="center"/>
          </w:tcPr>
          <w:p>
            <w:pPr>
              <w:autoSpaceDE w:val="0"/>
              <w:autoSpaceDN w:val="0"/>
              <w:adjustRightInd w:val="0"/>
              <w:snapToGrid w:val="0"/>
              <w:jc w:val="center"/>
              <w:rPr>
                <w:color w:val="FF0000"/>
                <w:kern w:val="0"/>
                <w:sz w:val="24"/>
                <w:u w:val="single"/>
                <w:highlight w:val="none"/>
              </w:rPr>
            </w:pPr>
            <w:r>
              <w:rPr>
                <w:kern w:val="0"/>
                <w:sz w:val="24"/>
                <w:highlight w:val="none"/>
              </w:rPr>
              <w:t>无</w:t>
            </w:r>
          </w:p>
        </w:tc>
      </w:tr>
      <w:tr>
        <w:trPr>
          <w:trHeight w:val="454"/>
        </w:trPr>
        <w:tc>
          <w:tcPr>
            <w:tcW w:w="1911" w:type="dxa"/>
            <w:tcMar>
              <w:left w:w="108" w:type="dxa"/>
            </w:tcMar>
            <w:vAlign w:val="center"/>
          </w:tcPr>
          <w:p>
            <w:pPr>
              <w:autoSpaceDE w:val="0"/>
              <w:autoSpaceDN w:val="0"/>
              <w:adjustRightInd w:val="0"/>
              <w:snapToGrid w:val="0"/>
              <w:jc w:val="center"/>
              <w:rPr>
                <w:kern w:val="0"/>
                <w:sz w:val="24"/>
                <w:highlight w:val="none"/>
              </w:rPr>
            </w:pPr>
            <w:r>
              <w:rPr>
                <w:kern w:val="0"/>
                <w:sz w:val="24"/>
                <w:highlight w:val="none"/>
              </w:rPr>
              <w:t>规划及规划环境影响评价符合性分析</w:t>
            </w:r>
          </w:p>
        </w:tc>
        <w:tc>
          <w:tcPr>
            <w:tcW w:w="7391" w:type="dxa"/>
            <w:gridSpan w:val="3"/>
            <w:tcMar>
              <w:left w:w="108" w:type="dxa"/>
            </w:tcMar>
            <w:vAlign w:val="center"/>
          </w:tcPr>
          <w:p>
            <w:pPr>
              <w:tabs>
                <w:tab w:val="left" w:pos="360"/>
              </w:tabs>
              <w:adjustRightInd w:val="0"/>
              <w:snapToGrid w:val="0"/>
              <w:spacing w:line="360" w:lineRule="auto"/>
              <w:ind w:firstLineChars="200" w:firstLine="480"/>
              <w:rPr>
                <w:rFonts w:eastAsia="宋体"/>
                <w:b/>
                <w:bCs/>
                <w:kern w:val="0"/>
                <w:sz w:val="24"/>
                <w:szCs w:val="20"/>
                <w:u w:val="single"/>
                <w:lang w:val="en-US" w:eastAsia="zh-CN"/>
                <w:highlight w:val="none"/>
              </w:rPr>
            </w:pPr>
            <w:r>
              <w:rPr>
                <w:rFonts w:hint="eastAsia"/>
                <w:b/>
                <w:bCs/>
                <w:kern w:val="0"/>
                <w:sz w:val="24"/>
                <w:szCs w:val="20"/>
                <w:u w:val="single"/>
                <w:lang w:val="en-US" w:eastAsia="zh-CN"/>
                <w:highlight w:val="none"/>
              </w:rPr>
              <w:t>1、与《</w:t>
            </w:r>
            <w:r>
              <w:rPr>
                <w:rFonts w:ascii="Times New Roman" w:eastAsia="宋体" w:cs="Times New Roman" w:hAnsi="Times New Roman" w:hint="eastAsia"/>
                <w:b/>
                <w:bCs/>
                <w:kern w:val="0"/>
                <w:sz w:val="24"/>
                <w:u w:val="single"/>
                <w:lang w:val="en-US" w:eastAsia="zh-CN"/>
                <w:highlight w:val="none"/>
              </w:rPr>
              <w:t>澧县</w:t>
            </w:r>
            <w:r>
              <w:rPr>
                <w:rFonts w:ascii="Times New Roman" w:eastAsia="宋体" w:cs="Times New Roman" w:hAnsi="Times New Roman"/>
                <w:b/>
                <w:bCs/>
                <w:kern w:val="0"/>
                <w:sz w:val="24"/>
                <w:u w:val="single"/>
                <w:lang w:val="en-US" w:eastAsia="zh-CN"/>
                <w:highlight w:val="none"/>
              </w:rPr>
              <w:t>国土空间总体规划（2021</w:t>
            </w:r>
            <w:r>
              <w:rPr>
                <w:rFonts w:ascii="Times New Roman" w:eastAsia="宋体" w:cs="Times New Roman" w:hAnsi="Times New Roman" w:hint="eastAsia"/>
                <w:b/>
                <w:bCs/>
                <w:kern w:val="0"/>
                <w:sz w:val="24"/>
                <w:u w:val="single"/>
                <w:lang w:val="en-US" w:eastAsia="zh-CN"/>
                <w:highlight w:val="none"/>
              </w:rPr>
              <w:t>—</w:t>
            </w:r>
            <w:r>
              <w:rPr>
                <w:rFonts w:ascii="Times New Roman" w:eastAsia="宋体" w:cs="Times New Roman" w:hAnsi="Times New Roman"/>
                <w:b/>
                <w:bCs/>
                <w:kern w:val="0"/>
                <w:sz w:val="24"/>
                <w:u w:val="single"/>
                <w:lang w:val="en-US" w:eastAsia="zh-CN"/>
                <w:highlight w:val="none"/>
              </w:rPr>
              <w:t>2035年）</w:t>
            </w:r>
            <w:r>
              <w:rPr>
                <w:rFonts w:hint="eastAsia"/>
                <w:b/>
                <w:bCs/>
                <w:kern w:val="0"/>
                <w:sz w:val="24"/>
                <w:szCs w:val="20"/>
                <w:u w:val="single"/>
                <w:lang w:val="en-US" w:eastAsia="zh-CN"/>
                <w:highlight w:val="none"/>
              </w:rPr>
              <w:t>》</w:t>
            </w:r>
            <w:r>
              <w:rPr>
                <w:rFonts w:hint="eastAsia"/>
                <w:b/>
                <w:bCs/>
                <w:kern w:val="0"/>
                <w:sz w:val="24"/>
                <w:u w:val="single"/>
                <w:lang w:val="en-US" w:eastAsia="zh-CN"/>
                <w:highlight w:val="none"/>
              </w:rPr>
              <w:t>相符性分析</w:t>
            </w:r>
          </w:p>
          <w:p>
            <w:pPr>
              <w:tabs>
                <w:tab w:val="left" w:pos="360"/>
              </w:tabs>
              <w:adjustRightInd w:val="0"/>
              <w:snapToGrid w:val="0"/>
              <w:spacing w:line="360" w:lineRule="auto"/>
              <w:ind w:firstLineChars="200" w:firstLine="480"/>
              <w:rPr>
                <w:rFonts w:hint="eastAsia"/>
                <w:kern w:val="0"/>
                <w:sz w:val="24"/>
                <w:szCs w:val="24"/>
                <w:u w:val="single"/>
                <w:lang w:eastAsia="zh-CN"/>
                <w:highlight w:val="none"/>
              </w:rPr>
            </w:pPr>
            <w:r>
              <w:rPr>
                <w:rFonts w:ascii="Times New Roman" w:eastAsia="宋体" w:cs="Times New Roman" w:hAnsi="Times New Roman" w:hint="eastAsia"/>
                <w:sz w:val="24"/>
                <w:szCs w:val="24"/>
                <w:u w:val="single"/>
                <w:lang w:val="en-US" w:eastAsia="zh-CN"/>
              </w:rPr>
              <w:t>根据《澧县</w:t>
            </w:r>
            <w:r>
              <w:rPr>
                <w:rFonts w:ascii="Times New Roman" w:eastAsia="宋体" w:cs="Times New Roman" w:hAnsi="Times New Roman"/>
                <w:sz w:val="24"/>
                <w:szCs w:val="24"/>
                <w:u w:val="single"/>
                <w:lang w:val="en-US" w:eastAsia="zh-CN"/>
              </w:rPr>
              <w:t>国土空间总体规划（2021</w:t>
            </w:r>
            <w:r>
              <w:rPr>
                <w:rFonts w:ascii="Times New Roman" w:eastAsia="宋体" w:cs="Times New Roman" w:hAnsi="Times New Roman" w:hint="eastAsia"/>
                <w:sz w:val="24"/>
                <w:szCs w:val="24"/>
                <w:u w:val="single"/>
                <w:lang w:val="en-US" w:eastAsia="zh-CN"/>
              </w:rPr>
              <w:t>—</w:t>
            </w:r>
            <w:r>
              <w:rPr>
                <w:rFonts w:ascii="Times New Roman" w:eastAsia="宋体" w:cs="Times New Roman" w:hAnsi="Times New Roman"/>
                <w:sz w:val="24"/>
                <w:szCs w:val="24"/>
                <w:u w:val="single"/>
                <w:lang w:val="en-US" w:eastAsia="zh-CN"/>
              </w:rPr>
              <w:t>2035年）</w:t>
            </w:r>
            <w:r>
              <w:rPr>
                <w:rFonts w:ascii="Times New Roman" w:eastAsia="宋体" w:cs="Times New Roman" w:hAnsi="Times New Roman" w:hint="eastAsia"/>
                <w:sz w:val="24"/>
                <w:szCs w:val="24"/>
                <w:u w:val="single"/>
                <w:lang w:val="en-US" w:eastAsia="zh-CN"/>
              </w:rPr>
              <w:t>》：供水：以</w:t>
            </w:r>
            <w:r>
              <w:rPr>
                <w:rFonts w:ascii="Times New Roman" w:cs="Times New Roman" w:hAnsi="Times New Roman" w:hint="eastAsia"/>
                <w:sz w:val="24"/>
                <w:szCs w:val="24"/>
                <w:u w:val="single"/>
                <w:lang w:val="en-US" w:eastAsia="zh-CN"/>
              </w:rPr>
              <w:t>澧水为水源，保留澧县地表水厂，新建澧县第二地表水厂；</w:t>
            </w:r>
            <w:r>
              <w:rPr>
                <w:rFonts w:hint="eastAsia"/>
                <w:color w:val="000000"/>
                <w:sz w:val="24"/>
                <w:szCs w:val="24"/>
                <w:u w:val="single"/>
                <w:highlight w:val="none"/>
              </w:rPr>
              <w:t>至2025年</w:t>
            </w:r>
            <w:r>
              <w:rPr>
                <w:rFonts w:hint="eastAsia"/>
                <w:color w:val="000000"/>
                <w:sz w:val="24"/>
                <w:szCs w:val="24"/>
                <w:u w:val="single"/>
                <w:lang w:eastAsia="zh-CN"/>
                <w:highlight w:val="none"/>
              </w:rPr>
              <w:t>，</w:t>
            </w:r>
            <w:r>
              <w:rPr>
                <w:rFonts w:hint="eastAsia"/>
                <w:color w:val="000000"/>
                <w:sz w:val="24"/>
                <w:szCs w:val="24"/>
                <w:u w:val="single"/>
                <w:highlight w:val="none"/>
              </w:rPr>
              <w:t>中心城区公共供水管网漏损率控制在9%以内，公共供水普及率不低于97%，公共供水普及率不低于92%。</w:t>
            </w:r>
          </w:p>
          <w:p>
            <w:pPr>
              <w:tabs>
                <w:tab w:val="left" w:pos="360"/>
              </w:tabs>
              <w:adjustRightInd w:val="0"/>
              <w:snapToGrid w:val="0"/>
              <w:spacing w:line="360" w:lineRule="auto"/>
              <w:ind w:firstLineChars="200" w:firstLine="480"/>
              <w:rPr>
                <w:rFonts w:hint="eastAsia"/>
                <w:b/>
                <w:bCs/>
                <w:kern w:val="0"/>
                <w:sz w:val="24"/>
                <w:szCs w:val="20"/>
                <w:u w:val="single"/>
                <w:lang w:val="en-US" w:eastAsia="zh-CN"/>
                <w:highlight w:val="none"/>
              </w:rPr>
            </w:pPr>
            <w:r>
              <w:rPr>
                <w:rFonts w:hint="eastAsia"/>
                <w:kern w:val="0"/>
                <w:sz w:val="24"/>
                <w:szCs w:val="20"/>
                <w:u w:val="single"/>
                <w:lang w:val="en-US" w:eastAsia="zh-CN"/>
                <w:highlight w:val="none"/>
              </w:rPr>
              <w:t>本项目为</w:t>
            </w:r>
            <w:r>
              <w:rPr>
                <w:rFonts w:ascii="Times New Roman" w:eastAsia="宋体" w:cs="Times New Roman" w:hAnsi="Times New Roman" w:hint="eastAsia"/>
                <w:sz w:val="24"/>
                <w:szCs w:val="24"/>
                <w:u w:val="single"/>
                <w:lang w:val="en-US" w:eastAsia="zh-CN"/>
              </w:rPr>
              <w:t>澧县甘溪滩片区农村供水建设项目（一期），</w:t>
            </w:r>
            <w:r>
              <w:rPr>
                <w:rFonts w:hint="eastAsia"/>
                <w:sz w:val="24"/>
                <w:u w:val="single"/>
                <w:lang w:val="en-US" w:eastAsia="zh-CN"/>
                <w:highlight w:val="none"/>
              </w:rPr>
              <w:t>项目已取得乡村建设规划许可证（详见附件13）</w:t>
            </w:r>
            <w:r>
              <w:rPr>
                <w:rFonts w:hint="eastAsia"/>
                <w:kern w:val="0"/>
                <w:sz w:val="24"/>
                <w:szCs w:val="20"/>
                <w:u w:val="single"/>
                <w:lang w:eastAsia="zh-CN"/>
                <w:highlight w:val="none"/>
              </w:rPr>
              <w:t>，</w:t>
            </w:r>
            <w:r>
              <w:rPr>
                <w:rFonts w:hint="eastAsia"/>
                <w:kern w:val="0"/>
                <w:sz w:val="24"/>
                <w:szCs w:val="20"/>
                <w:u w:val="single"/>
                <w:lang w:val="en-US" w:eastAsia="zh-CN"/>
                <w:highlight w:val="none"/>
              </w:rPr>
              <w:t>因此，项目符合</w:t>
            </w:r>
            <w:r>
              <w:rPr>
                <w:rFonts w:ascii="Times New Roman" w:eastAsia="宋体" w:cs="Times New Roman" w:hAnsi="Times New Roman" w:hint="eastAsia"/>
                <w:sz w:val="24"/>
                <w:szCs w:val="24"/>
                <w:u w:val="single"/>
                <w:lang w:val="en-US" w:eastAsia="zh-CN"/>
              </w:rPr>
              <w:t>《澧县</w:t>
            </w:r>
            <w:r>
              <w:rPr>
                <w:rFonts w:ascii="Times New Roman" w:eastAsia="宋体" w:cs="Times New Roman" w:hAnsi="Times New Roman"/>
                <w:sz w:val="24"/>
                <w:szCs w:val="24"/>
                <w:u w:val="single"/>
                <w:lang w:val="en-US" w:eastAsia="zh-CN"/>
              </w:rPr>
              <w:t>国土空间总体规划（2021</w:t>
            </w:r>
            <w:r>
              <w:rPr>
                <w:rFonts w:ascii="Times New Roman" w:eastAsia="宋体" w:cs="Times New Roman" w:hAnsi="Times New Roman" w:hint="eastAsia"/>
                <w:sz w:val="24"/>
                <w:szCs w:val="24"/>
                <w:u w:val="single"/>
                <w:lang w:val="en-US" w:eastAsia="zh-CN"/>
              </w:rPr>
              <w:t>—</w:t>
            </w:r>
            <w:r>
              <w:rPr>
                <w:rFonts w:ascii="Times New Roman" w:eastAsia="宋体" w:cs="Times New Roman" w:hAnsi="Times New Roman"/>
                <w:sz w:val="24"/>
                <w:szCs w:val="24"/>
                <w:u w:val="single"/>
                <w:lang w:val="en-US" w:eastAsia="zh-CN"/>
              </w:rPr>
              <w:t>2035年）</w:t>
            </w:r>
            <w:r>
              <w:rPr>
                <w:rFonts w:ascii="Times New Roman" w:eastAsia="宋体" w:cs="Times New Roman" w:hAnsi="Times New Roman" w:hint="eastAsia"/>
                <w:sz w:val="24"/>
                <w:szCs w:val="24"/>
                <w:u w:val="single"/>
                <w:lang w:val="en-US" w:eastAsia="zh-CN"/>
              </w:rPr>
              <w:t>》的要求。</w:t>
            </w:r>
          </w:p>
          <w:p>
            <w:pPr>
              <w:tabs>
                <w:tab w:val="left" w:pos="360"/>
              </w:tabs>
              <w:adjustRightInd w:val="0"/>
              <w:snapToGrid w:val="0"/>
              <w:spacing w:line="360" w:lineRule="auto"/>
              <w:ind w:firstLineChars="200" w:firstLine="480"/>
              <w:rPr>
                <w:rFonts w:hint="eastAsia"/>
                <w:kern w:val="0"/>
                <w:sz w:val="24"/>
                <w:szCs w:val="20"/>
                <w:highlight w:val="none"/>
              </w:rPr>
            </w:pPr>
            <w:r>
              <w:rPr>
                <w:rFonts w:hint="eastAsia"/>
                <w:b/>
                <w:bCs/>
                <w:kern w:val="0"/>
                <w:sz w:val="24"/>
                <w:szCs w:val="20"/>
                <w:lang w:val="en-US" w:eastAsia="zh-CN"/>
                <w:highlight w:val="none"/>
              </w:rPr>
              <w:t>2、与</w:t>
            </w:r>
            <w:r>
              <w:rPr>
                <w:rFonts w:hint="eastAsia"/>
                <w:b/>
                <w:bCs/>
                <w:kern w:val="0"/>
                <w:sz w:val="24"/>
                <w:highlight w:val="none"/>
              </w:rPr>
              <w:t>《</w:t>
            </w:r>
            <w:r>
              <w:rPr>
                <w:rFonts w:eastAsia="宋体" w:hint="eastAsia"/>
                <w:b/>
                <w:bCs/>
                <w:kern w:val="0"/>
                <w:sz w:val="24"/>
                <w:lang w:val="en-US" w:eastAsia="zh-CN"/>
                <w:highlight w:val="none"/>
              </w:rPr>
              <w:t>澧县甘溪滩镇</w:t>
            </w:r>
            <w:r>
              <w:rPr>
                <w:rFonts w:eastAsia="宋体" w:hint="eastAsia"/>
                <w:b/>
                <w:bCs/>
                <w:kern w:val="0"/>
                <w:sz w:val="24"/>
                <w:highlight w:val="none"/>
              </w:rPr>
              <w:t>总体规划（20</w:t>
            </w:r>
            <w:r>
              <w:rPr>
                <w:rFonts w:eastAsia="宋体" w:hint="eastAsia"/>
                <w:b/>
                <w:bCs/>
                <w:kern w:val="0"/>
                <w:sz w:val="24"/>
                <w:lang w:val="en-US" w:eastAsia="zh-CN"/>
                <w:highlight w:val="none"/>
              </w:rPr>
              <w:t>16</w:t>
            </w:r>
            <w:r>
              <w:rPr>
                <w:rFonts w:eastAsia="宋体" w:hint="eastAsia"/>
                <w:b/>
                <w:bCs/>
                <w:kern w:val="0"/>
                <w:sz w:val="24"/>
                <w:highlight w:val="none"/>
              </w:rPr>
              <w:t>—203</w:t>
            </w:r>
            <w:r>
              <w:rPr>
                <w:rFonts w:eastAsia="宋体" w:hint="eastAsia"/>
                <w:b/>
                <w:bCs/>
                <w:kern w:val="0"/>
                <w:sz w:val="24"/>
                <w:lang w:val="en-US" w:eastAsia="zh-CN"/>
                <w:highlight w:val="none"/>
              </w:rPr>
              <w:t>0</w:t>
            </w:r>
            <w:r>
              <w:rPr>
                <w:rFonts w:eastAsia="宋体" w:hint="eastAsia"/>
                <w:b/>
                <w:bCs/>
                <w:kern w:val="0"/>
                <w:sz w:val="24"/>
                <w:highlight w:val="none"/>
              </w:rPr>
              <w:t>）</w:t>
            </w:r>
            <w:r>
              <w:rPr>
                <w:rFonts w:hint="eastAsia"/>
                <w:b/>
                <w:bCs/>
                <w:kern w:val="0"/>
                <w:sz w:val="24"/>
                <w:highlight w:val="none"/>
              </w:rPr>
              <w:t>》</w:t>
            </w:r>
            <w:r>
              <w:rPr>
                <w:rFonts w:hint="eastAsia"/>
                <w:b/>
                <w:bCs/>
                <w:kern w:val="0"/>
                <w:sz w:val="24"/>
                <w:lang w:val="en-US" w:eastAsia="zh-CN"/>
                <w:highlight w:val="none"/>
              </w:rPr>
              <w:t>相符性分析</w:t>
            </w:r>
          </w:p>
          <w:p>
            <w:pPr>
              <w:tabs>
                <w:tab w:val="left" w:pos="360"/>
              </w:tabs>
              <w:adjustRightInd w:val="0"/>
              <w:snapToGrid w:val="0"/>
              <w:spacing w:line="360" w:lineRule="auto"/>
              <w:ind w:firstLineChars="200" w:firstLine="480"/>
              <w:rPr>
                <w:rFonts w:hint="eastAsia"/>
                <w:kern w:val="0"/>
                <w:sz w:val="24"/>
                <w:szCs w:val="20"/>
                <w:lang w:val="en-US" w:eastAsia="zh-CN"/>
                <w:highlight w:val="none"/>
              </w:rPr>
            </w:pPr>
            <w:r>
              <w:rPr>
                <w:rFonts w:hint="eastAsia"/>
                <w:kern w:val="0"/>
                <w:sz w:val="24"/>
                <w:szCs w:val="20"/>
                <w:highlight w:val="none"/>
              </w:rPr>
              <w:t>根据《</w:t>
            </w:r>
            <w:r>
              <w:rPr>
                <w:rFonts w:hint="eastAsia"/>
                <w:kern w:val="0"/>
                <w:sz w:val="24"/>
                <w:szCs w:val="20"/>
                <w:lang w:val="en-US" w:eastAsia="zh-CN"/>
                <w:highlight w:val="none"/>
              </w:rPr>
              <w:t>澧县甘溪滩镇</w:t>
            </w:r>
            <w:r>
              <w:rPr>
                <w:rFonts w:hint="eastAsia"/>
                <w:kern w:val="0"/>
                <w:sz w:val="24"/>
                <w:szCs w:val="20"/>
                <w:highlight w:val="none"/>
              </w:rPr>
              <w:t>总体规划（20</w:t>
            </w:r>
            <w:r>
              <w:rPr>
                <w:rFonts w:hint="eastAsia"/>
                <w:kern w:val="0"/>
                <w:sz w:val="24"/>
                <w:szCs w:val="20"/>
                <w:lang w:val="en-US" w:eastAsia="zh-CN"/>
                <w:highlight w:val="none"/>
              </w:rPr>
              <w:t>16</w:t>
            </w:r>
            <w:r>
              <w:rPr>
                <w:rFonts w:hint="eastAsia"/>
                <w:kern w:val="0"/>
                <w:sz w:val="24"/>
                <w:szCs w:val="20"/>
                <w:highlight w:val="none"/>
              </w:rPr>
              <w:t>—203</w:t>
            </w:r>
            <w:r>
              <w:rPr>
                <w:rFonts w:hint="eastAsia"/>
                <w:kern w:val="0"/>
                <w:sz w:val="24"/>
                <w:szCs w:val="20"/>
                <w:lang w:val="en-US" w:eastAsia="zh-CN"/>
                <w:highlight w:val="none"/>
              </w:rPr>
              <w:t>0</w:t>
            </w:r>
            <w:r>
              <w:rPr>
                <w:rFonts w:hint="eastAsia"/>
                <w:kern w:val="0"/>
                <w:sz w:val="24"/>
                <w:szCs w:val="20"/>
                <w:highlight w:val="none"/>
              </w:rPr>
              <w:t>）》：“</w:t>
            </w:r>
            <w:r>
              <w:rPr>
                <w:rFonts w:hint="eastAsia"/>
                <w:kern w:val="0"/>
                <w:sz w:val="24"/>
                <w:szCs w:val="20"/>
                <w:lang w:val="en-US" w:eastAsia="zh-CN"/>
                <w:highlight w:val="none"/>
              </w:rPr>
              <w:t>给水工程规划：(一）给水工程规划原则</w:t>
            </w:r>
          </w:p>
          <w:p>
            <w:pPr>
              <w:numPr>
                <w:ilvl w:val="0"/>
                <w:numId w:val="1"/>
              </w:numPr>
              <w:tabs>
                <w:tab w:val="clear" w:pos="312"/>
                <w:tab w:val="left" w:pos="360"/>
              </w:tabs>
              <w:adjustRightInd w:val="0"/>
              <w:snapToGrid w:val="0"/>
              <w:spacing w:line="360" w:lineRule="auto"/>
              <w:ind w:left="0" w:firstLineChars="200" w:firstLine="480"/>
              <w:rPr>
                <w:rFonts w:hint="eastAsia"/>
                <w:kern w:val="0"/>
                <w:sz w:val="24"/>
                <w:szCs w:val="20"/>
                <w:lang w:val="en-US" w:eastAsia="zh-CN"/>
                <w:highlight w:val="none"/>
              </w:rPr>
            </w:pPr>
            <w:r>
              <w:rPr>
                <w:rFonts w:hint="eastAsia"/>
                <w:kern w:val="0"/>
                <w:sz w:val="24"/>
                <w:szCs w:val="20"/>
                <w:lang w:val="en-US" w:eastAsia="zh-CN"/>
                <w:highlight w:val="none"/>
              </w:rPr>
              <w:t>满足人民生活用水、公建用水与工业用水等的要求。2）满足用户水量水压的前提下，经济合理地设计管道。</w:t>
            </w:r>
          </w:p>
          <w:p>
            <w:pPr>
              <w:tabs>
                <w:tab w:val="left" w:pos="360"/>
              </w:tabs>
              <w:adjustRightInd w:val="0"/>
              <w:snapToGrid w:val="0"/>
              <w:spacing w:line="360" w:lineRule="auto"/>
              <w:ind w:left="0" w:firstLineChars="200" w:firstLine="480"/>
              <w:rPr>
                <w:rFonts w:hint="eastAsia"/>
                <w:kern w:val="0"/>
                <w:sz w:val="24"/>
                <w:szCs w:val="20"/>
                <w:lang w:val="en-US" w:eastAsia="zh-CN"/>
                <w:highlight w:val="none"/>
              </w:rPr>
            </w:pPr>
            <w:r>
              <w:rPr>
                <w:rFonts w:hint="eastAsia"/>
                <w:kern w:val="0"/>
                <w:sz w:val="24"/>
                <w:szCs w:val="20"/>
                <w:lang w:val="en-US" w:eastAsia="zh-CN"/>
                <w:highlight w:val="none"/>
              </w:rPr>
              <w:t>(二）规划用水量</w:t>
            </w:r>
          </w:p>
          <w:p>
            <w:pPr>
              <w:tabs>
                <w:tab w:val="left" w:pos="360"/>
              </w:tabs>
              <w:adjustRightInd w:val="0"/>
              <w:snapToGrid w:val="0"/>
              <w:spacing w:line="360" w:lineRule="auto"/>
              <w:ind w:firstLineChars="200" w:firstLine="480"/>
              <w:rPr>
                <w:rFonts w:hint="eastAsia"/>
                <w:kern w:val="0"/>
                <w:sz w:val="24"/>
                <w:szCs w:val="20"/>
                <w:lang w:val="en-US" w:eastAsia="zh-CN"/>
                <w:highlight w:val="none"/>
              </w:rPr>
            </w:pPr>
            <w:r>
              <w:rPr>
                <w:rFonts w:hint="eastAsia"/>
                <w:kern w:val="0"/>
                <w:sz w:val="24"/>
                <w:szCs w:val="20"/>
                <w:lang w:val="en-US" w:eastAsia="zh-CN"/>
                <w:highlight w:val="none"/>
              </w:rPr>
              <w:t>包括居民生活用水、公共设施用水及工业生产用水等几大部分。</w:t>
            </w:r>
          </w:p>
          <w:p>
            <w:pPr>
              <w:tabs>
                <w:tab w:val="left" w:pos="360"/>
              </w:tabs>
              <w:adjustRightInd w:val="0"/>
              <w:snapToGrid w:val="0"/>
              <w:spacing w:line="360" w:lineRule="auto"/>
              <w:ind w:firstLineChars="200" w:firstLine="480"/>
              <w:rPr>
                <w:rFonts w:hint="eastAsia"/>
                <w:kern w:val="0"/>
                <w:sz w:val="24"/>
                <w:szCs w:val="20"/>
                <w:lang w:val="en-US" w:eastAsia="zh-CN"/>
                <w:highlight w:val="none"/>
              </w:rPr>
            </w:pPr>
            <w:r>
              <w:rPr>
                <w:rFonts w:hint="eastAsia"/>
                <w:kern w:val="0"/>
                <w:sz w:val="24"/>
                <w:szCs w:val="20"/>
                <w:lang w:val="en-US" w:eastAsia="zh-CN"/>
                <w:highlight w:val="none"/>
              </w:rPr>
              <w:t>总用水量：甘溪滩总体规划人口22000 人，城市单位人口最高日综合用水量标准为200升/人，最高日用水量4400吨/日。</w:t>
            </w:r>
          </w:p>
          <w:p>
            <w:pPr>
              <w:tabs>
                <w:tab w:val="left" w:pos="360"/>
              </w:tabs>
              <w:adjustRightInd w:val="0"/>
              <w:snapToGrid w:val="0"/>
              <w:spacing w:line="360" w:lineRule="auto"/>
              <w:ind w:firstLineChars="200" w:firstLine="480"/>
              <w:rPr>
                <w:rFonts w:hint="eastAsia"/>
                <w:kern w:val="0"/>
                <w:sz w:val="24"/>
                <w:szCs w:val="20"/>
                <w:lang w:val="en-US" w:eastAsia="zh-CN"/>
                <w:highlight w:val="none"/>
              </w:rPr>
            </w:pPr>
            <w:r>
              <w:rPr>
                <w:rFonts w:hint="eastAsia"/>
                <w:kern w:val="0"/>
                <w:sz w:val="24"/>
                <w:szCs w:val="20"/>
                <w:lang w:val="en-US" w:eastAsia="zh-CN"/>
                <w:highlight w:val="none"/>
              </w:rPr>
              <w:t>(三）水源</w:t>
            </w:r>
          </w:p>
          <w:p>
            <w:pPr>
              <w:tabs>
                <w:tab w:val="left" w:pos="360"/>
              </w:tabs>
              <w:adjustRightInd w:val="0"/>
              <w:snapToGrid w:val="0"/>
              <w:spacing w:line="360" w:lineRule="auto"/>
              <w:ind w:firstLineChars="200" w:firstLine="480"/>
              <w:rPr>
                <w:rFonts w:hint="eastAsia"/>
                <w:kern w:val="0"/>
                <w:sz w:val="24"/>
                <w:szCs w:val="20"/>
                <w:lang w:val="en-US" w:eastAsia="zh-CN"/>
                <w:highlight w:val="none"/>
              </w:rPr>
            </w:pPr>
            <w:r>
              <w:rPr>
                <w:rFonts w:hint="eastAsia"/>
                <w:kern w:val="0"/>
                <w:sz w:val="24"/>
                <w:szCs w:val="20"/>
                <w:lang w:val="en-US" w:eastAsia="zh-CN"/>
                <w:highlight w:val="none"/>
              </w:rPr>
              <w:t>改建自来水厂，规划供水能力4400吨/日，用地为0.06公顷。</w:t>
            </w:r>
          </w:p>
          <w:p>
            <w:pPr>
              <w:tabs>
                <w:tab w:val="left" w:pos="360"/>
              </w:tabs>
              <w:adjustRightInd w:val="0"/>
              <w:snapToGrid w:val="0"/>
              <w:spacing w:line="360" w:lineRule="auto"/>
              <w:ind w:firstLineChars="200" w:firstLine="480"/>
              <w:rPr>
                <w:rFonts w:hint="eastAsia"/>
                <w:kern w:val="0"/>
                <w:sz w:val="24"/>
                <w:szCs w:val="20"/>
                <w:lang w:val="en-US" w:eastAsia="zh-CN"/>
                <w:highlight w:val="none"/>
              </w:rPr>
            </w:pPr>
            <w:r>
              <w:rPr>
                <w:rFonts w:hint="eastAsia"/>
                <w:kern w:val="0"/>
                <w:sz w:val="24"/>
                <w:szCs w:val="20"/>
                <w:lang w:val="en-US" w:eastAsia="zh-CN"/>
                <w:highlight w:val="none"/>
              </w:rPr>
              <w:t>(四)给水管径选择</w:t>
            </w:r>
          </w:p>
          <w:p>
            <w:pPr>
              <w:tabs>
                <w:tab w:val="left" w:pos="360"/>
              </w:tabs>
              <w:adjustRightInd w:val="0"/>
              <w:snapToGrid w:val="0"/>
              <w:spacing w:line="360" w:lineRule="auto"/>
              <w:ind w:firstLineChars="200" w:firstLine="480"/>
              <w:rPr>
                <w:rFonts w:hint="eastAsia"/>
                <w:kern w:val="0"/>
                <w:sz w:val="24"/>
                <w:szCs w:val="20"/>
                <w:lang w:val="en-US" w:eastAsia="zh-CN"/>
                <w:highlight w:val="none"/>
              </w:rPr>
            </w:pPr>
            <w:r>
              <w:rPr>
                <w:rFonts w:hint="eastAsia"/>
                <w:kern w:val="0"/>
                <w:sz w:val="24"/>
                <w:szCs w:val="20"/>
                <w:lang w:val="en-US" w:eastAsia="zh-CN"/>
                <w:highlight w:val="none"/>
              </w:rPr>
              <w:t>为了避免按近期埋设管线管径偏小，带来后期开发跟不上及管线走廊不够所带来的种种问题，拟定管径选择按远期规划取定，主干管DN400。</w:t>
            </w:r>
          </w:p>
          <w:p>
            <w:pPr>
              <w:tabs>
                <w:tab w:val="left" w:pos="360"/>
              </w:tabs>
              <w:adjustRightInd w:val="0"/>
              <w:snapToGrid w:val="0"/>
              <w:spacing w:line="360" w:lineRule="auto"/>
              <w:ind w:firstLineChars="200" w:firstLine="480"/>
              <w:rPr>
                <w:rFonts w:hint="eastAsia"/>
                <w:kern w:val="0"/>
                <w:sz w:val="24"/>
                <w:szCs w:val="20"/>
                <w:lang w:val="en-US" w:eastAsia="zh-CN"/>
                <w:highlight w:val="none"/>
              </w:rPr>
            </w:pPr>
            <w:r>
              <w:rPr>
                <w:rFonts w:hint="eastAsia"/>
                <w:kern w:val="0"/>
                <w:sz w:val="24"/>
                <w:szCs w:val="20"/>
                <w:lang w:val="en-US" w:eastAsia="zh-CN"/>
                <w:highlight w:val="none"/>
              </w:rPr>
              <w:t>(五）管网布置</w:t>
            </w:r>
          </w:p>
          <w:p>
            <w:pPr>
              <w:tabs>
                <w:tab w:val="left" w:pos="360"/>
              </w:tabs>
              <w:adjustRightInd w:val="0"/>
              <w:snapToGrid w:val="0"/>
              <w:spacing w:line="360" w:lineRule="auto"/>
              <w:ind w:firstLineChars="200" w:firstLine="480"/>
              <w:rPr>
                <w:rFonts w:hint="eastAsia"/>
                <w:kern w:val="0"/>
                <w:sz w:val="24"/>
                <w:szCs w:val="20"/>
                <w:highlight w:val="none"/>
              </w:rPr>
            </w:pPr>
            <w:r>
              <w:rPr>
                <w:rFonts w:hint="eastAsia"/>
                <w:kern w:val="0"/>
                <w:sz w:val="24"/>
                <w:szCs w:val="20"/>
                <w:lang w:val="en-US" w:eastAsia="zh-CN"/>
                <w:highlight w:val="none"/>
              </w:rPr>
              <w:t>水管线干管间距按500-800米，给水管线沿道路的东南敷设，各节点处用阀门控制，以利检修。给水管道上每120米范围内设置SS-100型地上式消火栓一座，在管网高点处设置自动排气阀，在最低点处设置排泥泄水阀。</w:t>
            </w:r>
            <w:r>
              <w:rPr>
                <w:rFonts w:hint="eastAsia"/>
                <w:kern w:val="0"/>
                <w:sz w:val="24"/>
                <w:szCs w:val="20"/>
                <w:highlight w:val="none"/>
              </w:rPr>
              <w:t>”</w:t>
            </w:r>
          </w:p>
          <w:p>
            <w:pPr>
              <w:tabs>
                <w:tab w:val="left" w:pos="360"/>
              </w:tabs>
              <w:adjustRightInd w:val="0"/>
              <w:snapToGrid w:val="0"/>
              <w:spacing w:line="360" w:lineRule="auto"/>
              <w:ind w:firstLineChars="200" w:firstLine="480"/>
              <w:rPr>
                <w:rFonts w:eastAsia="宋体" w:hint="eastAsia"/>
                <w:lang w:eastAsia="zh-CN"/>
                <w:highlight w:val="none"/>
              </w:rPr>
            </w:pPr>
            <w:r>
              <w:rPr>
                <w:rFonts w:ascii="Times New Roman" w:eastAsia="宋体" w:cs="Times New Roman" w:hAnsi="Times New Roman" w:hint="eastAsia"/>
                <w:kern w:val="0"/>
                <w:sz w:val="24"/>
                <w:szCs w:val="20"/>
                <w:u w:val="single"/>
                <w:lang w:val="en-US" w:eastAsia="zh-CN"/>
                <w:highlight w:val="none"/>
              </w:rPr>
              <w:t>本</w:t>
            </w:r>
            <w:r>
              <w:rPr>
                <w:rFonts w:ascii="Times New Roman" w:eastAsia="宋体" w:cs="Times New Roman" w:hAnsi="Times New Roman" w:hint="eastAsia"/>
                <w:kern w:val="0"/>
                <w:sz w:val="24"/>
                <w:szCs w:val="20"/>
                <w:u w:val="single"/>
                <w:highlight w:val="none"/>
              </w:rPr>
              <w:t>项目主要涉及澧县甘溪滩镇全域以及火连坡镇的金山村、澧淞村、楠木村等6个行政村，共2个乡镇，22个行政村，总户数12656户，总人口50996人。</w:t>
            </w:r>
            <w:r>
              <w:rPr>
                <w:rFonts w:hint="eastAsia"/>
                <w:kern w:val="0"/>
                <w:sz w:val="24"/>
                <w:szCs w:val="20"/>
                <w:u w:val="single"/>
                <w:highlight w:val="none"/>
              </w:rPr>
              <w:t>项目建设完成后水厂供水规模为</w:t>
            </w:r>
            <w:r>
              <w:rPr>
                <w:rFonts w:hint="eastAsia"/>
                <w:kern w:val="0"/>
                <w:sz w:val="24"/>
                <w:szCs w:val="20"/>
                <w:u w:val="single"/>
                <w:lang w:val="en-US" w:eastAsia="zh-CN"/>
                <w:highlight w:val="none"/>
              </w:rPr>
              <w:t>1.0</w:t>
            </w:r>
            <w:r>
              <w:rPr>
                <w:rFonts w:hint="eastAsia"/>
                <w:kern w:val="0"/>
                <w:sz w:val="24"/>
                <w:szCs w:val="20"/>
                <w:u w:val="single"/>
                <w:highlight w:val="none"/>
              </w:rPr>
              <w:t>万立方米/</w:t>
            </w:r>
            <w:r>
              <w:rPr>
                <w:rFonts w:hint="eastAsia"/>
                <w:kern w:val="0"/>
                <w:sz w:val="24"/>
                <w:szCs w:val="20"/>
                <w:u w:val="single"/>
                <w:lang w:val="en-US" w:eastAsia="zh-CN"/>
                <w:highlight w:val="none"/>
              </w:rPr>
              <w:t>日</w:t>
            </w:r>
            <w:r>
              <w:rPr>
                <w:rFonts w:hint="eastAsia"/>
                <w:kern w:val="0"/>
                <w:sz w:val="24"/>
                <w:szCs w:val="20"/>
                <w:u w:val="single"/>
                <w:highlight w:val="none"/>
              </w:rPr>
              <w:t>，</w:t>
            </w:r>
            <w:r>
              <w:rPr>
                <w:rFonts w:hint="eastAsia"/>
                <w:kern w:val="0"/>
                <w:sz w:val="24"/>
                <w:szCs w:val="20"/>
                <w:u w:val="single"/>
                <w:lang w:val="en-US" w:eastAsia="zh-CN"/>
                <w:highlight w:val="none"/>
              </w:rPr>
              <w:t>且本</w:t>
            </w:r>
            <w:r>
              <w:rPr>
                <w:rFonts w:hint="eastAsia"/>
                <w:kern w:val="0"/>
                <w:sz w:val="24"/>
                <w:szCs w:val="20"/>
                <w:u w:val="single"/>
                <w:highlight w:val="none"/>
              </w:rPr>
              <w:t>项目</w:t>
            </w:r>
            <w:r>
              <w:rPr>
                <w:rFonts w:hint="eastAsia"/>
                <w:kern w:val="0"/>
                <w:sz w:val="24"/>
                <w:szCs w:val="20"/>
                <w:u w:val="single"/>
                <w:lang w:val="en-US" w:eastAsia="zh-CN"/>
                <w:highlight w:val="none"/>
              </w:rPr>
              <w:t>已取得澧县发展和改革局及澧县水利局批复，项目建设</w:t>
            </w:r>
            <w:r>
              <w:rPr>
                <w:rFonts w:hint="eastAsia"/>
                <w:kern w:val="0"/>
                <w:sz w:val="24"/>
                <w:szCs w:val="20"/>
                <w:u w:val="single"/>
                <w:highlight w:val="none"/>
              </w:rPr>
              <w:t>符合《</w:t>
            </w:r>
            <w:r>
              <w:rPr>
                <w:rFonts w:hint="eastAsia"/>
                <w:kern w:val="0"/>
                <w:sz w:val="24"/>
                <w:szCs w:val="20"/>
                <w:u w:val="single"/>
                <w:lang w:val="en-US" w:eastAsia="zh-CN"/>
                <w:highlight w:val="none"/>
              </w:rPr>
              <w:t>澧县甘溪滩镇</w:t>
            </w:r>
            <w:r>
              <w:rPr>
                <w:rFonts w:hint="eastAsia"/>
                <w:kern w:val="0"/>
                <w:sz w:val="24"/>
                <w:szCs w:val="20"/>
                <w:u w:val="single"/>
                <w:highlight w:val="none"/>
              </w:rPr>
              <w:t>总体规划（20</w:t>
            </w:r>
            <w:r>
              <w:rPr>
                <w:rFonts w:hint="eastAsia"/>
                <w:kern w:val="0"/>
                <w:sz w:val="24"/>
                <w:szCs w:val="20"/>
                <w:u w:val="single"/>
                <w:lang w:val="en-US" w:eastAsia="zh-CN"/>
                <w:highlight w:val="none"/>
              </w:rPr>
              <w:t>16</w:t>
            </w:r>
            <w:r>
              <w:rPr>
                <w:rFonts w:hint="eastAsia"/>
                <w:kern w:val="0"/>
                <w:sz w:val="24"/>
                <w:szCs w:val="20"/>
                <w:u w:val="single"/>
                <w:highlight w:val="none"/>
              </w:rPr>
              <w:t>—203</w:t>
            </w:r>
            <w:r>
              <w:rPr>
                <w:rFonts w:hint="eastAsia"/>
                <w:kern w:val="0"/>
                <w:sz w:val="24"/>
                <w:szCs w:val="20"/>
                <w:u w:val="single"/>
                <w:lang w:val="en-US" w:eastAsia="zh-CN"/>
                <w:highlight w:val="none"/>
              </w:rPr>
              <w:t>0</w:t>
            </w:r>
            <w:r>
              <w:rPr>
                <w:rFonts w:hint="eastAsia"/>
                <w:kern w:val="0"/>
                <w:sz w:val="24"/>
                <w:szCs w:val="20"/>
                <w:u w:val="single"/>
                <w:highlight w:val="none"/>
              </w:rPr>
              <w:t>）》要求</w:t>
            </w:r>
            <w:r>
              <w:rPr>
                <w:rFonts w:hint="eastAsia"/>
                <w:kern w:val="0"/>
                <w:sz w:val="24"/>
                <w:szCs w:val="20"/>
                <w:u w:val="single"/>
                <w:lang w:eastAsia="zh-CN"/>
                <w:highlight w:val="none"/>
              </w:rPr>
              <w:t>。</w:t>
            </w:r>
          </w:p>
        </w:tc>
      </w:tr>
      <w:tr>
        <w:trPr>
          <w:trHeight w:val="454"/>
        </w:trPr>
        <w:tc>
          <w:tcPr>
            <w:tcW w:w="1911" w:type="dxa"/>
            <w:tcMar>
              <w:left w:w="108" w:type="dxa"/>
            </w:tcMar>
            <w:vAlign w:val="center"/>
          </w:tcPr>
          <w:p>
            <w:pPr>
              <w:autoSpaceDE w:val="0"/>
              <w:autoSpaceDN w:val="0"/>
              <w:jc w:val="center"/>
              <w:rPr>
                <w:kern w:val="0"/>
                <w:sz w:val="24"/>
                <w:highlight w:val="none"/>
              </w:rPr>
            </w:pPr>
            <w:r>
              <w:rPr>
                <w:kern w:val="0"/>
                <w:sz w:val="24"/>
                <w:highlight w:val="none"/>
              </w:rPr>
              <w:t>其他符合性分析</w:t>
            </w:r>
          </w:p>
        </w:tc>
        <w:tc>
          <w:tcPr>
            <w:tcW w:w="7391" w:type="dxa"/>
            <w:gridSpan w:val="3"/>
            <w:tcMar>
              <w:left w:w="108" w:type="dxa"/>
            </w:tcMar>
            <w:vAlign w:val="center"/>
          </w:tcPr>
          <w:p>
            <w:pPr>
              <w:tabs>
                <w:tab w:val="left" w:pos="360"/>
              </w:tabs>
              <w:spacing w:line="360" w:lineRule="auto"/>
              <w:rPr>
                <w:b/>
                <w:snapToGrid w:val="0"/>
                <w:sz w:val="24"/>
                <w:highlight w:val="none"/>
              </w:rPr>
            </w:pPr>
            <w:r>
              <w:rPr>
                <w:b/>
                <w:snapToGrid w:val="0"/>
                <w:sz w:val="24"/>
                <w:highlight w:val="none"/>
              </w:rPr>
              <w:t>1、产业政策符合性分析</w:t>
            </w:r>
          </w:p>
          <w:p>
            <w:pPr>
              <w:pStyle w:val="26"/>
              <w:adjustRightInd w:val="0"/>
              <w:snapToGrid w:val="0"/>
              <w:spacing w:after="0" w:line="360" w:lineRule="auto"/>
              <w:ind w:leftChars="0" w:left="0" w:firstLineChars="200" w:firstLine="480"/>
              <w:rPr>
                <w:rFonts w:hint="eastAsia"/>
                <w:kern w:val="0"/>
                <w:sz w:val="24"/>
                <w:szCs w:val="20"/>
                <w:lang w:eastAsia="zh-CN"/>
                <w:highlight w:val="none"/>
              </w:rPr>
            </w:pPr>
            <w:r>
              <w:rPr>
                <w:kern w:val="0"/>
                <w:sz w:val="24"/>
                <w:szCs w:val="20"/>
                <w:highlight w:val="none"/>
              </w:rPr>
              <w:t>本项目属于国民经济行业分类中的“D4610-自来水生产和供应”，对照《产业结构调整指导目录（20</w:t>
            </w:r>
            <w:r>
              <w:rPr>
                <w:rFonts w:hint="eastAsia"/>
                <w:kern w:val="0"/>
                <w:sz w:val="24"/>
                <w:szCs w:val="20"/>
                <w:highlight w:val="none"/>
              </w:rPr>
              <w:t>24</w:t>
            </w:r>
            <w:r>
              <w:rPr>
                <w:kern w:val="0"/>
                <w:sz w:val="24"/>
                <w:szCs w:val="20"/>
                <w:highlight w:val="none"/>
              </w:rPr>
              <w:t>年本）》，本项目属于其中鼓励类建设项目</w:t>
            </w:r>
            <w:r>
              <w:rPr>
                <w:rFonts w:hint="eastAsia"/>
                <w:kern w:val="0"/>
                <w:sz w:val="24"/>
                <w:szCs w:val="20"/>
                <w:highlight w:val="none"/>
              </w:rPr>
              <w:t>“</w:t>
            </w:r>
            <w:r>
              <w:rPr>
                <w:kern w:val="0"/>
                <w:sz w:val="24"/>
                <w:szCs w:val="20"/>
                <w:highlight w:val="none"/>
              </w:rPr>
              <w:t xml:space="preserve">二十二、城镇基础设施 </w:t>
            </w:r>
            <w:r>
              <w:rPr>
                <w:rFonts w:hint="eastAsia"/>
                <w:kern w:val="0"/>
                <w:sz w:val="24"/>
                <w:szCs w:val="20"/>
                <w:highlight w:val="none"/>
              </w:rPr>
              <w:t>2</w:t>
            </w:r>
            <w:r>
              <w:rPr>
                <w:kern w:val="0"/>
                <w:sz w:val="24"/>
                <w:szCs w:val="20"/>
                <w:highlight w:val="none"/>
              </w:rPr>
              <w:t>、</w:t>
            </w:r>
            <w:r>
              <w:rPr>
                <w:rFonts w:hint="eastAsia"/>
                <w:kern w:val="0"/>
                <w:sz w:val="24"/>
                <w:szCs w:val="20"/>
                <w:highlight w:val="none"/>
              </w:rPr>
              <w:t>市政基础设施”</w:t>
            </w:r>
            <w:r>
              <w:rPr>
                <w:rFonts w:hint="eastAsia"/>
                <w:kern w:val="0"/>
                <w:sz w:val="24"/>
                <w:szCs w:val="20"/>
                <w:lang w:eastAsia="zh-CN"/>
                <w:highlight w:val="none"/>
              </w:rPr>
              <w:t>。</w:t>
            </w:r>
          </w:p>
          <w:p>
            <w:pPr>
              <w:pStyle w:val="26"/>
              <w:adjustRightInd w:val="0"/>
              <w:snapToGrid w:val="0"/>
              <w:spacing w:after="0" w:line="360" w:lineRule="auto"/>
              <w:ind w:leftChars="0" w:left="0" w:firstLineChars="200" w:firstLine="480"/>
              <w:rPr>
                <w:rFonts w:ascii="Times New Roman" w:hAnsi="Times New Roman" w:hint="eastAsia"/>
                <w:color w:val="auto"/>
                <w:sz w:val="24"/>
                <w:szCs w:val="24"/>
                <w:u w:val="none" w:color="auto"/>
                <w:lang w:val="en-US" w:eastAsia="zh-CN"/>
                <w:highlight w:val="none"/>
              </w:rPr>
            </w:pPr>
            <w:r>
              <w:rPr>
                <w:rFonts w:ascii="Times New Roman" w:hAnsi="Times New Roman" w:hint="eastAsia"/>
                <w:color w:val="auto"/>
                <w:sz w:val="24"/>
                <w:szCs w:val="24"/>
                <w:u w:val="none" w:color="auto"/>
                <w:lang w:val="en-US" w:eastAsia="zh-CN"/>
                <w:highlight w:val="none"/>
              </w:rPr>
              <w:t>本项目属于城镇供水工程，符合《国务院办公厅关于加强饮用水安全保障工作的通知》（国办发[2005]45号）。项目不在《限制用地项目目录（2012年本）和《禁止用地项目目录（2012年本》的限制、禁止用地项目目录之列；且本项目工艺装备不在《部分工业行业淘汰落后生产工艺装备和产品指导目录（2010年本）》之列。</w:t>
            </w:r>
          </w:p>
          <w:p>
            <w:pPr>
              <w:tabs>
                <w:tab w:val="left" w:pos="360"/>
              </w:tabs>
              <w:adjustRightInd w:val="0"/>
              <w:snapToGrid w:val="0"/>
              <w:spacing w:line="360" w:lineRule="auto"/>
              <w:ind w:firstLineChars="200" w:firstLine="480"/>
              <w:rPr>
                <w:b/>
                <w:snapToGrid w:val="0"/>
                <w:sz w:val="24"/>
                <w:highlight w:val="none"/>
              </w:rPr>
            </w:pPr>
            <w:r>
              <w:rPr>
                <w:rFonts w:ascii="Times New Roman" w:hAnsi="Times New Roman" w:hint="eastAsia"/>
                <w:color w:val="auto"/>
                <w:sz w:val="24"/>
                <w:szCs w:val="24"/>
                <w:u w:val="none" w:color="auto"/>
                <w:lang w:val="en-US" w:eastAsia="zh-CN"/>
                <w:highlight w:val="none"/>
              </w:rPr>
              <w:t>综上所述，本项目建设符合国家和地方产业政策。</w:t>
            </w:r>
          </w:p>
          <w:p>
            <w:pPr>
              <w:tabs>
                <w:tab w:val="left" w:pos="360"/>
              </w:tabs>
              <w:spacing w:line="360" w:lineRule="auto"/>
              <w:rPr>
                <w:b/>
                <w:snapToGrid w:val="0"/>
                <w:sz w:val="24"/>
                <w:highlight w:val="none"/>
              </w:rPr>
            </w:pPr>
            <w:r>
              <w:rPr>
                <w:rFonts w:hint="eastAsia"/>
                <w:b/>
                <w:snapToGrid w:val="0"/>
                <w:sz w:val="24"/>
                <w:highlight w:val="none"/>
              </w:rPr>
              <w:t>2</w:t>
            </w:r>
            <w:r>
              <w:rPr>
                <w:b/>
                <w:snapToGrid w:val="0"/>
                <w:sz w:val="24"/>
                <w:highlight w:val="none"/>
              </w:rPr>
              <w:t>、</w:t>
            </w:r>
            <w:r>
              <w:rPr>
                <w:rFonts w:hint="eastAsia"/>
                <w:b/>
                <w:snapToGrid w:val="0"/>
                <w:sz w:val="24"/>
                <w:highlight w:val="none"/>
              </w:rPr>
              <w:t>生态环境分区管控</w:t>
            </w:r>
            <w:r>
              <w:rPr>
                <w:b/>
                <w:snapToGrid w:val="0"/>
                <w:sz w:val="24"/>
                <w:highlight w:val="none"/>
              </w:rPr>
              <w:t>合理性分析</w:t>
            </w:r>
          </w:p>
          <w:p>
            <w:pPr>
              <w:tabs>
                <w:tab w:val="left" w:pos="360"/>
              </w:tabs>
              <w:spacing w:line="360" w:lineRule="auto"/>
              <w:ind w:firstLineChars="200" w:firstLine="480"/>
              <w:rPr>
                <w:kern w:val="0"/>
                <w:sz w:val="24"/>
                <w:u w:val="single" w:color="auto"/>
                <w:highlight w:val="none"/>
              </w:rPr>
            </w:pPr>
            <w:r>
              <w:rPr>
                <w:kern w:val="0"/>
                <w:sz w:val="24"/>
                <w:u w:val="single" w:color="auto"/>
                <w:highlight w:val="none"/>
              </w:rPr>
              <w:t>（1）生态保护红线</w:t>
            </w:r>
          </w:p>
          <w:p>
            <w:pPr>
              <w:tabs>
                <w:tab w:val="left" w:pos="360"/>
              </w:tabs>
              <w:spacing w:line="360" w:lineRule="auto"/>
              <w:ind w:firstLineChars="200" w:firstLine="480"/>
              <w:rPr>
                <w:kern w:val="0"/>
                <w:sz w:val="24"/>
                <w:highlight w:val="none"/>
              </w:rPr>
            </w:pPr>
            <w:r>
              <w:rPr>
                <w:rFonts w:ascii="Times New Roman" w:cs="Times New Roman" w:hAnsi="Times New Roman" w:hint="eastAsia"/>
                <w:color w:val="auto"/>
                <w:kern w:val="0"/>
                <w:sz w:val="24"/>
                <w:u w:val="single" w:color="auto"/>
                <w:lang w:val="en-US" w:eastAsia="zh-CN"/>
                <w:highlight w:val="none"/>
              </w:rPr>
              <w:t>对照</w:t>
            </w:r>
            <w:r>
              <w:rPr>
                <w:rFonts w:ascii="Times New Roman" w:cs="Times New Roman" w:hAnsi="Times New Roman"/>
                <w:color w:val="auto"/>
                <w:kern w:val="0"/>
                <w:sz w:val="24"/>
                <w:u w:val="single" w:color="auto"/>
                <w:highlight w:val="none"/>
              </w:rPr>
              <w:t>湖南省人民政府关于印发《湖南省生态保护红线&gt;的通知》（湘政发[2018]20 号）</w:t>
            </w:r>
            <w:r>
              <w:rPr>
                <w:rFonts w:ascii="Times New Roman" w:cs="Times New Roman" w:hAnsi="Times New Roman" w:hint="eastAsia"/>
                <w:color w:val="auto"/>
                <w:kern w:val="0"/>
                <w:sz w:val="24"/>
                <w:u w:val="single" w:color="auto"/>
                <w:lang w:val="en-US" w:eastAsia="zh-CN"/>
                <w:highlight w:val="none"/>
              </w:rPr>
              <w:t>的相关内容</w:t>
            </w:r>
            <w:r>
              <w:rPr>
                <w:rFonts w:ascii="Times New Roman" w:cs="Times New Roman" w:hAnsi="Times New Roman"/>
                <w:color w:val="auto"/>
                <w:kern w:val="0"/>
                <w:sz w:val="24"/>
                <w:u w:val="single" w:color="auto"/>
                <w:highlight w:val="none"/>
              </w:rPr>
              <w:t>，本项目不涉及自然保护区、森林公园、风景名胜区、湿地公园、水产种质资源保护区、水源涵养区等生态保护红线。因此，本项目符合《湖南省生态保护红线》控制要求</w:t>
            </w:r>
            <w:r>
              <w:rPr>
                <w:rFonts w:ascii="Times New Roman" w:cs="Times New Roman" w:hAnsi="Times New Roman" w:hint="eastAsia"/>
                <w:color w:val="auto"/>
                <w:kern w:val="0"/>
                <w:sz w:val="24"/>
                <w:u w:val="single" w:color="auto"/>
                <w:lang w:eastAsia="zh-CN"/>
                <w:highlight w:val="none"/>
              </w:rPr>
              <w:t>。</w:t>
            </w:r>
          </w:p>
          <w:p>
            <w:pPr>
              <w:tabs>
                <w:tab w:val="left" w:pos="360"/>
              </w:tabs>
              <w:spacing w:line="360" w:lineRule="auto"/>
              <w:ind w:firstLineChars="200" w:firstLine="480"/>
              <w:rPr>
                <w:kern w:val="0"/>
                <w:sz w:val="24"/>
                <w:highlight w:val="none"/>
              </w:rPr>
            </w:pPr>
            <w:r>
              <w:rPr>
                <w:kern w:val="0"/>
                <w:sz w:val="24"/>
                <w:highlight w:val="none"/>
              </w:rPr>
              <w:t>（2）环境质量底线</w:t>
            </w:r>
          </w:p>
          <w:p>
            <w:pPr>
              <w:tabs>
                <w:tab w:val="left" w:pos="360"/>
              </w:tabs>
              <w:spacing w:line="360" w:lineRule="auto"/>
              <w:ind w:firstLineChars="200" w:firstLine="480"/>
              <w:rPr>
                <w:kern w:val="0"/>
                <w:sz w:val="24"/>
                <w:highlight w:val="none"/>
              </w:rPr>
            </w:pPr>
            <w:r>
              <w:rPr>
                <w:rFonts w:ascii="Times New Roman" w:cs="Times New Roman" w:hAnsi="Times New Roman"/>
                <w:color w:val="auto"/>
                <w:kern w:val="0"/>
                <w:sz w:val="24"/>
                <w:u w:val="none" w:color="auto"/>
                <w:highlight w:val="none"/>
              </w:rPr>
              <w:t>根据常德市生态环境局 202</w:t>
            </w:r>
            <w:r>
              <w:rPr>
                <w:rFonts w:ascii="Times New Roman" w:cs="Times New Roman" w:hAnsi="Times New Roman" w:hint="eastAsia"/>
                <w:color w:val="auto"/>
                <w:kern w:val="0"/>
                <w:sz w:val="24"/>
                <w:u w:val="none" w:color="auto"/>
                <w:lang w:val="en-US" w:eastAsia="zh-CN"/>
                <w:highlight w:val="none"/>
              </w:rPr>
              <w:t>4</w:t>
            </w:r>
            <w:r>
              <w:rPr>
                <w:rFonts w:ascii="Times New Roman" w:cs="Times New Roman" w:hAnsi="Times New Roman"/>
                <w:color w:val="auto"/>
                <w:kern w:val="0"/>
                <w:sz w:val="24"/>
                <w:u w:val="none" w:color="auto"/>
                <w:highlight w:val="none"/>
              </w:rPr>
              <w:t>年1-12月全市环境质量状况可知，所在区域环境空气质量符合《环境空气质量标准》（GB3095-2012），属于达标区</w:t>
            </w:r>
            <w:r>
              <w:rPr>
                <w:rFonts w:ascii="Times New Roman" w:cs="Times New Roman" w:hAnsi="Times New Roman" w:hint="eastAsia"/>
                <w:color w:val="auto"/>
                <w:kern w:val="0"/>
                <w:sz w:val="24"/>
                <w:u w:val="none" w:color="auto"/>
                <w:lang w:eastAsia="zh-CN"/>
                <w:highlight w:val="none"/>
              </w:rPr>
              <w:t>。</w:t>
            </w:r>
            <w:r>
              <w:rPr>
                <w:rFonts w:ascii="Times New Roman" w:cs="Times New Roman" w:hAnsi="Times New Roman"/>
                <w:color w:val="auto"/>
                <w:kern w:val="0"/>
                <w:sz w:val="24"/>
                <w:u w:val="none" w:color="auto"/>
                <w:highlight w:val="none"/>
              </w:rPr>
              <w:t>根据常德市生态环境局 202</w:t>
            </w:r>
            <w:r>
              <w:rPr>
                <w:rFonts w:ascii="Times New Roman" w:cs="Times New Roman" w:hAnsi="Times New Roman" w:hint="eastAsia"/>
                <w:color w:val="auto"/>
                <w:kern w:val="0"/>
                <w:sz w:val="24"/>
                <w:u w:val="none" w:color="auto"/>
                <w:lang w:val="en-US" w:eastAsia="zh-CN"/>
                <w:highlight w:val="none"/>
              </w:rPr>
              <w:t>4</w:t>
            </w:r>
            <w:r>
              <w:rPr>
                <w:rFonts w:ascii="Times New Roman" w:cs="Times New Roman" w:hAnsi="Times New Roman"/>
                <w:color w:val="auto"/>
                <w:kern w:val="0"/>
                <w:sz w:val="24"/>
                <w:u w:val="none" w:color="auto"/>
                <w:highlight w:val="none"/>
              </w:rPr>
              <w:t>年1-12月</w:t>
            </w:r>
            <w:r>
              <w:rPr>
                <w:rFonts w:ascii="Times New Roman" w:cs="Times New Roman" w:hAnsi="Times New Roman" w:hint="eastAsia"/>
                <w:color w:val="auto"/>
                <w:kern w:val="0"/>
                <w:sz w:val="24"/>
                <w:u w:val="none" w:color="auto"/>
                <w:lang w:val="en-US" w:eastAsia="zh-CN"/>
                <w:highlight w:val="none"/>
              </w:rPr>
              <w:t>国省控水质监测断面水质状况</w:t>
            </w:r>
            <w:r>
              <w:rPr>
                <w:rFonts w:ascii="Times New Roman" w:cs="Times New Roman" w:hAnsi="Times New Roman"/>
                <w:color w:val="auto"/>
                <w:kern w:val="0"/>
                <w:sz w:val="24"/>
                <w:u w:val="none" w:color="auto"/>
                <w:highlight w:val="none"/>
              </w:rPr>
              <w:t>可知，</w:t>
            </w:r>
            <w:r>
              <w:rPr>
                <w:rFonts w:cs="Times New Roman" w:hint="eastAsia"/>
                <w:color w:val="auto"/>
                <w:kern w:val="0"/>
                <w:sz w:val="24"/>
                <w:u w:val="none" w:color="auto"/>
                <w:lang w:val="en-US" w:eastAsia="zh-CN"/>
                <w:highlight w:val="none"/>
              </w:rPr>
              <w:t>太青水库本项目取水口</w:t>
            </w:r>
            <w:r>
              <w:rPr>
                <w:rFonts w:ascii="Times New Roman" w:cs="Times New Roman" w:hAnsi="Times New Roman"/>
                <w:color w:val="auto"/>
                <w:kern w:val="0"/>
                <w:sz w:val="24"/>
                <w:u w:val="none" w:color="auto"/>
                <w:highlight w:val="none"/>
              </w:rPr>
              <w:t>水质符合《地表水环境质量标准》(GB3838-2002) II类水标准。</w:t>
            </w:r>
            <w:r>
              <w:rPr>
                <w:rFonts w:hint="eastAsia"/>
                <w:sz w:val="24"/>
                <w:highlight w:val="none"/>
              </w:rPr>
              <w:t>项目声环境各</w:t>
            </w:r>
            <w:r>
              <w:rPr>
                <w:sz w:val="24"/>
                <w:highlight w:val="none"/>
              </w:rPr>
              <w:t>监测点</w:t>
            </w:r>
            <w:r>
              <w:rPr>
                <w:rFonts w:hint="eastAsia"/>
                <w:sz w:val="24"/>
                <w:highlight w:val="none"/>
              </w:rPr>
              <w:t>昼夜间</w:t>
            </w:r>
            <w:r>
              <w:rPr>
                <w:sz w:val="24"/>
                <w:highlight w:val="none"/>
              </w:rPr>
              <w:t>噪声值</w:t>
            </w:r>
            <w:r>
              <w:rPr>
                <w:rFonts w:hint="eastAsia"/>
                <w:sz w:val="24"/>
                <w:highlight w:val="none"/>
              </w:rPr>
              <w:t>均</w:t>
            </w:r>
            <w:r>
              <w:rPr>
                <w:sz w:val="24"/>
                <w:highlight w:val="none"/>
              </w:rPr>
              <w:t>满足《声环境质量标准》（GB3096-2008）2类标准</w:t>
            </w:r>
            <w:r>
              <w:rPr>
                <w:kern w:val="0"/>
                <w:sz w:val="24"/>
                <w:highlight w:val="none"/>
              </w:rPr>
              <w:t>。本项目产生的三废均能有效处理，采取相应治理措施后可达标排放。因此本项目建设不会对当地环境质量底线造成冲击。</w:t>
            </w:r>
          </w:p>
          <w:p>
            <w:pPr>
              <w:tabs>
                <w:tab w:val="left" w:pos="360"/>
              </w:tabs>
              <w:spacing w:line="360" w:lineRule="auto"/>
              <w:ind w:firstLineChars="200" w:firstLine="480"/>
              <w:rPr>
                <w:kern w:val="0"/>
                <w:sz w:val="24"/>
                <w:highlight w:val="none"/>
              </w:rPr>
            </w:pPr>
            <w:r>
              <w:rPr>
                <w:kern w:val="0"/>
                <w:sz w:val="24"/>
                <w:highlight w:val="none"/>
              </w:rPr>
              <w:t>（3）资源利用上线</w:t>
            </w:r>
          </w:p>
          <w:p>
            <w:pPr>
              <w:tabs>
                <w:tab w:val="left" w:pos="360"/>
              </w:tabs>
              <w:spacing w:line="360" w:lineRule="auto"/>
              <w:ind w:firstLineChars="200" w:firstLine="480"/>
              <w:rPr>
                <w:kern w:val="0"/>
                <w:sz w:val="24"/>
                <w:highlight w:val="none"/>
              </w:rPr>
            </w:pPr>
            <w:r>
              <w:rPr>
                <w:kern w:val="0"/>
                <w:sz w:val="24"/>
                <w:highlight w:val="none"/>
              </w:rPr>
              <w:t>项目内用水主要来源为</w:t>
            </w:r>
            <w:r>
              <w:rPr>
                <w:rFonts w:hint="eastAsia"/>
                <w:sz w:val="24"/>
                <w:lang w:val="en-US" w:eastAsia="zh-CN"/>
                <w:highlight w:val="none"/>
              </w:rPr>
              <w:t>太青水库</w:t>
            </w:r>
            <w:r>
              <w:rPr>
                <w:rFonts w:hint="eastAsia"/>
                <w:kern w:val="0"/>
                <w:sz w:val="24"/>
                <w:highlight w:val="none"/>
              </w:rPr>
              <w:t>，为</w:t>
            </w:r>
            <w:r>
              <w:rPr>
                <w:sz w:val="24"/>
                <w:highlight w:val="none"/>
              </w:rPr>
              <w:t>自来水生产和供应</w:t>
            </w:r>
            <w:r>
              <w:rPr>
                <w:rFonts w:hint="eastAsia"/>
                <w:sz w:val="24"/>
                <w:highlight w:val="none"/>
              </w:rPr>
              <w:t>工程</w:t>
            </w:r>
            <w:r>
              <w:rPr>
                <w:rFonts w:hint="eastAsia"/>
                <w:kern w:val="0"/>
                <w:sz w:val="24"/>
                <w:highlight w:val="none"/>
              </w:rPr>
              <w:t>，根据本工程取水水资源论证报告，本工程取水不影响区域水资源量</w:t>
            </w:r>
            <w:r>
              <w:rPr>
                <w:kern w:val="0"/>
                <w:sz w:val="24"/>
                <w:highlight w:val="none"/>
              </w:rPr>
              <w:t>；项目用电由当地电网供电，项目建设土地资源消耗符合相关要求。因此项目符合资源利用上线要求。</w:t>
            </w:r>
          </w:p>
          <w:p>
            <w:pPr>
              <w:tabs>
                <w:tab w:val="left" w:pos="360"/>
              </w:tabs>
              <w:spacing w:line="360" w:lineRule="auto"/>
              <w:ind w:firstLineChars="200" w:firstLine="480"/>
              <w:rPr>
                <w:kern w:val="0"/>
                <w:sz w:val="24"/>
                <w:u w:val="single"/>
                <w:highlight w:val="none"/>
              </w:rPr>
            </w:pPr>
            <w:r>
              <w:rPr>
                <w:kern w:val="0"/>
                <w:sz w:val="24"/>
                <w:u w:val="single"/>
                <w:highlight w:val="none"/>
              </w:rPr>
              <w:t>（4）生态环境准入清单</w:t>
            </w:r>
          </w:p>
          <w:p>
            <w:pPr>
              <w:tabs>
                <w:tab w:val="left" w:pos="360"/>
              </w:tabs>
              <w:spacing w:line="360" w:lineRule="auto"/>
              <w:ind w:firstLineChars="200" w:firstLine="480"/>
              <w:rPr>
                <w:kern w:val="0"/>
                <w:sz w:val="24"/>
                <w:highlight w:val="none"/>
              </w:rPr>
            </w:pPr>
            <w:r>
              <w:rPr>
                <w:rFonts w:ascii="Times New Roman" w:eastAsia="宋体" w:hAnsi="Times New Roman" w:hint="eastAsia"/>
                <w:bCs/>
                <w:snapToGrid w:val="0"/>
                <w:sz w:val="24"/>
                <w:u w:val="single"/>
                <w:highlight w:val="none"/>
              </w:rPr>
              <w:t>根据《常德市其他环境管控单元（省级及以上产业园区除外）生态环境准入清单（2023年版）》，本项目位于</w:t>
            </w:r>
            <w:r>
              <w:rPr>
                <w:rFonts w:hint="eastAsia"/>
                <w:sz w:val="24"/>
                <w:u w:val="single"/>
                <w:lang w:val="en-US" w:eastAsia="zh-CN"/>
                <w:highlight w:val="none"/>
              </w:rPr>
              <w:t>常德市澧县甘溪滩镇</w:t>
            </w:r>
            <w:r>
              <w:rPr>
                <w:rFonts w:ascii="Times New Roman" w:eastAsia="宋体" w:hAnsi="Times New Roman" w:hint="eastAsia"/>
                <w:bCs/>
                <w:snapToGrid w:val="0"/>
                <w:sz w:val="24"/>
                <w:u w:val="single"/>
                <w:highlight w:val="none"/>
              </w:rPr>
              <w:t>，属于生态环境</w:t>
            </w:r>
            <w:r>
              <w:rPr>
                <w:rFonts w:ascii="Times New Roman" w:eastAsia="宋体" w:cs="Times New Roman" w:hAnsi="Times New Roman" w:hint="eastAsia"/>
                <w:bCs/>
                <w:snapToGrid w:val="0"/>
                <w:sz w:val="24"/>
                <w:u w:val="single"/>
                <w:highlight w:val="none"/>
              </w:rPr>
              <w:t>准入清单中</w:t>
            </w:r>
            <w:bookmarkStart w:id="7" w:name="_Toc2667"/>
            <w:r>
              <w:rPr>
                <w:rFonts w:ascii="Times New Roman" w:eastAsia="宋体" w:cs="Times New Roman" w:hAnsi="Times New Roman" w:hint="eastAsia"/>
                <w:bCs/>
                <w:snapToGrid w:val="0"/>
                <w:sz w:val="24"/>
                <w:u w:val="single"/>
                <w:highlight w:val="none"/>
              </w:rPr>
              <w:t>ZH4307233000</w:t>
            </w:r>
            <w:bookmarkEnd w:id="7"/>
            <w:r>
              <w:rPr>
                <w:rFonts w:cs="Times New Roman" w:hint="eastAsia"/>
                <w:bCs/>
                <w:snapToGrid w:val="0"/>
                <w:sz w:val="24"/>
                <w:u w:val="single"/>
                <w:lang w:val="en-US" w:eastAsia="zh-CN"/>
                <w:highlight w:val="none"/>
              </w:rPr>
              <w:t>1</w:t>
            </w:r>
            <w:r>
              <w:rPr>
                <w:rFonts w:ascii="Times New Roman" w:eastAsia="宋体" w:cs="Times New Roman" w:hAnsi="Times New Roman"/>
                <w:bCs/>
                <w:snapToGrid w:val="0"/>
                <w:sz w:val="24"/>
                <w:u w:val="single"/>
                <w:highlight w:val="none"/>
              </w:rPr>
              <w:t>甘溪滩镇/码头铺镇</w:t>
            </w:r>
            <w:r>
              <w:rPr>
                <w:rFonts w:ascii="Times New Roman" w:eastAsia="宋体" w:cs="Times New Roman" w:hAnsi="Times New Roman" w:hint="eastAsia"/>
                <w:bCs/>
                <w:snapToGrid w:val="0"/>
                <w:sz w:val="24"/>
                <w:u w:val="single"/>
                <w:highlight w:val="none"/>
              </w:rPr>
              <w:t>管</w:t>
            </w:r>
            <w:r>
              <w:rPr>
                <w:rFonts w:ascii="Times New Roman" w:eastAsia="宋体" w:hAnsi="Times New Roman" w:hint="eastAsia"/>
                <w:bCs/>
                <w:snapToGrid w:val="0"/>
                <w:sz w:val="24"/>
                <w:u w:val="single"/>
                <w:highlight w:val="none"/>
              </w:rPr>
              <w:t>控范围内</w:t>
            </w:r>
            <w:r>
              <w:rPr>
                <w:rFonts w:ascii="Times New Roman" w:eastAsia="宋体" w:hAnsi="Times New Roman" w:hint="eastAsia"/>
                <w:bCs/>
                <w:snapToGrid w:val="0"/>
                <w:sz w:val="24"/>
                <w:highlight w:val="none"/>
              </w:rPr>
              <w:t>，本项目与常德市</w:t>
            </w:r>
            <w:r>
              <w:rPr>
                <w:rFonts w:ascii="Times New Roman" w:eastAsia="宋体" w:hAnsi="Times New Roman" w:hint="eastAsia"/>
                <w:bCs/>
                <w:snapToGrid w:val="0"/>
                <w:sz w:val="24"/>
                <w:lang w:val="en-US" w:eastAsia="zh-CN"/>
                <w:highlight w:val="none"/>
              </w:rPr>
              <w:t>澧县</w:t>
            </w:r>
            <w:r>
              <w:rPr>
                <w:rFonts w:ascii="Times New Roman" w:eastAsia="宋体" w:hAnsi="Times New Roman" w:hint="eastAsia"/>
                <w:bCs/>
                <w:snapToGrid w:val="0"/>
                <w:sz w:val="24"/>
                <w:highlight w:val="none"/>
              </w:rPr>
              <w:t>生态环境准入清单符合性分析情况见</w:t>
            </w:r>
            <w:r>
              <w:rPr>
                <w:rFonts w:ascii="Times New Roman" w:eastAsia="宋体" w:hAnsi="Times New Roman" w:hint="eastAsia"/>
                <w:bCs/>
                <w:snapToGrid w:val="0"/>
                <w:sz w:val="24"/>
                <w:lang w:val="en-US" w:eastAsia="zh-CN"/>
                <w:highlight w:val="none"/>
              </w:rPr>
              <w:t>下</w:t>
            </w:r>
            <w:r>
              <w:rPr>
                <w:rFonts w:ascii="Times New Roman" w:eastAsia="宋体" w:hAnsi="Times New Roman" w:hint="eastAsia"/>
                <w:bCs/>
                <w:snapToGrid w:val="0"/>
                <w:sz w:val="24"/>
                <w:highlight w:val="none"/>
              </w:rPr>
              <w:t>表。</w:t>
            </w:r>
          </w:p>
          <w:p>
            <w:pPr>
              <w:pStyle w:val="17"/>
              <w:rPr>
                <w:rFonts w:eastAsia="宋体"/>
                <w:highlight w:val="none"/>
              </w:rPr>
            </w:pPr>
            <w:r>
              <w:rPr>
                <w:rFonts w:eastAsia="宋体"/>
                <w:b/>
                <w:highlight w:val="none"/>
              </w:rPr>
              <w:t>表1-</w:t>
            </w:r>
            <w:r>
              <w:rPr>
                <w:rFonts w:eastAsia="宋体" w:hint="eastAsia"/>
                <w:b/>
                <w:highlight w:val="none"/>
              </w:rPr>
              <w:t>2</w:t>
            </w:r>
            <w:r>
              <w:rPr>
                <w:rFonts w:eastAsia="宋体"/>
                <w:b/>
                <w:highlight w:val="none"/>
              </w:rPr>
              <w:t xml:space="preserve">  </w:t>
            </w:r>
            <w:r>
              <w:rPr>
                <w:rFonts w:eastAsia="宋体" w:hint="eastAsia"/>
                <w:b/>
                <w:lang w:val="en-US" w:eastAsia="zh-CN"/>
                <w:highlight w:val="none"/>
              </w:rPr>
              <w:t>环境</w:t>
            </w:r>
            <w:r>
              <w:rPr>
                <w:rFonts w:eastAsia="宋体" w:hint="eastAsia"/>
                <w:b/>
                <w:highlight w:val="none"/>
              </w:rPr>
              <w:t>准入清单</w:t>
            </w:r>
            <w:r>
              <w:rPr>
                <w:rFonts w:eastAsia="宋体"/>
                <w:b/>
                <w:highlight w:val="none"/>
              </w:rPr>
              <w:t>符合性分析</w:t>
            </w:r>
          </w:p>
          <w:tbl>
            <w:tblPr>
              <w:jc w:val="center"/>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719"/>
              <w:gridCol w:w="4347"/>
              <w:gridCol w:w="1253"/>
              <w:gridCol w:w="852"/>
            </w:tblGrid>
            <w:tr>
              <w:trPr>
                <w:trHeight w:val="397"/>
              </w:trPr>
              <w:tc>
                <w:tcPr>
                  <w:tcW w:w="195" w:type="dxa"/>
                  <w:vAlign w:val="center"/>
                </w:tcPr>
                <w:p>
                  <w:pPr>
                    <w:pStyle w:val="76"/>
                    <w:adjustRightInd w:val="0"/>
                    <w:snapToGrid w:val="0"/>
                    <w:jc w:val="center"/>
                    <w:rPr>
                      <w:rFonts w:ascii="Times New Roman" w:hAnsi="Times New Roman"/>
                      <w:b/>
                      <w:color w:val="auto"/>
                      <w:sz w:val="21"/>
                      <w:szCs w:val="21"/>
                      <w:u w:val="single"/>
                      <w:highlight w:val="none"/>
                    </w:rPr>
                  </w:pPr>
                  <w:r>
                    <w:rPr>
                      <w:rFonts w:ascii="Times New Roman" w:hAnsi="Times New Roman" w:hint="eastAsia"/>
                      <w:b/>
                      <w:color w:val="auto"/>
                      <w:sz w:val="21"/>
                      <w:szCs w:val="21"/>
                      <w:u w:val="single"/>
                      <w:highlight w:val="none"/>
                    </w:rPr>
                    <w:t>管控维度</w:t>
                  </w:r>
                </w:p>
              </w:tc>
              <w:tc>
                <w:tcPr>
                  <w:tcW w:w="1216" w:type="dxa"/>
                  <w:vAlign w:val="center"/>
                </w:tcPr>
                <w:p>
                  <w:pPr>
                    <w:pStyle w:val="76"/>
                    <w:adjustRightInd w:val="0"/>
                    <w:snapToGrid w:val="0"/>
                    <w:jc w:val="center"/>
                    <w:rPr>
                      <w:rFonts w:ascii="Times New Roman" w:hAnsi="Times New Roman"/>
                      <w:b/>
                      <w:color w:val="auto"/>
                      <w:sz w:val="21"/>
                      <w:szCs w:val="21"/>
                      <w:u w:val="single"/>
                      <w:highlight w:val="none"/>
                    </w:rPr>
                  </w:pPr>
                  <w:r>
                    <w:rPr>
                      <w:rFonts w:ascii="Times New Roman" w:hAnsi="Times New Roman" w:hint="eastAsia"/>
                      <w:b/>
                      <w:color w:val="auto"/>
                      <w:sz w:val="21"/>
                      <w:szCs w:val="21"/>
                      <w:u w:val="single"/>
                      <w:highlight w:val="none"/>
                    </w:rPr>
                    <w:t>管控要求</w:t>
                  </w:r>
                </w:p>
              </w:tc>
              <w:tc>
                <w:tcPr>
                  <w:tcW w:w="350" w:type="dxa"/>
                  <w:vAlign w:val="center"/>
                </w:tcPr>
                <w:p>
                  <w:pPr>
                    <w:pStyle w:val="76"/>
                    <w:adjustRightInd w:val="0"/>
                    <w:snapToGrid w:val="0"/>
                    <w:jc w:val="center"/>
                    <w:rPr>
                      <w:rFonts w:ascii="Times New Roman" w:hAnsi="Times New Roman"/>
                      <w:b/>
                      <w:color w:val="auto"/>
                      <w:sz w:val="21"/>
                      <w:szCs w:val="21"/>
                      <w:u w:val="single"/>
                      <w:highlight w:val="none"/>
                    </w:rPr>
                  </w:pPr>
                  <w:r>
                    <w:rPr>
                      <w:rFonts w:ascii="Times New Roman" w:hAnsi="Times New Roman"/>
                      <w:b/>
                      <w:color w:val="auto"/>
                      <w:sz w:val="21"/>
                      <w:szCs w:val="21"/>
                      <w:u w:val="single"/>
                      <w:highlight w:val="none"/>
                    </w:rPr>
                    <w:t>符合性分析</w:t>
                  </w:r>
                </w:p>
              </w:tc>
              <w:tc>
                <w:tcPr>
                  <w:tcW w:w="238" w:type="dxa"/>
                  <w:vAlign w:val="center"/>
                </w:tcPr>
                <w:p>
                  <w:pPr>
                    <w:pStyle w:val="76"/>
                    <w:adjustRightInd w:val="0"/>
                    <w:snapToGrid w:val="0"/>
                    <w:jc w:val="center"/>
                    <w:rPr>
                      <w:rFonts w:ascii="Times New Roman" w:hAnsi="Times New Roman"/>
                      <w:b/>
                      <w:color w:val="auto"/>
                      <w:sz w:val="21"/>
                      <w:szCs w:val="21"/>
                      <w:u w:val="single"/>
                      <w:highlight w:val="none"/>
                    </w:rPr>
                  </w:pPr>
                  <w:r>
                    <w:rPr>
                      <w:rFonts w:ascii="Times New Roman" w:hAnsi="Times New Roman"/>
                      <w:b/>
                      <w:color w:val="auto"/>
                      <w:sz w:val="21"/>
                      <w:szCs w:val="21"/>
                      <w:u w:val="single"/>
                      <w:highlight w:val="none"/>
                    </w:rPr>
                    <w:t>是否符合</w:t>
                  </w:r>
                </w:p>
              </w:tc>
            </w:tr>
            <w:tr>
              <w:trPr>
                <w:trHeight w:val="397"/>
              </w:trPr>
              <w:tc>
                <w:tcPr>
                  <w:tcW w:w="2000" w:type="dxa"/>
                  <w:gridSpan w:val="4"/>
                  <w:vAlign w:val="center"/>
                </w:tcPr>
                <w:p>
                  <w:pPr>
                    <w:pStyle w:val="76"/>
                    <w:adjustRightInd w:val="0"/>
                    <w:snapToGrid w:val="0"/>
                    <w:rPr>
                      <w:rFonts w:ascii="Times New Roman" w:hAnsi="Times New Roman"/>
                      <w:b/>
                      <w:color w:val="auto"/>
                      <w:sz w:val="21"/>
                      <w:szCs w:val="21"/>
                      <w:u w:val="single"/>
                      <w:highlight w:val="none"/>
                    </w:rPr>
                  </w:pPr>
                  <w:r>
                    <w:rPr>
                      <w:rFonts w:ascii="Times New Roman" w:hAnsi="Times New Roman" w:hint="eastAsia"/>
                      <w:b/>
                      <w:color w:val="auto"/>
                      <w:sz w:val="21"/>
                      <w:szCs w:val="21"/>
                      <w:u w:val="single"/>
                      <w:lang w:val="en-US" w:eastAsia="zh-CN"/>
                      <w:highlight w:val="none"/>
                    </w:rPr>
                    <w:t>甘溪滩镇</w:t>
                  </w:r>
                  <w:r>
                    <w:rPr>
                      <w:rFonts w:ascii="Times New Roman" w:hAnsi="Times New Roman" w:hint="eastAsia"/>
                      <w:b/>
                      <w:color w:val="auto"/>
                      <w:sz w:val="21"/>
                      <w:szCs w:val="21"/>
                      <w:u w:val="single"/>
                      <w:highlight w:val="none"/>
                    </w:rPr>
                    <w:t>，管控单元编码</w:t>
                  </w:r>
                  <w:r>
                    <w:rPr>
                      <w:rFonts w:ascii="Times New Roman" w:hAnsi="Times New Roman" w:hint="eastAsia"/>
                      <w:b/>
                      <w:color w:val="auto"/>
                      <w:sz w:val="21"/>
                      <w:szCs w:val="21"/>
                      <w:u w:val="single"/>
                      <w:lang w:eastAsia="zh-CN"/>
                      <w:highlight w:val="none"/>
                    </w:rPr>
                    <w:t>ZH4307233000</w:t>
                  </w:r>
                  <w:r>
                    <w:rPr>
                      <w:rFonts w:ascii="Times New Roman" w:hAnsi="Times New Roman" w:hint="eastAsia"/>
                      <w:b/>
                      <w:color w:val="auto"/>
                      <w:sz w:val="21"/>
                      <w:szCs w:val="21"/>
                      <w:u w:val="single"/>
                      <w:lang w:val="en-US" w:eastAsia="zh-CN"/>
                      <w:highlight w:val="none"/>
                    </w:rPr>
                    <w:t>1</w:t>
                  </w:r>
                  <w:r>
                    <w:rPr>
                      <w:rFonts w:ascii="Times New Roman" w:hAnsi="Times New Roman" w:hint="eastAsia"/>
                      <w:b/>
                      <w:color w:val="auto"/>
                      <w:sz w:val="21"/>
                      <w:szCs w:val="21"/>
                      <w:u w:val="single"/>
                      <w:highlight w:val="none"/>
                    </w:rPr>
                    <w:t>，</w:t>
                  </w:r>
                  <w:r>
                    <w:rPr>
                      <w:rFonts w:ascii="Times New Roman" w:hAnsi="Times New Roman" w:hint="eastAsia"/>
                      <w:b/>
                      <w:color w:val="auto"/>
                      <w:sz w:val="21"/>
                      <w:szCs w:val="21"/>
                      <w:u w:val="single"/>
                      <w:lang w:val="en-US" w:eastAsia="zh-CN"/>
                      <w:highlight w:val="none"/>
                    </w:rPr>
                    <w:t>一般</w:t>
                  </w:r>
                  <w:r>
                    <w:rPr>
                      <w:rFonts w:ascii="Times New Roman" w:hAnsi="Times New Roman" w:hint="eastAsia"/>
                      <w:b/>
                      <w:color w:val="auto"/>
                      <w:sz w:val="21"/>
                      <w:szCs w:val="21"/>
                      <w:u w:val="single"/>
                      <w:highlight w:val="none"/>
                    </w:rPr>
                    <w:t>管控单元</w:t>
                  </w:r>
                </w:p>
              </w:tc>
            </w:tr>
            <w:tr>
              <w:trPr>
                <w:trHeight w:val="397"/>
              </w:trPr>
              <w:tc>
                <w:tcPr>
                  <w:tcW w:w="195" w:type="dxa"/>
                  <w:vAlign w:val="center"/>
                </w:tcPr>
                <w:p>
                  <w:pPr>
                    <w:pStyle w:val="76"/>
                    <w:adjustRightInd w:val="0"/>
                    <w:snapToGrid w:val="0"/>
                    <w:jc w:val="center"/>
                    <w:rPr>
                      <w:rFonts w:ascii="Times New Roman" w:hAnsi="Times New Roman"/>
                      <w:color w:val="auto"/>
                      <w:sz w:val="21"/>
                      <w:szCs w:val="21"/>
                      <w:u w:val="single"/>
                      <w:highlight w:val="none"/>
                    </w:rPr>
                  </w:pPr>
                  <w:r>
                    <w:rPr>
                      <w:rFonts w:ascii="Times New Roman" w:hAnsi="Times New Roman" w:hint="eastAsia"/>
                      <w:color w:val="auto"/>
                      <w:sz w:val="21"/>
                      <w:szCs w:val="21"/>
                      <w:u w:val="single"/>
                      <w:highlight w:val="none"/>
                    </w:rPr>
                    <w:t>空间布局约束</w:t>
                  </w:r>
                </w:p>
              </w:tc>
              <w:tc>
                <w:tcPr>
                  <w:tcW w:w="1216" w:type="dxa"/>
                  <w:vAlign w:val="center"/>
                </w:tcPr>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(1.1)严格控制排放重点污染物的建设项目；严格控制在优先保护类耕地集中区域新(改、扩)建重金属污染物排放的项目。</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(1.2)严格管控空间开发利用，加快转变经济发展方式，按照“巩固、增强、提升、畅通”八字方针，优化能源结构，促进清洁能源发展，加快构建现代产业体系，全面实施清洁生产，强化源头管控。</w:t>
                  </w:r>
                </w:p>
              </w:tc>
              <w:tc>
                <w:tcPr>
                  <w:tcW w:w="350" w:type="dxa"/>
                  <w:vAlign w:val="center"/>
                </w:tcPr>
                <w:p>
                  <w:pPr>
                    <w:pStyle w:val="76"/>
                    <w:adjustRightInd w:val="0"/>
                    <w:snapToGrid w:val="0"/>
                    <w:jc w:val="center"/>
                    <w:rPr>
                      <w:rFonts w:ascii="Times New Roman" w:hAnsi="Times New Roman"/>
                      <w:color w:val="auto"/>
                      <w:sz w:val="21"/>
                      <w:szCs w:val="21"/>
                      <w:u w:val="single"/>
                      <w:highlight w:val="none"/>
                    </w:rPr>
                  </w:pPr>
                  <w:r>
                    <w:rPr>
                      <w:rFonts w:ascii="Times New Roman" w:hAnsi="Times New Roman"/>
                      <w:color w:val="auto"/>
                      <w:sz w:val="21"/>
                      <w:szCs w:val="21"/>
                      <w:u w:val="single"/>
                      <w:highlight w:val="none"/>
                    </w:rPr>
                    <w:t>本项目为</w:t>
                  </w:r>
                  <w:r>
                    <w:rPr>
                      <w:rFonts w:ascii="Times New Roman" w:hAnsi="Times New Roman" w:hint="eastAsia"/>
                      <w:color w:val="auto"/>
                      <w:sz w:val="21"/>
                      <w:szCs w:val="21"/>
                      <w:u w:val="single"/>
                      <w:highlight w:val="none"/>
                    </w:rPr>
                    <w:t>自来水生产和供应</w:t>
                  </w:r>
                  <w:r>
                    <w:rPr>
                      <w:rFonts w:ascii="Times New Roman" w:hAnsi="Times New Roman"/>
                      <w:color w:val="auto"/>
                      <w:sz w:val="21"/>
                      <w:szCs w:val="21"/>
                      <w:u w:val="single"/>
                      <w:highlight w:val="none"/>
                    </w:rPr>
                    <w:t>行业，不</w:t>
                  </w:r>
                  <w:r>
                    <w:rPr>
                      <w:rFonts w:ascii="Times New Roman" w:hAnsi="Times New Roman" w:hint="eastAsia"/>
                      <w:color w:val="auto"/>
                      <w:sz w:val="21"/>
                      <w:szCs w:val="21"/>
                      <w:u w:val="single"/>
                      <w:lang w:val="en-US" w:eastAsia="zh-CN"/>
                      <w:highlight w:val="none"/>
                    </w:rPr>
                    <w:t>排放重点污染物，不属于重金属污染物排放的项目</w:t>
                  </w:r>
                  <w:r>
                    <w:rPr>
                      <w:rFonts w:ascii="Times New Roman" w:hAnsi="Times New Roman" w:hint="eastAsia"/>
                      <w:color w:val="auto"/>
                      <w:sz w:val="21"/>
                      <w:szCs w:val="21"/>
                      <w:u w:val="single"/>
                      <w:highlight w:val="none"/>
                    </w:rPr>
                    <w:t>。</w:t>
                  </w:r>
                </w:p>
              </w:tc>
              <w:tc>
                <w:tcPr>
                  <w:tcW w:w="238" w:type="dxa"/>
                  <w:vAlign w:val="center"/>
                </w:tcPr>
                <w:p>
                  <w:pPr>
                    <w:pStyle w:val="76"/>
                    <w:adjustRightInd w:val="0"/>
                    <w:snapToGrid w:val="0"/>
                    <w:jc w:val="center"/>
                    <w:rPr>
                      <w:rFonts w:ascii="Times New Roman" w:hAnsi="Times New Roman"/>
                      <w:color w:val="auto"/>
                      <w:sz w:val="21"/>
                      <w:szCs w:val="21"/>
                      <w:u w:val="single"/>
                      <w:highlight w:val="none"/>
                    </w:rPr>
                  </w:pPr>
                  <w:r>
                    <w:rPr>
                      <w:rFonts w:ascii="Times New Roman" w:hAnsi="Times New Roman" w:hint="eastAsia"/>
                      <w:color w:val="auto"/>
                      <w:sz w:val="21"/>
                      <w:szCs w:val="21"/>
                      <w:u w:val="single"/>
                      <w:highlight w:val="none"/>
                    </w:rPr>
                    <w:t>符合</w:t>
                  </w:r>
                </w:p>
              </w:tc>
            </w:tr>
            <w:tr>
              <w:trPr>
                <w:trHeight w:val="397"/>
              </w:trPr>
              <w:tc>
                <w:tcPr>
                  <w:tcW w:w="195" w:type="dxa"/>
                  <w:vAlign w:val="center"/>
                </w:tcPr>
                <w:p>
                  <w:pPr>
                    <w:pStyle w:val="76"/>
                    <w:adjustRightInd w:val="0"/>
                    <w:snapToGrid w:val="0"/>
                    <w:jc w:val="center"/>
                    <w:rPr>
                      <w:rFonts w:ascii="Times New Roman" w:hAnsi="Times New Roman"/>
                      <w:color w:val="auto"/>
                      <w:sz w:val="21"/>
                      <w:szCs w:val="21"/>
                      <w:u w:val="single"/>
                      <w:highlight w:val="none"/>
                    </w:rPr>
                  </w:pPr>
                  <w:r>
                    <w:rPr>
                      <w:rFonts w:ascii="Times New Roman" w:hAnsi="Times New Roman" w:hint="eastAsia"/>
                      <w:color w:val="auto"/>
                      <w:sz w:val="21"/>
                      <w:szCs w:val="21"/>
                      <w:u w:val="single"/>
                      <w:highlight w:val="none"/>
                    </w:rPr>
                    <w:t>污染物排放管控</w:t>
                  </w:r>
                </w:p>
              </w:tc>
              <w:tc>
                <w:tcPr>
                  <w:tcW w:w="1216" w:type="dxa"/>
                  <w:vAlign w:val="center"/>
                </w:tcPr>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(2.1)</w:t>
                  </w:r>
                  <w:r>
                    <w:rPr>
                      <w:rFonts w:ascii="Times New Roman" w:eastAsia="宋体" w:cs="Times New Roman" w:hAnsi="Times New Roman"/>
                      <w:color w:val="auto"/>
                      <w:sz w:val="21"/>
                      <w:szCs w:val="21"/>
                      <w:u w:val="single"/>
                      <w:lang w:val="en-US" w:eastAsia="zh-CN" w:bidi="ar-SA"/>
                      <w:highlight w:val="none"/>
                    </w:rPr>
                    <w:t>城市污水收集处理系统要适应城镇化发展，完善城市污水管网建设，实现建成区污水管网全覆盖。改造老旧破损管网及检查井，系 统解决管网漏损问题</w:t>
                  </w:r>
                  <w:r>
                    <w:rPr>
                      <w:rFonts w:ascii="Times New Roman" w:eastAsia="宋体" w:cs="Times New Roman" w:hAnsi="Times New Roman" w:hint="eastAsia"/>
                      <w:color w:val="auto"/>
                      <w:sz w:val="21"/>
                      <w:szCs w:val="21"/>
                      <w:u w:val="single"/>
                      <w:lang w:val="en-US" w:eastAsia="zh-CN" w:bidi="ar-SA"/>
                      <w:highlight w:val="none"/>
                    </w:rPr>
                    <w:t>。</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(2.2)</w:t>
                  </w:r>
                  <w:r>
                    <w:rPr>
                      <w:rFonts w:ascii="Times New Roman" w:eastAsia="宋体" w:cs="Times New Roman" w:hAnsi="Times New Roman"/>
                      <w:color w:val="auto"/>
                      <w:sz w:val="21"/>
                      <w:szCs w:val="21"/>
                      <w:u w:val="single"/>
                      <w:lang w:val="en-US" w:eastAsia="zh-CN" w:bidi="ar-SA"/>
                      <w:highlight w:val="none"/>
                    </w:rPr>
                    <w:t>深入推广农业新技术，以推广测土配方施肥、有机肥替代化肥、水肥一体化、病虫害统防统治及绿色防控技术为核心，推进化肥、农药减量增效。</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(2.3)加强资源节约利用。大力实施节能减排，积极完善能耗双控工作机制，持续提升工业能效、水效。</w:t>
                  </w:r>
                </w:p>
                <w:p>
                  <w:pPr>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(2.4)严格执行畜禽养殖禁养区、限养区、适养区管理规定，防治养殖污染反弹。推进畜禽养殖废弃物资源化利用，推进规模化养殖场标准化改造，配套与养殖规模和处理工艺相适应的粪污消纳用地，与养殖量匹配，加强畜禽养殖污染防治监管执法。</w:t>
                  </w:r>
                </w:p>
              </w:tc>
              <w:tc>
                <w:tcPr>
                  <w:tcW w:w="350" w:type="dxa"/>
                  <w:vAlign w:val="center"/>
                </w:tcPr>
                <w:p>
                  <w:pPr>
                    <w:pStyle w:val="76"/>
                    <w:adjustRightInd w:val="0"/>
                    <w:snapToGrid w:val="0"/>
                    <w:jc w:val="center"/>
                    <w:rPr>
                      <w:rFonts w:ascii="Times New Roman" w:hAnsi="Times New Roman"/>
                      <w:color w:val="auto"/>
                      <w:sz w:val="21"/>
                      <w:szCs w:val="21"/>
                      <w:u w:val="single"/>
                      <w:highlight w:val="none"/>
                    </w:rPr>
                  </w:pPr>
                  <w:r>
                    <w:rPr>
                      <w:rFonts w:ascii="Times New Roman" w:hAnsi="Times New Roman"/>
                      <w:color w:val="auto"/>
                      <w:sz w:val="21"/>
                      <w:szCs w:val="21"/>
                      <w:u w:val="single"/>
                      <w:highlight w:val="none"/>
                    </w:rPr>
                    <w:t>本项目为自来水生产和供应</w:t>
                  </w:r>
                  <w:r>
                    <w:rPr>
                      <w:rFonts w:ascii="Times New Roman" w:hAnsi="Times New Roman" w:hint="eastAsia"/>
                      <w:color w:val="auto"/>
                      <w:sz w:val="21"/>
                      <w:szCs w:val="21"/>
                      <w:u w:val="single"/>
                      <w:highlight w:val="none"/>
                    </w:rPr>
                    <w:t>行业</w:t>
                  </w:r>
                  <w:r>
                    <w:rPr>
                      <w:rFonts w:ascii="Times New Roman" w:hAnsi="Times New Roman"/>
                      <w:color w:val="auto"/>
                      <w:sz w:val="21"/>
                      <w:szCs w:val="21"/>
                      <w:u w:val="single"/>
                      <w:highlight w:val="none"/>
                    </w:rPr>
                    <w:t>，</w:t>
                  </w:r>
                  <w:r>
                    <w:rPr>
                      <w:rFonts w:ascii="Times New Roman" w:cs="Times New Roman" w:hAnsi="Times New Roman"/>
                      <w:sz w:val="21"/>
                      <w:szCs w:val="21"/>
                      <w:u w:val="single"/>
                      <w:highlight w:val="none"/>
                    </w:rPr>
                    <w:t>项目在运营过程中主要污染物经处理后能达标排放。</w:t>
                  </w:r>
                </w:p>
              </w:tc>
              <w:tc>
                <w:tcPr>
                  <w:tcW w:w="238" w:type="dxa"/>
                  <w:vAlign w:val="center"/>
                </w:tcPr>
                <w:p>
                  <w:pPr>
                    <w:pStyle w:val="76"/>
                    <w:adjustRightInd w:val="0"/>
                    <w:snapToGrid w:val="0"/>
                    <w:jc w:val="center"/>
                    <w:rPr>
                      <w:rFonts w:ascii="Times New Roman" w:hAnsi="Times New Roman"/>
                      <w:color w:val="auto"/>
                      <w:sz w:val="21"/>
                      <w:szCs w:val="21"/>
                      <w:u w:val="single"/>
                      <w:highlight w:val="none"/>
                    </w:rPr>
                  </w:pPr>
                  <w:r>
                    <w:rPr>
                      <w:rFonts w:ascii="Times New Roman" w:hAnsi="Times New Roman" w:hint="eastAsia"/>
                      <w:color w:val="auto"/>
                      <w:sz w:val="21"/>
                      <w:szCs w:val="21"/>
                      <w:u w:val="single"/>
                      <w:highlight w:val="none"/>
                    </w:rPr>
                    <w:t>符合</w:t>
                  </w:r>
                </w:p>
              </w:tc>
            </w:tr>
            <w:tr>
              <w:trPr>
                <w:trHeight w:val="397"/>
              </w:trPr>
              <w:tc>
                <w:tcPr>
                  <w:tcW w:w="195" w:type="dxa"/>
                  <w:vAlign w:val="center"/>
                </w:tcPr>
                <w:p>
                  <w:pPr>
                    <w:pStyle w:val="109"/>
                    <w:widowControl w:val="0"/>
                    <w:kinsoku/>
                    <w:autoSpaceDE/>
                    <w:autoSpaceDN/>
                    <w:adjustRightInd/>
                    <w:snapToGrid/>
                    <w:ind w:left="0" w:firstLineChars="0" w:firstLine="0"/>
                    <w:jc w:val="center"/>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环境风险防控</w:t>
                  </w:r>
                </w:p>
              </w:tc>
              <w:tc>
                <w:tcPr>
                  <w:tcW w:w="1216" w:type="dxa"/>
                  <w:vAlign w:val="center"/>
                </w:tcPr>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(3.1)建立企事业单位重金属污染物排放总量控制制度，规范涉重金属企业排污。对全口径清单内的企业落实减排措施和工程削减的重点重金属污染物排放量实施总量替代的，其替代方案应纳入全口径清单企业信息。严格控制在优先保护类耕地集中区域新(改、扩)建重金属污染物排放的项目。</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(3.2)加强地下水环境保护。开展矿山开采区地下水环境状况调查评估，评估地下水环境风险，并根据评估结果，开展地下水环境状况调查评估及修复试点，控制地下水污染。</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(3.3)实施工业污染源全面达标排放计划，在重污染行业深入推进强制性清洁生产审核，着力整治“散乱污”企业，有效解决“劣币驱逐良币”问题，促进合规企业生产负荷和效益不断提升。</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(3.4)全面排查矿区历史遗留固体废物，降低粮食等农产品中重金属超标风险。</w:t>
                  </w:r>
                </w:p>
              </w:tc>
              <w:tc>
                <w:tcPr>
                  <w:tcW w:w="350" w:type="dxa"/>
                  <w:vAlign w:val="center"/>
                </w:tcPr>
                <w:p>
                  <w:pPr>
                    <w:pStyle w:val="109"/>
                    <w:widowControl w:val="0"/>
                    <w:kinsoku/>
                    <w:autoSpaceDE/>
                    <w:autoSpaceDN/>
                    <w:adjustRightInd/>
                    <w:snapToGrid/>
                    <w:ind w:left="0" w:firstLineChars="0" w:firstLine="0"/>
                    <w:jc w:val="center"/>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太青水库水源区已划定饮用水水源保护区，本项目取水口将重新划分饮用水水源保护区。</w:t>
                  </w:r>
                </w:p>
              </w:tc>
              <w:tc>
                <w:tcPr>
                  <w:tcW w:w="238" w:type="dxa"/>
                  <w:vAlign w:val="center"/>
                </w:tcPr>
                <w:p>
                  <w:pPr>
                    <w:pStyle w:val="109"/>
                    <w:widowControl w:val="0"/>
                    <w:kinsoku/>
                    <w:autoSpaceDE/>
                    <w:autoSpaceDN/>
                    <w:adjustRightInd/>
                    <w:snapToGrid/>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符合</w:t>
                  </w:r>
                </w:p>
              </w:tc>
            </w:tr>
            <w:tr>
              <w:trPr>
                <w:trHeight w:val="397"/>
              </w:trPr>
              <w:tc>
                <w:tcPr>
                  <w:tcW w:w="195" w:type="dxa"/>
                  <w:vAlign w:val="center"/>
                </w:tcPr>
                <w:p>
                  <w:pPr>
                    <w:pStyle w:val="109"/>
                    <w:widowControl w:val="0"/>
                    <w:kinsoku/>
                    <w:autoSpaceDE/>
                    <w:autoSpaceDN/>
                    <w:adjustRightInd/>
                    <w:snapToGrid/>
                    <w:ind w:left="0" w:firstLineChars="0" w:firstLine="0"/>
                    <w:jc w:val="center"/>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资源开发效率要求</w:t>
                  </w:r>
                </w:p>
              </w:tc>
              <w:tc>
                <w:tcPr>
                  <w:tcW w:w="1216" w:type="dxa"/>
                  <w:vAlign w:val="center"/>
                </w:tcPr>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(4.1)水资源</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提升江河湖库水源涵养与保护能力，保障重点河湖基本生态流量，改善水环境状况，控制人为水土流失，治理重点地区水土流失，逐步控制地下水超采情况。现代化水利建设目标：加快建设“智慧水利”综合信息平台，完善水资源监控体系，实现各区域联防联控，信息共享。到2025年，澧县用水总量为4.78亿立方米，万元国内生产总值用水量、万元工业增加值用水量分别比2020年降低17.92%和16.74%。</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(4.2)土地资源</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(4.2.1)农田保护区按照相关法律法规进行管理，区内从严管控非农建设占用永久基本农田，鼓励开展高标准农田建设和土地整治，提高永久基本农田质量。国家能源、交通、水利、军事设施等重点建设项目选址确实难以避让永久基本农田的，涉及农用地转用或者土地征收的，必须经国务院批准。</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(4.2.2)至2025年，澧县耕地保有量663.92平方千米，永久基本农田609.69平方千米，村庄建设用地211.33平方千米；至2035年，澧县耕地保有量654.58平方千米，永久基本农田609.69平方千米，生态保护红线290.63平方千米，城镇开发边界61.54平方千米，林地保有量472.40平方千米，村庄建设用地211.33平方千米。(4.3)能源</w:t>
                  </w:r>
                </w:p>
                <w:p>
                  <w:pPr>
                    <w:pStyle w:val="109"/>
                    <w:widowControl w:val="0"/>
                    <w:kinsoku/>
                    <w:autoSpaceDE/>
                    <w:autoSpaceDN/>
                    <w:adjustRightInd/>
                    <w:snapToGrid/>
                    <w:ind w:left="0" w:firstLineChars="0" w:firstLine="0"/>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(4.3.1)坚持高能效、低污染、低排放、多种能源并举互补的发展目标，加快推进能源结构调整，提高能源利用效率，使用清洁能源，扩大本地可再生能源利用，推进绿色能源示范性建设。同时提升能源储备能力，形成可靠、经济、清洁、低碳的多元化能源保障体系。</w:t>
                  </w:r>
                </w:p>
              </w:tc>
              <w:tc>
                <w:tcPr>
                  <w:tcW w:w="350" w:type="dxa"/>
                  <w:vAlign w:val="center"/>
                </w:tcPr>
                <w:p>
                  <w:pPr>
                    <w:pStyle w:val="109"/>
                    <w:widowControl w:val="0"/>
                    <w:kinsoku/>
                    <w:autoSpaceDE/>
                    <w:autoSpaceDN/>
                    <w:adjustRightInd/>
                    <w:snapToGrid/>
                    <w:ind w:left="0" w:firstLineChars="0" w:firstLine="0"/>
                    <w:jc w:val="center"/>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本项目为自来水生产和供应行业，项目已进行水资源论证，项目不占用基本农田。</w:t>
                  </w:r>
                </w:p>
              </w:tc>
              <w:tc>
                <w:tcPr>
                  <w:tcW w:w="238" w:type="dxa"/>
                  <w:vAlign w:val="center"/>
                </w:tcPr>
                <w:p>
                  <w:pPr>
                    <w:pStyle w:val="109"/>
                    <w:widowControl w:val="0"/>
                    <w:kinsoku/>
                    <w:autoSpaceDE/>
                    <w:autoSpaceDN/>
                    <w:adjustRightInd/>
                    <w:snapToGrid/>
                    <w:jc w:val="both"/>
                    <w:textAlignment w:val="auto"/>
                    <w:rPr>
                      <w:rFonts w:ascii="Times New Roman" w:eastAsia="宋体" w:cs="Times New Roman" w:hAnsi="Times New Roman" w:hint="eastAsia"/>
                      <w:color w:val="auto"/>
                      <w:sz w:val="21"/>
                      <w:szCs w:val="21"/>
                      <w:u w:val="single"/>
                      <w:lang w:val="en-US" w:eastAsia="zh-CN" w:bidi="ar-SA"/>
                      <w:highlight w:val="none"/>
                    </w:rPr>
                  </w:pPr>
                  <w:r>
                    <w:rPr>
                      <w:rFonts w:ascii="Times New Roman" w:eastAsia="宋体" w:cs="Times New Roman" w:hAnsi="Times New Roman" w:hint="eastAsia"/>
                      <w:color w:val="auto"/>
                      <w:sz w:val="21"/>
                      <w:szCs w:val="21"/>
                      <w:u w:val="single"/>
                      <w:lang w:val="en-US" w:eastAsia="zh-CN" w:bidi="ar-SA"/>
                      <w:highlight w:val="none"/>
                    </w:rPr>
                    <w:t>符合</w:t>
                  </w:r>
                </w:p>
              </w:tc>
            </w:tr>
          </w:tbl>
          <w:p>
            <w:pPr>
              <w:pStyle w:val="17"/>
              <w:rPr>
                <w:rFonts w:eastAsia="宋体"/>
                <w:highlight w:val="none"/>
              </w:rPr>
            </w:pPr>
          </w:p>
          <w:p>
            <w:pPr>
              <w:numPr>
                <w:ilvl w:val="0"/>
                <w:numId w:val="2"/>
              </w:numPr>
              <w:spacing w:line="360" w:lineRule="auto"/>
              <w:rPr>
                <w:b/>
                <w:snapToGrid w:val="0"/>
                <w:color w:val="000000"/>
                <w:sz w:val="24"/>
                <w:highlight w:val="none"/>
              </w:rPr>
            </w:pPr>
            <w:r>
              <w:rPr>
                <w:rFonts w:hint="eastAsia"/>
                <w:b/>
                <w:snapToGrid w:val="0"/>
                <w:color w:val="000000"/>
                <w:sz w:val="24"/>
                <w:highlight w:val="none"/>
              </w:rPr>
              <w:t>与《中华人民共和国水污染防治法》符合性分析</w:t>
            </w:r>
          </w:p>
          <w:p>
            <w:pPr>
              <w:pStyle w:val="17"/>
              <w:spacing w:line="360" w:lineRule="auto"/>
              <w:ind w:firstLineChars="200" w:firstLine="480"/>
              <w:jc w:val="left"/>
              <w:rPr>
                <w:rFonts w:eastAsia="宋体"/>
                <w:sz w:val="24"/>
                <w:szCs w:val="24"/>
                <w:highlight w:val="none"/>
              </w:rPr>
            </w:pPr>
            <w:r>
              <w:rPr>
                <w:rFonts w:eastAsia="宋体"/>
                <w:sz w:val="24"/>
                <w:szCs w:val="24"/>
                <w:highlight w:val="none"/>
              </w:rPr>
              <w:t>《中华人民共和国水污染防治法》对饮用水水源和其他特殊水体保护要求如下：</w:t>
            </w:r>
          </w:p>
          <w:p>
            <w:pPr>
              <w:pStyle w:val="17"/>
              <w:spacing w:line="360" w:lineRule="auto"/>
              <w:ind w:firstLineChars="200" w:firstLine="480"/>
              <w:jc w:val="left"/>
              <w:rPr>
                <w:rFonts w:eastAsia="宋体"/>
                <w:sz w:val="24"/>
                <w:szCs w:val="24"/>
                <w:highlight w:val="none"/>
              </w:rPr>
            </w:pPr>
            <w:r>
              <w:rPr>
                <w:rFonts w:eastAsia="宋体"/>
                <w:sz w:val="24"/>
                <w:szCs w:val="24"/>
                <w:highlight w:val="none"/>
              </w:rPr>
              <w:t>第六十五条  禁止在饮用水水源一级保护区内新建、改建、扩建与供水设施和保护水源无关的建设项目；已建成的与供水设施和保护水源无关的建设项目，由县级以上人民政府责令拆除或者关闭。</w:t>
            </w:r>
          </w:p>
          <w:p>
            <w:pPr>
              <w:spacing w:line="360" w:lineRule="auto"/>
              <w:ind w:firstLineChars="200" w:firstLine="480"/>
              <w:rPr>
                <w:kern w:val="0"/>
                <w:sz w:val="24"/>
                <w:highlight w:val="none"/>
              </w:rPr>
            </w:pPr>
            <w:r>
              <w:rPr>
                <w:kern w:val="0"/>
                <w:sz w:val="24"/>
                <w:u w:val="none" w:color="auto"/>
                <w:highlight w:val="none"/>
              </w:rPr>
              <w:t>本项目为</w:t>
            </w:r>
            <w:r>
              <w:rPr>
                <w:rFonts w:hint="eastAsia"/>
                <w:sz w:val="24"/>
                <w:u w:val="none" w:color="auto"/>
                <w:lang w:eastAsia="zh-CN"/>
                <w:highlight w:val="none"/>
              </w:rPr>
              <w:t>澧县甘溪滩片区农村供水建设项目（一期）</w:t>
            </w:r>
            <w:r>
              <w:rPr>
                <w:kern w:val="0"/>
                <w:sz w:val="24"/>
                <w:u w:val="none" w:color="auto"/>
                <w:highlight w:val="none"/>
              </w:rPr>
              <w:t>，</w:t>
            </w:r>
            <w:r>
              <w:rPr>
                <w:rFonts w:hint="eastAsia"/>
                <w:kern w:val="0"/>
                <w:sz w:val="24"/>
                <w:u w:val="none" w:color="auto"/>
                <w:highlight w:val="none"/>
              </w:rPr>
              <w:t>项目取水水源为</w:t>
            </w:r>
            <w:r>
              <w:rPr>
                <w:rFonts w:hint="eastAsia"/>
                <w:kern w:val="0"/>
                <w:sz w:val="24"/>
                <w:u w:val="none" w:color="auto"/>
                <w:lang w:val="en-US" w:eastAsia="zh-CN"/>
                <w:highlight w:val="none"/>
              </w:rPr>
              <w:t>太青水库</w:t>
            </w:r>
            <w:r>
              <w:rPr>
                <w:rFonts w:hint="eastAsia"/>
                <w:kern w:val="0"/>
                <w:sz w:val="24"/>
                <w:u w:val="none" w:color="auto"/>
                <w:highlight w:val="none"/>
              </w:rPr>
              <w:t>，</w:t>
            </w:r>
            <w:r>
              <w:rPr>
                <w:rFonts w:cs="Times New Roman" w:hint="eastAsia"/>
                <w:color w:val="auto"/>
                <w:kern w:val="0"/>
                <w:sz w:val="24"/>
                <w:u w:val="none" w:color="auto"/>
                <w:lang w:val="en-US" w:eastAsia="zh-CN"/>
                <w:highlight w:val="none"/>
              </w:rPr>
              <w:t>太青水库已划定为</w:t>
            </w:r>
            <w:r>
              <w:rPr>
                <w:rFonts w:ascii="Times New Roman" w:cs="Times New Roman" w:hAnsi="Times New Roman" w:hint="eastAsia"/>
                <w:color w:val="auto"/>
                <w:kern w:val="0"/>
                <w:sz w:val="24"/>
                <w:u w:val="none" w:color="auto"/>
                <w:lang w:eastAsia="zh-CN"/>
                <w:highlight w:val="none"/>
              </w:rPr>
              <w:t>饮用水水源保护区，</w:t>
            </w:r>
            <w:r>
              <w:rPr>
                <w:rFonts w:cs="Times New Roman" w:hint="eastAsia"/>
                <w:color w:val="auto"/>
                <w:kern w:val="0"/>
                <w:sz w:val="24"/>
                <w:u w:val="none" w:color="auto"/>
                <w:lang w:val="en-US" w:eastAsia="zh-CN"/>
                <w:highlight w:val="none"/>
              </w:rPr>
              <w:t>本项目取水口将重新划分饮用水源保护区，</w:t>
            </w:r>
            <w:r>
              <w:rPr>
                <w:rFonts w:ascii="Times New Roman" w:cs="Times New Roman" w:hAnsi="Times New Roman"/>
                <w:color w:val="auto"/>
                <w:kern w:val="0"/>
                <w:sz w:val="24"/>
                <w:u w:val="none" w:color="auto"/>
                <w:highlight w:val="none"/>
              </w:rPr>
              <w:t>本项目</w:t>
            </w:r>
            <w:r>
              <w:rPr>
                <w:rFonts w:ascii="Times New Roman" w:cs="Times New Roman" w:hAnsi="Times New Roman" w:hint="eastAsia"/>
                <w:color w:val="auto"/>
                <w:kern w:val="0"/>
                <w:sz w:val="24"/>
                <w:u w:val="none" w:color="auto"/>
                <w:lang w:val="en-US" w:eastAsia="zh-CN"/>
                <w:highlight w:val="none"/>
              </w:rPr>
              <w:t>属于</w:t>
            </w:r>
            <w:r>
              <w:rPr>
                <w:rFonts w:eastAsia="宋体"/>
                <w:sz w:val="24"/>
                <w:szCs w:val="24"/>
                <w:u w:val="none" w:color="auto"/>
                <w:highlight w:val="none"/>
              </w:rPr>
              <w:t>与供水设施和保护水源</w:t>
            </w:r>
            <w:r>
              <w:rPr>
                <w:rFonts w:ascii="Times New Roman" w:eastAsia="宋体" w:cs="Times New Roman" w:hAnsi="Times New Roman" w:hint="eastAsia"/>
                <w:color w:val="auto"/>
                <w:kern w:val="0"/>
                <w:sz w:val="24"/>
                <w:u w:val="none" w:color="auto"/>
                <w:lang w:val="en-US" w:eastAsia="zh-CN"/>
                <w:highlight w:val="none"/>
              </w:rPr>
              <w:t>有关的</w:t>
            </w:r>
            <w:r>
              <w:rPr>
                <w:rFonts w:ascii="Times New Roman" w:cs="Times New Roman" w:hAnsi="Times New Roman"/>
                <w:color w:val="auto"/>
                <w:kern w:val="0"/>
                <w:sz w:val="24"/>
                <w:u w:val="none" w:color="auto"/>
                <w:highlight w:val="none"/>
              </w:rPr>
              <w:t>建设项目。</w:t>
            </w:r>
            <w:r>
              <w:rPr>
                <w:rFonts w:hint="eastAsia"/>
                <w:kern w:val="0"/>
                <w:sz w:val="24"/>
                <w:u w:val="none" w:color="auto"/>
                <w:highlight w:val="none"/>
              </w:rPr>
              <w:t>因此，本项目符合</w:t>
            </w:r>
            <w:r>
              <w:rPr>
                <w:kern w:val="0"/>
                <w:sz w:val="24"/>
                <w:u w:val="none" w:color="auto"/>
                <w:highlight w:val="none"/>
              </w:rPr>
              <w:t>《中华人民共和国水污染防治法》</w:t>
            </w:r>
            <w:r>
              <w:rPr>
                <w:rFonts w:hint="eastAsia"/>
                <w:kern w:val="0"/>
                <w:sz w:val="24"/>
                <w:u w:val="none" w:color="auto"/>
                <w:highlight w:val="none"/>
              </w:rPr>
              <w:t>相关要求。</w:t>
            </w:r>
          </w:p>
          <w:p>
            <w:pPr>
              <w:numPr>
                <w:ilvl w:val="0"/>
                <w:numId w:val="2"/>
              </w:numPr>
              <w:spacing w:line="360" w:lineRule="auto"/>
              <w:rPr>
                <w:b/>
                <w:snapToGrid w:val="0"/>
                <w:color w:val="000000"/>
                <w:sz w:val="24"/>
                <w:highlight w:val="none"/>
              </w:rPr>
            </w:pPr>
            <w:r>
              <w:rPr>
                <w:b/>
                <w:snapToGrid w:val="0"/>
                <w:color w:val="000000"/>
                <w:sz w:val="24"/>
                <w:highlight w:val="none"/>
              </w:rPr>
              <w:t>与《饮用水水源保护区污染防治管理规定》符合性分析</w:t>
            </w:r>
          </w:p>
          <w:p>
            <w:pPr>
              <w:spacing w:line="360" w:lineRule="auto"/>
              <w:ind w:firstLineChars="200" w:firstLine="480"/>
              <w:rPr>
                <w:kern w:val="0"/>
                <w:sz w:val="24"/>
                <w:highlight w:val="none"/>
              </w:rPr>
            </w:pPr>
            <w:r>
              <w:rPr>
                <w:kern w:val="0"/>
                <w:sz w:val="24"/>
                <w:highlight w:val="none"/>
              </w:rPr>
              <w:t>本项目与《饮用水水源保护区污染防治管理规定》符合性分析见下表。</w:t>
            </w:r>
          </w:p>
          <w:p>
            <w:pPr>
              <w:pStyle w:val="17"/>
              <w:rPr>
                <w:rFonts w:eastAsia="宋体"/>
                <w:b/>
                <w:highlight w:val="none"/>
              </w:rPr>
            </w:pPr>
            <w:r>
              <w:rPr>
                <w:rFonts w:eastAsia="宋体"/>
                <w:b/>
                <w:highlight w:val="none"/>
              </w:rPr>
              <w:t>表1-</w:t>
            </w:r>
            <w:r>
              <w:rPr>
                <w:rFonts w:eastAsia="宋体" w:hint="eastAsia"/>
                <w:b/>
                <w:lang w:val="en-US" w:eastAsia="zh-CN"/>
                <w:highlight w:val="none"/>
              </w:rPr>
              <w:t>3</w:t>
            </w:r>
            <w:r>
              <w:rPr>
                <w:rFonts w:eastAsia="宋体"/>
                <w:b/>
                <w:highlight w:val="none"/>
              </w:rPr>
              <w:t xml:space="preserve">  与《饮用水水源保护区污染防治管理规定》符合性分析</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427"/>
              <w:gridCol w:w="4045"/>
              <w:gridCol w:w="1949"/>
              <w:gridCol w:w="747"/>
            </w:tblGrid>
            <w:tr>
              <w:tc>
                <w:tcPr>
                  <w:tcW w:w="297" w:type="pct"/>
                  <w:vAlign w:val="center"/>
                </w:tcPr>
                <w:p>
                  <w:pPr>
                    <w:widowControl/>
                    <w:adjustRightInd w:val="0"/>
                    <w:snapToGrid w:val="0"/>
                    <w:jc w:val="center"/>
                    <w:rPr>
                      <w:b/>
                      <w:kern w:val="0"/>
                      <w:szCs w:val="21"/>
                      <w:highlight w:val="none"/>
                    </w:rPr>
                  </w:pPr>
                  <w:r>
                    <w:rPr>
                      <w:b/>
                      <w:kern w:val="0"/>
                      <w:szCs w:val="21"/>
                      <w:highlight w:val="none"/>
                    </w:rPr>
                    <w:t>序号</w:t>
                  </w:r>
                </w:p>
              </w:tc>
              <w:tc>
                <w:tcPr>
                  <w:tcW w:w="2821" w:type="pct"/>
                  <w:vAlign w:val="center"/>
                </w:tcPr>
                <w:p>
                  <w:pPr>
                    <w:adjustRightInd w:val="0"/>
                    <w:snapToGrid w:val="0"/>
                    <w:jc w:val="center"/>
                    <w:rPr>
                      <w:b/>
                      <w:kern w:val="0"/>
                      <w:szCs w:val="21"/>
                      <w:highlight w:val="none"/>
                    </w:rPr>
                  </w:pPr>
                  <w:r>
                    <w:rPr>
                      <w:b/>
                      <w:kern w:val="0"/>
                      <w:szCs w:val="21"/>
                      <w:highlight w:val="none"/>
                    </w:rPr>
                    <w:t>管控要求</w:t>
                  </w:r>
                </w:p>
              </w:tc>
              <w:tc>
                <w:tcPr>
                  <w:tcW w:w="1359" w:type="pct"/>
                  <w:vAlign w:val="center"/>
                </w:tcPr>
                <w:p>
                  <w:pPr>
                    <w:jc w:val="center"/>
                    <w:rPr>
                      <w:b/>
                      <w:szCs w:val="21"/>
                      <w:highlight w:val="none"/>
                    </w:rPr>
                  </w:pPr>
                  <w:r>
                    <w:rPr>
                      <w:rFonts w:hint="eastAsia"/>
                      <w:b/>
                      <w:szCs w:val="21"/>
                      <w:highlight w:val="none"/>
                    </w:rPr>
                    <w:t>符合性分析</w:t>
                  </w:r>
                </w:p>
              </w:tc>
              <w:tc>
                <w:tcPr>
                  <w:tcW w:w="521" w:type="pct"/>
                  <w:vAlign w:val="center"/>
                </w:tcPr>
                <w:p>
                  <w:pPr>
                    <w:jc w:val="center"/>
                    <w:rPr>
                      <w:b/>
                      <w:szCs w:val="21"/>
                      <w:highlight w:val="none"/>
                    </w:rPr>
                  </w:pPr>
                  <w:r>
                    <w:rPr>
                      <w:b/>
                      <w:szCs w:val="21"/>
                      <w:highlight w:val="none"/>
                    </w:rPr>
                    <w:t>是否符合</w:t>
                  </w:r>
                </w:p>
              </w:tc>
            </w:tr>
            <w:tr>
              <w:tc>
                <w:tcPr>
                  <w:tcW w:w="297" w:type="pct"/>
                  <w:vAlign w:val="center"/>
                </w:tcPr>
                <w:p>
                  <w:pPr>
                    <w:widowControl/>
                    <w:adjustRightInd w:val="0"/>
                    <w:snapToGrid w:val="0"/>
                    <w:jc w:val="center"/>
                    <w:rPr>
                      <w:kern w:val="0"/>
                      <w:szCs w:val="21"/>
                      <w:highlight w:val="none"/>
                    </w:rPr>
                  </w:pPr>
                  <w:r>
                    <w:rPr>
                      <w:kern w:val="0"/>
                      <w:szCs w:val="21"/>
                      <w:highlight w:val="none"/>
                    </w:rPr>
                    <w:t>1</w:t>
                  </w:r>
                </w:p>
              </w:tc>
              <w:tc>
                <w:tcPr>
                  <w:tcW w:w="2821" w:type="pct"/>
                  <w:vAlign w:val="center"/>
                </w:tcPr>
                <w:p>
                  <w:pPr>
                    <w:adjustRightInd w:val="0"/>
                    <w:jc w:val="left"/>
                    <w:rPr>
                      <w:kern w:val="0"/>
                      <w:szCs w:val="21"/>
                      <w:highlight w:val="none"/>
                    </w:rPr>
                  </w:pPr>
                  <w:r>
                    <w:rPr>
                      <w:kern w:val="0"/>
                      <w:szCs w:val="21"/>
                      <w:highlight w:val="none"/>
                    </w:rPr>
                    <w:t>饮用水地表水源保护区包括一定的水域和陆域，其范围应按照不同水域特点进行水质定量预测并考虑当地具体条件加以确定，保证在规划设计的水文条件和污染负荷下，供应规划水量时，保护区的水质能满足相应的标准。</w:t>
                  </w:r>
                </w:p>
              </w:tc>
              <w:tc>
                <w:tcPr>
                  <w:tcW w:w="1359" w:type="pct"/>
                  <w:vMerge w:val="restart"/>
                  <w:vAlign w:val="center"/>
                </w:tcPr>
                <w:p>
                  <w:pPr>
                    <w:jc w:val="center"/>
                    <w:rPr>
                      <w:szCs w:val="21"/>
                      <w:highlight w:val="none"/>
                    </w:rPr>
                  </w:pPr>
                  <w:r>
                    <w:rPr>
                      <w:rFonts w:hint="eastAsia"/>
                      <w:szCs w:val="21"/>
                      <w:lang w:val="en-US" w:eastAsia="zh-CN"/>
                      <w:highlight w:val="none"/>
                    </w:rPr>
                    <w:t>太青水库</w:t>
                  </w:r>
                  <w:r>
                    <w:rPr>
                      <w:szCs w:val="21"/>
                      <w:highlight w:val="none"/>
                    </w:rPr>
                    <w:t>水源地已被划分饮用水水源保护区，</w:t>
                  </w:r>
                  <w:r>
                    <w:rPr>
                      <w:rFonts w:eastAsia="宋体" w:hint="eastAsia"/>
                      <w:szCs w:val="21"/>
                      <w:lang w:val="en-US" w:eastAsia="zh-CN"/>
                      <w:highlight w:val="none"/>
                    </w:rPr>
                    <w:t>本项目取水口将根据《饮用水水源保护区划分技术规范》（HJ338-2018）重新划分饮用水源保护区，</w:t>
                  </w:r>
                  <w:r>
                    <w:rPr>
                      <w:kern w:val="0"/>
                      <w:szCs w:val="21"/>
                      <w:highlight w:val="none"/>
                    </w:rPr>
                    <w:t>包括一定的水域和陆域</w:t>
                  </w:r>
                  <w:r>
                    <w:rPr>
                      <w:rFonts w:hint="eastAsia"/>
                      <w:kern w:val="0"/>
                      <w:szCs w:val="21"/>
                      <w:lang w:eastAsia="zh-CN"/>
                      <w:highlight w:val="none"/>
                    </w:rPr>
                    <w:t>，</w:t>
                  </w:r>
                  <w:r>
                    <w:rPr>
                      <w:rFonts w:hint="eastAsia"/>
                      <w:kern w:val="0"/>
                      <w:szCs w:val="21"/>
                      <w:lang w:val="en-US" w:eastAsia="zh-CN"/>
                      <w:highlight w:val="none"/>
                    </w:rPr>
                    <w:t>根据检测报告（附件11），太青水库</w:t>
                  </w:r>
                  <w:r>
                    <w:rPr>
                      <w:kern w:val="0"/>
                      <w:szCs w:val="21"/>
                      <w:highlight w:val="none"/>
                    </w:rPr>
                    <w:t>水质符合相关标准要求</w:t>
                  </w:r>
                </w:p>
              </w:tc>
              <w:tc>
                <w:tcPr>
                  <w:tcW w:w="521" w:type="pct"/>
                  <w:vAlign w:val="center"/>
                </w:tcPr>
                <w:p>
                  <w:pPr>
                    <w:jc w:val="center"/>
                    <w:rPr>
                      <w:szCs w:val="21"/>
                      <w:highlight w:val="none"/>
                    </w:rPr>
                  </w:pPr>
                  <w:r>
                    <w:rPr>
                      <w:rFonts w:hint="eastAsia"/>
                      <w:szCs w:val="21"/>
                      <w:highlight w:val="none"/>
                    </w:rPr>
                    <w:t>是</w:t>
                  </w:r>
                </w:p>
              </w:tc>
            </w:tr>
            <w:tr>
              <w:tc>
                <w:tcPr>
                  <w:tcW w:w="297" w:type="pct"/>
                  <w:vAlign w:val="center"/>
                </w:tcPr>
                <w:p>
                  <w:pPr>
                    <w:widowControl/>
                    <w:adjustRightInd w:val="0"/>
                    <w:snapToGrid w:val="0"/>
                    <w:jc w:val="center"/>
                    <w:rPr>
                      <w:kern w:val="0"/>
                      <w:szCs w:val="21"/>
                      <w:highlight w:val="none"/>
                    </w:rPr>
                  </w:pPr>
                  <w:r>
                    <w:rPr>
                      <w:kern w:val="0"/>
                      <w:szCs w:val="21"/>
                      <w:highlight w:val="none"/>
                    </w:rPr>
                    <w:t>2</w:t>
                  </w:r>
                </w:p>
              </w:tc>
              <w:tc>
                <w:tcPr>
                  <w:tcW w:w="2821" w:type="pct"/>
                  <w:vAlign w:val="center"/>
                </w:tcPr>
                <w:p>
                  <w:pPr>
                    <w:adjustRightInd w:val="0"/>
                    <w:jc w:val="left"/>
                    <w:rPr>
                      <w:kern w:val="0"/>
                      <w:szCs w:val="21"/>
                      <w:highlight w:val="none"/>
                    </w:rPr>
                  </w:pPr>
                  <w:r>
                    <w:rPr>
                      <w:kern w:val="0"/>
                      <w:szCs w:val="21"/>
                      <w:highlight w:val="none"/>
                    </w:rPr>
                    <w:t>在饮用水地表水源取水口附近划定一定的水域和陆域作为饮用水地表水源一级保护区。一级保护区的水质标准不得低于国家规定的《地面水环境质量标准》（GB3838-88）Ⅱ类标准，并须符合国家规定的《生活饮用水卫生标准》（GB5749-85）的要求。</w:t>
                  </w:r>
                </w:p>
              </w:tc>
              <w:tc>
                <w:tcPr>
                  <w:tcW w:w="1359" w:type="pct"/>
                  <w:vMerge/>
                  <w:vAlign w:val="center"/>
                </w:tcPr>
                <w:p/>
              </w:tc>
              <w:tc>
                <w:tcPr>
                  <w:tcW w:w="521" w:type="pct"/>
                  <w:vAlign w:val="center"/>
                </w:tcPr>
                <w:p>
                  <w:pPr>
                    <w:jc w:val="center"/>
                    <w:rPr>
                      <w:szCs w:val="21"/>
                      <w:highlight w:val="none"/>
                    </w:rPr>
                  </w:pPr>
                  <w:r>
                    <w:rPr>
                      <w:rFonts w:hint="eastAsia"/>
                      <w:szCs w:val="21"/>
                      <w:highlight w:val="none"/>
                    </w:rPr>
                    <w:t>是</w:t>
                  </w:r>
                </w:p>
              </w:tc>
            </w:tr>
            <w:tr>
              <w:tc>
                <w:tcPr>
                  <w:tcW w:w="297" w:type="pct"/>
                  <w:vAlign w:val="center"/>
                </w:tcPr>
                <w:p>
                  <w:pPr>
                    <w:widowControl/>
                    <w:adjustRightInd w:val="0"/>
                    <w:snapToGrid w:val="0"/>
                    <w:jc w:val="center"/>
                    <w:rPr>
                      <w:kern w:val="0"/>
                      <w:szCs w:val="21"/>
                      <w:highlight w:val="none"/>
                    </w:rPr>
                  </w:pPr>
                  <w:r>
                    <w:rPr>
                      <w:kern w:val="0"/>
                      <w:szCs w:val="21"/>
                      <w:highlight w:val="none"/>
                    </w:rPr>
                    <w:t>3</w:t>
                  </w:r>
                </w:p>
              </w:tc>
              <w:tc>
                <w:tcPr>
                  <w:tcW w:w="2821" w:type="pct"/>
                  <w:vAlign w:val="center"/>
                </w:tcPr>
                <w:p>
                  <w:pPr>
                    <w:adjustRightInd w:val="0"/>
                    <w:jc w:val="left"/>
                    <w:rPr>
                      <w:kern w:val="0"/>
                      <w:szCs w:val="21"/>
                      <w:highlight w:val="none"/>
                    </w:rPr>
                  </w:pPr>
                  <w:r>
                    <w:rPr>
                      <w:kern w:val="0"/>
                      <w:szCs w:val="21"/>
                      <w:highlight w:val="none"/>
                    </w:rPr>
                    <w:t>在饮用水地表水源一级保护区外划定一定水域和陆域作为饮用水地表水源二级保护区。二级保护区的水质标准不得低于国家规定的《地面水环境质量标准》（GB3838-88）Ⅲ类标准，应保证一级保护区的水质能满足规定的标准。</w:t>
                  </w:r>
                </w:p>
              </w:tc>
              <w:tc>
                <w:tcPr>
                  <w:tcW w:w="1359" w:type="pct"/>
                  <w:vMerge/>
                  <w:vAlign w:val="center"/>
                </w:tcPr>
                <w:p/>
              </w:tc>
              <w:tc>
                <w:tcPr>
                  <w:tcW w:w="521" w:type="pct"/>
                  <w:vAlign w:val="center"/>
                </w:tcPr>
                <w:p>
                  <w:pPr>
                    <w:jc w:val="center"/>
                    <w:rPr>
                      <w:szCs w:val="21"/>
                      <w:highlight w:val="none"/>
                    </w:rPr>
                  </w:pPr>
                  <w:r>
                    <w:rPr>
                      <w:rFonts w:hint="eastAsia"/>
                      <w:szCs w:val="21"/>
                      <w:highlight w:val="none"/>
                    </w:rPr>
                    <w:t>是</w:t>
                  </w:r>
                </w:p>
              </w:tc>
            </w:tr>
            <w:tr>
              <w:tc>
                <w:tcPr>
                  <w:tcW w:w="297" w:type="pct"/>
                  <w:vAlign w:val="center"/>
                </w:tcPr>
                <w:p>
                  <w:pPr>
                    <w:widowControl/>
                    <w:adjustRightInd w:val="0"/>
                    <w:snapToGrid w:val="0"/>
                    <w:jc w:val="center"/>
                    <w:rPr>
                      <w:kern w:val="0"/>
                      <w:szCs w:val="21"/>
                      <w:highlight w:val="none"/>
                    </w:rPr>
                  </w:pPr>
                  <w:r>
                    <w:rPr>
                      <w:kern w:val="0"/>
                      <w:szCs w:val="21"/>
                      <w:highlight w:val="none"/>
                    </w:rPr>
                    <w:t>4</w:t>
                  </w:r>
                </w:p>
              </w:tc>
              <w:tc>
                <w:tcPr>
                  <w:tcW w:w="2821" w:type="pct"/>
                  <w:vAlign w:val="center"/>
                </w:tcPr>
                <w:p>
                  <w:pPr>
                    <w:adjustRightInd w:val="0"/>
                    <w:jc w:val="left"/>
                    <w:rPr>
                      <w:kern w:val="0"/>
                      <w:szCs w:val="21"/>
                      <w:highlight w:val="none"/>
                    </w:rPr>
                  </w:pPr>
                  <w:r>
                    <w:rPr>
                      <w:kern w:val="0"/>
                      <w:szCs w:val="21"/>
                      <w:highlight w:val="none"/>
                    </w:rPr>
                    <w:t>根据需要可在饮用水地表水源二级保护区外划定一定的水域及陆域作为饮用水地表水源准保护区。准保护区的水质标准应保证二级保护区的水质能满足规定的标准。</w:t>
                  </w:r>
                </w:p>
              </w:tc>
              <w:tc>
                <w:tcPr>
                  <w:tcW w:w="1359" w:type="pct"/>
                  <w:vMerge/>
                  <w:vAlign w:val="center"/>
                </w:tcPr>
                <w:p/>
              </w:tc>
              <w:tc>
                <w:tcPr>
                  <w:tcW w:w="521" w:type="pct"/>
                  <w:vAlign w:val="center"/>
                </w:tcPr>
                <w:p>
                  <w:pPr>
                    <w:jc w:val="center"/>
                    <w:rPr>
                      <w:szCs w:val="21"/>
                      <w:highlight w:val="none"/>
                    </w:rPr>
                  </w:pPr>
                  <w:r>
                    <w:rPr>
                      <w:rFonts w:hint="eastAsia"/>
                      <w:szCs w:val="21"/>
                      <w:highlight w:val="none"/>
                    </w:rPr>
                    <w:t>是</w:t>
                  </w:r>
                </w:p>
              </w:tc>
            </w:tr>
            <w:tr>
              <w:tc>
                <w:tcPr>
                  <w:tcW w:w="297" w:type="pct"/>
                  <w:vAlign w:val="center"/>
                </w:tcPr>
                <w:p>
                  <w:pPr>
                    <w:widowControl/>
                    <w:adjustRightInd w:val="0"/>
                    <w:snapToGrid w:val="0"/>
                    <w:jc w:val="center"/>
                    <w:rPr>
                      <w:kern w:val="0"/>
                      <w:szCs w:val="21"/>
                      <w:highlight w:val="none"/>
                    </w:rPr>
                  </w:pPr>
                  <w:r>
                    <w:rPr>
                      <w:kern w:val="0"/>
                      <w:szCs w:val="21"/>
                      <w:highlight w:val="none"/>
                    </w:rPr>
                    <w:t>5</w:t>
                  </w:r>
                </w:p>
              </w:tc>
              <w:tc>
                <w:tcPr>
                  <w:tcW w:w="2821" w:type="pct"/>
                  <w:vAlign w:val="center"/>
                </w:tcPr>
                <w:p>
                  <w:pPr>
                    <w:adjustRightInd w:val="0"/>
                    <w:jc w:val="left"/>
                    <w:rPr>
                      <w:kern w:val="0"/>
                      <w:szCs w:val="21"/>
                      <w:highlight w:val="none"/>
                    </w:rPr>
                  </w:pPr>
                  <w:r>
                    <w:rPr>
                      <w:kern w:val="0"/>
                      <w:szCs w:val="21"/>
                      <w:highlight w:val="none"/>
                    </w:rPr>
                    <w:t>饮用水地表水源各级保护区及准保护区内均必须遵守下列规定：</w:t>
                  </w:r>
                </w:p>
                <w:p>
                  <w:pPr>
                    <w:adjustRightInd w:val="0"/>
                    <w:jc w:val="left"/>
                    <w:rPr>
                      <w:kern w:val="0"/>
                      <w:szCs w:val="21"/>
                      <w:highlight w:val="none"/>
                    </w:rPr>
                  </w:pPr>
                  <w:r>
                    <w:rPr>
                      <w:kern w:val="0"/>
                      <w:szCs w:val="21"/>
                      <w:highlight w:val="none"/>
                    </w:rPr>
                    <w:t>（1）禁止一切破坏水环境生态平衡的活动以及破坏水源林、护岸林、与水源保护相关植被的活动。</w:t>
                  </w:r>
                </w:p>
                <w:p>
                  <w:pPr>
                    <w:adjustRightInd w:val="0"/>
                    <w:jc w:val="left"/>
                    <w:rPr>
                      <w:kern w:val="0"/>
                      <w:szCs w:val="21"/>
                      <w:highlight w:val="none"/>
                    </w:rPr>
                  </w:pPr>
                  <w:r>
                    <w:rPr>
                      <w:kern w:val="0"/>
                      <w:szCs w:val="21"/>
                      <w:highlight w:val="none"/>
                    </w:rPr>
                    <w:t>（2）禁止向水域倾倒工业废渣、城市垃圾、粪便及其它废弃物。</w:t>
                  </w:r>
                </w:p>
                <w:p>
                  <w:pPr>
                    <w:adjustRightInd w:val="0"/>
                    <w:jc w:val="left"/>
                    <w:rPr>
                      <w:kern w:val="0"/>
                      <w:szCs w:val="21"/>
                      <w:highlight w:val="none"/>
                    </w:rPr>
                  </w:pPr>
                  <w:r>
                    <w:rPr>
                      <w:kern w:val="0"/>
                      <w:szCs w:val="21"/>
                      <w:highlight w:val="none"/>
                    </w:rPr>
                    <w:t>（3）运输有毒有害物质、油类、粪便的船舶和车辆一般不准进入保护区，必须进入者应事先申请并经有关部门批准、登记并设置防渗、防溢、防漏设施。</w:t>
                  </w:r>
                </w:p>
                <w:p>
                  <w:pPr>
                    <w:adjustRightInd w:val="0"/>
                    <w:jc w:val="left"/>
                    <w:rPr>
                      <w:kern w:val="0"/>
                      <w:szCs w:val="21"/>
                      <w:highlight w:val="none"/>
                    </w:rPr>
                  </w:pPr>
                  <w:r>
                    <w:rPr>
                      <w:kern w:val="0"/>
                      <w:szCs w:val="21"/>
                      <w:highlight w:val="none"/>
                    </w:rPr>
                    <w:t>（4）禁止使用剧毒和高残留农药，不得滥用化肥，不得使用炸药、毒品捕杀鱼类。</w:t>
                  </w:r>
                </w:p>
              </w:tc>
              <w:tc>
                <w:tcPr>
                  <w:tcW w:w="1359" w:type="pct"/>
                  <w:vAlign w:val="center"/>
                </w:tcPr>
                <w:p>
                  <w:pPr>
                    <w:jc w:val="center"/>
                    <w:rPr>
                      <w:szCs w:val="21"/>
                      <w:highlight w:val="none"/>
                    </w:rPr>
                  </w:pPr>
                  <w:r>
                    <w:rPr>
                      <w:szCs w:val="21"/>
                      <w:highlight w:val="none"/>
                    </w:rPr>
                    <w:t>本项目饮用水地表水源保护区已按相关规定执行</w:t>
                  </w:r>
                </w:p>
              </w:tc>
              <w:tc>
                <w:tcPr>
                  <w:tcW w:w="521" w:type="pct"/>
                  <w:vAlign w:val="center"/>
                </w:tcPr>
                <w:p>
                  <w:pPr>
                    <w:pStyle w:val="17"/>
                    <w:rPr>
                      <w:rFonts w:eastAsia="宋体"/>
                      <w:kern w:val="0"/>
                      <w:highlight w:val="none"/>
                    </w:rPr>
                  </w:pPr>
                  <w:r>
                    <w:rPr>
                      <w:rFonts w:eastAsia="宋体" w:hint="eastAsia"/>
                      <w:kern w:val="0"/>
                      <w:highlight w:val="none"/>
                    </w:rPr>
                    <w:t>是</w:t>
                  </w:r>
                </w:p>
              </w:tc>
            </w:tr>
            <w:tr>
              <w:tc>
                <w:tcPr>
                  <w:tcW w:w="297" w:type="pct"/>
                  <w:vAlign w:val="center"/>
                </w:tcPr>
                <w:p>
                  <w:pPr>
                    <w:widowControl/>
                    <w:adjustRightInd w:val="0"/>
                    <w:snapToGrid w:val="0"/>
                    <w:jc w:val="center"/>
                    <w:rPr>
                      <w:kern w:val="0"/>
                      <w:szCs w:val="21"/>
                      <w:highlight w:val="none"/>
                    </w:rPr>
                  </w:pPr>
                  <w:r>
                    <w:rPr>
                      <w:kern w:val="0"/>
                      <w:szCs w:val="21"/>
                      <w:highlight w:val="none"/>
                    </w:rPr>
                    <w:t>6</w:t>
                  </w:r>
                </w:p>
              </w:tc>
              <w:tc>
                <w:tcPr>
                  <w:tcW w:w="2821" w:type="pct"/>
                  <w:vAlign w:val="center"/>
                </w:tcPr>
                <w:p>
                  <w:pPr>
                    <w:adjustRightInd w:val="0"/>
                    <w:jc w:val="left"/>
                    <w:rPr>
                      <w:kern w:val="0"/>
                      <w:szCs w:val="21"/>
                      <w:highlight w:val="none"/>
                    </w:rPr>
                  </w:pPr>
                  <w:r>
                    <w:rPr>
                      <w:kern w:val="0"/>
                      <w:szCs w:val="21"/>
                      <w:highlight w:val="none"/>
                    </w:rPr>
                    <w:t>饮用水地表水源各级保护区及准保护区内必须分别遵守下列规定：</w:t>
                  </w:r>
                </w:p>
                <w:p>
                  <w:pPr>
                    <w:adjustRightInd w:val="0"/>
                    <w:jc w:val="left"/>
                    <w:rPr>
                      <w:kern w:val="0"/>
                      <w:szCs w:val="21"/>
                      <w:highlight w:val="none"/>
                    </w:rPr>
                  </w:pPr>
                  <w:r>
                    <w:rPr>
                      <w:kern w:val="0"/>
                      <w:szCs w:val="21"/>
                      <w:highlight w:val="none"/>
                    </w:rPr>
                    <w:t>一、一级保护区内</w:t>
                  </w:r>
                </w:p>
                <w:p>
                  <w:pPr>
                    <w:adjustRightInd w:val="0"/>
                    <w:jc w:val="left"/>
                    <w:rPr>
                      <w:kern w:val="0"/>
                      <w:szCs w:val="21"/>
                      <w:highlight w:val="none"/>
                    </w:rPr>
                  </w:pPr>
                  <w:r>
                    <w:rPr>
                      <w:kern w:val="0"/>
                      <w:szCs w:val="21"/>
                      <w:highlight w:val="none"/>
                    </w:rPr>
                    <w:t>禁止新建、扩建与供水设施和保护水源无关的建设项目；</w:t>
                  </w:r>
                </w:p>
                <w:p>
                  <w:pPr>
                    <w:adjustRightInd w:val="0"/>
                    <w:jc w:val="left"/>
                    <w:rPr>
                      <w:kern w:val="0"/>
                      <w:szCs w:val="21"/>
                      <w:highlight w:val="none"/>
                    </w:rPr>
                  </w:pPr>
                  <w:r>
                    <w:rPr>
                      <w:kern w:val="0"/>
                      <w:szCs w:val="21"/>
                      <w:highlight w:val="none"/>
                    </w:rPr>
                    <w:t>禁止向水域排放污水，已设置的排污口必须拆除；</w:t>
                  </w:r>
                </w:p>
                <w:p>
                  <w:pPr>
                    <w:adjustRightInd w:val="0"/>
                    <w:jc w:val="left"/>
                    <w:rPr>
                      <w:kern w:val="0"/>
                      <w:szCs w:val="21"/>
                      <w:highlight w:val="none"/>
                    </w:rPr>
                  </w:pPr>
                  <w:r>
                    <w:rPr>
                      <w:kern w:val="0"/>
                      <w:szCs w:val="21"/>
                      <w:highlight w:val="none"/>
                    </w:rPr>
                    <w:t>不得设置与供水需要无关的码头，禁止停靠船舶；</w:t>
                  </w:r>
                </w:p>
                <w:p>
                  <w:pPr>
                    <w:adjustRightInd w:val="0"/>
                    <w:jc w:val="left"/>
                    <w:rPr>
                      <w:kern w:val="0"/>
                      <w:szCs w:val="21"/>
                      <w:highlight w:val="none"/>
                    </w:rPr>
                  </w:pPr>
                  <w:r>
                    <w:rPr>
                      <w:kern w:val="0"/>
                      <w:szCs w:val="21"/>
                      <w:highlight w:val="none"/>
                    </w:rPr>
                    <w:t>禁止堆置和存放工业废渣、城市垃圾、粪便和其他废弃物；</w:t>
                  </w:r>
                </w:p>
                <w:p>
                  <w:pPr>
                    <w:adjustRightInd w:val="0"/>
                    <w:jc w:val="left"/>
                    <w:rPr>
                      <w:kern w:val="0"/>
                      <w:szCs w:val="21"/>
                      <w:highlight w:val="none"/>
                    </w:rPr>
                  </w:pPr>
                  <w:r>
                    <w:rPr>
                      <w:kern w:val="0"/>
                      <w:szCs w:val="21"/>
                      <w:highlight w:val="none"/>
                    </w:rPr>
                    <w:t>禁止设置油库；</w:t>
                  </w:r>
                </w:p>
                <w:p>
                  <w:pPr>
                    <w:adjustRightInd w:val="0"/>
                    <w:jc w:val="left"/>
                    <w:rPr>
                      <w:kern w:val="0"/>
                      <w:szCs w:val="21"/>
                      <w:highlight w:val="none"/>
                    </w:rPr>
                  </w:pPr>
                  <w:r>
                    <w:rPr>
                      <w:kern w:val="0"/>
                      <w:szCs w:val="21"/>
                      <w:highlight w:val="none"/>
                    </w:rPr>
                    <w:t>禁止从事种植、放养禽畜，严格控制网箱养殖活动；</w:t>
                  </w:r>
                </w:p>
                <w:p>
                  <w:pPr>
                    <w:adjustRightInd w:val="0"/>
                    <w:jc w:val="left"/>
                    <w:rPr>
                      <w:kern w:val="0"/>
                      <w:szCs w:val="21"/>
                      <w:highlight w:val="none"/>
                    </w:rPr>
                  </w:pPr>
                  <w:r>
                    <w:rPr>
                      <w:kern w:val="0"/>
                      <w:szCs w:val="21"/>
                      <w:highlight w:val="none"/>
                    </w:rPr>
                    <w:t>禁止可能污染水源的旅游活动和其他活动。</w:t>
                  </w:r>
                </w:p>
                <w:p>
                  <w:pPr>
                    <w:adjustRightInd w:val="0"/>
                    <w:jc w:val="left"/>
                    <w:rPr>
                      <w:kern w:val="0"/>
                      <w:szCs w:val="21"/>
                      <w:highlight w:val="none"/>
                    </w:rPr>
                  </w:pPr>
                  <w:r>
                    <w:rPr>
                      <w:kern w:val="0"/>
                      <w:szCs w:val="21"/>
                      <w:highlight w:val="none"/>
                    </w:rPr>
                    <w:t>二、二级保护区内</w:t>
                  </w:r>
                </w:p>
                <w:p>
                  <w:pPr>
                    <w:adjustRightInd w:val="0"/>
                    <w:jc w:val="left"/>
                    <w:rPr>
                      <w:kern w:val="0"/>
                      <w:szCs w:val="21"/>
                      <w:highlight w:val="none"/>
                    </w:rPr>
                  </w:pPr>
                  <w:r>
                    <w:rPr>
                      <w:kern w:val="0"/>
                      <w:szCs w:val="21"/>
                      <w:highlight w:val="none"/>
                    </w:rPr>
                    <w:t>不准新建、扩建向水体排放污染物的建设项目。改建项目必须削减污染物排放量；</w:t>
                  </w:r>
                </w:p>
                <w:p>
                  <w:pPr>
                    <w:adjustRightInd w:val="0"/>
                    <w:jc w:val="left"/>
                    <w:rPr>
                      <w:kern w:val="0"/>
                      <w:szCs w:val="21"/>
                      <w:highlight w:val="none"/>
                    </w:rPr>
                  </w:pPr>
                  <w:r>
                    <w:rPr>
                      <w:kern w:val="0"/>
                      <w:szCs w:val="21"/>
                      <w:highlight w:val="none"/>
                    </w:rPr>
                    <w:t>原有排污口必须削减污水排放量，保证保护区内水质满足规定的水质标准；</w:t>
                  </w:r>
                </w:p>
                <w:p>
                  <w:pPr>
                    <w:adjustRightInd w:val="0"/>
                    <w:jc w:val="left"/>
                    <w:rPr>
                      <w:kern w:val="0"/>
                      <w:szCs w:val="21"/>
                      <w:highlight w:val="none"/>
                    </w:rPr>
                  </w:pPr>
                  <w:r>
                    <w:rPr>
                      <w:kern w:val="0"/>
                      <w:szCs w:val="21"/>
                      <w:highlight w:val="none"/>
                    </w:rPr>
                    <w:t>禁止设立装卸垃圾、粪便、油类和有毒物品的码头。</w:t>
                  </w:r>
                </w:p>
                <w:p>
                  <w:pPr>
                    <w:adjustRightInd w:val="0"/>
                    <w:jc w:val="left"/>
                    <w:rPr>
                      <w:kern w:val="0"/>
                      <w:szCs w:val="21"/>
                      <w:highlight w:val="none"/>
                    </w:rPr>
                  </w:pPr>
                  <w:r>
                    <w:rPr>
                      <w:kern w:val="0"/>
                      <w:szCs w:val="21"/>
                      <w:highlight w:val="none"/>
                    </w:rPr>
                    <w:t>三、准保护区内</w:t>
                  </w:r>
                </w:p>
                <w:p>
                  <w:pPr>
                    <w:adjustRightInd w:val="0"/>
                    <w:jc w:val="left"/>
                    <w:rPr>
                      <w:kern w:val="0"/>
                      <w:szCs w:val="21"/>
                      <w:highlight w:val="none"/>
                    </w:rPr>
                  </w:pPr>
                  <w:r>
                    <w:rPr>
                      <w:kern w:val="0"/>
                      <w:szCs w:val="21"/>
                      <w:highlight w:val="none"/>
                    </w:rPr>
                    <w:t>直接或间接向水域排放废水，必须符合国家及地方规定的废水排放标准。当排放总量不能保证保护区内水质满足规定的标准时，必须削减排污负荷。</w:t>
                  </w:r>
                </w:p>
              </w:tc>
              <w:tc>
                <w:tcPr>
                  <w:tcW w:w="1359" w:type="pct"/>
                  <w:vAlign w:val="center"/>
                </w:tcPr>
                <w:p>
                  <w:pPr>
                    <w:jc w:val="center"/>
                    <w:rPr>
                      <w:szCs w:val="21"/>
                      <w:highlight w:val="none"/>
                    </w:rPr>
                  </w:pPr>
                  <w:r>
                    <w:rPr>
                      <w:szCs w:val="21"/>
                      <w:highlight w:val="none"/>
                    </w:rPr>
                    <w:t>本项目饮用水地表水源保护区已按相关规定执行</w:t>
                  </w:r>
                  <w:r>
                    <w:rPr>
                      <w:rFonts w:hint="eastAsia"/>
                      <w:szCs w:val="21"/>
                      <w:highlight w:val="none"/>
                    </w:rPr>
                    <w:t>，</w:t>
                  </w:r>
                  <w:r>
                    <w:rPr>
                      <w:rFonts w:hint="eastAsia"/>
                      <w:highlight w:val="none"/>
                    </w:rPr>
                    <w:t>本项目为</w:t>
                  </w:r>
                  <w:r>
                    <w:rPr>
                      <w:kern w:val="0"/>
                      <w:szCs w:val="21"/>
                      <w:highlight w:val="none"/>
                    </w:rPr>
                    <w:t>与供水设施</w:t>
                  </w:r>
                  <w:r>
                    <w:rPr>
                      <w:rFonts w:hint="eastAsia"/>
                      <w:kern w:val="0"/>
                      <w:szCs w:val="21"/>
                      <w:highlight w:val="none"/>
                    </w:rPr>
                    <w:t>有关的建设项目，不属于禁止类项目。</w:t>
                  </w:r>
                </w:p>
              </w:tc>
              <w:tc>
                <w:tcPr>
                  <w:tcW w:w="521" w:type="pct"/>
                  <w:vAlign w:val="center"/>
                </w:tcPr>
                <w:p>
                  <w:pPr>
                    <w:pStyle w:val="17"/>
                    <w:rPr>
                      <w:rFonts w:eastAsia="宋体"/>
                      <w:kern w:val="0"/>
                      <w:highlight w:val="none"/>
                    </w:rPr>
                  </w:pPr>
                  <w:r>
                    <w:rPr>
                      <w:rFonts w:eastAsia="宋体" w:hint="eastAsia"/>
                      <w:kern w:val="0"/>
                      <w:highlight w:val="none"/>
                    </w:rPr>
                    <w:t>是</w:t>
                  </w:r>
                </w:p>
              </w:tc>
            </w:tr>
          </w:tbl>
          <w:p>
            <w:pPr>
              <w:spacing w:line="360" w:lineRule="auto"/>
              <w:rPr>
                <w:b/>
                <w:snapToGrid w:val="0"/>
                <w:color w:val="000000"/>
                <w:sz w:val="24"/>
                <w:u w:val="single" w:color="auto"/>
                <w:highlight w:val="none"/>
              </w:rPr>
            </w:pPr>
            <w:r>
              <w:rPr>
                <w:rFonts w:hint="eastAsia"/>
                <w:b/>
                <w:snapToGrid w:val="0"/>
                <w:color w:val="000000"/>
                <w:sz w:val="24"/>
                <w:u w:val="single" w:color="auto"/>
                <w:lang w:val="en-US" w:eastAsia="zh-CN"/>
                <w:highlight w:val="none"/>
              </w:rPr>
              <w:t>5</w:t>
            </w:r>
            <w:r>
              <w:rPr>
                <w:rFonts w:hint="eastAsia"/>
                <w:b/>
                <w:snapToGrid w:val="0"/>
                <w:color w:val="000000"/>
                <w:sz w:val="24"/>
                <w:u w:val="single" w:color="auto"/>
                <w:highlight w:val="none"/>
              </w:rPr>
              <w:t>、</w:t>
            </w:r>
            <w:r>
              <w:rPr>
                <w:rFonts w:ascii="Times New Roman" w:eastAsia="宋体" w:cs="Times New Roman" w:hAnsi="Times New Roman" w:hint="eastAsia"/>
                <w:b/>
                <w:snapToGrid w:val="0"/>
                <w:color w:val="000000"/>
                <w:sz w:val="24"/>
                <w:u w:val="single" w:color="auto"/>
                <w:lang w:val="en-US" w:eastAsia="zh-CN"/>
                <w:highlight w:val="none"/>
              </w:rPr>
              <w:t>太青水库饮用水源保护区拟划定方案可行性</w:t>
            </w:r>
            <w:r>
              <w:rPr>
                <w:b/>
                <w:snapToGrid w:val="0"/>
                <w:color w:val="000000"/>
                <w:sz w:val="24"/>
                <w:u w:val="single" w:color="auto"/>
                <w:highlight w:val="none"/>
              </w:rPr>
              <w:t>分析</w:t>
            </w:r>
          </w:p>
          <w:p>
            <w:pPr>
              <w:tabs>
                <w:tab w:val="left" w:pos="360"/>
              </w:tabs>
              <w:spacing w:line="360" w:lineRule="auto"/>
              <w:ind w:firstLineChars="200" w:firstLine="480"/>
              <w:rPr>
                <w:color w:val="000000"/>
                <w:kern w:val="0"/>
                <w:sz w:val="24"/>
                <w:u w:val="single"/>
                <w:highlight w:val="none"/>
              </w:rPr>
            </w:pPr>
            <w:r>
              <w:rPr>
                <w:rFonts w:hint="eastAsia"/>
                <w:kern w:val="0"/>
                <w:sz w:val="24"/>
                <w:u w:val="single" w:color="auto"/>
                <w:lang w:val="en-US" w:eastAsia="zh-CN"/>
              </w:rPr>
              <w:t>（1）</w:t>
            </w:r>
            <w:r>
              <w:rPr>
                <w:rFonts w:hint="eastAsia"/>
                <w:color w:val="000000"/>
                <w:kern w:val="0"/>
                <w:sz w:val="24"/>
                <w:u w:val="single"/>
                <w:highlight w:val="none"/>
              </w:rPr>
              <w:t>饮用水水源保护区</w:t>
            </w:r>
            <w:r>
              <w:rPr>
                <w:rFonts w:hint="eastAsia"/>
                <w:color w:val="000000"/>
                <w:kern w:val="0"/>
                <w:sz w:val="24"/>
                <w:u w:val="single"/>
                <w:lang w:val="en-US" w:eastAsia="zh-CN"/>
                <w:highlight w:val="none"/>
              </w:rPr>
              <w:t>现状</w:t>
            </w:r>
            <w:r>
              <w:rPr>
                <w:rFonts w:hint="eastAsia"/>
                <w:color w:val="000000"/>
                <w:kern w:val="0"/>
                <w:sz w:val="24"/>
                <w:u w:val="single"/>
                <w:highlight w:val="none"/>
              </w:rPr>
              <w:t>范围</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FFFFFF"/>
              <w:kinsoku/>
              <w:wordWrap/>
              <w:overflowPunct/>
              <w:topLinePunct w:val="0"/>
              <w:autoSpaceDE/>
              <w:autoSpaceDN/>
              <w:bidi w:val="0"/>
              <w:adjustRightInd w:val="0"/>
              <w:snapToGrid w:val="0"/>
              <w:spacing w:before="0" w:beforeAutospacing="0" w:afterAutospacing="0" w:line="360" w:lineRule="auto"/>
              <w:ind w:left="0" w:right="0" w:firstLineChars="200" w:firstLine="480"/>
              <w:jc w:val="both"/>
              <w:textAlignment w:val="auto"/>
              <w:rPr>
                <w:rFonts w:ascii="宋体" w:eastAsia="宋体" w:cs="宋体" w:hAnsi="宋体" w:hint="eastAsia"/>
                <w:kern w:val="0"/>
                <w:sz w:val="24"/>
                <w:szCs w:val="24"/>
                <w:u w:val="none"/>
                <w:lang w:val="en-US" w:eastAsia="zh-CN" w:bidi="ar-SA"/>
                <w:highlight w:val="none"/>
              </w:rPr>
            </w:pPr>
            <w:r>
              <w:rPr>
                <w:rFonts w:ascii="宋体" w:eastAsia="宋体" w:cs="宋体" w:hAnsi="宋体" w:hint="eastAsia"/>
                <w:kern w:val="0"/>
                <w:sz w:val="24"/>
                <w:szCs w:val="24"/>
                <w:u w:val="single"/>
                <w:lang w:val="en-US" w:eastAsia="zh-CN" w:bidi="ar-SA"/>
                <w:highlight w:val="none"/>
              </w:rPr>
              <w:t>根据</w:t>
            </w:r>
            <w:r>
              <w:rPr>
                <w:rFonts w:ascii="宋体" w:cs="宋体" w:hAnsi="宋体" w:hint="eastAsia"/>
                <w:kern w:val="0"/>
                <w:sz w:val="24"/>
                <w:szCs w:val="24"/>
                <w:u w:val="single"/>
                <w:lang w:val="en-US" w:eastAsia="zh-CN" w:bidi="ar-SA"/>
                <w:highlight w:val="none"/>
              </w:rPr>
              <w:t>湖南省生态环境厅《关于常德市蒙泉水库等</w:t>
            </w:r>
            <w:r>
              <w:rPr>
                <w:rFonts w:ascii="Times New Roman" w:eastAsia="宋体" w:cs="Times New Roman" w:hAnsi="Times New Roman"/>
                <w:kern w:val="0"/>
                <w:sz w:val="24"/>
                <w:szCs w:val="24"/>
                <w:u w:val="single"/>
                <w:lang w:val="en-US" w:eastAsia="zh-CN" w:bidi="ar-SA"/>
                <w:highlight w:val="none"/>
              </w:rPr>
              <w:t>110处</w:t>
            </w:r>
            <w:r>
              <w:rPr>
                <w:rFonts w:ascii="宋体" w:cs="宋体" w:hAnsi="宋体" w:hint="eastAsia"/>
                <w:kern w:val="0"/>
                <w:sz w:val="24"/>
                <w:szCs w:val="24"/>
                <w:u w:val="single"/>
                <w:lang w:val="en-US" w:eastAsia="zh-CN" w:bidi="ar-SA"/>
                <w:highlight w:val="none"/>
              </w:rPr>
              <w:t>饮用水源地划定为饮用水水源保护区的函》（湘环函</w:t>
            </w:r>
            <w:r>
              <w:rPr>
                <w:bCs/>
                <w:color w:val="000000"/>
                <w:sz w:val="24"/>
                <w:szCs w:val="24"/>
                <w:u w:val="single"/>
                <w14:textFill>
                  <w14:solidFill>
                    <w14:srgbClr w14:val="000000"/>
                  </w14:solidFill>
                </w14:textFill>
                <w:highlight w:val="none"/>
              </w:rPr>
              <w:t>[201</w:t>
            </w:r>
            <w:r>
              <w:rPr>
                <w:rFonts w:hint="eastAsia"/>
                <w:bCs/>
                <w:color w:val="000000"/>
                <w:sz w:val="24"/>
                <w:szCs w:val="24"/>
                <w:u w:val="single"/>
                <w14:textFill>
                  <w14:solidFill>
                    <w14:srgbClr w14:val="000000"/>
                  </w14:solidFill>
                </w14:textFill>
                <w:lang w:val="en-US" w:eastAsia="zh-CN"/>
                <w:highlight w:val="none"/>
              </w:rPr>
              <w:t>4</w:t>
            </w:r>
            <w:r>
              <w:rPr>
                <w:bCs/>
                <w:color w:val="000000"/>
                <w:sz w:val="24"/>
                <w:szCs w:val="24"/>
                <w:u w:val="single"/>
                <w14:textFill>
                  <w14:solidFill>
                    <w14:srgbClr w14:val="000000"/>
                  </w14:solidFill>
                </w14:textFill>
                <w:highlight w:val="none"/>
              </w:rPr>
              <w:t>]</w:t>
            </w:r>
            <w:r>
              <w:rPr>
                <w:rFonts w:ascii="Times New Roman" w:cs="Times New Roman" w:hAnsi="Times New Roman"/>
                <w:kern w:val="0"/>
                <w:sz w:val="24"/>
                <w:szCs w:val="24"/>
                <w:u w:val="single"/>
                <w:lang w:val="en-US" w:eastAsia="zh-CN" w:bidi="ar-SA"/>
                <w:highlight w:val="none"/>
              </w:rPr>
              <w:t>676号）</w:t>
            </w:r>
            <w:r>
              <w:rPr>
                <w:rFonts w:ascii="宋体" w:cs="宋体" w:hAnsi="宋体" w:hint="eastAsia"/>
                <w:kern w:val="0"/>
                <w:sz w:val="24"/>
                <w:szCs w:val="24"/>
                <w:u w:val="single"/>
                <w:lang w:val="en-US" w:eastAsia="zh-CN" w:bidi="ar-SA"/>
                <w:highlight w:val="none"/>
              </w:rPr>
              <w:t>以及</w:t>
            </w:r>
            <w:r>
              <w:rPr>
                <w:rFonts w:ascii="宋体" w:eastAsia="宋体" w:cs="宋体" w:hAnsi="宋体" w:hint="eastAsia"/>
                <w:kern w:val="0"/>
                <w:sz w:val="24"/>
                <w:szCs w:val="24"/>
                <w:u w:val="single"/>
                <w:lang w:val="en-US" w:eastAsia="zh-CN" w:bidi="ar-SA"/>
                <w:highlight w:val="none"/>
              </w:rPr>
              <w:t>常德市人民政府</w:t>
            </w:r>
            <w:r>
              <w:rPr>
                <w:rFonts w:ascii="Times New Roman" w:eastAsia="宋体" w:cs="Times New Roman" w:hAnsi="Times New Roman"/>
                <w:kern w:val="0"/>
                <w:sz w:val="24"/>
                <w:szCs w:val="24"/>
                <w:u w:val="single"/>
                <w:lang w:val="en-US" w:eastAsia="zh-CN" w:bidi="ar-SA"/>
                <w:highlight w:val="none"/>
              </w:rPr>
              <w:t>《</w:t>
            </w:r>
            <w:r>
              <w:rPr>
                <w:rFonts w:ascii="宋体" w:eastAsia="宋体" w:cs="宋体" w:hAnsi="宋体" w:hint="eastAsia"/>
                <w:kern w:val="0"/>
                <w:sz w:val="24"/>
                <w:szCs w:val="24"/>
                <w:u w:val="single"/>
                <w:lang w:val="en-US" w:eastAsia="zh-CN" w:bidi="ar-SA"/>
                <w:highlight w:val="none"/>
              </w:rPr>
              <w:t>关于公布常德</w:t>
            </w:r>
            <w:r>
              <w:rPr>
                <w:rFonts w:ascii="Times New Roman" w:eastAsia="宋体" w:cs="Times New Roman" w:hAnsi="Times New Roman"/>
                <w:kern w:val="0"/>
                <w:sz w:val="24"/>
                <w:szCs w:val="24"/>
                <w:u w:val="single"/>
                <w:lang w:val="en-US" w:eastAsia="zh-CN" w:bidi="ar-SA"/>
                <w:highlight w:val="none"/>
              </w:rPr>
              <w:t>市78个千</w:t>
            </w:r>
            <w:r>
              <w:rPr>
                <w:rFonts w:ascii="宋体" w:eastAsia="宋体" w:cs="宋体" w:hAnsi="宋体" w:hint="eastAsia"/>
                <w:kern w:val="0"/>
                <w:sz w:val="24"/>
                <w:szCs w:val="24"/>
                <w:u w:val="single"/>
                <w:lang w:val="en-US" w:eastAsia="zh-CN" w:bidi="ar-SA"/>
                <w:highlight w:val="none"/>
              </w:rPr>
              <w:t>人以上集中式饮用水水源保护区划定方案的通知</w:t>
            </w:r>
            <w:r>
              <w:rPr>
                <w:rFonts w:ascii="Times New Roman" w:eastAsia="宋体" w:cs="Times New Roman" w:hAnsi="Times New Roman"/>
                <w:kern w:val="0"/>
                <w:sz w:val="24"/>
                <w:szCs w:val="24"/>
                <w:u w:val="single"/>
                <w:lang w:val="en-US" w:eastAsia="zh-CN" w:bidi="ar-SA"/>
                <w:highlight w:val="none"/>
              </w:rPr>
              <w:t>》（</w:t>
            </w:r>
            <w:r>
              <w:rPr>
                <w:rFonts w:ascii="宋体" w:cs="宋体" w:hAnsi="宋体" w:hint="eastAsia"/>
                <w:kern w:val="0"/>
                <w:sz w:val="24"/>
                <w:szCs w:val="24"/>
                <w:u w:val="single"/>
                <w:lang w:val="en-US" w:eastAsia="zh-CN" w:bidi="ar-SA"/>
                <w:highlight w:val="none"/>
              </w:rPr>
              <w:t>常政函</w:t>
            </w:r>
            <w:r>
              <w:rPr>
                <w:bCs/>
                <w:color w:val="000000"/>
                <w:sz w:val="24"/>
                <w:szCs w:val="24"/>
                <w:u w:val="single"/>
                <w14:textFill>
                  <w14:solidFill>
                    <w14:srgbClr w14:val="000000"/>
                  </w14:solidFill>
                </w14:textFill>
                <w:highlight w:val="none"/>
              </w:rPr>
              <w:t>[20</w:t>
            </w:r>
            <w:r>
              <w:rPr>
                <w:rFonts w:hint="eastAsia"/>
                <w:bCs/>
                <w:color w:val="000000"/>
                <w:sz w:val="24"/>
                <w:szCs w:val="24"/>
                <w:u w:val="single"/>
                <w14:textFill>
                  <w14:solidFill>
                    <w14:srgbClr w14:val="000000"/>
                  </w14:solidFill>
                </w14:textFill>
                <w:lang w:val="en-US" w:eastAsia="zh-CN"/>
                <w:highlight w:val="none"/>
              </w:rPr>
              <w:t>20</w:t>
            </w:r>
            <w:r>
              <w:rPr>
                <w:bCs/>
                <w:color w:val="000000"/>
                <w:sz w:val="24"/>
                <w:szCs w:val="24"/>
                <w:u w:val="single"/>
                <w14:textFill>
                  <w14:solidFill>
                    <w14:srgbClr w14:val="000000"/>
                  </w14:solidFill>
                </w14:textFill>
                <w:highlight w:val="none"/>
              </w:rPr>
              <w:t>]</w:t>
            </w:r>
            <w:r>
              <w:rPr>
                <w:rFonts w:ascii="Times New Roman" w:cs="Times New Roman" w:hAnsi="Times New Roman"/>
                <w:kern w:val="0"/>
                <w:sz w:val="24"/>
                <w:szCs w:val="24"/>
                <w:u w:val="single"/>
                <w:lang w:val="en-US" w:eastAsia="zh-CN" w:bidi="ar-SA"/>
                <w:highlight w:val="none"/>
              </w:rPr>
              <w:t>76号</w:t>
            </w:r>
            <w:r>
              <w:rPr>
                <w:rFonts w:ascii="Times New Roman" w:eastAsia="宋体" w:cs="Times New Roman" w:hAnsi="Times New Roman"/>
                <w:kern w:val="0"/>
                <w:sz w:val="24"/>
                <w:szCs w:val="24"/>
                <w:u w:val="single"/>
                <w:lang w:val="en-US" w:eastAsia="zh-CN" w:bidi="ar-SA"/>
                <w:highlight w:val="none"/>
              </w:rPr>
              <w:t>）</w:t>
            </w:r>
            <w:r>
              <w:rPr>
                <w:rFonts w:cs="Times New Roman" w:hint="eastAsia"/>
                <w:kern w:val="0"/>
                <w:sz w:val="24"/>
                <w:szCs w:val="24"/>
                <w:u w:val="single"/>
                <w:lang w:val="en-US" w:eastAsia="zh-CN" w:bidi="ar-SA"/>
                <w:highlight w:val="none"/>
              </w:rPr>
              <w:t>（详见附件12）</w:t>
            </w:r>
            <w:r>
              <w:rPr>
                <w:rFonts w:ascii="宋体" w:eastAsia="宋体" w:cs="宋体" w:hAnsi="宋体" w:hint="eastAsia"/>
                <w:kern w:val="0"/>
                <w:sz w:val="24"/>
                <w:szCs w:val="24"/>
                <w:u w:val="single"/>
                <w:lang w:val="en-US" w:eastAsia="zh-CN" w:bidi="ar-SA"/>
                <w:highlight w:val="none"/>
              </w:rPr>
              <w:t>，</w:t>
            </w:r>
            <w:r>
              <w:rPr>
                <w:rFonts w:ascii="宋体" w:cs="宋体" w:hAnsi="宋体" w:hint="eastAsia"/>
                <w:kern w:val="0"/>
                <w:sz w:val="24"/>
                <w:szCs w:val="24"/>
                <w:u w:val="single"/>
                <w:lang w:val="en-US" w:eastAsia="zh-CN" w:bidi="ar-SA"/>
                <w:highlight w:val="none"/>
              </w:rPr>
              <w:t>太青水库</w:t>
            </w:r>
            <w:r>
              <w:rPr>
                <w:rFonts w:ascii="宋体" w:eastAsia="宋体" w:cs="宋体" w:hAnsi="宋体" w:hint="eastAsia"/>
                <w:kern w:val="0"/>
                <w:sz w:val="24"/>
                <w:szCs w:val="24"/>
                <w:u w:val="single"/>
                <w:lang w:val="en-US" w:eastAsia="zh-CN" w:bidi="ar-SA"/>
                <w:highlight w:val="none"/>
              </w:rPr>
              <w:t>饮用水水源保护区划定范围见附图</w:t>
            </w:r>
            <w:r>
              <w:rPr>
                <w:rFonts w:ascii="Times New Roman" w:eastAsia="宋体" w:cs="Times New Roman" w:hAnsi="Times New Roman"/>
                <w:kern w:val="0"/>
                <w:sz w:val="24"/>
                <w:szCs w:val="24"/>
                <w:u w:val="single"/>
                <w:lang w:val="en-US" w:eastAsia="zh-CN" w:bidi="ar-SA"/>
                <w:highlight w:val="none"/>
              </w:rPr>
              <w:t>8</w:t>
            </w:r>
            <w:r>
              <w:rPr>
                <w:rFonts w:ascii="宋体" w:eastAsia="宋体" w:cs="宋体" w:hAnsi="宋体" w:hint="eastAsia"/>
                <w:kern w:val="0"/>
                <w:sz w:val="24"/>
                <w:szCs w:val="24"/>
                <w:u w:val="single"/>
                <w:lang w:val="en-US" w:eastAsia="zh-CN" w:bidi="ar-SA"/>
                <w:highlight w:val="none"/>
              </w:rPr>
              <w:t>及下表：</w:t>
            </w:r>
          </w:p>
          <w:p>
            <w:pPr>
              <w:spacing w:line="240" w:lineRule="auto"/>
              <w:jc w:val="center"/>
              <w:rPr>
                <w:rFonts w:ascii="Times New Roman" w:eastAsia="宋体" w:cs="Times New Roman" w:hAnsi="Times New Roman"/>
                <w:b/>
                <w:color w:val="auto"/>
                <w:spacing w:val="-2"/>
                <w:sz w:val="21"/>
                <w:szCs w:val="21"/>
                <w:u w:val="single" w:color="auto"/>
                <w:highlight w:val="none"/>
              </w:rPr>
            </w:pPr>
            <w:r>
              <w:rPr>
                <w:rFonts w:ascii="Times New Roman" w:eastAsia="宋体" w:cs="Times New Roman" w:hAnsi="Times New Roman"/>
                <w:b/>
                <w:color w:val="auto"/>
                <w:spacing w:val="-2"/>
                <w:sz w:val="21"/>
                <w:szCs w:val="21"/>
                <w:u w:val="single" w:color="auto"/>
                <w:highlight w:val="none"/>
              </w:rPr>
              <w:t>表</w:t>
            </w:r>
            <w:r>
              <w:rPr>
                <w:rFonts w:ascii="Times New Roman" w:eastAsia="宋体" w:cs="Times New Roman" w:hAnsi="Times New Roman" w:hint="eastAsia"/>
                <w:b/>
                <w:color w:val="auto"/>
                <w:spacing w:val="-2"/>
                <w:sz w:val="21"/>
                <w:szCs w:val="21"/>
                <w:u w:val="single" w:color="auto"/>
                <w:lang w:val="en-US" w:eastAsia="zh-CN"/>
                <w:highlight w:val="none"/>
              </w:rPr>
              <w:t>1-4</w:t>
            </w:r>
            <w:r>
              <w:rPr>
                <w:rFonts w:ascii="Times New Roman" w:eastAsia="宋体" w:cs="Times New Roman" w:hAnsi="Times New Roman"/>
                <w:b/>
                <w:color w:val="auto"/>
                <w:spacing w:val="-2"/>
                <w:sz w:val="21"/>
                <w:szCs w:val="21"/>
                <w:u w:val="single" w:color="auto"/>
                <w:highlight w:val="none"/>
              </w:rPr>
              <w:t xml:space="preserve">  保护区划分范围一览表</w:t>
            </w:r>
          </w:p>
          <w:tbl>
            <w:tblPr>
              <w:jc w:val="left"/>
              <w:tblInd w:w="17" w:type="dxa"/>
              <w:tblW w:w="4998"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738"/>
              <w:gridCol w:w="1360"/>
              <w:gridCol w:w="1634"/>
              <w:gridCol w:w="1422"/>
              <w:gridCol w:w="1458"/>
              <w:gridCol w:w="552"/>
            </w:tblGrid>
            <w:tr>
              <w:trPr>
                <w:trHeight w:val="283"/>
              </w:trPr>
              <w:tc>
                <w:tcPr>
                  <w:tcW w:w="5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水源地名称</w:t>
                  </w:r>
                </w:p>
              </w:tc>
              <w:tc>
                <w:tcPr>
                  <w:tcW w:w="20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一级保护区</w:t>
                  </w:r>
                </w:p>
              </w:tc>
              <w:tc>
                <w:tcPr>
                  <w:tcW w:w="200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二级保护区</w:t>
                  </w:r>
                </w:p>
              </w:tc>
              <w:tc>
                <w:tcPr>
                  <w:tcW w:w="3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准保护区</w:t>
                  </w:r>
                </w:p>
              </w:tc>
            </w:tr>
            <w:tr>
              <w:trPr>
                <w:trHeight w:val="283"/>
              </w:trPr>
              <w:tc>
                <w:tcPr>
                  <w:tcW w:w="515" w:type="pct"/>
                  <w:vMerge/>
                  <w:tcBorders>
                    <w:tl2br w:val="nil"/>
                    <w:tr2bl w:val="nil"/>
                  </w:tcBorders>
                  <w:vAlign w:val="center"/>
                </w:tcPr>
                <w:p/>
              </w:tc>
              <w:tc>
                <w:tcPr>
                  <w:tcW w:w="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水域</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陆域</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水域</w:t>
                  </w:r>
                </w:p>
              </w:tc>
              <w:tc>
                <w:tcPr>
                  <w:tcW w:w="10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陆域</w:t>
                  </w:r>
                </w:p>
              </w:tc>
              <w:tc>
                <w:tcPr>
                  <w:tcW w:w="385" w:type="pct"/>
                  <w:vMerge/>
                  <w:tcBorders>
                    <w:tl2br w:val="nil"/>
                    <w:tr2bl w:val="nil"/>
                  </w:tcBorders>
                  <w:vAlign w:val="center"/>
                </w:tcPr>
                <w:p/>
              </w:tc>
            </w:tr>
            <w:tr>
              <w:trPr>
                <w:trHeight w:val="283"/>
              </w:trPr>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u w:val="single" w:color="auto"/>
                      <w:lang w:val="en-US"/>
                      <w:highlight w:val="none"/>
                    </w:rPr>
                  </w:pPr>
                  <w:r>
                    <w:rPr>
                      <w:rFonts w:ascii="Times New Roman" w:cs="Times New Roman" w:hAnsi="Times New Roman" w:hint="eastAsia"/>
                      <w:sz w:val="21"/>
                      <w:szCs w:val="21"/>
                      <w:u w:val="single" w:color="auto"/>
                      <w:lang w:val="en-US" w:eastAsia="zh-CN"/>
                      <w:highlight w:val="none"/>
                    </w:rPr>
                    <w:t>太青水库饮用水源保护区</w:t>
                  </w:r>
                </w:p>
              </w:tc>
              <w:tc>
                <w:tcPr>
                  <w:tcW w:w="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cs="Times New Roman" w:hAnsi="Times New Roman"/>
                      <w:sz w:val="21"/>
                      <w:szCs w:val="21"/>
                      <w:u w:val="single" w:color="auto"/>
                      <w:highlight w:val="none"/>
                    </w:rPr>
                  </w:pPr>
                  <w:r>
                    <w:rPr>
                      <w:rFonts w:ascii="Times New Roman" w:cs="Times New Roman" w:hAnsi="Times New Roman"/>
                      <w:sz w:val="21"/>
                      <w:szCs w:val="21"/>
                      <w:u w:val="single" w:color="auto"/>
                      <w:highlight w:val="none"/>
                    </w:rPr>
                    <w:t>取水口半径300米范围内的水域</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cs="Times New Roman" w:hAnsi="Times New Roman"/>
                      <w:sz w:val="21"/>
                      <w:szCs w:val="21"/>
                      <w:u w:val="single" w:color="auto"/>
                      <w:highlight w:val="none"/>
                    </w:rPr>
                  </w:pPr>
                  <w:r>
                    <w:rPr>
                      <w:rFonts w:ascii="Times New Roman" w:cs="Times New Roman" w:hAnsi="Times New Roman"/>
                      <w:sz w:val="21"/>
                      <w:szCs w:val="21"/>
                      <w:u w:val="single" w:color="auto"/>
                      <w:highlight w:val="none"/>
                    </w:rPr>
                    <w:t>一级保护区水域边界外200米范围内陆域，不超过大坝迎水侧坝顶、道路迎水侧路肩</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cs="Times New Roman" w:hAnsi="Times New Roman"/>
                      <w:sz w:val="21"/>
                      <w:szCs w:val="21"/>
                      <w:u w:val="single" w:color="auto"/>
                      <w:highlight w:val="none"/>
                    </w:rPr>
                  </w:pPr>
                  <w:r>
                    <w:rPr>
                      <w:rFonts w:ascii="Times New Roman" w:cs="Times New Roman" w:hAnsi="Times New Roman" w:hint="eastAsia"/>
                      <w:sz w:val="21"/>
                      <w:szCs w:val="21"/>
                      <w:u w:val="single" w:color="auto"/>
                      <w:highlight w:val="none"/>
                    </w:rPr>
                    <w:t>太青水库一级保护区边界外的水域面积</w:t>
                  </w:r>
                </w:p>
              </w:tc>
              <w:tc>
                <w:tcPr>
                  <w:tcW w:w="10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cs="Times New Roman" w:hAnsi="Times New Roman"/>
                      <w:sz w:val="21"/>
                      <w:szCs w:val="21"/>
                      <w:u w:val="single" w:color="auto"/>
                      <w:highlight w:val="none"/>
                    </w:rPr>
                  </w:pPr>
                  <w:r>
                    <w:rPr>
                      <w:rFonts w:ascii="Times New Roman" w:cs="Times New Roman" w:hAnsi="Times New Roman" w:hint="eastAsia"/>
                      <w:sz w:val="21"/>
                      <w:szCs w:val="21"/>
                      <w:u w:val="single" w:color="auto"/>
                      <w:highlight w:val="none"/>
                    </w:rPr>
                    <w:t>太青水库的整个集雨区范围内的陆域</w:t>
                  </w:r>
                </w:p>
              </w:tc>
              <w:tc>
                <w:tcPr>
                  <w:tcW w:w="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u w:val="single" w:color="auto"/>
                      <w:highlight w:val="none"/>
                    </w:rPr>
                  </w:pPr>
                  <w:r>
                    <w:rPr>
                      <w:sz w:val="21"/>
                      <w:szCs w:val="21"/>
                      <w:u w:val="single" w:color="auto"/>
                      <w:highlight w:val="none"/>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u w:val="single" w:color="auto"/>
                      <w:highlight w:val="none"/>
                    </w:rPr>
                  </w:pPr>
                </w:p>
              </w:tc>
            </w:tr>
          </w:tbl>
          <w:p>
            <w:pPr>
              <w:tabs>
                <w:tab w:val="left" w:pos="360"/>
              </w:tabs>
              <w:spacing w:line="360" w:lineRule="auto"/>
              <w:ind w:firstLineChars="200" w:firstLine="480"/>
              <w:rPr>
                <w:rFonts w:hint="eastAsia"/>
                <w:kern w:val="0"/>
                <w:sz w:val="24"/>
                <w:u w:val="single" w:color="auto"/>
                <w:lang w:val="en-US" w:eastAsia="zh-CN"/>
              </w:rPr>
            </w:pPr>
            <w:r>
              <w:rPr>
                <w:rFonts w:hint="eastAsia"/>
                <w:kern w:val="0"/>
                <w:sz w:val="24"/>
                <w:u w:val="single" w:color="auto"/>
                <w:lang w:val="en-US" w:eastAsia="zh-CN"/>
              </w:rPr>
              <w:t>（2）</w:t>
            </w:r>
            <w:r>
              <w:rPr>
                <w:rFonts w:ascii="Times New Roman" w:eastAsia="宋体" w:cs="Times New Roman" w:hAnsi="Times New Roman" w:hint="eastAsia"/>
                <w:b w:val="0"/>
                <w:bCs/>
                <w:snapToGrid w:val="0"/>
                <w:color w:val="000000"/>
                <w:sz w:val="24"/>
                <w:u w:val="single" w:color="auto"/>
                <w:lang w:val="en-US" w:eastAsia="zh-CN"/>
                <w:highlight w:val="none"/>
              </w:rPr>
              <w:t>饮用水源保护区拟划定方案</w:t>
            </w:r>
          </w:p>
          <w:p>
            <w:pPr>
              <w:tabs>
                <w:tab w:val="left" w:pos="360"/>
              </w:tabs>
              <w:spacing w:line="360" w:lineRule="auto"/>
              <w:ind w:firstLineChars="200" w:firstLine="480"/>
              <w:rPr>
                <w:rFonts w:hint="eastAsia"/>
                <w:kern w:val="0"/>
                <w:sz w:val="24"/>
                <w:u w:val="single" w:color="auto"/>
                <w:lang w:eastAsia="zh-CN"/>
              </w:rPr>
            </w:pPr>
            <w:r>
              <w:rPr>
                <w:rFonts w:hint="eastAsia"/>
                <w:kern w:val="0"/>
                <w:sz w:val="24"/>
                <w:u w:val="single"/>
                <w:lang w:val="en-US" w:eastAsia="zh-CN"/>
              </w:rPr>
              <w:t>本项目建成后，太青水库现有取水口将取消，拟按照《</w:t>
            </w:r>
            <w:r>
              <w:rPr>
                <w:rFonts w:hint="eastAsia"/>
                <w:kern w:val="0"/>
                <w:sz w:val="24"/>
                <w:u w:val="single"/>
              </w:rPr>
              <w:t>饮用水水源保护区划分技术规范》（H</w:t>
            </w:r>
            <w:r>
              <w:rPr>
                <w:kern w:val="0"/>
                <w:sz w:val="24"/>
                <w:u w:val="single"/>
              </w:rPr>
              <w:t>J338</w:t>
            </w:r>
            <w:r>
              <w:rPr>
                <w:rFonts w:hint="eastAsia"/>
                <w:kern w:val="0"/>
                <w:sz w:val="24"/>
                <w:u w:val="single"/>
              </w:rPr>
              <w:t>-</w:t>
            </w:r>
            <w:r>
              <w:rPr>
                <w:kern w:val="0"/>
                <w:sz w:val="24"/>
                <w:u w:val="single"/>
              </w:rPr>
              <w:t>2018</w:t>
            </w:r>
            <w:r>
              <w:rPr>
                <w:rFonts w:hint="eastAsia"/>
                <w:kern w:val="0"/>
                <w:sz w:val="24"/>
                <w:u w:val="single"/>
              </w:rPr>
              <w:t>）</w:t>
            </w:r>
            <w:r>
              <w:rPr>
                <w:rFonts w:hint="eastAsia"/>
                <w:kern w:val="0"/>
                <w:sz w:val="24"/>
                <w:u w:val="single"/>
                <w:lang w:val="en-US" w:eastAsia="zh-CN"/>
              </w:rPr>
              <w:t>重新进行</w:t>
            </w:r>
            <w:r>
              <w:rPr>
                <w:rFonts w:hint="eastAsia"/>
                <w:kern w:val="0"/>
                <w:sz w:val="24"/>
                <w:u w:val="single"/>
                <w:lang w:val="en-US" w:eastAsia="zh-CN"/>
                <w:highlight w:val="none"/>
              </w:rPr>
              <w:t>饮用水源保护区划分方案</w:t>
            </w:r>
            <w:r>
              <w:rPr>
                <w:rFonts w:hint="eastAsia"/>
                <w:kern w:val="0"/>
                <w:sz w:val="24"/>
                <w:u w:val="single"/>
                <w:lang w:eastAsia="zh-CN"/>
              </w:rPr>
              <w:t>。</w:t>
            </w:r>
            <w:r>
              <w:rPr>
                <w:rFonts w:hint="eastAsia"/>
                <w:kern w:val="0"/>
                <w:sz w:val="24"/>
                <w:u w:val="single"/>
                <w:lang w:val="en-US" w:eastAsia="zh-CN"/>
              </w:rPr>
              <w:t>目前，方案正在调整中。</w:t>
            </w:r>
          </w:p>
          <w:p>
            <w:pPr>
              <w:keepNext w:val="0"/>
              <w:keepLines w:val="0"/>
              <w:pageBreakBefore w:val="0"/>
              <w:tabs>
                <w:tab w:val="left" w:pos="360"/>
              </w:tabs>
              <w:kinsoku/>
              <w:wordWrap/>
              <w:overflowPunct/>
              <w:topLinePunct w:val="0"/>
              <w:autoSpaceDE/>
              <w:autoSpaceDN/>
              <w:bidi w:val="0"/>
              <w:snapToGrid w:val="0"/>
              <w:spacing w:line="360" w:lineRule="auto"/>
              <w:ind w:firstLineChars="200" w:firstLine="480"/>
              <w:textAlignment w:val="auto"/>
              <w:rPr>
                <w:rFonts w:eastAsia="宋体" w:hint="eastAsia"/>
                <w:kern w:val="0"/>
                <w:sz w:val="24"/>
                <w:u w:val="single"/>
                <w:lang w:val="en-US" w:eastAsia="zh-CN"/>
              </w:rPr>
            </w:pPr>
            <w:r>
              <w:rPr>
                <w:rFonts w:hint="eastAsia"/>
                <w:kern w:val="0"/>
                <w:sz w:val="24"/>
                <w:u w:val="single" w:color="auto"/>
              </w:rPr>
              <w:t>按照《饮用水水源保护区划分技术规范》（H</w:t>
            </w:r>
            <w:r>
              <w:rPr>
                <w:kern w:val="0"/>
                <w:sz w:val="24"/>
                <w:u w:val="single" w:color="auto"/>
              </w:rPr>
              <w:t>J338</w:t>
            </w:r>
            <w:r>
              <w:rPr>
                <w:rFonts w:hint="eastAsia"/>
                <w:kern w:val="0"/>
                <w:sz w:val="24"/>
                <w:u w:val="single" w:color="auto"/>
              </w:rPr>
              <w:t>-</w:t>
            </w:r>
            <w:r>
              <w:rPr>
                <w:kern w:val="0"/>
                <w:sz w:val="24"/>
                <w:u w:val="single" w:color="auto"/>
              </w:rPr>
              <w:t>2018</w:t>
            </w:r>
            <w:r>
              <w:rPr>
                <w:rFonts w:hint="eastAsia"/>
                <w:kern w:val="0"/>
                <w:sz w:val="24"/>
                <w:u w:val="single" w:color="auto"/>
              </w:rPr>
              <w:t>），将小型湖泊、中型水库保护区范围为取水口半径不小于300m范围内的区域作为一级保护区水域；小型和单一供水功能的湖泊、水库以及中小型水库为一级保护区水域外不小于200m范围内的陆域，或一定高程线以下的陆域，但不超过流域分水岭范围作为一级保护区陆域。小型湖泊、中小型水库一级保护区边界外的水域面积设定为二级保护区水域；单一功能的湖泊、水库、小型湖泊和平原型中型水库的二级保护区陆域范围是一级保护区以外水平距离不小于2000m区域，山区型中型水库二级保护区的范围为水库周边山脊线以内（一级保护区以外）及入库河流上溯不小于3000m的汇水区域。二级保护区陆域边界不超过相应的流域分水岭</w:t>
            </w:r>
            <w:r>
              <w:rPr>
                <w:rFonts w:hint="eastAsia"/>
                <w:kern w:val="0"/>
                <w:sz w:val="24"/>
                <w:u w:val="single" w:color="auto"/>
                <w:lang w:eastAsia="zh-CN"/>
              </w:rPr>
              <w:t>。</w:t>
            </w:r>
          </w:p>
          <w:p>
            <w:pPr>
              <w:pStyle w:val="21"/>
              <w:keepNext w:val="0"/>
              <w:keepLines w:val="0"/>
              <w:pageBreakBefore w:val="0"/>
              <w:kinsoku/>
              <w:wordWrap/>
              <w:overflowPunct/>
              <w:topLinePunct w:val="0"/>
              <w:autoSpaceDE/>
              <w:autoSpaceDN/>
              <w:bidi w:val="0"/>
              <w:adjustRightInd w:val="0"/>
              <w:snapToGrid w:val="0"/>
              <w:spacing w:beforeLines="0" w:before="0"/>
              <w:textAlignment w:val="auto"/>
              <w:rPr>
                <w:rFonts w:ascii="Times New Roman" w:eastAsia="宋体" w:cs="Times New Roman" w:hAnsi="Times New Roman" w:hint="eastAsia"/>
                <w:color w:val="auto"/>
                <w:kern w:val="0"/>
                <w:sz w:val="24"/>
                <w:szCs w:val="24"/>
                <w:u w:val="single" w:color="auto"/>
                <w:lang w:val="en-US" w:eastAsia="zh-CN" w:bidi="ar-SA"/>
                <w:highlight w:val="none"/>
              </w:rPr>
            </w:pPr>
            <w:r>
              <w:rPr>
                <w:rFonts w:ascii="Times New Roman" w:eastAsia="宋体" w:cs="Times New Roman" w:hAnsi="Times New Roman" w:hint="eastAsia"/>
                <w:color w:val="auto"/>
                <w:kern w:val="0"/>
                <w:sz w:val="24"/>
                <w:szCs w:val="24"/>
                <w:u w:val="single" w:color="auto"/>
                <w:lang w:val="en-US" w:eastAsia="zh-CN" w:bidi="ar-SA"/>
                <w:highlight w:val="none"/>
              </w:rPr>
              <w:t>（3）调整后</w:t>
            </w:r>
            <w:r>
              <w:rPr>
                <w:rFonts w:ascii="Times New Roman" w:eastAsia="宋体" w:cs="Times New Roman" w:hAnsi="Times New Roman"/>
                <w:color w:val="auto"/>
                <w:kern w:val="0"/>
                <w:sz w:val="24"/>
                <w:szCs w:val="24"/>
                <w:u w:val="single" w:color="auto"/>
                <w:lang w:val="en-US" w:eastAsia="zh-CN" w:bidi="ar-SA"/>
                <w:highlight w:val="none"/>
              </w:rPr>
              <w:t>取水口设置合理性分析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Chars="200" w:firstLine="480"/>
              <w:textAlignment w:val="auto"/>
              <w:rPr>
                <w:rFonts w:ascii="Times New Roman" w:eastAsia="宋体" w:cs="Times New Roman" w:hAnsi="Times New Roman"/>
                <w:color w:val="auto"/>
                <w:kern w:val="0"/>
                <w:sz w:val="24"/>
                <w:u w:val="none" w:color="auto"/>
                <w:highlight w:val="none"/>
              </w:rPr>
            </w:pPr>
            <w:r>
              <w:rPr>
                <w:kern w:val="0"/>
                <w:sz w:val="24"/>
                <w:u w:val="single" w:color="auto"/>
                <w:highlight w:val="none"/>
              </w:rPr>
              <w:t>本项目</w:t>
            </w:r>
            <w:r>
              <w:rPr>
                <w:rFonts w:hint="eastAsia"/>
                <w:kern w:val="0"/>
                <w:sz w:val="24"/>
                <w:u w:val="single" w:color="auto"/>
                <w:highlight w:val="none"/>
              </w:rPr>
              <w:t>取水水源为</w:t>
            </w:r>
            <w:r>
              <w:rPr>
                <w:rFonts w:cs="Times New Roman" w:hint="eastAsia"/>
                <w:color w:val="auto"/>
                <w:kern w:val="0"/>
                <w:sz w:val="24"/>
                <w:u w:val="single" w:color="auto"/>
                <w:lang w:val="en-US" w:eastAsia="zh-CN"/>
                <w:highlight w:val="none"/>
              </w:rPr>
              <w:t>太青水库</w:t>
            </w:r>
            <w:r>
              <w:rPr>
                <w:rFonts w:ascii="Times New Roman" w:eastAsia="宋体" w:cs="Times New Roman" w:hAnsi="Times New Roman" w:hint="eastAsia"/>
                <w:color w:val="auto"/>
                <w:kern w:val="0"/>
                <w:sz w:val="24"/>
                <w:u w:val="single" w:color="auto"/>
                <w:lang w:val="en-US" w:eastAsia="zh-CN"/>
                <w:highlight w:val="none"/>
              </w:rPr>
              <w:t>，采用浮船式取水。</w:t>
            </w:r>
            <w:r>
              <w:rPr>
                <w:rFonts w:ascii="Times New Roman" w:cs="Times New Roman" w:hAnsi="Times New Roman" w:hint="eastAsia"/>
                <w:color w:val="auto"/>
                <w:kern w:val="0"/>
                <w:sz w:val="24"/>
                <w:u w:val="single" w:color="auto"/>
                <w:lang w:val="en-US" w:eastAsia="zh-CN"/>
                <w:highlight w:val="none"/>
              </w:rPr>
              <w:t>本项目取水口</w:t>
            </w:r>
            <w:r>
              <w:rPr>
                <w:rFonts w:ascii="Times New Roman" w:cs="Times New Roman" w:hAnsi="Times New Roman" w:hint="eastAsia"/>
                <w:color w:val="auto"/>
                <w:kern w:val="0"/>
                <w:sz w:val="24"/>
                <w:u w:val="single" w:color="auto"/>
                <w:lang w:eastAsia="zh-CN"/>
                <w:highlight w:val="none"/>
              </w:rPr>
              <w:t>此处现状为</w:t>
            </w:r>
            <w:r>
              <w:rPr>
                <w:rFonts w:cs="Times New Roman" w:hint="eastAsia"/>
                <w:color w:val="auto"/>
                <w:kern w:val="0"/>
                <w:sz w:val="24"/>
                <w:u w:val="single" w:color="auto"/>
                <w:lang w:val="en-US" w:eastAsia="zh-CN"/>
                <w:highlight w:val="none"/>
              </w:rPr>
              <w:t>太青水库</w:t>
            </w:r>
            <w:r>
              <w:rPr>
                <w:rFonts w:ascii="Times New Roman" w:cs="Times New Roman" w:hAnsi="Times New Roman" w:hint="eastAsia"/>
                <w:color w:val="auto"/>
                <w:kern w:val="0"/>
                <w:sz w:val="24"/>
                <w:u w:val="single" w:color="auto"/>
                <w:lang w:eastAsia="zh-CN"/>
                <w:highlight w:val="none"/>
              </w:rPr>
              <w:t>饮用水水源保护区</w:t>
            </w:r>
            <w:r>
              <w:rPr>
                <w:rFonts w:cs="Times New Roman" w:hint="eastAsia"/>
                <w:color w:val="auto"/>
                <w:kern w:val="0"/>
                <w:sz w:val="24"/>
                <w:u w:val="single" w:color="auto"/>
                <w:lang w:val="en-US" w:eastAsia="zh-CN"/>
                <w:highlight w:val="none"/>
              </w:rPr>
              <w:t>二级水域</w:t>
            </w:r>
            <w:r>
              <w:rPr>
                <w:rFonts w:ascii="Times New Roman" w:cs="Times New Roman" w:hAnsi="Times New Roman" w:hint="eastAsia"/>
                <w:color w:val="auto"/>
                <w:kern w:val="0"/>
                <w:sz w:val="24"/>
                <w:u w:val="single" w:color="auto"/>
                <w:lang w:eastAsia="zh-CN"/>
                <w:highlight w:val="none"/>
              </w:rPr>
              <w:t>，</w:t>
            </w:r>
            <w:r>
              <w:rPr>
                <w:rFonts w:ascii="Times New Roman" w:eastAsia="宋体" w:cs="Times New Roman" w:hAnsi="Times New Roman"/>
                <w:color w:val="auto"/>
                <w:kern w:val="0"/>
                <w:sz w:val="24"/>
                <w:u w:val="single" w:color="auto"/>
                <w:highlight w:val="none"/>
              </w:rPr>
              <w:t>根据</w:t>
            </w:r>
            <w:r>
              <w:rPr>
                <w:rFonts w:ascii="Times New Roman" w:eastAsia="宋体" w:cs="Times New Roman" w:hAnsi="Times New Roman" w:hint="eastAsia"/>
                <w:color w:val="auto"/>
                <w:kern w:val="0"/>
                <w:sz w:val="24"/>
                <w:u w:val="single" w:color="auto"/>
                <w:lang w:val="en-US" w:eastAsia="zh-CN"/>
                <w:highlight w:val="none"/>
              </w:rPr>
              <w:t>湖南</w:t>
            </w:r>
            <w:r>
              <w:rPr>
                <w:rFonts w:cs="Times New Roman" w:hint="eastAsia"/>
                <w:color w:val="auto"/>
                <w:kern w:val="0"/>
                <w:sz w:val="24"/>
                <w:u w:val="single" w:color="auto"/>
                <w:lang w:val="en-US" w:eastAsia="zh-CN"/>
                <w:highlight w:val="none"/>
              </w:rPr>
              <w:t>博联</w:t>
            </w:r>
            <w:r>
              <w:rPr>
                <w:rFonts w:ascii="Times New Roman" w:eastAsia="宋体" w:cs="Times New Roman" w:hAnsi="Times New Roman" w:hint="eastAsia"/>
                <w:color w:val="auto"/>
                <w:kern w:val="0"/>
                <w:sz w:val="24"/>
                <w:u w:val="single" w:color="auto"/>
                <w:lang w:val="en-US" w:eastAsia="zh-CN"/>
                <w:highlight w:val="none"/>
              </w:rPr>
              <w:t>检测</w:t>
            </w:r>
            <w:r>
              <w:rPr>
                <w:rFonts w:cs="Times New Roman" w:hint="eastAsia"/>
                <w:color w:val="auto"/>
                <w:kern w:val="0"/>
                <w:sz w:val="24"/>
                <w:u w:val="single" w:color="auto"/>
                <w:lang w:val="en-US" w:eastAsia="zh-CN"/>
                <w:highlight w:val="none"/>
              </w:rPr>
              <w:t>集团</w:t>
            </w:r>
            <w:r>
              <w:rPr>
                <w:rFonts w:ascii="Times New Roman" w:eastAsia="宋体" w:cs="Times New Roman" w:hAnsi="Times New Roman" w:hint="eastAsia"/>
                <w:color w:val="auto"/>
                <w:kern w:val="0"/>
                <w:sz w:val="24"/>
                <w:u w:val="single" w:color="auto"/>
                <w:lang w:val="en-US" w:eastAsia="zh-CN"/>
                <w:highlight w:val="none"/>
              </w:rPr>
              <w:t>有限</w:t>
            </w:r>
            <w:r>
              <w:rPr>
                <w:rFonts w:cs="Times New Roman" w:hint="eastAsia"/>
                <w:color w:val="auto"/>
                <w:kern w:val="0"/>
                <w:sz w:val="24"/>
                <w:u w:val="single" w:color="auto"/>
                <w:lang w:val="en-US" w:eastAsia="zh-CN"/>
                <w:highlight w:val="none"/>
              </w:rPr>
              <w:t>责任</w:t>
            </w:r>
            <w:r>
              <w:rPr>
                <w:rFonts w:ascii="Times New Roman" w:eastAsia="宋体" w:cs="Times New Roman" w:hAnsi="Times New Roman" w:hint="eastAsia"/>
                <w:color w:val="auto"/>
                <w:kern w:val="0"/>
                <w:sz w:val="24"/>
                <w:u w:val="single" w:color="auto"/>
                <w:lang w:val="en-US" w:eastAsia="zh-CN"/>
                <w:highlight w:val="none"/>
              </w:rPr>
              <w:t>公司</w:t>
            </w:r>
            <w:r>
              <w:rPr>
                <w:rFonts w:cs="Times New Roman" w:hint="eastAsia"/>
                <w:color w:val="auto"/>
                <w:kern w:val="0"/>
                <w:sz w:val="24"/>
                <w:u w:val="single" w:color="auto"/>
                <w:lang w:val="en-US" w:eastAsia="zh-CN"/>
                <w:highlight w:val="none"/>
              </w:rPr>
              <w:t>于2024年12月23日对太青水库进行的地表水环境质量现状监测</w:t>
            </w:r>
            <w:r>
              <w:rPr>
                <w:rFonts w:ascii="Times New Roman" w:eastAsia="宋体" w:cs="Times New Roman" w:hAnsi="Times New Roman"/>
                <w:color w:val="auto"/>
                <w:kern w:val="0"/>
                <w:sz w:val="24"/>
                <w:u w:val="single" w:color="auto"/>
                <w:highlight w:val="none"/>
              </w:rPr>
              <w:t>，</w:t>
            </w:r>
            <w:r>
              <w:rPr>
                <w:rFonts w:ascii="Times New Roman" w:eastAsia="宋体" w:cs="Times New Roman" w:hAnsi="Times New Roman" w:hint="eastAsia"/>
                <w:color w:val="000000"/>
                <w:sz w:val="24"/>
                <w:u w:val="single" w:color="auto"/>
                <w:highlight w:val="none"/>
              </w:rPr>
              <w:t>地表水环境现状的监测因子为《地表水环境质量标准》（GB3838-2002）表1中24项、表2中5项、表3中80项</w:t>
            </w:r>
            <w:r>
              <w:rPr>
                <w:rFonts w:cs="Times New Roman" w:hint="eastAsia"/>
                <w:color w:val="000000"/>
                <w:sz w:val="24"/>
                <w:u w:val="single" w:color="auto"/>
                <w:lang w:eastAsia="zh-CN"/>
                <w:highlight w:val="none"/>
              </w:rPr>
              <w:t>，</w:t>
            </w:r>
            <w:r>
              <w:rPr>
                <w:rFonts w:cs="Times New Roman" w:hint="eastAsia"/>
                <w:color w:val="000000"/>
                <w:sz w:val="24"/>
                <w:u w:val="single" w:color="auto"/>
                <w:lang w:val="en-US" w:eastAsia="zh-CN"/>
                <w:highlight w:val="none"/>
              </w:rPr>
              <w:t>又根据</w:t>
            </w:r>
            <w:r>
              <w:rPr>
                <w:rFonts w:ascii="Times New Roman" w:eastAsia="宋体" w:cs="Times New Roman" w:hAnsi="Times New Roman" w:hint="eastAsia"/>
                <w:color w:val="000000"/>
                <w:sz w:val="24"/>
                <w:u w:val="single" w:color="auto"/>
                <w:highlight w:val="none"/>
              </w:rPr>
              <w:t>湖南华科环境检测技术服务有限公司</w:t>
            </w:r>
            <w:r>
              <w:rPr>
                <w:rFonts w:cs="Times New Roman" w:hint="eastAsia"/>
                <w:color w:val="000000"/>
                <w:sz w:val="24"/>
                <w:u w:val="single" w:color="auto"/>
                <w:lang w:val="en-US" w:eastAsia="zh-CN"/>
                <w:highlight w:val="none"/>
              </w:rPr>
              <w:t>2024年3月21日</w:t>
            </w:r>
            <w:r>
              <w:rPr>
                <w:rFonts w:cs="Times New Roman" w:hint="eastAsia"/>
                <w:color w:val="auto"/>
                <w:kern w:val="0"/>
                <w:sz w:val="24"/>
                <w:u w:val="single" w:color="auto"/>
                <w:lang w:val="en-US" w:eastAsia="zh-CN"/>
                <w:highlight w:val="none"/>
              </w:rPr>
              <w:t>对太青水库进行的地表水环境质量现状监测（叶绿素、透明度2项监测因子）</w:t>
            </w:r>
            <w:r>
              <w:rPr>
                <w:rFonts w:ascii="Times New Roman" w:eastAsia="宋体" w:cs="Times New Roman" w:hAnsi="Times New Roman"/>
                <w:color w:val="auto"/>
                <w:kern w:val="0"/>
                <w:sz w:val="24"/>
                <w:u w:val="single" w:color="auto"/>
                <w:highlight w:val="none"/>
              </w:rPr>
              <w:t>，</w:t>
            </w:r>
            <w:r>
              <w:rPr>
                <w:rFonts w:ascii="Times New Roman" w:eastAsia="宋体" w:cs="Times New Roman" w:hAnsi="Times New Roman" w:hint="eastAsia"/>
                <w:color w:val="000000"/>
                <w:sz w:val="24"/>
                <w:u w:val="single" w:color="auto"/>
                <w:highlight w:val="none"/>
              </w:rPr>
              <w:t>合计1</w:t>
            </w:r>
            <w:r>
              <w:rPr>
                <w:rFonts w:cs="Times New Roman" w:hint="eastAsia"/>
                <w:color w:val="000000"/>
                <w:sz w:val="24"/>
                <w:u w:val="single" w:color="auto"/>
                <w:lang w:val="en-US" w:eastAsia="zh-CN"/>
                <w:highlight w:val="none"/>
              </w:rPr>
              <w:t>11</w:t>
            </w:r>
            <w:r>
              <w:rPr>
                <w:rFonts w:ascii="Times New Roman" w:eastAsia="宋体" w:cs="Times New Roman" w:hAnsi="Times New Roman" w:hint="eastAsia"/>
                <w:color w:val="000000"/>
                <w:sz w:val="24"/>
                <w:u w:val="single" w:color="auto"/>
                <w:highlight w:val="none"/>
              </w:rPr>
              <w:t>项</w:t>
            </w:r>
            <w:r>
              <w:rPr>
                <w:rFonts w:cs="Times New Roman" w:hint="eastAsia"/>
                <w:color w:val="000000"/>
                <w:sz w:val="24"/>
                <w:u w:val="single" w:color="auto"/>
                <w:lang w:val="en-US" w:eastAsia="zh-CN"/>
                <w:highlight w:val="none"/>
              </w:rPr>
              <w:t>均满足</w:t>
            </w:r>
            <w:r>
              <w:rPr>
                <w:color w:val="000000"/>
                <w:kern w:val="0"/>
                <w:sz w:val="24"/>
                <w:u w:val="single" w:color="auto"/>
                <w:highlight w:val="none"/>
              </w:rPr>
              <w:t>《地表水环境质量标准》（GB3838-2002）Ⅱ类标准，符合水源取水要求。</w:t>
            </w:r>
            <w:r>
              <w:rPr>
                <w:rFonts w:ascii="Times New Roman" w:eastAsia="宋体" w:cs="Times New Roman" w:hAnsi="Times New Roman"/>
                <w:color w:val="auto"/>
                <w:kern w:val="0"/>
                <w:sz w:val="24"/>
                <w:u w:val="single" w:color="auto"/>
                <w:highlight w:val="none"/>
              </w:rPr>
              <w:t>适宜作为本工程取水水源。</w:t>
            </w:r>
          </w:p>
          <w:p>
            <w:pPr>
              <w:pStyle w:val="21"/>
              <w:keepNext w:val="0"/>
              <w:keepLines w:val="0"/>
              <w:pageBreakBefore w:val="0"/>
              <w:widowControl/>
              <w:kinsoku/>
              <w:wordWrap/>
              <w:overflowPunct/>
              <w:topLinePunct w:val="0"/>
              <w:autoSpaceDE/>
              <w:autoSpaceDN/>
              <w:bidi w:val="0"/>
              <w:adjustRightInd w:val="0"/>
              <w:snapToGrid w:val="0"/>
              <w:spacing w:beforeLines="0" w:before="0"/>
              <w:ind w:right="0"/>
              <w:textAlignment w:val="auto"/>
              <w:rPr>
                <w:rFonts w:hint="eastAsia"/>
                <w:kern w:val="0"/>
                <w:sz w:val="24"/>
                <w:u w:val="single"/>
                <w:lang w:val="en-US" w:eastAsia="zh-CN"/>
              </w:rPr>
            </w:pPr>
            <w:r>
              <w:rPr>
                <w:rFonts w:ascii="Times New Roman" w:eastAsia="宋体" w:cs="Times New Roman" w:hAnsi="Times New Roman"/>
                <w:color w:val="auto"/>
                <w:kern w:val="0"/>
                <w:sz w:val="24"/>
                <w:u w:val="single" w:color="auto"/>
                <w:highlight w:val="none"/>
              </w:rPr>
              <w:t>同时，根据《</w:t>
            </w:r>
            <w:r>
              <w:rPr>
                <w:rFonts w:hint="eastAsia"/>
                <w:sz w:val="24"/>
                <w:u w:val="single" w:color="auto"/>
                <w:lang w:eastAsia="zh-CN"/>
                <w:highlight w:val="none"/>
              </w:rPr>
              <w:t>澧县甘溪滩片区农村供水建设项目（一期）</w:t>
            </w:r>
            <w:r>
              <w:rPr>
                <w:rFonts w:ascii="Times New Roman" w:eastAsia="宋体" w:cs="Times New Roman" w:hAnsi="Times New Roman"/>
                <w:color w:val="auto"/>
                <w:kern w:val="0"/>
                <w:sz w:val="24"/>
                <w:u w:val="single" w:color="auto"/>
                <w:highlight w:val="none"/>
              </w:rPr>
              <w:t>水资源论证报告》</w:t>
            </w:r>
            <w:r>
              <w:rPr>
                <w:rFonts w:cs="Times New Roman" w:hint="eastAsia"/>
                <w:color w:val="auto"/>
                <w:kern w:val="0"/>
                <w:sz w:val="24"/>
                <w:u w:val="single" w:color="auto"/>
                <w:lang w:eastAsia="zh-CN"/>
                <w:highlight w:val="none"/>
              </w:rPr>
              <w:t>（</w:t>
            </w:r>
            <w:r>
              <w:rPr>
                <w:rFonts w:cs="Times New Roman" w:hint="eastAsia"/>
                <w:color w:val="auto"/>
                <w:kern w:val="0"/>
                <w:sz w:val="24"/>
                <w:u w:val="single" w:color="auto"/>
                <w:lang w:val="en-US" w:eastAsia="zh-CN"/>
                <w:highlight w:val="none"/>
              </w:rPr>
              <w:t>取水许可批复详见附件9</w:t>
            </w:r>
            <w:r>
              <w:rPr>
                <w:rFonts w:cs="Times New Roman" w:hint="eastAsia"/>
                <w:color w:val="auto"/>
                <w:kern w:val="0"/>
                <w:sz w:val="24"/>
                <w:u w:val="single" w:color="auto"/>
                <w:lang w:eastAsia="zh-CN"/>
                <w:highlight w:val="none"/>
              </w:rPr>
              <w:t>）</w:t>
            </w:r>
            <w:r>
              <w:rPr>
                <w:rFonts w:ascii="Times New Roman" w:eastAsia="宋体" w:cs="Times New Roman" w:hAnsi="Times New Roman"/>
                <w:color w:val="auto"/>
                <w:kern w:val="0"/>
                <w:sz w:val="24"/>
                <w:u w:val="single" w:color="auto"/>
                <w:highlight w:val="none"/>
              </w:rPr>
              <w:t>结论可知：本项目选择</w:t>
            </w:r>
            <w:r>
              <w:rPr>
                <w:rFonts w:ascii="Times New Roman" w:eastAsia="宋体" w:cs="Times New Roman" w:hAnsi="Times New Roman" w:hint="eastAsia"/>
                <w:color w:val="auto"/>
                <w:kern w:val="0"/>
                <w:sz w:val="24"/>
                <w:u w:val="single" w:color="auto"/>
                <w:lang w:val="en-US" w:eastAsia="zh-CN"/>
                <w:highlight w:val="none"/>
              </w:rPr>
              <w:t>地表水</w:t>
            </w:r>
            <w:r>
              <w:rPr>
                <w:rFonts w:ascii="Times New Roman" w:eastAsia="宋体" w:cs="Times New Roman" w:hAnsi="Times New Roman"/>
                <w:color w:val="auto"/>
                <w:kern w:val="0"/>
                <w:sz w:val="24"/>
                <w:u w:val="single" w:color="auto"/>
                <w:highlight w:val="none"/>
              </w:rPr>
              <w:t>作为水源，</w:t>
            </w:r>
            <w:r>
              <w:rPr>
                <w:rFonts w:ascii="Times New Roman" w:eastAsia="宋体" w:cs="Times New Roman" w:hAnsi="Times New Roman"/>
                <w:sz w:val="24"/>
                <w:u w:val="single" w:color="auto"/>
                <w:lang w:eastAsia="zh-CN"/>
                <w:highlight w:val="none"/>
              </w:rPr>
              <w:t>水源选择合理；符合水资源管理中“三条红线”管理要求；水厂采用较先进的净水和排泥水处理工艺，满足相关规范要求，工艺技术是合理的</w:t>
            </w:r>
            <w:r>
              <w:rPr>
                <w:rFonts w:cs="Times New Roman" w:hint="eastAsia"/>
                <w:color w:val="auto"/>
                <w:kern w:val="0"/>
                <w:sz w:val="24"/>
                <w:u w:val="single" w:color="auto"/>
                <w:lang w:eastAsia="zh-CN"/>
                <w:highlight w:val="none"/>
              </w:rPr>
              <w:t>；</w:t>
            </w:r>
            <w:r>
              <w:rPr>
                <w:rFonts w:ascii="Times New Roman" w:eastAsia="宋体" w:cs="Times New Roman" w:hAnsi="Times New Roman"/>
                <w:color w:val="auto"/>
                <w:kern w:val="0"/>
                <w:sz w:val="24"/>
                <w:u w:val="single" w:color="auto"/>
                <w:highlight w:val="none"/>
              </w:rPr>
              <w:t>取水总量满足澧县用水总量控制的目标管理要求，满足用水效率控制的管理要求，项目退水方案中也满足水功能区限制纳污总量的管理要求。项目拟设置的取水口位置可以满足本项目的取水要求。</w:t>
            </w:r>
            <w:r>
              <w:rPr>
                <w:rFonts w:cs="Times New Roman" w:hint="eastAsia"/>
                <w:color w:val="auto"/>
                <w:kern w:val="0"/>
                <w:sz w:val="24"/>
                <w:u w:val="single" w:color="auto"/>
                <w:lang w:val="en-US" w:eastAsia="zh-CN"/>
                <w:highlight w:val="none"/>
              </w:rPr>
              <w:t>综上</w:t>
            </w:r>
            <w:r>
              <w:rPr>
                <w:rFonts w:ascii="Times New Roman" w:eastAsia="宋体" w:cs="Times New Roman" w:hAnsi="Times New Roman" w:hint="eastAsia"/>
                <w:color w:val="auto"/>
                <w:kern w:val="0"/>
                <w:sz w:val="24"/>
                <w:u w:val="single" w:color="auto"/>
                <w:lang w:val="en-US" w:eastAsia="zh-CN"/>
                <w:highlight w:val="none"/>
              </w:rPr>
              <w:t>，</w:t>
            </w:r>
            <w:r>
              <w:rPr>
                <w:rFonts w:ascii="Times New Roman" w:eastAsia="宋体" w:cs="Times New Roman" w:hAnsi="Times New Roman"/>
                <w:color w:val="auto"/>
                <w:kern w:val="0"/>
                <w:sz w:val="24"/>
                <w:szCs w:val="24"/>
                <w:u w:val="single" w:color="auto"/>
                <w:lang w:val="en-US" w:eastAsia="zh-CN" w:bidi="ar-SA"/>
                <w:highlight w:val="none"/>
              </w:rPr>
              <w:t>本项目取水在水量</w:t>
            </w:r>
            <w:r>
              <w:rPr>
                <w:rFonts w:cs="Times New Roman" w:hint="eastAsia"/>
                <w:color w:val="auto"/>
                <w:kern w:val="0"/>
                <w:sz w:val="24"/>
                <w:szCs w:val="24"/>
                <w:u w:val="single" w:color="auto"/>
                <w:lang w:val="en-US" w:eastAsia="zh-CN" w:bidi="ar-SA"/>
                <w:highlight w:val="none"/>
              </w:rPr>
              <w:t>上</w:t>
            </w:r>
            <w:r>
              <w:rPr>
                <w:rFonts w:ascii="Times New Roman" w:eastAsia="宋体" w:cs="Times New Roman" w:hAnsi="Times New Roman"/>
                <w:color w:val="auto"/>
                <w:kern w:val="0"/>
                <w:sz w:val="24"/>
                <w:szCs w:val="24"/>
                <w:u w:val="single" w:color="auto"/>
                <w:lang w:val="en-US" w:eastAsia="zh-CN" w:bidi="ar-SA"/>
                <w:highlight w:val="none"/>
              </w:rPr>
              <w:t>是有保证的，在水质上是达标的，项目取水是可靠的。</w:t>
            </w:r>
            <w:r>
              <w:rPr>
                <w:rFonts w:ascii="Times New Roman" w:eastAsia="宋体" w:cs="Times New Roman" w:hAnsi="Times New Roman"/>
                <w:color w:val="auto"/>
                <w:kern w:val="0"/>
                <w:sz w:val="24"/>
                <w:u w:val="single" w:color="auto"/>
                <w:highlight w:val="none"/>
              </w:rPr>
              <w:t>本项目取水口所在位置适宜作为取水口。</w:t>
            </w:r>
          </w:p>
          <w:p>
            <w:pPr>
              <w:pStyle w:val="21"/>
              <w:keepNext w:val="0"/>
              <w:keepLines w:val="0"/>
              <w:pageBreakBefore w:val="0"/>
              <w:widowControl/>
              <w:kinsoku/>
              <w:wordWrap/>
              <w:overflowPunct/>
              <w:topLinePunct w:val="0"/>
              <w:autoSpaceDE/>
              <w:autoSpaceDN/>
              <w:bidi w:val="0"/>
              <w:adjustRightInd w:val="0"/>
              <w:snapToGrid w:val="0"/>
              <w:spacing w:beforeLines="0" w:before="50"/>
              <w:ind w:right="0"/>
              <w:textAlignment w:val="auto"/>
              <w:rPr>
                <w:rFonts w:ascii="Times New Roman" w:eastAsia="宋体" w:cs="Times New Roman" w:hAnsi="Times New Roman"/>
                <w:color w:val="auto"/>
                <w:kern w:val="0"/>
                <w:sz w:val="24"/>
                <w:szCs w:val="24"/>
                <w:u w:val="single" w:color="auto"/>
                <w:lang w:val="en-US" w:eastAsia="zh-CN" w:bidi="ar-SA"/>
                <w:highlight w:val="none"/>
              </w:rPr>
            </w:pPr>
            <w:r>
              <w:rPr>
                <w:rFonts w:ascii="Times New Roman" w:eastAsia="宋体" w:cs="Times New Roman" w:hAnsi="Times New Roman" w:hint="eastAsia"/>
                <w:color w:val="auto"/>
                <w:kern w:val="0"/>
                <w:sz w:val="24"/>
                <w:szCs w:val="24"/>
                <w:u w:val="single" w:color="auto"/>
                <w:lang w:val="en-US" w:eastAsia="zh-CN" w:bidi="ar-SA"/>
                <w:highlight w:val="none"/>
              </w:rPr>
              <w:t>（4）拟划定方案可行性分析</w:t>
            </w:r>
          </w:p>
          <w:p>
            <w:pPr>
              <w:pStyle w:val="21"/>
              <w:keepNext w:val="0"/>
              <w:keepLines w:val="0"/>
              <w:pageBreakBefore w:val="0"/>
              <w:widowControl/>
              <w:kinsoku/>
              <w:wordWrap/>
              <w:overflowPunct/>
              <w:topLinePunct w:val="0"/>
              <w:autoSpaceDE/>
              <w:autoSpaceDN/>
              <w:bidi w:val="0"/>
              <w:adjustRightInd w:val="0"/>
              <w:snapToGrid w:val="0"/>
              <w:spacing w:beforeLines="0" w:before="0"/>
              <w:ind w:right="0"/>
              <w:textAlignment w:val="auto"/>
              <w:rPr>
                <w:rFonts w:ascii="Times New Roman" w:eastAsia="宋体" w:cs="Times New Roman" w:hAnsi="Times New Roman"/>
                <w:kern w:val="0"/>
                <w:sz w:val="24"/>
                <w:u w:val="single"/>
                <w:lang w:val="en-US" w:eastAsia="zh-CN"/>
              </w:rPr>
            </w:pPr>
            <w:r>
              <w:rPr>
                <w:rFonts w:ascii="Times New Roman" w:eastAsia="宋体" w:cs="Times New Roman" w:hAnsi="Times New Roman" w:hint="eastAsia"/>
                <w:color w:val="auto"/>
                <w:kern w:val="0"/>
                <w:sz w:val="24"/>
                <w:u w:val="single" w:color="auto"/>
                <w:lang w:val="en-US" w:eastAsia="zh-CN"/>
                <w:highlight w:val="none"/>
              </w:rPr>
              <w:t>根据调查，本</w:t>
            </w:r>
            <w:r>
              <w:rPr>
                <w:rFonts w:eastAsia="宋体" w:hint="eastAsia"/>
                <w:kern w:val="0"/>
                <w:sz w:val="24"/>
                <w:u w:val="single" w:color="auto"/>
                <w:lang w:val="en-US" w:eastAsia="zh-CN"/>
                <w:highlight w:val="none"/>
              </w:rPr>
              <w:t>项目</w:t>
            </w:r>
            <w:r>
              <w:rPr>
                <w:rFonts w:eastAsia="宋体" w:hint="eastAsia"/>
                <w:kern w:val="0"/>
                <w:sz w:val="24"/>
                <w:u w:val="single" w:color="auto"/>
                <w:lang w:eastAsia="zh-CN"/>
                <w:highlight w:val="none"/>
              </w:rPr>
              <w:t>取水口</w:t>
            </w:r>
            <w:r>
              <w:rPr>
                <w:rFonts w:hint="eastAsia"/>
                <w:kern w:val="0"/>
                <w:sz w:val="24"/>
                <w:u w:val="single" w:color="auto"/>
                <w:lang w:val="en-US" w:eastAsia="zh-CN"/>
                <w:highlight w:val="none"/>
              </w:rPr>
              <w:t>集雨</w:t>
            </w:r>
            <w:r>
              <w:rPr>
                <w:rFonts w:hint="eastAsia"/>
                <w:kern w:val="0"/>
                <w:sz w:val="24"/>
                <w:u w:val="single" w:color="auto"/>
                <w:highlight w:val="none"/>
              </w:rPr>
              <w:t>范围内无工业排水口，无规模养殖业，无生活源排水口，取水口上游沿岸以农业种植为主，区域农业种植多实现了科学配肥，农业面源污染较少，对取水水质有保障。</w:t>
            </w:r>
            <w:r>
              <w:rPr>
                <w:rFonts w:hint="eastAsia"/>
                <w:kern w:val="0"/>
                <w:sz w:val="24"/>
                <w:u w:val="single" w:color="auto"/>
                <w:lang w:val="en-US" w:eastAsia="zh-CN"/>
                <w:highlight w:val="none"/>
              </w:rPr>
              <w:t>靠近取水口一侧周边居民较少，本项目饮用水源保护区划分</w:t>
            </w:r>
            <w:r>
              <w:rPr>
                <w:rFonts w:ascii="Times New Roman" w:eastAsia="宋体" w:cs="Times New Roman" w:hAnsi="Times New Roman" w:hint="eastAsia"/>
                <w:kern w:val="0"/>
                <w:sz w:val="24"/>
                <w:u w:val="single"/>
                <w:lang w:val="en-US" w:eastAsia="zh-CN"/>
              </w:rPr>
              <w:t>无环境制约因素，划定方案可行。</w:t>
            </w:r>
          </w:p>
          <w:p>
            <w:pPr>
              <w:spacing w:line="360" w:lineRule="auto"/>
              <w:rPr>
                <w:b/>
                <w:snapToGrid w:val="0"/>
                <w:color w:val="000000"/>
                <w:sz w:val="24"/>
                <w:highlight w:val="none"/>
              </w:rPr>
            </w:pPr>
            <w:r>
              <w:rPr>
                <w:rFonts w:hint="eastAsia"/>
                <w:b/>
                <w:snapToGrid w:val="0"/>
                <w:color w:val="000000"/>
                <w:sz w:val="24"/>
                <w:lang w:val="en-US" w:eastAsia="zh-CN"/>
                <w:highlight w:val="none"/>
              </w:rPr>
              <w:t>6</w:t>
            </w:r>
            <w:r>
              <w:rPr>
                <w:rFonts w:hint="eastAsia"/>
                <w:b/>
                <w:snapToGrid w:val="0"/>
                <w:color w:val="000000"/>
                <w:sz w:val="24"/>
                <w:highlight w:val="none"/>
              </w:rPr>
              <w:t>、</w:t>
            </w:r>
            <w:r>
              <w:rPr>
                <w:b/>
                <w:snapToGrid w:val="0"/>
                <w:color w:val="000000"/>
                <w:sz w:val="24"/>
                <w:highlight w:val="none"/>
              </w:rPr>
              <w:t>选址合理性分析</w:t>
            </w:r>
          </w:p>
          <w:p>
            <w:pPr>
              <w:autoSpaceDE w:val="0"/>
              <w:autoSpaceDN w:val="0"/>
              <w:adjustRightInd w:val="0"/>
              <w:spacing w:line="360" w:lineRule="auto"/>
              <w:ind w:firstLineChars="200" w:firstLine="480"/>
              <w:rPr>
                <w:rFonts w:ascii="Times New Roman" w:eastAsia="宋体" w:cs="Times New Roman" w:hAnsi="Times New Roman"/>
                <w:color w:val="auto"/>
                <w:kern w:val="0"/>
                <w:sz w:val="24"/>
                <w:u w:val="none" w:color="auto"/>
                <w:highlight w:val="none"/>
              </w:rPr>
            </w:pPr>
            <w:r>
              <w:rPr>
                <w:rFonts w:ascii="Times New Roman" w:eastAsia="宋体" w:cs="Times New Roman" w:hAnsi="Times New Roman"/>
                <w:color w:val="auto"/>
                <w:kern w:val="0"/>
                <w:sz w:val="24"/>
                <w:u w:val="none" w:color="auto"/>
                <w:highlight w:val="none"/>
              </w:rPr>
              <w:t>（1）</w:t>
            </w:r>
            <w:r>
              <w:rPr>
                <w:rFonts w:cs="Times New Roman" w:hint="eastAsia"/>
                <w:color w:val="auto"/>
                <w:kern w:val="0"/>
                <w:sz w:val="24"/>
                <w:u w:val="none" w:color="auto"/>
                <w:lang w:val="en-US" w:eastAsia="zh-CN"/>
                <w:highlight w:val="none"/>
              </w:rPr>
              <w:t>水厂</w:t>
            </w:r>
            <w:r>
              <w:rPr>
                <w:rFonts w:ascii="Times New Roman" w:eastAsia="宋体" w:cs="Times New Roman" w:hAnsi="Times New Roman"/>
                <w:color w:val="auto"/>
                <w:kern w:val="0"/>
                <w:sz w:val="24"/>
                <w:u w:val="none" w:color="auto"/>
                <w:highlight w:val="none"/>
              </w:rPr>
              <w:t>选址符合性分析</w:t>
            </w:r>
          </w:p>
          <w:p>
            <w:pPr>
              <w:autoSpaceDE w:val="0"/>
              <w:autoSpaceDN w:val="0"/>
              <w:adjustRightInd w:val="0"/>
              <w:spacing w:line="360" w:lineRule="auto"/>
              <w:ind w:firstLineChars="200" w:firstLine="480"/>
              <w:rPr>
                <w:rFonts w:ascii="Times New Roman" w:eastAsia="宋体" w:cs="Times New Roman" w:hAnsi="Times New Roman"/>
                <w:color w:val="auto"/>
                <w:kern w:val="0"/>
                <w:sz w:val="24"/>
                <w:u w:val="none" w:color="auto"/>
                <w:highlight w:val="none"/>
              </w:rPr>
            </w:pPr>
            <w:r>
              <w:rPr>
                <w:rFonts w:cs="Times New Roman" w:hint="eastAsia"/>
                <w:color w:val="auto"/>
                <w:sz w:val="24"/>
                <w:u w:val="single" w:color="auto"/>
                <w:lang w:val="en-US" w:eastAsia="zh-CN"/>
                <w:highlight w:val="none"/>
              </w:rPr>
              <w:t>本</w:t>
            </w:r>
            <w:r>
              <w:rPr>
                <w:rFonts w:ascii="Times New Roman" w:eastAsia="宋体" w:cs="Times New Roman" w:hAnsi="Times New Roman" w:hint="eastAsia"/>
                <w:color w:val="auto"/>
                <w:sz w:val="24"/>
                <w:u w:val="single" w:color="auto"/>
                <w:lang w:val="en-US" w:eastAsia="zh-CN"/>
                <w:highlight w:val="none"/>
              </w:rPr>
              <w:t>项目位于澧县</w:t>
            </w:r>
            <w:r>
              <w:rPr>
                <w:rFonts w:cs="Times New Roman" w:hint="eastAsia"/>
                <w:color w:val="auto"/>
                <w:sz w:val="24"/>
                <w:u w:val="single" w:color="auto"/>
                <w:lang w:val="en-US" w:eastAsia="zh-CN"/>
                <w:highlight w:val="none"/>
              </w:rPr>
              <w:t>甘溪滩镇</w:t>
            </w:r>
            <w:r>
              <w:rPr>
                <w:rFonts w:ascii="Times New Roman" w:eastAsia="宋体" w:cs="Times New Roman" w:hAnsi="Times New Roman" w:hint="eastAsia"/>
                <w:color w:val="auto"/>
                <w:sz w:val="24"/>
                <w:u w:val="single" w:color="auto"/>
                <w:lang w:val="en-US" w:eastAsia="zh-CN"/>
                <w:highlight w:val="none"/>
              </w:rPr>
              <w:t>，</w:t>
            </w:r>
            <w:r>
              <w:rPr>
                <w:rFonts w:ascii="Times New Roman" w:eastAsia="宋体" w:cs="Times New Roman" w:hAnsi="Times New Roman" w:hint="eastAsia"/>
                <w:color w:val="auto"/>
                <w:kern w:val="0"/>
                <w:sz w:val="24"/>
                <w:u w:val="single" w:color="auto"/>
                <w:highlight w:val="none"/>
              </w:rPr>
              <w:t>本项目</w:t>
            </w:r>
            <w:r>
              <w:rPr>
                <w:rFonts w:cs="Times New Roman" w:hint="eastAsia"/>
                <w:color w:val="auto"/>
                <w:kern w:val="0"/>
                <w:sz w:val="24"/>
                <w:u w:val="single" w:color="auto"/>
                <w:lang w:val="en-US" w:eastAsia="zh-CN"/>
                <w:highlight w:val="none"/>
              </w:rPr>
              <w:t>已和田冲村及甘溪滩镇政府签订用地使用协议，并已取得用地审批单（见附件5）和乡村建设规划许可证（见附件13）</w:t>
            </w:r>
            <w:r>
              <w:rPr>
                <w:rFonts w:ascii="Times New Roman" w:eastAsia="宋体" w:cs="Times New Roman" w:hAnsi="Times New Roman" w:hint="eastAsia"/>
                <w:color w:val="auto"/>
                <w:kern w:val="0"/>
                <w:sz w:val="24"/>
                <w:u w:val="single" w:color="auto"/>
                <w:highlight w:val="none"/>
              </w:rPr>
              <w:t>。</w:t>
            </w:r>
            <w:r>
              <w:rPr>
                <w:rFonts w:cs="Times New Roman" w:hint="eastAsia"/>
                <w:color w:val="auto"/>
                <w:kern w:val="0"/>
                <w:sz w:val="24"/>
                <w:u w:val="single" w:color="auto"/>
                <w:lang w:val="en-US" w:eastAsia="zh-CN"/>
                <w:highlight w:val="none"/>
              </w:rPr>
              <w:t>又</w:t>
            </w:r>
            <w:r>
              <w:rPr>
                <w:rFonts w:ascii="Times New Roman" w:cs="Times New Roman" w:hAnsi="Times New Roman" w:hint="eastAsia"/>
                <w:color w:val="auto"/>
                <w:kern w:val="0"/>
                <w:sz w:val="24"/>
                <w:u w:val="single" w:color="auto"/>
                <w:lang w:val="en-US" w:eastAsia="zh-CN"/>
                <w:highlight w:val="none"/>
              </w:rPr>
              <w:t>对照</w:t>
            </w:r>
            <w:r>
              <w:rPr>
                <w:rFonts w:ascii="Times New Roman" w:cs="Times New Roman" w:hAnsi="Times New Roman"/>
                <w:color w:val="auto"/>
                <w:kern w:val="0"/>
                <w:sz w:val="24"/>
                <w:u w:val="single" w:color="auto"/>
                <w:highlight w:val="none"/>
              </w:rPr>
              <w:t>湖南省人民政府关于印发《湖南省生态保护红线&gt;的通知》（湘政发[2018]20 号）</w:t>
            </w:r>
            <w:r>
              <w:rPr>
                <w:rFonts w:ascii="Times New Roman" w:cs="Times New Roman" w:hAnsi="Times New Roman" w:hint="eastAsia"/>
                <w:color w:val="auto"/>
                <w:kern w:val="0"/>
                <w:sz w:val="24"/>
                <w:u w:val="single" w:color="auto"/>
                <w:lang w:val="en-US" w:eastAsia="zh-CN"/>
                <w:highlight w:val="none"/>
              </w:rPr>
              <w:t>的相关内容</w:t>
            </w:r>
            <w:r>
              <w:rPr>
                <w:rFonts w:ascii="Times New Roman" w:cs="Times New Roman" w:hAnsi="Times New Roman"/>
                <w:color w:val="auto"/>
                <w:kern w:val="0"/>
                <w:sz w:val="24"/>
                <w:u w:val="single" w:color="auto"/>
                <w:highlight w:val="none"/>
              </w:rPr>
              <w:t>，本项目不涉及自然保护区、森林公园、风景名胜区、湿地公园、水产种质资源保护区、水源涵养区等生态保护红线。</w:t>
            </w:r>
            <w:r>
              <w:rPr>
                <w:rFonts w:ascii="Times New Roman" w:eastAsia="宋体" w:cs="Times New Roman" w:hAnsi="Times New Roman" w:hint="eastAsia"/>
                <w:color w:val="auto"/>
                <w:kern w:val="0"/>
                <w:sz w:val="24"/>
                <w:u w:val="single" w:color="auto"/>
                <w:lang w:val="en-US" w:eastAsia="zh-CN"/>
                <w:highlight w:val="none"/>
              </w:rPr>
              <w:t>因此本项目水厂选址合理。</w:t>
            </w:r>
          </w:p>
          <w:p>
            <w:pPr>
              <w:pStyle w:val="37"/>
              <w:keepNext w:val="0"/>
              <w:keepLines w:val="0"/>
              <w:pageBreakBefore w:val="0"/>
              <w:widowControl w:val="0"/>
              <w:kinsoku/>
              <w:wordWrap/>
              <w:overflowPunct/>
              <w:topLinePunct w:val="0"/>
              <w:bidi w:val="0"/>
              <w:snapToGrid w:val="0"/>
              <w:spacing w:after="0" w:line="360" w:lineRule="auto"/>
              <w:ind w:leftChars="0" w:left="0"/>
              <w:textAlignment w:val="auto"/>
              <w:rPr>
                <w:rFonts w:ascii="Times New Roman" w:eastAsia="宋体" w:cs="Times New Roman" w:hAnsi="Times New Roman"/>
                <w:color w:val="auto"/>
                <w:kern w:val="0"/>
                <w:sz w:val="24"/>
                <w:u w:val="single" w:color="auto"/>
                <w:lang w:val="en-US" w:eastAsia="zh-CN"/>
                <w:highlight w:val="none"/>
              </w:rPr>
            </w:pPr>
            <w:r>
              <w:rPr>
                <w:rFonts w:cs="Times New Roman" w:hint="eastAsia"/>
                <w:color w:val="auto"/>
                <w:kern w:val="0"/>
                <w:sz w:val="24"/>
                <w:u w:val="single" w:color="auto"/>
                <w:lang w:eastAsia="zh-CN"/>
                <w:highlight w:val="none"/>
              </w:rPr>
              <w:t>（</w:t>
            </w:r>
            <w:r>
              <w:rPr>
                <w:rFonts w:cs="Times New Roman" w:hint="eastAsia"/>
                <w:color w:val="auto"/>
                <w:kern w:val="0"/>
                <w:sz w:val="24"/>
                <w:u w:val="single" w:color="auto"/>
                <w:lang w:val="en-US" w:eastAsia="zh-CN"/>
                <w:highlight w:val="none"/>
              </w:rPr>
              <w:t>2</w:t>
            </w:r>
            <w:r>
              <w:rPr>
                <w:rFonts w:cs="Times New Roman" w:hint="eastAsia"/>
                <w:color w:val="auto"/>
                <w:kern w:val="0"/>
                <w:sz w:val="24"/>
                <w:u w:val="single" w:color="auto"/>
                <w:lang w:eastAsia="zh-CN"/>
                <w:highlight w:val="none"/>
              </w:rPr>
              <w:t>）</w:t>
            </w:r>
            <w:r>
              <w:rPr>
                <w:rFonts w:cs="Times New Roman" w:hint="eastAsia"/>
                <w:color w:val="auto"/>
                <w:kern w:val="0"/>
                <w:sz w:val="24"/>
                <w:u w:val="single" w:color="auto"/>
                <w:lang w:val="en-US" w:eastAsia="zh-CN"/>
                <w:highlight w:val="none"/>
              </w:rPr>
              <w:t>输水和供水管线布置的合理性分析</w:t>
            </w:r>
          </w:p>
          <w:p>
            <w:pPr>
              <w:pStyle w:val="37"/>
              <w:keepNext w:val="0"/>
              <w:keepLines w:val="0"/>
              <w:pageBreakBefore w:val="0"/>
              <w:widowControl w:val="0"/>
              <w:kinsoku/>
              <w:wordWrap/>
              <w:overflowPunct/>
              <w:topLinePunct w:val="0"/>
              <w:bidi w:val="0"/>
              <w:snapToGrid w:val="0"/>
              <w:spacing w:after="0" w:line="360" w:lineRule="auto"/>
              <w:ind w:leftChars="0" w:left="0"/>
              <w:textAlignment w:val="auto"/>
              <w:rPr>
                <w:rFonts w:ascii="Times New Roman" w:eastAsia="宋体" w:cs="Times New Roman" w:hAnsi="Times New Roman" w:hint="eastAsia"/>
                <w:kern w:val="0"/>
                <w:sz w:val="24"/>
                <w:szCs w:val="24"/>
                <w:u w:val="single" w:color="auto"/>
                <w:lang w:val="en-US" w:eastAsia="zh-CN" w:bidi="ar-SA"/>
                <w:highlight w:val="none"/>
              </w:rPr>
            </w:pPr>
            <w:r>
              <w:rPr>
                <w:rFonts w:ascii="Times New Roman" w:eastAsia="宋体" w:cs="Times New Roman" w:hAnsi="Times New Roman" w:hint="eastAsia"/>
                <w:kern w:val="0"/>
                <w:sz w:val="24"/>
                <w:szCs w:val="24"/>
                <w:u w:val="single" w:color="auto"/>
                <w:lang w:val="en-US" w:eastAsia="zh-CN" w:bidi="ar-SA"/>
                <w:highlight w:val="none"/>
              </w:rPr>
              <w:t>本项目新建一条输水管线，</w:t>
            </w:r>
            <w:r>
              <w:rPr>
                <w:rFonts w:ascii="Times New Roman" w:eastAsia="宋体" w:cs="Times New Roman" w:hAnsi="Times New Roman"/>
                <w:kern w:val="0"/>
                <w:sz w:val="24"/>
                <w:szCs w:val="24"/>
                <w:u w:val="single" w:color="auto"/>
                <w:lang w:val="en-US" w:eastAsia="zh-CN" w:bidi="ar-SA"/>
                <w:highlight w:val="none"/>
              </w:rPr>
              <w:t>取水后，沿</w:t>
            </w:r>
            <w:r>
              <w:rPr>
                <w:rFonts w:ascii="Times New Roman" w:eastAsia="宋体" w:cs="Times New Roman" w:hAnsi="Times New Roman" w:hint="eastAsia"/>
                <w:kern w:val="0"/>
                <w:sz w:val="24"/>
                <w:szCs w:val="24"/>
                <w:u w:val="single" w:color="auto"/>
                <w:lang w:val="en-US" w:eastAsia="zh-CN" w:bidi="ar-SA"/>
                <w:highlight w:val="none"/>
              </w:rPr>
              <w:t>线</w:t>
            </w:r>
            <w:r>
              <w:rPr>
                <w:rFonts w:ascii="Times New Roman" w:eastAsia="宋体" w:cs="Times New Roman" w:hAnsi="Times New Roman"/>
                <w:kern w:val="0"/>
                <w:sz w:val="24"/>
                <w:szCs w:val="24"/>
                <w:u w:val="single" w:color="auto"/>
                <w:lang w:val="en-US" w:eastAsia="zh-CN" w:bidi="ar-SA"/>
                <w:highlight w:val="none"/>
              </w:rPr>
              <w:t>铺设</w:t>
            </w:r>
            <w:r>
              <w:rPr>
                <w:rFonts w:ascii="Times New Roman" w:eastAsia="宋体" w:cs="Times New Roman" w:hAnsi="Times New Roman" w:hint="eastAsia"/>
                <w:kern w:val="0"/>
                <w:sz w:val="24"/>
                <w:szCs w:val="24"/>
                <w:u w:val="single" w:color="auto"/>
                <w:lang w:val="en-US" w:eastAsia="zh-CN" w:bidi="ar-SA"/>
                <w:highlight w:val="none"/>
              </w:rPr>
              <w:t>输水管</w:t>
            </w:r>
            <w:r>
              <w:rPr>
                <w:rFonts w:ascii="Times New Roman" w:eastAsia="宋体" w:cs="Times New Roman" w:hAnsi="Times New Roman"/>
                <w:kern w:val="0"/>
                <w:sz w:val="24"/>
                <w:szCs w:val="24"/>
                <w:u w:val="single" w:color="auto"/>
                <w:lang w:val="en-US" w:eastAsia="zh-CN" w:bidi="ar-SA"/>
                <w:highlight w:val="none"/>
              </w:rPr>
              <w:t>至水厂，输水管总长约</w:t>
            </w:r>
            <w:r>
              <w:rPr>
                <w:rFonts w:cs="Times New Roman" w:hint="eastAsia"/>
                <w:kern w:val="0"/>
                <w:sz w:val="24"/>
                <w:szCs w:val="24"/>
                <w:u w:val="single" w:color="auto"/>
                <w:lang w:val="en-US" w:eastAsia="zh-CN" w:bidi="ar-SA"/>
                <w:highlight w:val="none"/>
              </w:rPr>
              <w:t>80</w:t>
            </w:r>
            <w:r>
              <w:rPr>
                <w:rFonts w:ascii="Times New Roman" w:eastAsia="宋体" w:cs="Times New Roman" w:hAnsi="Times New Roman"/>
                <w:kern w:val="0"/>
                <w:sz w:val="24"/>
                <w:szCs w:val="24"/>
                <w:u w:val="single" w:color="auto"/>
                <w:lang w:val="en-US" w:eastAsia="zh-CN" w:bidi="ar-SA"/>
                <w:highlight w:val="none"/>
              </w:rPr>
              <w:t>m，管径D</w:t>
            </w:r>
            <w:r>
              <w:rPr>
                <w:rFonts w:cs="Times New Roman" w:hint="eastAsia"/>
                <w:kern w:val="0"/>
                <w:sz w:val="24"/>
                <w:szCs w:val="24"/>
                <w:u w:val="single" w:color="auto"/>
                <w:lang w:val="en-US" w:eastAsia="zh-CN" w:bidi="ar-SA"/>
                <w:highlight w:val="none"/>
              </w:rPr>
              <w:t>400</w:t>
            </w:r>
            <w:r>
              <w:rPr>
                <w:rFonts w:ascii="Times New Roman" w:eastAsia="宋体" w:cs="Times New Roman" w:hAnsi="Times New Roman"/>
                <w:kern w:val="0"/>
                <w:sz w:val="24"/>
                <w:szCs w:val="24"/>
                <w:u w:val="single" w:color="auto"/>
                <w:lang w:val="en-US" w:eastAsia="zh-CN" w:bidi="ar-SA"/>
                <w:highlight w:val="none"/>
              </w:rPr>
              <w:t>，选用焊接钢管。管道采用开槽施工，管顶覆土均按0.75m设置。</w:t>
            </w:r>
            <w:r>
              <w:rPr>
                <w:rFonts w:ascii="Times New Roman" w:eastAsia="宋体" w:cs="Times New Roman" w:hAnsi="Times New Roman" w:hint="eastAsia"/>
                <w:kern w:val="0"/>
                <w:sz w:val="24"/>
                <w:szCs w:val="24"/>
                <w:u w:val="single" w:color="auto"/>
                <w:lang w:val="en-US" w:eastAsia="zh-CN" w:bidi="ar-SA"/>
                <w:highlight w:val="none"/>
              </w:rPr>
              <w:t>原水</w:t>
            </w:r>
            <w:r>
              <w:rPr>
                <w:rFonts w:ascii="Times New Roman" w:eastAsia="宋体" w:cs="Times New Roman" w:hAnsi="Times New Roman"/>
                <w:kern w:val="0"/>
                <w:sz w:val="24"/>
                <w:szCs w:val="24"/>
                <w:u w:val="single" w:color="auto"/>
                <w:lang w:val="en-US" w:eastAsia="zh-CN" w:bidi="ar-SA"/>
                <w:highlight w:val="none"/>
              </w:rPr>
              <w:t>经水厂净水处理达到《生活饮用水卫生标准》（</w:t>
            </w:r>
            <w:r>
              <w:rPr>
                <w:rFonts w:cs="Times New Roman" w:hint="eastAsia"/>
                <w:kern w:val="0"/>
                <w:sz w:val="24"/>
                <w:szCs w:val="24"/>
                <w:u w:val="single" w:color="auto"/>
                <w:lang w:val="en-US" w:eastAsia="zh-CN" w:bidi="ar-SA"/>
                <w:highlight w:val="none"/>
              </w:rPr>
              <w:t>GB5749-2022</w:t>
            </w:r>
            <w:r>
              <w:rPr>
                <w:rFonts w:ascii="Times New Roman" w:eastAsia="宋体" w:cs="Times New Roman" w:hAnsi="Times New Roman"/>
                <w:kern w:val="0"/>
                <w:sz w:val="24"/>
                <w:szCs w:val="24"/>
                <w:u w:val="single" w:color="auto"/>
                <w:lang w:val="en-US" w:eastAsia="zh-CN" w:bidi="ar-SA"/>
                <w:highlight w:val="none"/>
              </w:rPr>
              <w:t>）水质要求后，由</w:t>
            </w:r>
            <w:r>
              <w:rPr>
                <w:rFonts w:ascii="Times New Roman" w:eastAsia="宋体" w:cs="Times New Roman" w:hAnsi="Times New Roman" w:hint="eastAsia"/>
                <w:kern w:val="0"/>
                <w:sz w:val="24"/>
                <w:szCs w:val="24"/>
                <w:u w:val="single" w:color="auto"/>
                <w:lang w:val="en-US" w:eastAsia="zh-CN" w:bidi="ar-SA"/>
                <w:highlight w:val="none"/>
              </w:rPr>
              <w:t>供</w:t>
            </w:r>
            <w:r>
              <w:rPr>
                <w:rFonts w:ascii="Times New Roman" w:eastAsia="宋体" w:cs="Times New Roman" w:hAnsi="Times New Roman"/>
                <w:kern w:val="0"/>
                <w:sz w:val="24"/>
                <w:szCs w:val="24"/>
                <w:u w:val="single" w:color="auto"/>
                <w:lang w:val="en-US" w:eastAsia="zh-CN" w:bidi="ar-SA"/>
                <w:highlight w:val="none"/>
              </w:rPr>
              <w:t>水管网输送到水厂供水服务范围内各用水户。</w:t>
            </w:r>
            <w:r>
              <w:rPr>
                <w:rFonts w:ascii="Times New Roman" w:eastAsia="宋体" w:cs="Times New Roman" w:hAnsi="Times New Roman" w:hint="eastAsia"/>
                <w:kern w:val="0"/>
                <w:sz w:val="24"/>
                <w:szCs w:val="24"/>
                <w:u w:val="single" w:color="auto"/>
                <w:lang w:val="en-US" w:eastAsia="zh-CN" w:bidi="ar-SA"/>
                <w:highlight w:val="none"/>
              </w:rPr>
              <w:t>供水管网沿路铺设，</w:t>
            </w:r>
            <w:r>
              <w:rPr>
                <w:rFonts w:cs="Times New Roman" w:hint="eastAsia"/>
                <w:kern w:val="0"/>
                <w:sz w:val="24"/>
                <w:szCs w:val="24"/>
                <w:u w:val="single" w:color="auto"/>
                <w:lang w:val="en-US" w:eastAsia="zh-CN" w:bidi="ar-SA"/>
                <w:highlight w:val="none"/>
              </w:rPr>
              <w:t>输供水管网</w:t>
            </w:r>
            <w:r>
              <w:rPr>
                <w:rFonts w:ascii="Times New Roman" w:eastAsia="宋体" w:cs="Times New Roman" w:hAnsi="Times New Roman" w:hint="eastAsia"/>
                <w:kern w:val="0"/>
                <w:sz w:val="24"/>
                <w:szCs w:val="24"/>
                <w:u w:val="single" w:color="auto"/>
                <w:lang w:val="en-US" w:eastAsia="zh-CN" w:bidi="ar-SA"/>
                <w:highlight w:val="none"/>
              </w:rPr>
              <w:t>总长约</w:t>
            </w:r>
            <w:r>
              <w:rPr>
                <w:rFonts w:ascii="Times New Roman" w:eastAsia="宋体" w:cs="Times New Roman" w:hAnsi="Times New Roman"/>
                <w:bCs/>
                <w:color w:val="auto"/>
                <w:sz w:val="24"/>
                <w:u w:val="single" w:color="auto"/>
                <w:lang w:val="en-US" w:eastAsia="zh-CN"/>
                <w:highlight w:val="none"/>
              </w:rPr>
              <w:t>1</w:t>
            </w:r>
            <w:r>
              <w:rPr>
                <w:rFonts w:cs="Times New Roman" w:hint="eastAsia"/>
                <w:bCs/>
                <w:color w:val="auto"/>
                <w:sz w:val="24"/>
                <w:u w:val="single" w:color="auto"/>
                <w:lang w:val="en-US" w:eastAsia="zh-CN"/>
                <w:highlight w:val="none"/>
              </w:rPr>
              <w:t>89.43</w:t>
            </w:r>
            <w:r>
              <w:rPr>
                <w:rFonts w:ascii="Times New Roman" w:eastAsia="宋体" w:cs="Times New Roman" w:hAnsi="Times New Roman"/>
                <w:bCs/>
                <w:color w:val="auto"/>
                <w:sz w:val="24"/>
                <w:u w:val="single" w:color="auto"/>
                <w:lang w:val="en-US" w:eastAsia="zh-CN"/>
                <w:highlight w:val="none"/>
              </w:rPr>
              <w:t>km</w:t>
            </w:r>
            <w:r>
              <w:rPr>
                <w:rFonts w:ascii="Times New Roman" w:eastAsia="宋体" w:cs="Times New Roman" w:hAnsi="Times New Roman" w:hint="eastAsia"/>
                <w:kern w:val="0"/>
                <w:sz w:val="24"/>
                <w:szCs w:val="24"/>
                <w:u w:val="single" w:color="auto"/>
                <w:lang w:val="en-US" w:eastAsia="zh-CN" w:bidi="ar-SA"/>
                <w:highlight w:val="none"/>
              </w:rPr>
              <w:t>。</w:t>
            </w:r>
          </w:p>
          <w:p>
            <w:pPr>
              <w:pStyle w:val="37"/>
              <w:keepNext w:val="0"/>
              <w:keepLines w:val="0"/>
              <w:pageBreakBefore w:val="0"/>
              <w:widowControl w:val="0"/>
              <w:kinsoku/>
              <w:wordWrap/>
              <w:overflowPunct/>
              <w:topLinePunct w:val="0"/>
              <w:bidi w:val="0"/>
              <w:snapToGrid w:val="0"/>
              <w:spacing w:after="0" w:line="360" w:lineRule="auto"/>
              <w:ind w:leftChars="0" w:left="0"/>
              <w:textAlignment w:val="auto"/>
              <w:rPr>
                <w:rFonts w:hint="eastAsia"/>
                <w:kern w:val="0"/>
                <w:sz w:val="24"/>
                <w:u w:val="single" w:color="auto"/>
              </w:rPr>
            </w:pPr>
            <w:r>
              <w:rPr>
                <w:rFonts w:hint="eastAsia"/>
                <w:kern w:val="0"/>
                <w:sz w:val="24"/>
                <w:u w:val="single" w:color="auto"/>
              </w:rPr>
              <w:t>本项目输</w:t>
            </w:r>
            <w:r>
              <w:rPr>
                <w:rFonts w:hint="eastAsia"/>
                <w:kern w:val="0"/>
                <w:sz w:val="24"/>
                <w:u w:val="single" w:color="auto"/>
                <w:lang w:eastAsia="zh-CN"/>
              </w:rPr>
              <w:t>、</w:t>
            </w:r>
            <w:r>
              <w:rPr>
                <w:rFonts w:hint="eastAsia"/>
                <w:kern w:val="0"/>
                <w:sz w:val="24"/>
                <w:u w:val="single" w:color="auto"/>
                <w:lang w:val="en-US" w:eastAsia="zh-CN"/>
              </w:rPr>
              <w:t>供</w:t>
            </w:r>
            <w:r>
              <w:rPr>
                <w:rFonts w:hint="eastAsia"/>
                <w:kern w:val="0"/>
                <w:sz w:val="24"/>
                <w:u w:val="single" w:color="auto"/>
              </w:rPr>
              <w:t>水管线工程不属于开发性、生产性建设活动，属于民生工程，且管线铺设</w:t>
            </w:r>
            <w:r>
              <w:rPr>
                <w:rFonts w:hint="eastAsia"/>
                <w:kern w:val="0"/>
                <w:sz w:val="24"/>
                <w:u w:val="single" w:color="auto"/>
                <w:lang w:val="en-US" w:eastAsia="zh-CN"/>
              </w:rPr>
              <w:t>沿原有道路，</w:t>
            </w:r>
            <w:r>
              <w:rPr>
                <w:rFonts w:hint="eastAsia"/>
                <w:kern w:val="0"/>
                <w:sz w:val="24"/>
                <w:u w:val="single" w:color="auto"/>
              </w:rPr>
              <w:t>采取水平定向钻拉管施工工艺，</w:t>
            </w:r>
            <w:r>
              <w:rPr>
                <w:rFonts w:cs="Times New Roman" w:hint="eastAsia"/>
                <w:color w:val="auto"/>
                <w:kern w:val="0"/>
                <w:sz w:val="24"/>
                <w:u w:val="single" w:color="auto"/>
                <w:lang w:val="en-US" w:eastAsia="zh-CN"/>
                <w:highlight w:val="none"/>
              </w:rPr>
              <w:t>输水和供水管线布置合理</w:t>
            </w:r>
            <w:r>
              <w:rPr>
                <w:rFonts w:hint="eastAsia"/>
                <w:kern w:val="0"/>
                <w:sz w:val="24"/>
                <w:u w:val="single" w:color="auto"/>
              </w:rPr>
              <w:t>。</w:t>
            </w:r>
          </w:p>
          <w:p>
            <w:pPr>
              <w:pStyle w:val="37"/>
              <w:keepNext w:val="0"/>
              <w:keepLines w:val="0"/>
              <w:pageBreakBefore w:val="0"/>
              <w:widowControl w:val="0"/>
              <w:kinsoku/>
              <w:wordWrap/>
              <w:overflowPunct/>
              <w:topLinePunct w:val="0"/>
              <w:bidi w:val="0"/>
              <w:snapToGrid w:val="0"/>
              <w:spacing w:after="0" w:line="360" w:lineRule="auto"/>
              <w:ind w:leftChars="0" w:left="0"/>
              <w:textAlignment w:val="auto"/>
              <w:rPr>
                <w:rFonts w:ascii="Times New Roman" w:eastAsia="宋体" w:cs="Times New Roman" w:hAnsi="Times New Roman"/>
                <w:kern w:val="0"/>
                <w:sz w:val="24"/>
                <w:u w:val="single" w:color="auto"/>
                <w:lang w:val="en-US" w:eastAsia="zh-CN"/>
              </w:rPr>
            </w:pPr>
            <w:r>
              <w:rPr>
                <w:rFonts w:hint="eastAsia"/>
                <w:kern w:val="0"/>
                <w:sz w:val="24"/>
                <w:u w:val="single" w:color="auto"/>
                <w:lang w:val="en-US" w:eastAsia="zh-CN"/>
              </w:rPr>
              <w:t>根据上述分析，本项目取水口设置合理，</w:t>
            </w:r>
            <w:r>
              <w:rPr>
                <w:rFonts w:ascii="Times New Roman" w:eastAsia="宋体" w:cs="Times New Roman" w:hAnsi="Times New Roman" w:hint="eastAsia"/>
                <w:kern w:val="0"/>
                <w:sz w:val="24"/>
                <w:u w:val="single" w:color="auto"/>
                <w:lang w:val="en-US" w:eastAsia="zh-CN"/>
              </w:rPr>
              <w:t>太青水库饮用水源保护区调整拟划定方案可行。综上，本项目选址合理可行。</w:t>
            </w:r>
          </w:p>
          <w:p>
            <w:pPr>
              <w:spacing w:line="360" w:lineRule="auto"/>
              <w:rPr>
                <w:b/>
                <w:snapToGrid w:val="0"/>
                <w:color w:val="000000"/>
                <w:sz w:val="24"/>
                <w:highlight w:val="none"/>
              </w:rPr>
            </w:pPr>
            <w:r>
              <w:rPr>
                <w:rFonts w:hint="eastAsia"/>
                <w:b/>
                <w:snapToGrid w:val="0"/>
                <w:color w:val="000000"/>
                <w:sz w:val="24"/>
                <w:lang w:val="en-US" w:eastAsia="zh-CN"/>
                <w:highlight w:val="none"/>
              </w:rPr>
              <w:t>7</w:t>
            </w:r>
            <w:r>
              <w:rPr>
                <w:b/>
                <w:snapToGrid w:val="0"/>
                <w:color w:val="000000"/>
                <w:sz w:val="24"/>
                <w:highlight w:val="none"/>
              </w:rPr>
              <w:t>、</w:t>
            </w:r>
            <w:r>
              <w:rPr>
                <w:rFonts w:hint="eastAsia"/>
                <w:b/>
                <w:snapToGrid w:val="0"/>
                <w:color w:val="000000"/>
                <w:sz w:val="24"/>
                <w:lang w:val="en-US" w:eastAsia="zh-CN"/>
                <w:highlight w:val="none"/>
              </w:rPr>
              <w:t>净水工艺满足供水要求的可行性</w:t>
            </w:r>
            <w:r>
              <w:rPr>
                <w:b/>
                <w:snapToGrid w:val="0"/>
                <w:color w:val="000000"/>
                <w:sz w:val="24"/>
                <w:highlight w:val="none"/>
              </w:rPr>
              <w:t>分析</w:t>
            </w:r>
          </w:p>
          <w:p>
            <w:pPr>
              <w:pStyle w:val="37"/>
              <w:keepNext w:val="0"/>
              <w:keepLines w:val="0"/>
              <w:pageBreakBefore w:val="0"/>
              <w:widowControl w:val="0"/>
              <w:kinsoku/>
              <w:wordWrap/>
              <w:overflowPunct/>
              <w:topLinePunct w:val="0"/>
              <w:bidi w:val="0"/>
              <w:snapToGrid w:val="0"/>
              <w:spacing w:after="0" w:line="360" w:lineRule="auto"/>
              <w:ind w:leftChars="0" w:left="0"/>
              <w:textAlignment w:val="auto"/>
              <w:rPr>
                <w:szCs w:val="24"/>
                <w:highlight w:val="none"/>
              </w:rPr>
            </w:pPr>
            <w:r>
              <w:rPr>
                <w:rFonts w:ascii="Times New Roman" w:eastAsia="宋体" w:cs="Times New Roman" w:hAnsi="Times New Roman"/>
                <w:kern w:val="0"/>
                <w:sz w:val="24"/>
                <w:u w:val="none"/>
              </w:rPr>
              <w:t>从水源水质情况来看，</w:t>
            </w:r>
            <w:r>
              <w:rPr>
                <w:rFonts w:ascii="Times New Roman" w:eastAsia="宋体" w:cs="Times New Roman" w:hAnsi="Times New Roman" w:hint="eastAsia"/>
                <w:kern w:val="0"/>
                <w:sz w:val="24"/>
                <w:u w:val="none"/>
                <w:lang w:val="en-US" w:eastAsia="zh-CN"/>
              </w:rPr>
              <w:t>本</w:t>
            </w:r>
            <w:r>
              <w:rPr>
                <w:rFonts w:ascii="Times New Roman" w:eastAsia="宋体" w:cs="Times New Roman" w:hAnsi="Times New Roman" w:hint="eastAsia"/>
                <w:kern w:val="0"/>
                <w:sz w:val="24"/>
                <w:u w:val="none"/>
                <w:lang w:eastAsia="zh-CN"/>
              </w:rPr>
              <w:t>项目</w:t>
            </w:r>
            <w:r>
              <w:rPr>
                <w:rFonts w:ascii="Times New Roman" w:eastAsia="宋体" w:cs="Times New Roman" w:hAnsi="Times New Roman"/>
                <w:kern w:val="0"/>
                <w:sz w:val="24"/>
                <w:u w:val="none"/>
              </w:rPr>
              <w:t>取水口原水经常规处理后能达到国家标准《城市供水水质标准》（CJ/T206-2005）和《生活饮用水卫生标准》（GB5749－20</w:t>
            </w:r>
            <w:r>
              <w:rPr>
                <w:rFonts w:ascii="Times New Roman" w:eastAsia="宋体" w:cs="Times New Roman" w:hAnsi="Times New Roman" w:hint="eastAsia"/>
                <w:kern w:val="0"/>
                <w:sz w:val="24"/>
                <w:u w:val="none"/>
                <w:lang w:val="en-US" w:eastAsia="zh-CN"/>
              </w:rPr>
              <w:t>22</w:t>
            </w:r>
            <w:r>
              <w:rPr>
                <w:rFonts w:ascii="Times New Roman" w:eastAsia="宋体" w:cs="Times New Roman" w:hAnsi="Times New Roman"/>
                <w:kern w:val="0"/>
                <w:sz w:val="24"/>
                <w:u w:val="none"/>
              </w:rPr>
              <w:t>）的水质要求。目前常规处理工艺即可满足《生活饮用水卫生标准》（GB5479-20</w:t>
            </w:r>
            <w:r>
              <w:rPr>
                <w:rFonts w:ascii="Times New Roman" w:eastAsia="宋体" w:cs="Times New Roman" w:hAnsi="Times New Roman" w:hint="eastAsia"/>
                <w:kern w:val="0"/>
                <w:sz w:val="24"/>
                <w:u w:val="none"/>
                <w:lang w:val="en-US" w:eastAsia="zh-CN"/>
              </w:rPr>
              <w:t>22</w:t>
            </w:r>
            <w:r>
              <w:rPr>
                <w:rFonts w:ascii="Times New Roman" w:eastAsia="宋体" w:cs="Times New Roman" w:hAnsi="Times New Roman"/>
                <w:kern w:val="0"/>
                <w:sz w:val="24"/>
                <w:u w:val="none"/>
              </w:rPr>
              <w:t>）的要求。</w:t>
            </w:r>
            <w:r>
              <w:rPr>
                <w:rFonts w:ascii="Times New Roman" w:eastAsia="宋体" w:cs="Times New Roman" w:hAnsi="Times New Roman" w:hint="eastAsia"/>
                <w:kern w:val="0"/>
                <w:sz w:val="24"/>
                <w:u w:val="none"/>
                <w:lang w:val="en-US" w:eastAsia="zh-CN"/>
              </w:rPr>
              <w:t>本</w:t>
            </w:r>
            <w:r>
              <w:rPr>
                <w:rFonts w:ascii="Times New Roman" w:eastAsia="宋体" w:cs="Times New Roman" w:hAnsi="Times New Roman" w:hint="eastAsia"/>
                <w:kern w:val="0"/>
                <w:sz w:val="24"/>
                <w:u w:val="none"/>
                <w:lang w:eastAsia="zh-CN"/>
              </w:rPr>
              <w:t>项目</w:t>
            </w:r>
            <w:r>
              <w:rPr>
                <w:rFonts w:ascii="Times New Roman" w:eastAsia="宋体" w:cs="Times New Roman" w:hAnsi="Times New Roman"/>
                <w:kern w:val="0"/>
                <w:sz w:val="24"/>
                <w:u w:val="none"/>
              </w:rPr>
              <w:t>净水厂采用“</w:t>
            </w:r>
            <w:r>
              <w:rPr>
                <w:rFonts w:ascii="Times New Roman" w:eastAsia="宋体" w:cs="Times New Roman" w:hAnsi="Times New Roman" w:hint="eastAsia"/>
                <w:kern w:val="0"/>
                <w:sz w:val="24"/>
                <w:u w:val="none"/>
                <w:lang w:val="en-US" w:eastAsia="zh-CN"/>
              </w:rPr>
              <w:t>原水</w:t>
            </w:r>
            <w:r>
              <w:rPr>
                <w:rFonts w:ascii="Times New Roman" w:eastAsia="宋体" w:cs="Times New Roman" w:hAnsi="Times New Roman"/>
                <w:kern w:val="0"/>
                <w:sz w:val="24"/>
                <w:u w:val="none"/>
                <w:lang w:val="en-US" w:eastAsia="zh-CN"/>
              </w:rPr>
              <w:t>→取水泵站→管式静态混合器→</w:t>
            </w:r>
            <w:r>
              <w:rPr>
                <w:rFonts w:ascii="Times New Roman" w:eastAsia="宋体" w:cs="Times New Roman" w:hAnsi="Times New Roman" w:hint="eastAsia"/>
                <w:kern w:val="0"/>
                <w:sz w:val="24"/>
                <w:u w:val="none"/>
                <w:lang w:val="en-US" w:eastAsia="zh-CN"/>
              </w:rPr>
              <w:t>絮凝池</w:t>
            </w:r>
            <w:r>
              <w:rPr>
                <w:rFonts w:ascii="Times New Roman" w:eastAsia="宋体" w:cs="Times New Roman" w:hAnsi="Times New Roman"/>
                <w:kern w:val="0"/>
                <w:sz w:val="24"/>
                <w:u w:val="none"/>
                <w:lang w:val="en-US" w:eastAsia="zh-CN"/>
              </w:rPr>
              <w:t>→沉淀</w:t>
            </w:r>
            <w:r>
              <w:rPr>
                <w:rFonts w:ascii="Times New Roman" w:eastAsia="宋体" w:cs="Times New Roman" w:hAnsi="Times New Roman" w:hint="eastAsia"/>
                <w:kern w:val="0"/>
                <w:sz w:val="24"/>
                <w:u w:val="none"/>
                <w:lang w:val="en-US" w:eastAsia="zh-CN"/>
              </w:rPr>
              <w:t>池</w:t>
            </w:r>
            <w:r>
              <w:rPr>
                <w:rFonts w:ascii="Times New Roman" w:eastAsia="宋体" w:cs="Times New Roman" w:hAnsi="Times New Roman"/>
                <w:kern w:val="0"/>
                <w:sz w:val="24"/>
                <w:u w:val="none"/>
                <w:lang w:val="en-US" w:eastAsia="zh-CN"/>
              </w:rPr>
              <w:t>→过滤</w:t>
            </w:r>
            <w:r>
              <w:rPr>
                <w:rFonts w:ascii="Times New Roman" w:eastAsia="宋体" w:cs="Times New Roman" w:hAnsi="Times New Roman" w:hint="eastAsia"/>
                <w:kern w:val="0"/>
                <w:sz w:val="24"/>
                <w:u w:val="none"/>
                <w:lang w:val="en-US" w:eastAsia="zh-CN"/>
              </w:rPr>
              <w:t>池</w:t>
            </w:r>
            <w:r>
              <w:rPr>
                <w:rFonts w:ascii="Times New Roman" w:eastAsia="宋体" w:cs="Times New Roman" w:hAnsi="Times New Roman"/>
                <w:kern w:val="0"/>
                <w:sz w:val="24"/>
                <w:u w:val="none"/>
                <w:lang w:val="en-US" w:eastAsia="zh-CN"/>
              </w:rPr>
              <w:t>→清水池→</w:t>
            </w:r>
            <w:r>
              <w:rPr>
                <w:rFonts w:ascii="Times New Roman" w:eastAsia="宋体" w:cs="Times New Roman" w:hAnsi="Times New Roman" w:hint="eastAsia"/>
                <w:kern w:val="0"/>
                <w:sz w:val="24"/>
                <w:u w:val="none"/>
                <w:lang w:val="en-US" w:eastAsia="zh-CN"/>
              </w:rPr>
              <w:t>二级泵房</w:t>
            </w:r>
            <w:r>
              <w:rPr>
                <w:rFonts w:ascii="Times New Roman" w:eastAsia="宋体" w:cs="Times New Roman" w:hAnsi="Times New Roman"/>
                <w:kern w:val="0"/>
                <w:sz w:val="24"/>
                <w:u w:val="none"/>
                <w:lang w:val="en-US" w:eastAsia="zh-CN"/>
              </w:rPr>
              <w:t>→</w:t>
            </w:r>
            <w:r>
              <w:rPr>
                <w:rFonts w:ascii="Times New Roman" w:eastAsia="宋体" w:cs="Times New Roman" w:hAnsi="Times New Roman" w:hint="eastAsia"/>
                <w:kern w:val="0"/>
                <w:sz w:val="24"/>
                <w:u w:val="none"/>
                <w:lang w:val="en-US" w:eastAsia="zh-CN"/>
              </w:rPr>
              <w:t>供水</w:t>
            </w:r>
            <w:r>
              <w:rPr>
                <w:rFonts w:ascii="Times New Roman" w:eastAsia="宋体" w:cs="Times New Roman" w:hAnsi="Times New Roman"/>
                <w:kern w:val="0"/>
                <w:sz w:val="24"/>
                <w:u w:val="none"/>
                <w:lang w:val="en-US" w:eastAsia="zh-CN"/>
              </w:rPr>
              <w:t>管网</w:t>
            </w:r>
            <w:r>
              <w:rPr>
                <w:rFonts w:ascii="Times New Roman" w:eastAsia="宋体" w:cs="Times New Roman" w:hAnsi="Times New Roman"/>
                <w:kern w:val="0"/>
                <w:sz w:val="24"/>
                <w:u w:val="none"/>
              </w:rPr>
              <w:t>”的常规处理工艺。从工艺流程上，本项目采用的常规净水工艺成熟可靠，是目前国内大型地表水厂普遍采用的净水工艺，出厂水水质保证程度高</w:t>
            </w:r>
            <w:r>
              <w:rPr>
                <w:rFonts w:ascii="Times New Roman" w:eastAsia="宋体" w:cs="Times New Roman" w:hAnsi="Times New Roman" w:hint="eastAsia"/>
                <w:kern w:val="0"/>
                <w:sz w:val="24"/>
                <w:u w:val="none"/>
                <w:lang w:val="en-US" w:eastAsia="zh-CN"/>
              </w:rPr>
              <w:t>可满足供水要求，净水工艺可行</w:t>
            </w:r>
            <w:r>
              <w:rPr>
                <w:rFonts w:ascii="Times New Roman" w:eastAsia="宋体" w:cs="Times New Roman" w:hAnsi="Times New Roman" w:hint="eastAsia"/>
                <w:kern w:val="0"/>
                <w:sz w:val="24"/>
                <w:u w:val="none"/>
                <w:lang w:eastAsia="zh-CN"/>
              </w:rPr>
              <w:t>。</w:t>
            </w:r>
          </w:p>
          <w:p>
            <w:pPr>
              <w:spacing w:line="360" w:lineRule="auto"/>
              <w:rPr>
                <w:b/>
                <w:snapToGrid w:val="0"/>
                <w:color w:val="000000"/>
                <w:sz w:val="24"/>
                <w:highlight w:val="none"/>
              </w:rPr>
            </w:pPr>
            <w:r>
              <w:rPr>
                <w:rFonts w:hint="eastAsia"/>
                <w:b/>
                <w:snapToGrid w:val="0"/>
                <w:color w:val="000000"/>
                <w:sz w:val="24"/>
                <w:lang w:val="en-US" w:eastAsia="zh-CN"/>
                <w:highlight w:val="none"/>
              </w:rPr>
              <w:t>8</w:t>
            </w:r>
            <w:r>
              <w:rPr>
                <w:b/>
                <w:snapToGrid w:val="0"/>
                <w:color w:val="000000"/>
                <w:sz w:val="24"/>
                <w:highlight w:val="none"/>
              </w:rPr>
              <w:t>、</w:t>
            </w:r>
            <w:r>
              <w:rPr>
                <w:rFonts w:hint="eastAsia"/>
                <w:b/>
                <w:snapToGrid w:val="0"/>
                <w:color w:val="000000"/>
                <w:sz w:val="24"/>
                <w:lang w:val="en-US" w:eastAsia="zh-CN"/>
                <w:highlight w:val="none"/>
              </w:rPr>
              <w:t>水厂</w:t>
            </w:r>
            <w:r>
              <w:rPr>
                <w:b/>
                <w:snapToGrid w:val="0"/>
                <w:color w:val="000000"/>
                <w:sz w:val="24"/>
                <w:highlight w:val="none"/>
              </w:rPr>
              <w:t>平面布局合理性分析</w:t>
            </w:r>
          </w:p>
          <w:p>
            <w:pPr>
              <w:adjustRightInd w:val="0"/>
              <w:snapToGrid w:val="0"/>
              <w:spacing w:line="360" w:lineRule="auto"/>
              <w:ind w:firstLineChars="200" w:firstLine="480"/>
              <w:rPr>
                <w:rFonts w:ascii="Times New Roman" w:eastAsia="宋体" w:cs="Times New Roman" w:hAnsi="Times New Roman"/>
                <w:color w:val="auto"/>
                <w:kern w:val="0"/>
                <w:sz w:val="24"/>
                <w:u w:val="none" w:color="auto"/>
                <w:highlight w:val="none"/>
              </w:rPr>
            </w:pPr>
            <w:r>
              <w:rPr>
                <w:rFonts w:hint="eastAsia"/>
                <w:kern w:val="0"/>
                <w:sz w:val="24"/>
                <w:highlight w:val="none"/>
              </w:rPr>
              <w:t>按照上述厂区平面布置原则，结合厂区现状地形分析，本工程厂区</w:t>
            </w:r>
            <w:r>
              <w:rPr>
                <w:rFonts w:ascii="Times New Roman" w:eastAsia="宋体" w:cs="Times New Roman" w:hAnsi="Times New Roman"/>
                <w:color w:val="auto"/>
                <w:kern w:val="0"/>
                <w:sz w:val="24"/>
                <w:u w:val="none" w:color="auto"/>
                <w:highlight w:val="none"/>
              </w:rPr>
              <w:t>总平面设计在满足水处理工艺流程顺畅的前提下，尽量结合地形和交通条件按构筑物、建筑物的功能，将水厂分为两个功能区：</w:t>
            </w:r>
          </w:p>
          <w:p>
            <w:pPr>
              <w:adjustRightInd w:val="0"/>
              <w:snapToGrid w:val="0"/>
              <w:spacing w:line="360" w:lineRule="auto"/>
              <w:ind w:firstLineChars="200" w:firstLine="480"/>
              <w:rPr>
                <w:rFonts w:ascii="Times New Roman" w:eastAsia="宋体" w:cs="Times New Roman" w:hAnsi="Times New Roman"/>
                <w:color w:val="auto"/>
                <w:kern w:val="0"/>
                <w:sz w:val="24"/>
                <w:u w:val="none" w:color="auto"/>
                <w:highlight w:val="none"/>
              </w:rPr>
            </w:pPr>
            <w:r>
              <w:rPr>
                <w:rFonts w:ascii="Times New Roman" w:eastAsia="宋体" w:cs="Times New Roman" w:hAnsi="Times New Roman"/>
                <w:color w:val="auto"/>
                <w:kern w:val="0"/>
                <w:sz w:val="24"/>
                <w:u w:val="none" w:color="auto"/>
                <w:highlight w:val="none"/>
              </w:rPr>
              <w:t>①厂前区</w:t>
            </w:r>
            <w:r>
              <w:rPr>
                <w:rFonts w:cs="Times New Roman" w:hint="eastAsia"/>
                <w:color w:val="auto"/>
                <w:kern w:val="0"/>
                <w:sz w:val="24"/>
                <w:u w:val="none" w:color="auto"/>
                <w:lang w:eastAsia="zh-CN"/>
                <w:highlight w:val="none"/>
              </w:rPr>
              <w:t>：</w:t>
            </w:r>
            <w:r>
              <w:rPr>
                <w:rFonts w:ascii="Times New Roman" w:eastAsia="宋体" w:cs="Times New Roman" w:hAnsi="Times New Roman"/>
                <w:color w:val="auto"/>
                <w:kern w:val="0"/>
                <w:sz w:val="24"/>
                <w:u w:val="none" w:color="auto"/>
                <w:highlight w:val="none"/>
              </w:rPr>
              <w:t>厂前区设在水厂的</w:t>
            </w:r>
            <w:r>
              <w:rPr>
                <w:rFonts w:cs="Times New Roman" w:hint="eastAsia"/>
                <w:color w:val="auto"/>
                <w:kern w:val="0"/>
                <w:sz w:val="24"/>
                <w:u w:val="none" w:color="auto"/>
                <w:lang w:val="en-US" w:eastAsia="zh-CN"/>
                <w:highlight w:val="none"/>
              </w:rPr>
              <w:t>东侧</w:t>
            </w:r>
            <w:r>
              <w:rPr>
                <w:rFonts w:ascii="Times New Roman" w:eastAsia="宋体" w:cs="Times New Roman" w:hAnsi="Times New Roman"/>
                <w:color w:val="auto"/>
                <w:kern w:val="0"/>
                <w:sz w:val="24"/>
                <w:u w:val="none" w:color="auto"/>
                <w:highlight w:val="none"/>
              </w:rPr>
              <w:t>，区内建筑物主要有</w:t>
            </w:r>
            <w:r>
              <w:rPr>
                <w:rFonts w:cs="Times New Roman" w:hint="eastAsia"/>
                <w:color w:val="auto"/>
                <w:kern w:val="0"/>
                <w:sz w:val="24"/>
                <w:u w:val="none" w:color="auto"/>
                <w:lang w:val="en-US" w:eastAsia="zh-CN"/>
                <w:highlight w:val="none"/>
              </w:rPr>
              <w:t>净水辅助间</w:t>
            </w:r>
            <w:r>
              <w:rPr>
                <w:rFonts w:ascii="Times New Roman" w:eastAsia="宋体" w:cs="Times New Roman" w:hAnsi="Times New Roman"/>
                <w:color w:val="auto"/>
                <w:kern w:val="0"/>
                <w:sz w:val="24"/>
                <w:u w:val="none" w:color="auto"/>
                <w:highlight w:val="none"/>
              </w:rPr>
              <w:t>、</w:t>
            </w:r>
            <w:r>
              <w:rPr>
                <w:rFonts w:cs="Times New Roman" w:hint="eastAsia"/>
                <w:color w:val="auto"/>
                <w:kern w:val="0"/>
                <w:sz w:val="24"/>
                <w:u w:val="none" w:color="auto"/>
                <w:lang w:val="en-US" w:eastAsia="zh-CN"/>
                <w:highlight w:val="none"/>
              </w:rPr>
              <w:t>管理用房</w:t>
            </w:r>
            <w:r>
              <w:rPr>
                <w:rFonts w:ascii="Times New Roman" w:eastAsia="宋体" w:cs="Times New Roman" w:hAnsi="Times New Roman"/>
                <w:color w:val="auto"/>
                <w:kern w:val="0"/>
                <w:sz w:val="24"/>
                <w:u w:val="none" w:color="auto"/>
                <w:highlight w:val="none"/>
              </w:rPr>
              <w:t>等，厂区的主入口设于厂前区，厂前区种植绿植，环境优美，使之成为一个花红柳绿，意境清幽的休憩胜地。</w:t>
            </w:r>
          </w:p>
          <w:p>
            <w:pPr>
              <w:adjustRightInd w:val="0"/>
              <w:snapToGrid w:val="0"/>
              <w:spacing w:line="360" w:lineRule="auto"/>
              <w:ind w:firstLineChars="200" w:firstLine="480"/>
              <w:rPr>
                <w:rFonts w:ascii="Times New Roman" w:eastAsia="宋体" w:cs="Times New Roman" w:hAnsi="Times New Roman"/>
                <w:color w:val="auto"/>
                <w:kern w:val="0"/>
                <w:sz w:val="24"/>
                <w:u w:val="none" w:color="auto"/>
                <w:highlight w:val="none"/>
              </w:rPr>
            </w:pPr>
            <w:r>
              <w:rPr>
                <w:rFonts w:ascii="Times New Roman" w:eastAsia="宋体" w:cs="Times New Roman" w:hAnsi="Times New Roman"/>
                <w:color w:val="auto"/>
                <w:kern w:val="0"/>
                <w:sz w:val="24"/>
                <w:u w:val="none" w:color="auto"/>
                <w:highlight w:val="none"/>
              </w:rPr>
              <w:t>②生产区</w:t>
            </w:r>
            <w:r>
              <w:rPr>
                <w:rFonts w:cs="Times New Roman" w:hint="eastAsia"/>
                <w:color w:val="auto"/>
                <w:kern w:val="0"/>
                <w:sz w:val="24"/>
                <w:u w:val="none" w:color="auto"/>
                <w:lang w:eastAsia="zh-CN"/>
                <w:highlight w:val="none"/>
              </w:rPr>
              <w:t>：</w:t>
            </w:r>
            <w:r>
              <w:rPr>
                <w:rFonts w:ascii="Times New Roman" w:eastAsia="宋体" w:cs="Times New Roman" w:hAnsi="Times New Roman"/>
                <w:color w:val="auto"/>
                <w:kern w:val="0"/>
                <w:sz w:val="24"/>
                <w:u w:val="none" w:color="auto"/>
                <w:highlight w:val="none"/>
              </w:rPr>
              <w:t>水厂自</w:t>
            </w:r>
            <w:r>
              <w:rPr>
                <w:rFonts w:cs="Times New Roman" w:hint="eastAsia"/>
                <w:color w:val="auto"/>
                <w:kern w:val="0"/>
                <w:sz w:val="24"/>
                <w:u w:val="none" w:color="auto"/>
                <w:lang w:val="en-US" w:eastAsia="zh-CN"/>
                <w:highlight w:val="none"/>
              </w:rPr>
              <w:t>南</w:t>
            </w:r>
            <w:r>
              <w:rPr>
                <w:rFonts w:ascii="Times New Roman" w:eastAsia="宋体" w:cs="Times New Roman" w:hAnsi="Times New Roman"/>
                <w:color w:val="auto"/>
                <w:kern w:val="0"/>
                <w:sz w:val="24"/>
                <w:u w:val="none" w:color="auto"/>
                <w:highlight w:val="none"/>
              </w:rPr>
              <w:t>向取水，水处理构筑物自</w:t>
            </w:r>
            <w:r>
              <w:rPr>
                <w:rFonts w:cs="Times New Roman" w:hint="eastAsia"/>
                <w:color w:val="auto"/>
                <w:kern w:val="0"/>
                <w:sz w:val="24"/>
                <w:u w:val="none" w:color="auto"/>
                <w:lang w:val="en-US" w:eastAsia="zh-CN"/>
                <w:highlight w:val="none"/>
              </w:rPr>
              <w:t>西</w:t>
            </w:r>
            <w:r>
              <w:rPr>
                <w:rFonts w:ascii="Times New Roman" w:eastAsia="宋体" w:cs="Times New Roman" w:hAnsi="Times New Roman"/>
                <w:color w:val="auto"/>
                <w:kern w:val="0"/>
                <w:sz w:val="24"/>
                <w:u w:val="none" w:color="auto"/>
                <w:highlight w:val="none"/>
              </w:rPr>
              <w:t>向</w:t>
            </w:r>
            <w:r>
              <w:rPr>
                <w:rFonts w:cs="Times New Roman" w:hint="eastAsia"/>
                <w:color w:val="auto"/>
                <w:kern w:val="0"/>
                <w:sz w:val="24"/>
                <w:u w:val="none" w:color="auto"/>
                <w:lang w:val="en-US" w:eastAsia="zh-CN"/>
                <w:highlight w:val="none"/>
              </w:rPr>
              <w:t>东</w:t>
            </w:r>
            <w:r>
              <w:rPr>
                <w:rFonts w:ascii="Times New Roman" w:eastAsia="宋体" w:cs="Times New Roman" w:hAnsi="Times New Roman"/>
                <w:color w:val="auto"/>
                <w:kern w:val="0"/>
                <w:sz w:val="24"/>
                <w:u w:val="none" w:color="auto"/>
                <w:highlight w:val="none"/>
              </w:rPr>
              <w:t>布置，厂区平面布置在充分满足工艺要求的前提下，力求布局紧凑，水力流程顺畅，各管渠、动力线路和交通要道短捷，有效降低了构筑物之间的水头损失，维修管理方便。</w:t>
            </w:r>
          </w:p>
          <w:p>
            <w:pPr>
              <w:adjustRightInd w:val="0"/>
              <w:snapToGrid w:val="0"/>
              <w:spacing w:line="360" w:lineRule="auto"/>
              <w:ind w:firstLineChars="200" w:firstLine="480"/>
              <w:rPr>
                <w:kern w:val="0"/>
                <w:sz w:val="24"/>
                <w:highlight w:val="none"/>
              </w:rPr>
            </w:pPr>
            <w:r>
              <w:rPr>
                <w:rFonts w:hint="eastAsia"/>
                <w:kern w:val="0"/>
                <w:sz w:val="24"/>
                <w:highlight w:val="none"/>
              </w:rPr>
              <w:t>综上所述，本项目平面布局合理。</w:t>
            </w:r>
          </w:p>
          <w:p>
            <w:pPr>
              <w:spacing w:line="360" w:lineRule="auto"/>
              <w:rPr>
                <w:b/>
                <w:snapToGrid w:val="0"/>
                <w:color w:val="000000"/>
                <w:sz w:val="24"/>
                <w:highlight w:val="none"/>
              </w:rPr>
            </w:pPr>
            <w:r>
              <w:rPr>
                <w:rFonts w:hint="eastAsia"/>
                <w:b/>
                <w:snapToGrid w:val="0"/>
                <w:color w:val="000000"/>
                <w:sz w:val="24"/>
                <w:lang w:val="en-US" w:eastAsia="zh-CN"/>
                <w:highlight w:val="none"/>
              </w:rPr>
              <w:t>9</w:t>
            </w:r>
            <w:r>
              <w:rPr>
                <w:b/>
                <w:snapToGrid w:val="0"/>
                <w:color w:val="000000"/>
                <w:sz w:val="24"/>
                <w:highlight w:val="none"/>
              </w:rPr>
              <w:t>、</w:t>
            </w:r>
            <w:r>
              <w:rPr>
                <w:rFonts w:hint="eastAsia"/>
                <w:b/>
                <w:snapToGrid w:val="0"/>
                <w:color w:val="000000"/>
                <w:sz w:val="24"/>
                <w:highlight w:val="none"/>
              </w:rPr>
              <w:t>施工场地布置合理性</w:t>
            </w:r>
            <w:r>
              <w:rPr>
                <w:b/>
                <w:snapToGrid w:val="0"/>
                <w:color w:val="000000"/>
                <w:sz w:val="24"/>
                <w:highlight w:val="none"/>
              </w:rPr>
              <w:t>分析</w:t>
            </w:r>
          </w:p>
          <w:p>
            <w:pPr>
              <w:adjustRightInd w:val="0"/>
              <w:snapToGrid w:val="0"/>
              <w:spacing w:line="360" w:lineRule="auto"/>
              <w:ind w:firstLineChars="200" w:firstLine="480"/>
              <w:rPr>
                <w:highlight w:val="none"/>
              </w:rPr>
            </w:pPr>
            <w:r>
              <w:rPr>
                <w:rFonts w:hint="eastAsia"/>
                <w:kern w:val="0"/>
                <w:sz w:val="24"/>
                <w:u w:val="none"/>
                <w:highlight w:val="none"/>
              </w:rPr>
              <w:t>项目水厂施工场地均布置在水厂永久占地范围内，不新增临时占地。</w:t>
            </w:r>
            <w:r>
              <w:rPr>
                <w:rFonts w:hint="eastAsia"/>
                <w:kern w:val="0"/>
                <w:sz w:val="24"/>
                <w:u w:val="none"/>
                <w:lang w:eastAsia="zh-CN"/>
                <w:highlight w:val="none"/>
              </w:rPr>
              <w:t>供水</w:t>
            </w:r>
            <w:r>
              <w:rPr>
                <w:rFonts w:hint="eastAsia"/>
                <w:kern w:val="0"/>
                <w:sz w:val="24"/>
                <w:u w:val="none"/>
                <w:highlight w:val="none"/>
              </w:rPr>
              <w:t>主干管及泵站不设置施工营地，施工场地布置在施工作业带内，不设置取土场、弃渣场等，项目沿线有分散居民点，施工期噪声、扬尘对其产生一定的不利影响，但通过采取施工管理（控制施工时间）、降尘等措施，能有效降低不利环境影响，不会改变评价区域现有环境功能，固体废物均得到妥善处置，对周围的环境影响可以接受。因此，本项目场地布置合理。</w:t>
            </w:r>
          </w:p>
        </w:tc>
      </w:tr>
    </w:tbl>
    <w:p>
      <w:pPr>
        <w:pStyle w:val="34"/>
        <w:spacing w:before="0" w:beforeAutospacing="0" w:after="0" w:afterAutospacing="0" w:line="360" w:lineRule="auto"/>
        <w:jc w:val="center"/>
        <w:outlineLvl w:val="0"/>
        <w:rPr>
          <w:rFonts w:ascii="Times New Roman" w:hAnsi="Times New Roman"/>
          <w:b/>
          <w:bCs/>
          <w:snapToGrid w:val="0"/>
          <w:sz w:val="30"/>
          <w:szCs w:val="30"/>
          <w:highlight w:val="none"/>
        </w:rPr>
        <w:sectPr>
          <w:footerReference w:type="default" r:id="rId6"/>
          <w:pgSz w:w="11906" w:h="16838"/>
          <w:pgMar w:top="1701" w:right="1531" w:bottom="1701" w:left="1531" w:header="851" w:footer="851" w:gutter="0"/>
          <w:pgBorders>
            <w:top w:val="none" w:sz="0" w:space="0" w:color="auto"/>
            <w:left w:val="none" w:sz="0" w:space="0" w:color="auto"/>
            <w:bottom w:val="none" w:sz="0" w:space="0" w:color="auto"/>
            <w:right w:val="none" w:sz="0" w:space="0" w:color="auto"/>
          </w:pgBorders>
          <w:pgNumType w:start="1"/>
          <w:cols w:num="1" w:space="720"/>
          <w:docGrid w:linePitch="312" w:charSpace="0"/>
        </w:sectPr>
      </w:pPr>
    </w:p>
    <w:p>
      <w:pPr>
        <w:pStyle w:val="34"/>
        <w:spacing w:before="0" w:beforeAutospacing="0" w:after="0" w:afterAutospacing="0" w:line="360" w:lineRule="auto"/>
        <w:jc w:val="center"/>
        <w:outlineLvl w:val="0"/>
        <w:rPr>
          <w:rFonts w:ascii="Times New Roman" w:hAnsi="Times New Roman"/>
          <w:b/>
          <w:bCs/>
          <w:snapToGrid w:val="0"/>
          <w:sz w:val="30"/>
          <w:szCs w:val="30"/>
          <w:highlight w:val="none"/>
        </w:rPr>
      </w:pPr>
      <w:bookmarkStart w:id="8" w:name="_Toc7086"/>
      <w:r>
        <w:rPr>
          <w:rFonts w:ascii="Times New Roman" w:hAnsi="Times New Roman"/>
          <w:b/>
          <w:bCs/>
          <w:snapToGrid w:val="0"/>
          <w:sz w:val="30"/>
          <w:szCs w:val="30"/>
          <w:highlight w:val="none"/>
        </w:rPr>
        <w:t>二、建设项目工程分析</w:t>
      </w:r>
      <w:bookmarkEnd w:id="8"/>
    </w:p>
    <w:tbl>
      <w:tblPr>
        <w:jc w:val="cent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418"/>
        <w:gridCol w:w="8406"/>
      </w:tblGrid>
      <w:tr>
        <w:trPr>
          <w:trHeight w:val="1114"/>
        </w:trPr>
        <w:tc>
          <w:tcPr>
            <w:tcW w:w="237" w:type="pct"/>
            <w:vAlign w:val="center"/>
          </w:tcPr>
          <w:p>
            <w:pPr>
              <w:pStyle w:val="34"/>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建设内容</w:t>
            </w:r>
          </w:p>
        </w:tc>
        <w:tc>
          <w:tcPr>
            <w:tcW w:w="4763" w:type="pct"/>
            <w:shd w:val="clear" w:color="auto" w:fill="auto"/>
          </w:tcPr>
          <w:p>
            <w:pPr>
              <w:tabs>
                <w:tab w:val="left" w:pos="360"/>
              </w:tabs>
              <w:spacing w:line="360" w:lineRule="auto"/>
              <w:rPr>
                <w:b/>
                <w:snapToGrid w:val="0"/>
                <w:sz w:val="24"/>
                <w:highlight w:val="none"/>
              </w:rPr>
            </w:pPr>
            <w:r>
              <w:rPr>
                <w:b/>
                <w:snapToGrid w:val="0"/>
                <w:sz w:val="24"/>
                <w:highlight w:val="none"/>
              </w:rPr>
              <w:t>1、</w:t>
            </w:r>
            <w:r>
              <w:rPr>
                <w:rFonts w:hint="eastAsia"/>
                <w:b/>
                <w:snapToGrid w:val="0"/>
                <w:sz w:val="24"/>
                <w:highlight w:val="none"/>
              </w:rPr>
              <w:t>项目建设背景</w:t>
            </w:r>
          </w:p>
          <w:p>
            <w:pPr>
              <w:widowControl/>
              <w:adjustRightInd w:val="0"/>
              <w:snapToGrid w:val="0"/>
              <w:spacing w:line="360" w:lineRule="auto"/>
              <w:ind w:firstLineChars="200" w:firstLine="480"/>
              <w:rPr>
                <w:kern w:val="0"/>
                <w:sz w:val="24"/>
                <w:highlight w:val="none"/>
              </w:rPr>
            </w:pPr>
            <w:r>
              <w:rPr>
                <w:rFonts w:hint="eastAsia"/>
                <w:kern w:val="0"/>
                <w:sz w:val="24"/>
                <w:highlight w:val="none"/>
              </w:rPr>
              <w:t>（1）项目由来</w:t>
            </w:r>
          </w:p>
          <w:p>
            <w:pPr>
              <w:pStyle w:val="113"/>
              <w:rPr>
                <w:rFonts w:ascii="Times New Roman" w:eastAsia="宋体" w:cs="Times New Roman" w:hAnsi="Times New Roman" w:hint="eastAsia"/>
                <w:bCs/>
                <w:color w:val="auto"/>
                <w:kern w:val="2"/>
                <w:sz w:val="24"/>
                <w:szCs w:val="24"/>
                <w:lang w:val="en-US" w:eastAsia="zh-CN" w:bidi="ar-SA"/>
                <w:highlight w:val="none"/>
              </w:rPr>
            </w:pPr>
            <w:r>
              <w:rPr>
                <w:rFonts w:ascii="Times New Roman" w:eastAsia="宋体" w:cs="Times New Roman" w:hAnsi="Times New Roman" w:hint="eastAsia"/>
                <w:bCs/>
                <w:color w:val="auto"/>
                <w:kern w:val="2"/>
                <w:sz w:val="24"/>
                <w:szCs w:val="24"/>
                <w:lang w:val="en-US" w:eastAsia="zh-CN" w:bidi="ar-SA"/>
                <w:highlight w:val="none"/>
              </w:rPr>
              <w:t>本次澧县甘溪滩片区农村供水建设项目主要涉及澧县甘溪滩镇全域以及火连坡镇的金山村、澧淞村、楠木村等6个行政村，共2个乡镇，22个行政村，总户数12656户，总人口50996人。</w:t>
            </w:r>
          </w:p>
          <w:p>
            <w:pPr>
              <w:pStyle w:val="113"/>
              <w:rPr>
                <w:rFonts w:ascii="Times New Roman" w:eastAsia="宋体" w:cs="Times New Roman" w:hAnsi="Times New Roman" w:hint="eastAsia"/>
                <w:bCs/>
                <w:color w:val="auto"/>
                <w:kern w:val="2"/>
                <w:sz w:val="24"/>
                <w:szCs w:val="24"/>
                <w:u w:val="single"/>
                <w:lang w:val="en-US" w:eastAsia="zh-CN" w:bidi="ar-SA"/>
                <w:highlight w:val="none"/>
              </w:rPr>
            </w:pPr>
            <w:r>
              <w:rPr>
                <w:rFonts w:ascii="Times New Roman" w:eastAsia="宋体" w:cs="Times New Roman" w:hAnsi="Times New Roman" w:hint="eastAsia"/>
                <w:bCs/>
                <w:color w:val="auto"/>
                <w:kern w:val="2"/>
                <w:sz w:val="24"/>
                <w:szCs w:val="24"/>
                <w:u w:val="single"/>
                <w:lang w:val="en-US" w:eastAsia="zh-CN" w:bidi="ar-SA"/>
                <w:highlight w:val="none"/>
              </w:rPr>
              <w:t>项目区内目前局部位置较偏远、海拔较高、零散分布的居民点现状采用分散供水，水源多为村民自行钻孔建设的深水井。如甘溪滩镇石板村现有人口1530人，由水厂供水650人，其余880人为分散供水。</w:t>
            </w:r>
          </w:p>
          <w:p>
            <w:pPr>
              <w:pStyle w:val="113"/>
              <w:rPr>
                <w:rFonts w:ascii="Times New Roman" w:eastAsia="宋体" w:cs="Times New Roman" w:hAnsi="Times New Roman" w:hint="eastAsia"/>
                <w:bCs/>
                <w:color w:val="auto"/>
                <w:kern w:val="2"/>
                <w:sz w:val="24"/>
                <w:szCs w:val="24"/>
                <w:u w:val="single"/>
                <w:lang w:val="en-US" w:eastAsia="zh-CN" w:bidi="ar-SA"/>
                <w:highlight w:val="none"/>
              </w:rPr>
            </w:pPr>
            <w:r>
              <w:rPr>
                <w:rFonts w:ascii="Times New Roman" w:eastAsia="宋体" w:cs="Times New Roman" w:hAnsi="Times New Roman" w:hint="eastAsia"/>
                <w:bCs/>
                <w:color w:val="auto"/>
                <w:kern w:val="2"/>
                <w:sz w:val="24"/>
                <w:szCs w:val="24"/>
                <w:u w:val="single"/>
                <w:lang w:val="en-US" w:eastAsia="zh-CN" w:bidi="ar-SA"/>
                <w:highlight w:val="none"/>
              </w:rPr>
              <w:t>现状</w:t>
            </w:r>
            <w:r>
              <w:rPr>
                <w:rFonts w:eastAsia="宋体" w:cs="Times New Roman" w:hint="eastAsia"/>
                <w:bCs/>
                <w:color w:val="auto"/>
                <w:kern w:val="2"/>
                <w:sz w:val="24"/>
                <w:szCs w:val="24"/>
                <w:u w:val="single"/>
                <w:lang w:val="en-US" w:eastAsia="zh-CN" w:bidi="ar-SA"/>
                <w:highlight w:val="none"/>
              </w:rPr>
              <w:t>7</w:t>
            </w:r>
            <w:r>
              <w:rPr>
                <w:rFonts w:ascii="Times New Roman" w:eastAsia="宋体" w:cs="Times New Roman" w:hAnsi="Times New Roman" w:hint="eastAsia"/>
                <w:bCs/>
                <w:color w:val="auto"/>
                <w:kern w:val="2"/>
                <w:sz w:val="24"/>
                <w:szCs w:val="24"/>
                <w:u w:val="single"/>
                <w:lang w:val="en-US" w:eastAsia="zh-CN" w:bidi="ar-SA"/>
                <w:highlight w:val="none"/>
              </w:rPr>
              <w:t>座水厂的供水管网材质主要是PVC管和PE管，且大部分管网建设年代久远，最长时间已运行20多年。部分水厂的局部管网近几年实施过配套改造，但相对总体而言，占比不高。</w:t>
            </w:r>
          </w:p>
          <w:p>
            <w:pPr>
              <w:pStyle w:val="113"/>
              <w:rPr>
                <w:rFonts w:ascii="Times New Roman" w:eastAsia="宋体" w:cs="Times New Roman" w:hAnsi="Times New Roman" w:hint="eastAsia"/>
                <w:bCs/>
                <w:color w:val="auto"/>
                <w:kern w:val="2"/>
                <w:sz w:val="24"/>
                <w:szCs w:val="24"/>
                <w:u w:val="single"/>
                <w:lang w:val="en-US" w:eastAsia="zh-CN" w:bidi="ar-SA"/>
                <w:highlight w:val="none"/>
              </w:rPr>
            </w:pPr>
            <w:r>
              <w:rPr>
                <w:rFonts w:ascii="Times New Roman" w:eastAsia="宋体" w:cs="Times New Roman" w:hAnsi="Times New Roman" w:hint="eastAsia"/>
                <w:bCs/>
                <w:color w:val="auto"/>
                <w:kern w:val="2"/>
                <w:sz w:val="24"/>
                <w:szCs w:val="24"/>
                <w:u w:val="single"/>
                <w:lang w:val="en-US" w:eastAsia="zh-CN" w:bidi="ar-SA"/>
                <w:highlight w:val="none"/>
              </w:rPr>
              <w:t>现状大部分水厂管网因运行年份较久，管网老化、损坏严重，管道漏水情况比较严重，供水水质存在二次污染风险。同时，部分水厂供水管径偏小，输水距离过长，末端水压不足。管网沿线未按照规范标准要求建设布置各类检修、控制闸阀井、排气、排泥阀井等，经常出现各种无法供水状况，无法满足当地居民的生活用水保障需求。</w:t>
            </w:r>
          </w:p>
          <w:p>
            <w:pPr>
              <w:pStyle w:val="113"/>
              <w:rPr>
                <w:rFonts w:ascii="Times New Roman" w:eastAsia="宋体" w:cs="Times New Roman" w:hAnsi="Times New Roman" w:hint="eastAsia"/>
                <w:bCs/>
                <w:color w:val="auto"/>
                <w:kern w:val="2"/>
                <w:sz w:val="24"/>
                <w:szCs w:val="24"/>
                <w:u w:val="single"/>
                <w:lang w:val="en-US" w:eastAsia="zh-CN" w:bidi="ar-SA"/>
                <w:highlight w:val="none"/>
              </w:rPr>
            </w:pPr>
            <w:r>
              <w:rPr>
                <w:rFonts w:ascii="Times New Roman" w:eastAsia="宋体" w:cs="Times New Roman" w:hAnsi="Times New Roman" w:hint="eastAsia"/>
                <w:bCs/>
                <w:color w:val="auto"/>
                <w:kern w:val="2"/>
                <w:sz w:val="24"/>
                <w:szCs w:val="24"/>
                <w:u w:val="single"/>
                <w:lang w:val="en-US" w:eastAsia="zh-CN" w:bidi="ar-SA"/>
                <w:highlight w:val="none"/>
              </w:rPr>
              <w:t>项目区甘溪滩镇、火连坡镇的人民群众的安全饮水、供水保障、用水水量、水质情况等问题亟需得到合理提升、改善、保障。</w:t>
            </w:r>
          </w:p>
          <w:p>
            <w:pPr>
              <w:widowControl/>
              <w:adjustRightInd w:val="0"/>
              <w:snapToGrid w:val="0"/>
              <w:spacing w:line="360" w:lineRule="auto"/>
              <w:ind w:firstLineChars="200" w:firstLine="480"/>
              <w:rPr>
                <w:rFonts w:ascii="Times New Roman" w:eastAsia="宋体" w:cs="Times New Roman" w:hAnsi="Times New Roman" w:hint="eastAsia"/>
                <w:bCs/>
                <w:color w:val="auto"/>
                <w:kern w:val="2"/>
                <w:sz w:val="24"/>
                <w:szCs w:val="24"/>
                <w:u w:val="single"/>
                <w:lang w:val="en-US" w:eastAsia="zh-CN" w:bidi="ar-SA"/>
                <w:highlight w:val="none"/>
              </w:rPr>
            </w:pPr>
            <w:r>
              <w:rPr>
                <w:rFonts w:ascii="Times New Roman" w:eastAsia="宋体" w:cs="Times New Roman" w:hAnsi="Times New Roman" w:hint="eastAsia"/>
                <w:bCs/>
                <w:color w:val="auto"/>
                <w:kern w:val="2"/>
                <w:sz w:val="24"/>
                <w:szCs w:val="24"/>
                <w:u w:val="single"/>
                <w:lang w:val="en-US" w:eastAsia="zh-CN" w:bidi="ar-SA"/>
                <w:highlight w:val="none"/>
              </w:rPr>
              <w:t>2023年11月22日，澧县发展和改革局出具了《关于澧县甘溪滩片区农村供水建设项目可行性研究报告的批复》（澧发改审[2023]420号），同意实施澧县甘溪滩片区农村供水建设项目。</w:t>
            </w:r>
          </w:p>
          <w:p>
            <w:pPr>
              <w:pStyle w:val="113"/>
              <w:rPr>
                <w:rFonts w:ascii="Times New Roman" w:eastAsia="宋体" w:cs="Times New Roman" w:hAnsi="Times New Roman" w:hint="eastAsia"/>
                <w:bCs/>
                <w:color w:val="auto"/>
                <w:kern w:val="2"/>
                <w:sz w:val="24"/>
                <w:szCs w:val="24"/>
                <w:u w:val="single"/>
                <w:lang w:val="en-US" w:eastAsia="zh-CN" w:bidi="ar-SA"/>
                <w:highlight w:val="none"/>
              </w:rPr>
            </w:pPr>
            <w:r>
              <w:rPr>
                <w:rFonts w:ascii="Times New Roman" w:eastAsia="宋体" w:cs="Times New Roman" w:hAnsi="Times New Roman" w:hint="eastAsia"/>
                <w:bCs/>
                <w:color w:val="auto"/>
                <w:kern w:val="2"/>
                <w:sz w:val="24"/>
                <w:szCs w:val="24"/>
                <w:u w:val="single"/>
                <w:lang w:val="en-US" w:eastAsia="zh-CN" w:bidi="ar-SA"/>
                <w:highlight w:val="none"/>
              </w:rPr>
              <w:t>2023年11月24日，澧县水利局出具了《关于澧县甘溪滩片区农村供水工程初步设计的批复》（澧水函[2023]7号），同意实施澧县甘溪滩片区农村供水建设项目。批复建设内容为：新建自来水厂1座，设计规模为2.2万m</w:t>
            </w:r>
            <w:r>
              <w:rPr>
                <w:rFonts w:ascii="Times New Roman" w:eastAsia="宋体" w:cs="Times New Roman" w:hAnsi="Times New Roman" w:hint="eastAsia"/>
                <w:bCs/>
                <w:color w:val="auto"/>
                <w:kern w:val="2"/>
                <w:sz w:val="24"/>
                <w:szCs w:val="24"/>
                <w:u w:val="single"/>
                <w:vertAlign w:val="superscript"/>
                <w:lang w:val="en-US" w:eastAsia="zh-CN" w:bidi="ar-SA"/>
                <w:highlight w:val="none"/>
              </w:rPr>
              <w:t>3</w:t>
            </w:r>
            <w:r>
              <w:rPr>
                <w:rFonts w:ascii="Times New Roman" w:eastAsia="宋体" w:cs="Times New Roman" w:hAnsi="Times New Roman" w:hint="eastAsia"/>
                <w:bCs/>
                <w:color w:val="auto"/>
                <w:kern w:val="2"/>
                <w:sz w:val="24"/>
                <w:szCs w:val="24"/>
                <w:u w:val="single"/>
                <w:lang w:val="en-US" w:eastAsia="zh-CN" w:bidi="ar-SA"/>
                <w:highlight w:val="none"/>
              </w:rPr>
              <w:t>/d，总用地30亩，主要建设内容包括综合楼、泵站用房、附属建筑、取水工程、净水厂区、净水处理设备、厂区硬化、供排水、变配电等基础配套设施工程，配套输</w:t>
            </w:r>
            <w:r>
              <w:rPr>
                <w:rFonts w:eastAsia="宋体" w:cs="Times New Roman" w:hint="eastAsia"/>
                <w:bCs/>
                <w:color w:val="auto"/>
                <w:kern w:val="2"/>
                <w:sz w:val="24"/>
                <w:szCs w:val="24"/>
                <w:u w:val="single"/>
                <w:lang w:val="en-US" w:eastAsia="zh-CN" w:bidi="ar-SA"/>
                <w:highlight w:val="none"/>
              </w:rPr>
              <w:t>供水</w:t>
            </w:r>
            <w:r>
              <w:rPr>
                <w:rFonts w:ascii="Times New Roman" w:eastAsia="宋体" w:cs="Times New Roman" w:hAnsi="Times New Roman" w:hint="eastAsia"/>
                <w:bCs/>
                <w:color w:val="auto"/>
                <w:kern w:val="2"/>
                <w:sz w:val="24"/>
                <w:szCs w:val="24"/>
                <w:u w:val="single"/>
                <w:lang w:val="en-US" w:eastAsia="zh-CN" w:bidi="ar-SA"/>
                <w:highlight w:val="none"/>
              </w:rPr>
              <w:t>管道、</w:t>
            </w:r>
            <w:r>
              <w:rPr>
                <w:rFonts w:eastAsia="宋体" w:cs="Times New Roman" w:hint="eastAsia"/>
                <w:bCs/>
                <w:color w:val="auto"/>
                <w:kern w:val="2"/>
                <w:sz w:val="24"/>
                <w:szCs w:val="24"/>
                <w:u w:val="single"/>
                <w:lang w:val="en-US" w:eastAsia="zh-CN" w:bidi="ar-SA"/>
                <w:highlight w:val="none"/>
              </w:rPr>
              <w:t>供水</w:t>
            </w:r>
            <w:r>
              <w:rPr>
                <w:rFonts w:ascii="Times New Roman" w:eastAsia="宋体" w:cs="Times New Roman" w:hAnsi="Times New Roman" w:hint="eastAsia"/>
                <w:bCs/>
                <w:color w:val="auto"/>
                <w:kern w:val="2"/>
                <w:sz w:val="24"/>
                <w:szCs w:val="24"/>
                <w:u w:val="single"/>
                <w:lang w:val="en-US" w:eastAsia="zh-CN" w:bidi="ar-SA"/>
                <w:highlight w:val="none"/>
              </w:rPr>
              <w:t>主支管138.72km，配套建设智慧水务工程。</w:t>
            </w:r>
          </w:p>
          <w:p>
            <w:pPr>
              <w:widowControl/>
              <w:adjustRightInd w:val="0"/>
              <w:snapToGrid w:val="0"/>
              <w:spacing w:line="360" w:lineRule="auto"/>
              <w:ind w:firstLineChars="200" w:firstLine="480"/>
              <w:rPr>
                <w:rFonts w:ascii="Times New Roman" w:eastAsia="宋体" w:cs="Times New Roman" w:hAnsi="Times New Roman"/>
                <w:bCs/>
                <w:color w:val="auto"/>
                <w:kern w:val="2"/>
                <w:sz w:val="24"/>
                <w:szCs w:val="24"/>
                <w:u w:val="single"/>
                <w:lang w:val="en-US" w:eastAsia="zh-CN" w:bidi="ar-SA"/>
                <w:highlight w:val="none"/>
              </w:rPr>
            </w:pPr>
            <w:r>
              <w:rPr>
                <w:rFonts w:hint="eastAsia"/>
                <w:color w:val="000000"/>
                <w:kern w:val="0"/>
                <w:sz w:val="24"/>
                <w:u w:val="single"/>
                <w:lang w:val="en-US" w:eastAsia="zh-CN"/>
              </w:rPr>
              <w:t>因资金问题，现分期建设，</w:t>
            </w:r>
            <w:r>
              <w:rPr>
                <w:rFonts w:ascii="Times New Roman" w:eastAsia="宋体" w:cs="Times New Roman" w:hAnsi="Times New Roman" w:hint="eastAsia"/>
                <w:bCs/>
                <w:color w:val="auto"/>
                <w:kern w:val="2"/>
                <w:sz w:val="24"/>
                <w:szCs w:val="24"/>
                <w:u w:val="single"/>
                <w:lang w:val="en-US" w:eastAsia="zh-CN" w:bidi="ar-SA"/>
                <w:highlight w:val="none"/>
              </w:rPr>
              <w:t>本项目为澧县甘溪滩片区农村供水建设项目（一期）建设工程，新建太青水厂供水规模1.0万m</w:t>
            </w:r>
            <w:r>
              <w:rPr>
                <w:rFonts w:ascii="Times New Roman" w:eastAsia="宋体" w:cs="Times New Roman" w:hAnsi="Times New Roman" w:hint="eastAsia"/>
                <w:bCs/>
                <w:color w:val="auto"/>
                <w:kern w:val="2"/>
                <w:sz w:val="24"/>
                <w:szCs w:val="24"/>
                <w:u w:val="single"/>
                <w:vertAlign w:val="superscript"/>
                <w:lang w:val="en-US" w:eastAsia="zh-CN" w:bidi="ar-SA"/>
                <w:highlight w:val="none"/>
              </w:rPr>
              <w:t>3</w:t>
            </w:r>
            <w:r>
              <w:rPr>
                <w:rFonts w:ascii="Times New Roman" w:eastAsia="宋体" w:cs="Times New Roman" w:hAnsi="Times New Roman" w:hint="eastAsia"/>
                <w:bCs/>
                <w:color w:val="auto"/>
                <w:kern w:val="2"/>
                <w:sz w:val="24"/>
                <w:szCs w:val="24"/>
                <w:u w:val="single"/>
                <w:lang w:val="en-US" w:eastAsia="zh-CN" w:bidi="ar-SA"/>
                <w:highlight w:val="none"/>
              </w:rPr>
              <w:t>/d，新建、改建管网长度189.43km。</w:t>
            </w:r>
            <w:r>
              <w:rPr>
                <w:rFonts w:cs="Times New Roman" w:hint="eastAsia"/>
                <w:bCs/>
                <w:color w:val="auto"/>
                <w:sz w:val="24"/>
                <w:u w:val="single"/>
                <w:lang w:val="en-US" w:eastAsia="zh-CN"/>
                <w:highlight w:val="none"/>
              </w:rPr>
              <w:t>本一期项目已向澧县人民政府汇报，会议纪要详见附件</w:t>
            </w:r>
            <w:r>
              <w:rPr>
                <w:rFonts w:ascii="Times New Roman" w:eastAsia="宋体" w:cs="Times New Roman" w:hAnsi="Times New Roman"/>
                <w:bCs/>
                <w:color w:val="auto"/>
                <w:sz w:val="24"/>
                <w:u w:val="single"/>
                <w:lang w:val="en-US" w:eastAsia="zh-CN"/>
                <w:highlight w:val="none"/>
              </w:rPr>
              <w:t xml:space="preserve"> </w:t>
            </w:r>
            <w:r>
              <w:rPr>
                <w:rFonts w:cs="Times New Roman" w:hint="eastAsia"/>
                <w:bCs/>
                <w:color w:val="auto"/>
                <w:sz w:val="24"/>
                <w:u w:val="single"/>
                <w:lang w:val="en-US" w:eastAsia="zh-CN"/>
                <w:highlight w:val="none"/>
              </w:rPr>
              <w:t>8。</w:t>
            </w:r>
            <w:r>
              <w:rPr>
                <w:rFonts w:hint="eastAsia"/>
                <w:sz w:val="24"/>
                <w:u w:val="single"/>
                <w:lang w:val="en-US" w:eastAsia="zh-CN"/>
                <w:highlight w:val="none"/>
              </w:rPr>
              <w:t>项目已于2025年10月开工建设，未建设完成。</w:t>
            </w:r>
            <w:r>
              <w:rPr>
                <w:rFonts w:ascii="Times New Roman" w:eastAsia="宋体" w:cs="Times New Roman" w:hAnsi="Times New Roman" w:hint="eastAsia"/>
                <w:sz w:val="24"/>
                <w:u w:val="single"/>
                <w:lang w:val="en-US" w:eastAsia="zh-CN"/>
                <w:highlight w:val="none"/>
              </w:rPr>
              <w:t>澧县生态环境保护综合行政执法局于2026年3月10日出具了关于本项目“未批先建”环境违法行为免于行政处罚的决定。</w:t>
            </w:r>
            <w:r>
              <w:rPr>
                <w:rFonts w:hint="eastAsia"/>
                <w:sz w:val="24"/>
                <w:u w:val="single"/>
                <w:lang w:val="en-US" w:eastAsia="zh-CN"/>
                <w:highlight w:val="none"/>
              </w:rPr>
              <w:t>目前已停止建设，办理环评手续。</w:t>
            </w:r>
          </w:p>
          <w:p>
            <w:pPr>
              <w:widowControl/>
              <w:adjustRightInd w:val="0"/>
              <w:snapToGrid w:val="0"/>
              <w:spacing w:line="360" w:lineRule="auto"/>
              <w:ind w:firstLineChars="200" w:firstLine="480"/>
              <w:rPr>
                <w:color w:val="000000"/>
                <w:kern w:val="0"/>
                <w:sz w:val="24"/>
                <w:highlight w:val="none"/>
              </w:rPr>
            </w:pPr>
            <w:r>
              <w:rPr>
                <w:rFonts w:ascii="Times New Roman" w:cs="Times New Roman" w:hAnsi="Times New Roman"/>
                <w:bCs/>
                <w:color w:val="auto"/>
                <w:sz w:val="24"/>
                <w:highlight w:val="none"/>
              </w:rPr>
              <w:t>根据《中华人民共和国环境影响评价法》和《建设项目环境保护管理条例》等法律法规的要求，本项目须进行环境影响评价，</w:t>
            </w:r>
            <w:r>
              <w:rPr>
                <w:rFonts w:ascii="Times New Roman" w:cs="Times New Roman" w:hAnsi="Times New Roman"/>
                <w:bCs/>
                <w:color w:val="auto"/>
                <w:sz w:val="24"/>
                <w:u w:val="none" w:color="auto"/>
                <w:highlight w:val="none"/>
              </w:rPr>
              <w:t>对照《建设项目环境影响评价分类管理名录》（2021年本）</w:t>
            </w:r>
            <w:r>
              <w:rPr>
                <w:rFonts w:ascii="Times New Roman" w:cs="Times New Roman" w:hAnsi="Times New Roman" w:hint="eastAsia"/>
                <w:bCs/>
                <w:color w:val="auto"/>
                <w:sz w:val="24"/>
                <w:u w:val="none" w:color="auto"/>
                <w:lang w:eastAsia="zh-CN"/>
                <w:highlight w:val="none"/>
              </w:rPr>
              <w:t>，</w:t>
            </w:r>
            <w:r>
              <w:rPr>
                <w:rFonts w:ascii="Times New Roman" w:cs="Times New Roman" w:hAnsi="Times New Roman" w:hint="eastAsia"/>
                <w:bCs/>
                <w:color w:val="auto"/>
                <w:sz w:val="24"/>
                <w:u w:val="none" w:color="auto"/>
                <w:lang w:val="en-US" w:eastAsia="zh-CN"/>
                <w:highlight w:val="none"/>
              </w:rPr>
              <w:t>本项目属于其中</w:t>
            </w:r>
            <w:r>
              <w:rPr>
                <w:rFonts w:ascii="Times New Roman" w:cs="Times New Roman" w:hAnsi="Times New Roman" w:hint="eastAsia"/>
                <w:bCs/>
                <w:color w:val="auto"/>
                <w:sz w:val="24"/>
                <w:u w:val="none" w:color="auto"/>
                <w:lang w:eastAsia="zh-CN"/>
                <w:highlight w:val="none"/>
              </w:rPr>
              <w:t>“四十三、水的生产和供应业—94、自来水生产和供应461（不含供应工程；不含村庄供应工程）”</w:t>
            </w:r>
            <w:r>
              <w:rPr>
                <w:rFonts w:ascii="Times New Roman" w:cs="Times New Roman" w:hAnsi="Times New Roman"/>
                <w:bCs/>
                <w:color w:val="auto"/>
                <w:sz w:val="24"/>
                <w:u w:val="none" w:color="auto"/>
                <w:highlight w:val="none"/>
              </w:rPr>
              <w:t>，</w:t>
            </w:r>
            <w:r>
              <w:rPr>
                <w:rFonts w:ascii="Times New Roman" w:cs="Times New Roman" w:hAnsi="Times New Roman" w:hint="eastAsia"/>
                <w:bCs/>
                <w:color w:val="auto"/>
                <w:sz w:val="24"/>
                <w:u w:val="none" w:color="auto"/>
                <w:lang w:val="en-US" w:eastAsia="zh-CN"/>
                <w:highlight w:val="none"/>
              </w:rPr>
              <w:t>需</w:t>
            </w:r>
            <w:r>
              <w:rPr>
                <w:rFonts w:ascii="Times New Roman" w:cs="Times New Roman" w:hAnsi="Times New Roman"/>
                <w:bCs/>
                <w:color w:val="auto"/>
                <w:sz w:val="24"/>
                <w:u w:val="none" w:color="auto"/>
                <w:highlight w:val="none"/>
              </w:rPr>
              <w:t>编制环境影响报告表</w:t>
            </w:r>
            <w:r>
              <w:rPr>
                <w:rFonts w:ascii="Times New Roman" w:cs="Times New Roman" w:hAnsi="Times New Roman" w:hint="eastAsia"/>
                <w:bCs/>
                <w:color w:val="auto"/>
                <w:sz w:val="24"/>
                <w:u w:val="none" w:color="auto"/>
                <w:lang w:eastAsia="zh-CN"/>
                <w:highlight w:val="none"/>
              </w:rPr>
              <w:t>。</w:t>
            </w:r>
          </w:p>
          <w:p>
            <w:pPr>
              <w:widowControl/>
              <w:adjustRightInd w:val="0"/>
              <w:snapToGrid w:val="0"/>
              <w:spacing w:line="360" w:lineRule="auto"/>
              <w:ind w:firstLineChars="200" w:firstLine="480"/>
              <w:rPr>
                <w:color w:val="000000"/>
                <w:kern w:val="0"/>
                <w:sz w:val="24"/>
                <w:highlight w:val="none"/>
              </w:rPr>
            </w:pPr>
            <w:r>
              <w:rPr>
                <w:rFonts w:hint="eastAsia"/>
                <w:color w:val="000000"/>
                <w:kern w:val="0"/>
                <w:sz w:val="24"/>
                <w:highlight w:val="none"/>
              </w:rPr>
              <w:t>（2）</w:t>
            </w:r>
            <w:r>
              <w:rPr>
                <w:rFonts w:hint="eastAsia"/>
                <w:color w:val="000000"/>
                <w:kern w:val="0"/>
                <w:sz w:val="24"/>
                <w:lang w:val="en-US" w:eastAsia="zh-CN"/>
                <w:highlight w:val="none"/>
              </w:rPr>
              <w:t>水厂</w:t>
            </w:r>
            <w:r>
              <w:rPr>
                <w:rFonts w:hint="eastAsia"/>
                <w:color w:val="000000"/>
                <w:kern w:val="0"/>
                <w:sz w:val="24"/>
                <w:highlight w:val="none"/>
              </w:rPr>
              <w:t>现状</w:t>
            </w:r>
          </w:p>
          <w:p>
            <w:pPr>
              <w:pStyle w:val="113"/>
              <w:rPr>
                <w:rFonts w:ascii="Times New Roman" w:eastAsia="宋体" w:cs="Times New Roman" w:hAnsi="Times New Roman" w:hint="eastAsia"/>
                <w:bCs/>
                <w:color w:val="auto"/>
                <w:kern w:val="2"/>
                <w:sz w:val="24"/>
                <w:szCs w:val="24"/>
                <w:lang w:val="en-US" w:eastAsia="zh-CN" w:bidi="ar-SA"/>
                <w:highlight w:val="none"/>
              </w:rPr>
            </w:pPr>
            <w:r>
              <w:rPr>
                <w:rFonts w:ascii="Times New Roman" w:eastAsia="宋体" w:cs="Times New Roman" w:hAnsi="Times New Roman" w:hint="eastAsia"/>
                <w:bCs/>
                <w:color w:val="auto"/>
                <w:kern w:val="2"/>
                <w:sz w:val="24"/>
                <w:szCs w:val="24"/>
                <w:lang w:val="en-US" w:eastAsia="zh-CN" w:bidi="ar-SA"/>
                <w:highlight w:val="none"/>
              </w:rPr>
              <w:t>1）现状供水范围：</w:t>
            </w:r>
          </w:p>
          <w:p>
            <w:pPr>
              <w:pStyle w:val="113"/>
              <w:rPr>
                <w:rFonts w:ascii="Times New Roman" w:eastAsia="宋体" w:cs="Times New Roman" w:hAnsi="Times New Roman" w:hint="eastAsia"/>
                <w:bCs/>
                <w:color w:val="auto"/>
                <w:kern w:val="2"/>
                <w:sz w:val="24"/>
                <w:szCs w:val="24"/>
                <w:lang w:val="en-US" w:eastAsia="zh-CN" w:bidi="ar-SA"/>
                <w:highlight w:val="none"/>
              </w:rPr>
            </w:pPr>
            <w:r>
              <w:rPr>
                <w:rFonts w:ascii="Times New Roman" w:eastAsia="宋体" w:cs="Times New Roman" w:hAnsi="Times New Roman" w:hint="eastAsia"/>
                <w:bCs/>
                <w:color w:val="auto"/>
                <w:kern w:val="2"/>
                <w:sz w:val="24"/>
                <w:szCs w:val="24"/>
                <w:lang w:val="en-US" w:eastAsia="zh-CN" w:bidi="ar-SA"/>
                <w:highlight w:val="none"/>
              </w:rPr>
              <w:t>甘溪滩镇主要包含探峪村、东门村、田冲村等16个行政村，现状供水人口38836人。</w:t>
            </w:r>
          </w:p>
          <w:p>
            <w:pPr>
              <w:pStyle w:val="113"/>
              <w:rPr>
                <w:rFonts w:ascii="Times New Roman" w:eastAsia="宋体" w:cs="Times New Roman" w:hAnsi="Times New Roman" w:hint="eastAsia"/>
                <w:bCs/>
                <w:color w:val="auto"/>
                <w:kern w:val="2"/>
                <w:sz w:val="24"/>
                <w:szCs w:val="24"/>
                <w:lang w:val="en-US" w:eastAsia="zh-CN" w:bidi="ar-SA"/>
                <w:highlight w:val="none"/>
              </w:rPr>
            </w:pPr>
            <w:r>
              <w:rPr>
                <w:rFonts w:ascii="Times New Roman" w:eastAsia="宋体" w:cs="Times New Roman" w:hAnsi="Times New Roman" w:hint="eastAsia"/>
                <w:bCs/>
                <w:color w:val="auto"/>
                <w:kern w:val="2"/>
                <w:sz w:val="24"/>
                <w:szCs w:val="24"/>
                <w:lang w:val="en-US" w:eastAsia="zh-CN" w:bidi="ar-SA"/>
                <w:highlight w:val="none"/>
              </w:rPr>
              <w:t>火连坡镇主要包含金山村、澧淞村、楠木村等6个行政村，现状供水人口12160人。</w:t>
            </w:r>
          </w:p>
          <w:p>
            <w:pPr>
              <w:pStyle w:val="113"/>
              <w:rPr>
                <w:rFonts w:ascii="Times New Roman" w:eastAsia="宋体" w:cs="Times New Roman" w:hAnsi="Times New Roman" w:hint="eastAsia"/>
                <w:bCs/>
                <w:color w:val="auto"/>
                <w:kern w:val="2"/>
                <w:sz w:val="24"/>
                <w:szCs w:val="24"/>
                <w:u w:val="single"/>
                <w:lang w:val="en-US" w:eastAsia="zh-CN" w:bidi="ar-SA"/>
                <w:highlight w:val="none"/>
              </w:rPr>
            </w:pPr>
            <w:r>
              <w:rPr>
                <w:rFonts w:ascii="Times New Roman" w:eastAsia="宋体" w:cs="Times New Roman" w:hAnsi="Times New Roman" w:hint="eastAsia"/>
                <w:bCs/>
                <w:color w:val="auto"/>
                <w:kern w:val="2"/>
                <w:sz w:val="24"/>
                <w:szCs w:val="24"/>
                <w:u w:val="single"/>
                <w:lang w:val="en-US" w:eastAsia="zh-CN" w:bidi="ar-SA"/>
                <w:highlight w:val="none"/>
              </w:rPr>
              <w:t>2）现状供水水厂：</w:t>
            </w:r>
          </w:p>
          <w:p>
            <w:pPr>
              <w:pStyle w:val="113"/>
              <w:rPr>
                <w:rFonts w:ascii="Times New Roman" w:eastAsia="宋体" w:cs="Times New Roman" w:hAnsi="Times New Roman" w:hint="eastAsia"/>
                <w:bCs/>
                <w:color w:val="auto"/>
                <w:kern w:val="2"/>
                <w:sz w:val="24"/>
                <w:szCs w:val="24"/>
                <w:lang w:val="en-US" w:eastAsia="zh-CN" w:bidi="ar-SA"/>
                <w:highlight w:val="none"/>
              </w:rPr>
            </w:pPr>
            <w:r>
              <w:rPr>
                <w:rFonts w:ascii="Times New Roman" w:eastAsia="宋体" w:cs="Times New Roman" w:hAnsi="Times New Roman" w:hint="eastAsia"/>
                <w:bCs/>
                <w:color w:val="auto"/>
                <w:kern w:val="2"/>
                <w:sz w:val="24"/>
                <w:szCs w:val="24"/>
                <w:u w:val="single"/>
                <w:lang w:val="en-US" w:eastAsia="zh-CN" w:bidi="ar-SA"/>
                <w:highlight w:val="none"/>
              </w:rPr>
              <w:t>现状运行水厂共</w:t>
            </w:r>
            <w:r>
              <w:rPr>
                <w:rFonts w:eastAsia="宋体" w:cs="Times New Roman" w:hint="eastAsia"/>
                <w:bCs/>
                <w:color w:val="auto"/>
                <w:kern w:val="2"/>
                <w:sz w:val="24"/>
                <w:szCs w:val="24"/>
                <w:u w:val="single"/>
                <w:lang w:val="en-US" w:eastAsia="zh-CN" w:bidi="ar-SA"/>
                <w:highlight w:val="none"/>
              </w:rPr>
              <w:t>7</w:t>
            </w:r>
            <w:r>
              <w:rPr>
                <w:rFonts w:ascii="Times New Roman" w:eastAsia="宋体" w:cs="Times New Roman" w:hAnsi="Times New Roman" w:hint="eastAsia"/>
                <w:bCs/>
                <w:color w:val="auto"/>
                <w:kern w:val="2"/>
                <w:sz w:val="24"/>
                <w:szCs w:val="24"/>
                <w:u w:val="single"/>
                <w:lang w:val="en-US" w:eastAsia="zh-CN" w:bidi="ar-SA"/>
                <w:highlight w:val="none"/>
              </w:rPr>
              <w:t>座，现状运行的</w:t>
            </w:r>
            <w:r>
              <w:rPr>
                <w:rFonts w:eastAsia="宋体" w:cs="Times New Roman" w:hint="eastAsia"/>
                <w:bCs/>
                <w:color w:val="auto"/>
                <w:kern w:val="2"/>
                <w:sz w:val="24"/>
                <w:szCs w:val="24"/>
                <w:u w:val="single"/>
                <w:lang w:val="en-US" w:eastAsia="zh-CN" w:bidi="ar-SA"/>
                <w:highlight w:val="none"/>
              </w:rPr>
              <w:t>7</w:t>
            </w:r>
            <w:r>
              <w:rPr>
                <w:rFonts w:ascii="Times New Roman" w:eastAsia="宋体" w:cs="Times New Roman" w:hAnsi="Times New Roman" w:hint="eastAsia"/>
                <w:bCs/>
                <w:color w:val="auto"/>
                <w:kern w:val="2"/>
                <w:sz w:val="24"/>
                <w:szCs w:val="24"/>
                <w:u w:val="single"/>
                <w:lang w:val="en-US" w:eastAsia="zh-CN" w:bidi="ar-SA"/>
                <w:highlight w:val="none"/>
              </w:rPr>
              <w:t>座水厂供水范围覆盖22个行政村，现状供水人口52796人。</w:t>
            </w:r>
          </w:p>
          <w:p>
            <w:pPr>
              <w:tabs>
                <w:tab w:val="left" w:pos="360"/>
              </w:tabs>
              <w:spacing w:line="360" w:lineRule="auto"/>
              <w:rPr>
                <w:b/>
                <w:snapToGrid w:val="0"/>
                <w:sz w:val="24"/>
                <w:highlight w:val="none"/>
              </w:rPr>
            </w:pPr>
            <w:r>
              <w:rPr>
                <w:rFonts w:hint="eastAsia"/>
                <w:b/>
                <w:snapToGrid w:val="0"/>
                <w:sz w:val="24"/>
                <w:highlight w:val="none"/>
              </w:rPr>
              <w:t>2、取水水源</w:t>
            </w:r>
          </w:p>
          <w:p>
            <w:pPr>
              <w:widowControl/>
              <w:adjustRightInd w:val="0"/>
              <w:snapToGrid w:val="0"/>
              <w:spacing w:line="360" w:lineRule="auto"/>
              <w:ind w:firstLineChars="200" w:firstLine="480"/>
              <w:rPr>
                <w:kern w:val="0"/>
                <w:sz w:val="24"/>
                <w:u w:val="none"/>
                <w:highlight w:val="none"/>
              </w:rPr>
            </w:pPr>
            <w:r>
              <w:rPr>
                <w:rFonts w:hint="eastAsia"/>
                <w:kern w:val="0"/>
                <w:sz w:val="24"/>
                <w:u w:val="none"/>
                <w:highlight w:val="none"/>
              </w:rPr>
              <w:t>（1）水源基本情况</w:t>
            </w:r>
          </w:p>
          <w:p>
            <w:pPr>
              <w:widowControl/>
              <w:adjustRightInd w:val="0"/>
              <w:snapToGrid w:val="0"/>
              <w:spacing w:line="360" w:lineRule="auto"/>
              <w:ind w:firstLineChars="200" w:firstLine="480"/>
              <w:rPr>
                <w:color w:val="000000"/>
                <w:kern w:val="0"/>
                <w:sz w:val="24"/>
                <w:u w:val="none"/>
                <w:highlight w:val="none"/>
              </w:rPr>
            </w:pPr>
            <w:r>
              <w:rPr>
                <w:kern w:val="0"/>
                <w:sz w:val="24"/>
                <w:u w:val="none"/>
                <w:highlight w:val="none"/>
              </w:rPr>
              <w:t>本项目</w:t>
            </w:r>
            <w:r>
              <w:rPr>
                <w:rFonts w:hint="eastAsia"/>
                <w:kern w:val="0"/>
                <w:sz w:val="24"/>
                <w:u w:val="none"/>
                <w:highlight w:val="none"/>
              </w:rPr>
              <w:t>取水水源为</w:t>
            </w:r>
            <w:r>
              <w:rPr>
                <w:rFonts w:hint="eastAsia"/>
                <w:kern w:val="0"/>
                <w:sz w:val="24"/>
                <w:u w:val="none"/>
                <w:lang w:val="en-US" w:eastAsia="zh-CN"/>
                <w:highlight w:val="none"/>
              </w:rPr>
              <w:t>太青水库</w:t>
            </w:r>
            <w:r>
              <w:rPr>
                <w:rFonts w:hint="eastAsia"/>
                <w:kern w:val="0"/>
                <w:sz w:val="24"/>
                <w:u w:val="none"/>
                <w:highlight w:val="none"/>
              </w:rPr>
              <w:t>，</w:t>
            </w:r>
            <w:r>
              <w:rPr>
                <w:rFonts w:hint="eastAsia"/>
                <w:kern w:val="0"/>
                <w:sz w:val="24"/>
                <w:u w:val="none"/>
                <w:lang w:eastAsia="zh-CN"/>
                <w:highlight w:val="none"/>
              </w:rPr>
              <w:t>取水口</w:t>
            </w:r>
            <w:r>
              <w:rPr>
                <w:rFonts w:hint="eastAsia"/>
                <w:kern w:val="0"/>
                <w:sz w:val="24"/>
                <w:u w:val="none"/>
                <w:lang w:val="en-US" w:eastAsia="zh-CN"/>
                <w:highlight w:val="none"/>
              </w:rPr>
              <w:t>坐标为东经111°17'5.202"，北纬 29°53'30.651"</w:t>
            </w:r>
            <w:r>
              <w:rPr>
                <w:rFonts w:hint="eastAsia"/>
                <w:kern w:val="0"/>
                <w:sz w:val="24"/>
                <w:u w:val="none"/>
                <w:highlight w:val="none"/>
              </w:rPr>
              <w:t>，采用浮船式取水。项目取水区域</w:t>
            </w:r>
            <w:r>
              <w:rPr>
                <w:rFonts w:hint="eastAsia"/>
                <w:kern w:val="0"/>
                <w:sz w:val="24"/>
                <w:u w:val="none"/>
                <w:lang w:val="en-US" w:eastAsia="zh-CN"/>
                <w:highlight w:val="none"/>
              </w:rPr>
              <w:t>太青水库</w:t>
            </w:r>
            <w:r>
              <w:rPr>
                <w:rFonts w:hint="eastAsia"/>
                <w:kern w:val="0"/>
                <w:sz w:val="24"/>
                <w:u w:val="none"/>
                <w:highlight w:val="none"/>
              </w:rPr>
              <w:t>已划定为饮用水源保护区</w:t>
            </w:r>
            <w:r>
              <w:rPr>
                <w:kern w:val="0"/>
                <w:sz w:val="24"/>
                <w:u w:val="none"/>
                <w:highlight w:val="none"/>
              </w:rPr>
              <w:t>，</w:t>
            </w:r>
            <w:r>
              <w:rPr>
                <w:rFonts w:cs="Times New Roman" w:hint="eastAsia"/>
                <w:color w:val="auto"/>
                <w:kern w:val="0"/>
                <w:sz w:val="24"/>
                <w:u w:val="none" w:color="auto"/>
                <w:lang w:val="en-US" w:eastAsia="zh-CN"/>
                <w:highlight w:val="none"/>
              </w:rPr>
              <w:t>本项目取水口将按照</w:t>
            </w:r>
            <w:r>
              <w:rPr>
                <w:rFonts w:hint="eastAsia"/>
                <w:kern w:val="0"/>
                <w:sz w:val="24"/>
                <w:u w:val="none" w:color="auto"/>
              </w:rPr>
              <w:t>《饮用水水源保护区划分技术规范》（H</w:t>
            </w:r>
            <w:r>
              <w:rPr>
                <w:kern w:val="0"/>
                <w:sz w:val="24"/>
                <w:u w:val="none" w:color="auto"/>
              </w:rPr>
              <w:t>J338</w:t>
            </w:r>
            <w:r>
              <w:rPr>
                <w:rFonts w:hint="eastAsia"/>
                <w:kern w:val="0"/>
                <w:sz w:val="24"/>
                <w:u w:val="none" w:color="auto"/>
              </w:rPr>
              <w:t>-</w:t>
            </w:r>
            <w:r>
              <w:rPr>
                <w:kern w:val="0"/>
                <w:sz w:val="24"/>
                <w:u w:val="none" w:color="auto"/>
              </w:rPr>
              <w:t>2018</w:t>
            </w:r>
            <w:r>
              <w:rPr>
                <w:rFonts w:hint="eastAsia"/>
                <w:kern w:val="0"/>
                <w:sz w:val="24"/>
                <w:u w:val="none" w:color="auto"/>
              </w:rPr>
              <w:t>）</w:t>
            </w:r>
            <w:r>
              <w:rPr>
                <w:rFonts w:cs="Times New Roman" w:hint="eastAsia"/>
                <w:color w:val="auto"/>
                <w:kern w:val="0"/>
                <w:sz w:val="24"/>
                <w:u w:val="none" w:color="auto"/>
                <w:lang w:val="en-US" w:eastAsia="zh-CN"/>
                <w:highlight w:val="none"/>
              </w:rPr>
              <w:t>重新划分饮用水源保护区，</w:t>
            </w:r>
            <w:r>
              <w:rPr>
                <w:rFonts w:hint="eastAsia"/>
                <w:kern w:val="0"/>
                <w:sz w:val="24"/>
                <w:u w:val="single" w:color="auto"/>
                <w:highlight w:val="none"/>
              </w:rPr>
              <w:t>该</w:t>
            </w:r>
            <w:r>
              <w:rPr>
                <w:rFonts w:hint="eastAsia"/>
                <w:kern w:val="0"/>
                <w:sz w:val="24"/>
                <w:u w:val="single" w:color="auto"/>
                <w:lang w:eastAsia="zh-CN"/>
                <w:highlight w:val="none"/>
              </w:rPr>
              <w:t>取水口</w:t>
            </w:r>
            <w:r>
              <w:rPr>
                <w:rFonts w:hint="eastAsia"/>
                <w:kern w:val="0"/>
                <w:sz w:val="24"/>
                <w:u w:val="single" w:color="auto"/>
                <w:lang w:val="en-US" w:eastAsia="zh-CN"/>
                <w:highlight w:val="none"/>
              </w:rPr>
              <w:t>集雨</w:t>
            </w:r>
            <w:r>
              <w:rPr>
                <w:rFonts w:hint="eastAsia"/>
                <w:kern w:val="0"/>
                <w:sz w:val="24"/>
                <w:u w:val="single" w:color="auto"/>
                <w:highlight w:val="none"/>
              </w:rPr>
              <w:t>范围内无工业排水口，无规模养殖业，无生活源排水口，取水口上游沿岸以农业种植为主，区域农业种植多实现了科学配肥，农业面源污染较少，对取水水质有保障。</w:t>
            </w:r>
          </w:p>
          <w:p>
            <w:pPr>
              <w:widowControl/>
              <w:adjustRightInd w:val="0"/>
              <w:snapToGrid w:val="0"/>
              <w:spacing w:line="360" w:lineRule="auto"/>
              <w:ind w:firstLineChars="200" w:firstLine="480"/>
              <w:rPr>
                <w:color w:val="000000"/>
                <w:kern w:val="0"/>
                <w:sz w:val="24"/>
                <w:u w:val="none"/>
                <w:highlight w:val="none"/>
              </w:rPr>
            </w:pPr>
            <w:r>
              <w:rPr>
                <w:rFonts w:ascii="Times New Roman" w:eastAsia="宋体" w:cs="Times New Roman" w:hAnsi="Times New Roman"/>
                <w:color w:val="auto"/>
                <w:kern w:val="0"/>
                <w:sz w:val="24"/>
                <w:u w:val="single" w:color="auto"/>
                <w:highlight w:val="none"/>
              </w:rPr>
              <w:t>根据</w:t>
            </w:r>
            <w:r>
              <w:rPr>
                <w:rFonts w:ascii="Times New Roman" w:eastAsia="宋体" w:cs="Times New Roman" w:hAnsi="Times New Roman" w:hint="eastAsia"/>
                <w:color w:val="auto"/>
                <w:kern w:val="0"/>
                <w:sz w:val="24"/>
                <w:u w:val="single" w:color="auto"/>
                <w:lang w:val="en-US" w:eastAsia="zh-CN"/>
                <w:highlight w:val="none"/>
              </w:rPr>
              <w:t>湖南</w:t>
            </w:r>
            <w:r>
              <w:rPr>
                <w:rFonts w:cs="Times New Roman" w:hint="eastAsia"/>
                <w:color w:val="auto"/>
                <w:kern w:val="0"/>
                <w:sz w:val="24"/>
                <w:u w:val="single" w:color="auto"/>
                <w:lang w:val="en-US" w:eastAsia="zh-CN"/>
                <w:highlight w:val="none"/>
              </w:rPr>
              <w:t>博联</w:t>
            </w:r>
            <w:r>
              <w:rPr>
                <w:rFonts w:ascii="Times New Roman" w:eastAsia="宋体" w:cs="Times New Roman" w:hAnsi="Times New Roman" w:hint="eastAsia"/>
                <w:color w:val="auto"/>
                <w:kern w:val="0"/>
                <w:sz w:val="24"/>
                <w:u w:val="single" w:color="auto"/>
                <w:lang w:val="en-US" w:eastAsia="zh-CN"/>
                <w:highlight w:val="none"/>
              </w:rPr>
              <w:t>检测</w:t>
            </w:r>
            <w:r>
              <w:rPr>
                <w:rFonts w:cs="Times New Roman" w:hint="eastAsia"/>
                <w:color w:val="auto"/>
                <w:kern w:val="0"/>
                <w:sz w:val="24"/>
                <w:u w:val="single" w:color="auto"/>
                <w:lang w:val="en-US" w:eastAsia="zh-CN"/>
                <w:highlight w:val="none"/>
              </w:rPr>
              <w:t>集团</w:t>
            </w:r>
            <w:r>
              <w:rPr>
                <w:rFonts w:ascii="Times New Roman" w:eastAsia="宋体" w:cs="Times New Roman" w:hAnsi="Times New Roman" w:hint="eastAsia"/>
                <w:color w:val="auto"/>
                <w:kern w:val="0"/>
                <w:sz w:val="24"/>
                <w:u w:val="single" w:color="auto"/>
                <w:lang w:val="en-US" w:eastAsia="zh-CN"/>
                <w:highlight w:val="none"/>
              </w:rPr>
              <w:t>有限</w:t>
            </w:r>
            <w:r>
              <w:rPr>
                <w:rFonts w:cs="Times New Roman" w:hint="eastAsia"/>
                <w:color w:val="auto"/>
                <w:kern w:val="0"/>
                <w:sz w:val="24"/>
                <w:u w:val="single" w:color="auto"/>
                <w:lang w:val="en-US" w:eastAsia="zh-CN"/>
                <w:highlight w:val="none"/>
              </w:rPr>
              <w:t>责任</w:t>
            </w:r>
            <w:r>
              <w:rPr>
                <w:rFonts w:ascii="Times New Roman" w:eastAsia="宋体" w:cs="Times New Roman" w:hAnsi="Times New Roman" w:hint="eastAsia"/>
                <w:color w:val="auto"/>
                <w:kern w:val="0"/>
                <w:sz w:val="24"/>
                <w:u w:val="single" w:color="auto"/>
                <w:lang w:val="en-US" w:eastAsia="zh-CN"/>
                <w:highlight w:val="none"/>
              </w:rPr>
              <w:t>公司</w:t>
            </w:r>
            <w:r>
              <w:rPr>
                <w:rFonts w:cs="Times New Roman" w:hint="eastAsia"/>
                <w:color w:val="auto"/>
                <w:kern w:val="0"/>
                <w:sz w:val="24"/>
                <w:u w:val="single" w:color="auto"/>
                <w:lang w:val="en-US" w:eastAsia="zh-CN"/>
                <w:highlight w:val="none"/>
              </w:rPr>
              <w:t>于2024年12月23日对太青水库进行的地表水环境质量现状监测</w:t>
            </w:r>
            <w:r>
              <w:rPr>
                <w:rFonts w:ascii="Times New Roman" w:eastAsia="宋体" w:cs="Times New Roman" w:hAnsi="Times New Roman"/>
                <w:color w:val="auto"/>
                <w:kern w:val="0"/>
                <w:sz w:val="24"/>
                <w:u w:val="single" w:color="auto"/>
                <w:highlight w:val="none"/>
              </w:rPr>
              <w:t>，</w:t>
            </w:r>
            <w:r>
              <w:rPr>
                <w:rFonts w:ascii="Times New Roman" w:eastAsia="宋体" w:cs="Times New Roman" w:hAnsi="Times New Roman" w:hint="eastAsia"/>
                <w:color w:val="000000"/>
                <w:sz w:val="24"/>
                <w:u w:val="single" w:color="auto"/>
                <w:highlight w:val="none"/>
              </w:rPr>
              <w:t>地表水环境现状的监测因子为《地表水环境质量标准》（GB3838-2002）表1中24项、表2中5项、表3中80项</w:t>
            </w:r>
            <w:r>
              <w:rPr>
                <w:rFonts w:cs="Times New Roman" w:hint="eastAsia"/>
                <w:color w:val="000000"/>
                <w:sz w:val="24"/>
                <w:u w:val="single" w:color="auto"/>
                <w:lang w:eastAsia="zh-CN"/>
                <w:highlight w:val="none"/>
              </w:rPr>
              <w:t>，</w:t>
            </w:r>
            <w:r>
              <w:rPr>
                <w:rFonts w:cs="Times New Roman" w:hint="eastAsia"/>
                <w:color w:val="000000"/>
                <w:sz w:val="24"/>
                <w:u w:val="single" w:color="auto"/>
                <w:lang w:val="en-US" w:eastAsia="zh-CN"/>
                <w:highlight w:val="none"/>
              </w:rPr>
              <w:t>又根据</w:t>
            </w:r>
            <w:r>
              <w:rPr>
                <w:rFonts w:ascii="Times New Roman" w:eastAsia="宋体" w:cs="Times New Roman" w:hAnsi="Times New Roman" w:hint="eastAsia"/>
                <w:color w:val="000000"/>
                <w:sz w:val="24"/>
                <w:u w:val="single" w:color="auto"/>
                <w:highlight w:val="none"/>
              </w:rPr>
              <w:t>湖南华科环境检测技术服务有限公司</w:t>
            </w:r>
            <w:r>
              <w:rPr>
                <w:rFonts w:cs="Times New Roman" w:hint="eastAsia"/>
                <w:color w:val="000000"/>
                <w:sz w:val="24"/>
                <w:u w:val="single" w:color="auto"/>
                <w:lang w:val="en-US" w:eastAsia="zh-CN"/>
                <w:highlight w:val="none"/>
              </w:rPr>
              <w:t>2024年3月21日</w:t>
            </w:r>
            <w:r>
              <w:rPr>
                <w:rFonts w:cs="Times New Roman" w:hint="eastAsia"/>
                <w:color w:val="auto"/>
                <w:kern w:val="0"/>
                <w:sz w:val="24"/>
                <w:u w:val="single" w:color="auto"/>
                <w:lang w:val="en-US" w:eastAsia="zh-CN"/>
                <w:highlight w:val="none"/>
              </w:rPr>
              <w:t>对太青水库进行的地表水环境质量现状监测（叶绿素、透明度2项监测因子）</w:t>
            </w:r>
            <w:r>
              <w:rPr>
                <w:rFonts w:ascii="Times New Roman" w:eastAsia="宋体" w:cs="Times New Roman" w:hAnsi="Times New Roman"/>
                <w:color w:val="auto"/>
                <w:kern w:val="0"/>
                <w:sz w:val="24"/>
                <w:u w:val="single" w:color="auto"/>
                <w:highlight w:val="none"/>
              </w:rPr>
              <w:t>，</w:t>
            </w:r>
            <w:r>
              <w:rPr>
                <w:rFonts w:ascii="Times New Roman" w:eastAsia="宋体" w:cs="Times New Roman" w:hAnsi="Times New Roman" w:hint="eastAsia"/>
                <w:color w:val="000000"/>
                <w:sz w:val="24"/>
                <w:u w:val="single" w:color="auto"/>
                <w:highlight w:val="none"/>
              </w:rPr>
              <w:t>合计1</w:t>
            </w:r>
            <w:r>
              <w:rPr>
                <w:rFonts w:cs="Times New Roman" w:hint="eastAsia"/>
                <w:color w:val="000000"/>
                <w:sz w:val="24"/>
                <w:u w:val="single" w:color="auto"/>
                <w:lang w:val="en-US" w:eastAsia="zh-CN"/>
                <w:highlight w:val="none"/>
              </w:rPr>
              <w:t>11</w:t>
            </w:r>
            <w:r>
              <w:rPr>
                <w:rFonts w:ascii="Times New Roman" w:eastAsia="宋体" w:cs="Times New Roman" w:hAnsi="Times New Roman" w:hint="eastAsia"/>
                <w:color w:val="000000"/>
                <w:sz w:val="24"/>
                <w:u w:val="single" w:color="auto"/>
                <w:highlight w:val="none"/>
              </w:rPr>
              <w:t>项</w:t>
            </w:r>
            <w:r>
              <w:rPr>
                <w:rFonts w:cs="Times New Roman" w:hint="eastAsia"/>
                <w:color w:val="000000"/>
                <w:sz w:val="24"/>
                <w:u w:val="single" w:color="auto"/>
                <w:lang w:val="en-US" w:eastAsia="zh-CN"/>
                <w:highlight w:val="none"/>
              </w:rPr>
              <w:t>均满足</w:t>
            </w:r>
            <w:r>
              <w:rPr>
                <w:color w:val="000000"/>
                <w:kern w:val="0"/>
                <w:sz w:val="24"/>
                <w:u w:val="single" w:color="auto"/>
                <w:highlight w:val="none"/>
              </w:rPr>
              <w:t>《地表水环境质量标准》（GB3838-2002）Ⅱ类标准，符合水源取水要求。</w:t>
            </w:r>
          </w:p>
          <w:p>
            <w:pPr>
              <w:widowControl/>
              <w:adjustRightInd w:val="0"/>
              <w:snapToGrid w:val="0"/>
              <w:spacing w:line="360" w:lineRule="auto"/>
              <w:ind w:firstLineChars="200" w:firstLine="480"/>
              <w:rPr>
                <w:color w:val="000000"/>
                <w:kern w:val="0"/>
                <w:sz w:val="24"/>
                <w:u w:val="single"/>
                <w:highlight w:val="none"/>
              </w:rPr>
            </w:pPr>
            <w:r>
              <w:rPr>
                <w:rFonts w:hint="eastAsia"/>
                <w:color w:val="000000"/>
                <w:kern w:val="0"/>
                <w:sz w:val="24"/>
                <w:u w:val="single"/>
                <w:highlight w:val="none"/>
              </w:rPr>
              <w:t>（2）饮用水水源保护区</w:t>
            </w:r>
            <w:r>
              <w:rPr>
                <w:rFonts w:hint="eastAsia"/>
                <w:color w:val="000000"/>
                <w:kern w:val="0"/>
                <w:sz w:val="24"/>
                <w:u w:val="single"/>
                <w:lang w:val="en-US" w:eastAsia="zh-CN"/>
                <w:highlight w:val="none"/>
              </w:rPr>
              <w:t>现状</w:t>
            </w:r>
            <w:r>
              <w:rPr>
                <w:rFonts w:hint="eastAsia"/>
                <w:color w:val="000000"/>
                <w:kern w:val="0"/>
                <w:sz w:val="24"/>
                <w:u w:val="single"/>
                <w:highlight w:val="none"/>
              </w:rPr>
              <w:t>范围</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shd w:val="clear" w:color="auto" w:fill="FFFFFF"/>
              <w:kinsoku/>
              <w:wordWrap/>
              <w:overflowPunct/>
              <w:topLinePunct w:val="0"/>
              <w:autoSpaceDE/>
              <w:autoSpaceDN/>
              <w:bidi w:val="0"/>
              <w:adjustRightInd w:val="0"/>
              <w:snapToGrid w:val="0"/>
              <w:spacing w:before="0" w:beforeAutospacing="0" w:afterAutospacing="0" w:line="360" w:lineRule="auto"/>
              <w:ind w:left="0" w:right="0" w:firstLineChars="200" w:firstLine="480"/>
              <w:jc w:val="both"/>
              <w:textAlignment w:val="auto"/>
              <w:rPr>
                <w:rFonts w:ascii="宋体" w:eastAsia="宋体" w:cs="宋体" w:hAnsi="宋体" w:hint="eastAsia"/>
                <w:kern w:val="0"/>
                <w:sz w:val="24"/>
                <w:szCs w:val="24"/>
                <w:u w:val="none"/>
                <w:lang w:val="en-US" w:eastAsia="zh-CN" w:bidi="ar-SA"/>
                <w:highlight w:val="none"/>
              </w:rPr>
            </w:pPr>
            <w:r>
              <w:rPr>
                <w:rFonts w:ascii="宋体" w:eastAsia="宋体" w:cs="宋体" w:hAnsi="宋体" w:hint="eastAsia"/>
                <w:kern w:val="0"/>
                <w:sz w:val="24"/>
                <w:szCs w:val="24"/>
                <w:u w:val="single"/>
                <w:lang w:val="en-US" w:eastAsia="zh-CN" w:bidi="ar-SA"/>
                <w:highlight w:val="none"/>
              </w:rPr>
              <w:t>根据</w:t>
            </w:r>
            <w:r>
              <w:rPr>
                <w:rFonts w:ascii="宋体" w:cs="宋体" w:hAnsi="宋体" w:hint="eastAsia"/>
                <w:kern w:val="0"/>
                <w:sz w:val="24"/>
                <w:szCs w:val="24"/>
                <w:u w:val="single"/>
                <w:lang w:val="en-US" w:eastAsia="zh-CN" w:bidi="ar-SA"/>
                <w:highlight w:val="none"/>
              </w:rPr>
              <w:t>湖南省生态环境厅《关于常德市蒙泉水库等</w:t>
            </w:r>
            <w:r>
              <w:rPr>
                <w:rFonts w:ascii="Times New Roman" w:eastAsia="宋体" w:cs="Times New Roman" w:hAnsi="Times New Roman"/>
                <w:kern w:val="0"/>
                <w:sz w:val="24"/>
                <w:szCs w:val="24"/>
                <w:u w:val="single"/>
                <w:lang w:val="en-US" w:eastAsia="zh-CN" w:bidi="ar-SA"/>
                <w:highlight w:val="none"/>
              </w:rPr>
              <w:t>110处</w:t>
            </w:r>
            <w:r>
              <w:rPr>
                <w:rFonts w:ascii="宋体" w:cs="宋体" w:hAnsi="宋体" w:hint="eastAsia"/>
                <w:kern w:val="0"/>
                <w:sz w:val="24"/>
                <w:szCs w:val="24"/>
                <w:u w:val="single"/>
                <w:lang w:val="en-US" w:eastAsia="zh-CN" w:bidi="ar-SA"/>
                <w:highlight w:val="none"/>
              </w:rPr>
              <w:t>饮用水源地划定为饮用水水源保护区的函》（湘环函</w:t>
            </w:r>
            <w:r>
              <w:rPr>
                <w:bCs/>
                <w:color w:val="000000"/>
                <w:sz w:val="24"/>
                <w:szCs w:val="24"/>
                <w:u w:val="single"/>
                <w14:textFill>
                  <w14:solidFill>
                    <w14:srgbClr w14:val="000000"/>
                  </w14:solidFill>
                </w14:textFill>
                <w:highlight w:val="none"/>
              </w:rPr>
              <w:t>[201</w:t>
            </w:r>
            <w:r>
              <w:rPr>
                <w:rFonts w:hint="eastAsia"/>
                <w:bCs/>
                <w:color w:val="000000"/>
                <w:sz w:val="24"/>
                <w:szCs w:val="24"/>
                <w:u w:val="single"/>
                <w14:textFill>
                  <w14:solidFill>
                    <w14:srgbClr w14:val="000000"/>
                  </w14:solidFill>
                </w14:textFill>
                <w:lang w:val="en-US" w:eastAsia="zh-CN"/>
                <w:highlight w:val="none"/>
              </w:rPr>
              <w:t>4</w:t>
            </w:r>
            <w:r>
              <w:rPr>
                <w:bCs/>
                <w:color w:val="000000"/>
                <w:sz w:val="24"/>
                <w:szCs w:val="24"/>
                <w:u w:val="single"/>
                <w14:textFill>
                  <w14:solidFill>
                    <w14:srgbClr w14:val="000000"/>
                  </w14:solidFill>
                </w14:textFill>
                <w:highlight w:val="none"/>
              </w:rPr>
              <w:t>]</w:t>
            </w:r>
            <w:r>
              <w:rPr>
                <w:rFonts w:ascii="Times New Roman" w:cs="Times New Roman" w:hAnsi="Times New Roman"/>
                <w:kern w:val="0"/>
                <w:sz w:val="24"/>
                <w:szCs w:val="24"/>
                <w:u w:val="single"/>
                <w:lang w:val="en-US" w:eastAsia="zh-CN" w:bidi="ar-SA"/>
                <w:highlight w:val="none"/>
              </w:rPr>
              <w:t>676号）</w:t>
            </w:r>
            <w:r>
              <w:rPr>
                <w:rFonts w:ascii="宋体" w:cs="宋体" w:hAnsi="宋体" w:hint="eastAsia"/>
                <w:kern w:val="0"/>
                <w:sz w:val="24"/>
                <w:szCs w:val="24"/>
                <w:u w:val="single"/>
                <w:lang w:val="en-US" w:eastAsia="zh-CN" w:bidi="ar-SA"/>
                <w:highlight w:val="none"/>
              </w:rPr>
              <w:t>以及</w:t>
            </w:r>
            <w:r>
              <w:rPr>
                <w:rFonts w:ascii="宋体" w:eastAsia="宋体" w:cs="宋体" w:hAnsi="宋体" w:hint="eastAsia"/>
                <w:kern w:val="0"/>
                <w:sz w:val="24"/>
                <w:szCs w:val="24"/>
                <w:u w:val="single"/>
                <w:lang w:val="en-US" w:eastAsia="zh-CN" w:bidi="ar-SA"/>
                <w:highlight w:val="none"/>
              </w:rPr>
              <w:t>常德市人民政府</w:t>
            </w:r>
            <w:r>
              <w:rPr>
                <w:rFonts w:ascii="Times New Roman" w:eastAsia="宋体" w:cs="Times New Roman" w:hAnsi="Times New Roman"/>
                <w:kern w:val="0"/>
                <w:sz w:val="24"/>
                <w:szCs w:val="24"/>
                <w:u w:val="single"/>
                <w:lang w:val="en-US" w:eastAsia="zh-CN" w:bidi="ar-SA"/>
                <w:highlight w:val="none"/>
              </w:rPr>
              <w:t>《</w:t>
            </w:r>
            <w:r>
              <w:rPr>
                <w:rFonts w:ascii="宋体" w:eastAsia="宋体" w:cs="宋体" w:hAnsi="宋体" w:hint="eastAsia"/>
                <w:kern w:val="0"/>
                <w:sz w:val="24"/>
                <w:szCs w:val="24"/>
                <w:u w:val="single"/>
                <w:lang w:val="en-US" w:eastAsia="zh-CN" w:bidi="ar-SA"/>
                <w:highlight w:val="none"/>
              </w:rPr>
              <w:t>关于公布常德</w:t>
            </w:r>
            <w:r>
              <w:rPr>
                <w:rFonts w:ascii="Times New Roman" w:eastAsia="宋体" w:cs="Times New Roman" w:hAnsi="Times New Roman"/>
                <w:kern w:val="0"/>
                <w:sz w:val="24"/>
                <w:szCs w:val="24"/>
                <w:u w:val="single"/>
                <w:lang w:val="en-US" w:eastAsia="zh-CN" w:bidi="ar-SA"/>
                <w:highlight w:val="none"/>
              </w:rPr>
              <w:t>市78个千</w:t>
            </w:r>
            <w:r>
              <w:rPr>
                <w:rFonts w:ascii="宋体" w:eastAsia="宋体" w:cs="宋体" w:hAnsi="宋体" w:hint="eastAsia"/>
                <w:kern w:val="0"/>
                <w:sz w:val="24"/>
                <w:szCs w:val="24"/>
                <w:u w:val="single"/>
                <w:lang w:val="en-US" w:eastAsia="zh-CN" w:bidi="ar-SA"/>
                <w:highlight w:val="none"/>
              </w:rPr>
              <w:t>人以上集中式饮用水水源保护区划定方案的通知</w:t>
            </w:r>
            <w:r>
              <w:rPr>
                <w:rFonts w:ascii="Times New Roman" w:eastAsia="宋体" w:cs="Times New Roman" w:hAnsi="Times New Roman"/>
                <w:kern w:val="0"/>
                <w:sz w:val="24"/>
                <w:szCs w:val="24"/>
                <w:u w:val="single"/>
                <w:lang w:val="en-US" w:eastAsia="zh-CN" w:bidi="ar-SA"/>
                <w:highlight w:val="none"/>
              </w:rPr>
              <w:t>》（</w:t>
            </w:r>
            <w:r>
              <w:rPr>
                <w:rFonts w:ascii="宋体" w:cs="宋体" w:hAnsi="宋体" w:hint="eastAsia"/>
                <w:kern w:val="0"/>
                <w:sz w:val="24"/>
                <w:szCs w:val="24"/>
                <w:u w:val="single"/>
                <w:lang w:val="en-US" w:eastAsia="zh-CN" w:bidi="ar-SA"/>
                <w:highlight w:val="none"/>
              </w:rPr>
              <w:t>常政函</w:t>
            </w:r>
            <w:r>
              <w:rPr>
                <w:bCs/>
                <w:color w:val="000000"/>
                <w:sz w:val="24"/>
                <w:szCs w:val="24"/>
                <w:u w:val="single"/>
                <w14:textFill>
                  <w14:solidFill>
                    <w14:srgbClr w14:val="000000"/>
                  </w14:solidFill>
                </w14:textFill>
                <w:highlight w:val="none"/>
              </w:rPr>
              <w:t>[20</w:t>
            </w:r>
            <w:r>
              <w:rPr>
                <w:rFonts w:hint="eastAsia"/>
                <w:bCs/>
                <w:color w:val="000000"/>
                <w:sz w:val="24"/>
                <w:szCs w:val="24"/>
                <w:u w:val="single"/>
                <w14:textFill>
                  <w14:solidFill>
                    <w14:srgbClr w14:val="000000"/>
                  </w14:solidFill>
                </w14:textFill>
                <w:lang w:val="en-US" w:eastAsia="zh-CN"/>
                <w:highlight w:val="none"/>
              </w:rPr>
              <w:t>20</w:t>
            </w:r>
            <w:r>
              <w:rPr>
                <w:bCs/>
                <w:color w:val="000000"/>
                <w:sz w:val="24"/>
                <w:szCs w:val="24"/>
                <w:u w:val="single"/>
                <w14:textFill>
                  <w14:solidFill>
                    <w14:srgbClr w14:val="000000"/>
                  </w14:solidFill>
                </w14:textFill>
                <w:highlight w:val="none"/>
              </w:rPr>
              <w:t>]</w:t>
            </w:r>
            <w:r>
              <w:rPr>
                <w:rFonts w:ascii="Times New Roman" w:cs="Times New Roman" w:hAnsi="Times New Roman"/>
                <w:kern w:val="0"/>
                <w:sz w:val="24"/>
                <w:szCs w:val="24"/>
                <w:u w:val="single"/>
                <w:lang w:val="en-US" w:eastAsia="zh-CN" w:bidi="ar-SA"/>
                <w:highlight w:val="none"/>
              </w:rPr>
              <w:t>76号</w:t>
            </w:r>
            <w:r>
              <w:rPr>
                <w:rFonts w:ascii="Times New Roman" w:eastAsia="宋体" w:cs="Times New Roman" w:hAnsi="Times New Roman"/>
                <w:kern w:val="0"/>
                <w:sz w:val="24"/>
                <w:szCs w:val="24"/>
                <w:u w:val="single"/>
                <w:lang w:val="en-US" w:eastAsia="zh-CN" w:bidi="ar-SA"/>
                <w:highlight w:val="none"/>
              </w:rPr>
              <w:t>）</w:t>
            </w:r>
            <w:r>
              <w:rPr>
                <w:rFonts w:cs="Times New Roman" w:hint="eastAsia"/>
                <w:kern w:val="0"/>
                <w:sz w:val="24"/>
                <w:szCs w:val="24"/>
                <w:u w:val="single"/>
                <w:lang w:val="en-US" w:eastAsia="zh-CN" w:bidi="ar-SA"/>
                <w:highlight w:val="none"/>
              </w:rPr>
              <w:t>（详见附件12）</w:t>
            </w:r>
            <w:r>
              <w:rPr>
                <w:rFonts w:ascii="宋体" w:eastAsia="宋体" w:cs="宋体" w:hAnsi="宋体" w:hint="eastAsia"/>
                <w:kern w:val="0"/>
                <w:sz w:val="24"/>
                <w:szCs w:val="24"/>
                <w:u w:val="single"/>
                <w:lang w:val="en-US" w:eastAsia="zh-CN" w:bidi="ar-SA"/>
                <w:highlight w:val="none"/>
              </w:rPr>
              <w:t>，</w:t>
            </w:r>
            <w:r>
              <w:rPr>
                <w:rFonts w:ascii="宋体" w:cs="宋体" w:hAnsi="宋体" w:hint="eastAsia"/>
                <w:kern w:val="0"/>
                <w:sz w:val="24"/>
                <w:szCs w:val="24"/>
                <w:u w:val="single"/>
                <w:lang w:val="en-US" w:eastAsia="zh-CN" w:bidi="ar-SA"/>
                <w:highlight w:val="none"/>
              </w:rPr>
              <w:t>太青水库</w:t>
            </w:r>
            <w:r>
              <w:rPr>
                <w:rFonts w:ascii="宋体" w:eastAsia="宋体" w:cs="宋体" w:hAnsi="宋体" w:hint="eastAsia"/>
                <w:kern w:val="0"/>
                <w:sz w:val="24"/>
                <w:szCs w:val="24"/>
                <w:u w:val="single"/>
                <w:lang w:val="en-US" w:eastAsia="zh-CN" w:bidi="ar-SA"/>
                <w:highlight w:val="none"/>
              </w:rPr>
              <w:t>饮用水水源保护区划定范围见下表：</w:t>
            </w:r>
          </w:p>
          <w:p>
            <w:pPr>
              <w:spacing w:line="240" w:lineRule="auto"/>
              <w:jc w:val="center"/>
              <w:rPr>
                <w:rFonts w:ascii="Times New Roman" w:eastAsia="宋体" w:cs="Times New Roman" w:hAnsi="Times New Roman"/>
                <w:b/>
                <w:color w:val="auto"/>
                <w:spacing w:val="-2"/>
                <w:sz w:val="21"/>
                <w:szCs w:val="21"/>
                <w:u w:val="single" w:color="auto"/>
                <w:highlight w:val="none"/>
              </w:rPr>
            </w:pPr>
            <w:r>
              <w:rPr>
                <w:rFonts w:ascii="Times New Roman" w:eastAsia="宋体" w:cs="Times New Roman" w:hAnsi="Times New Roman"/>
                <w:b/>
                <w:color w:val="auto"/>
                <w:spacing w:val="-2"/>
                <w:sz w:val="21"/>
                <w:szCs w:val="21"/>
                <w:u w:val="single" w:color="auto"/>
                <w:highlight w:val="none"/>
              </w:rPr>
              <w:t>表</w:t>
            </w:r>
            <w:r>
              <w:rPr>
                <w:rFonts w:ascii="Times New Roman" w:eastAsia="宋体" w:cs="Times New Roman" w:hAnsi="Times New Roman" w:hint="eastAsia"/>
                <w:b/>
                <w:color w:val="auto"/>
                <w:spacing w:val="-2"/>
                <w:sz w:val="21"/>
                <w:szCs w:val="21"/>
                <w:u w:val="single" w:color="auto"/>
                <w:lang w:val="en-US" w:eastAsia="zh-CN"/>
                <w:highlight w:val="none"/>
              </w:rPr>
              <w:t>2-1</w:t>
            </w:r>
            <w:r>
              <w:rPr>
                <w:rFonts w:ascii="Times New Roman" w:eastAsia="宋体" w:cs="Times New Roman" w:hAnsi="Times New Roman"/>
                <w:b/>
                <w:color w:val="auto"/>
                <w:spacing w:val="-2"/>
                <w:sz w:val="21"/>
                <w:szCs w:val="21"/>
                <w:u w:val="single" w:color="auto"/>
                <w:highlight w:val="none"/>
              </w:rPr>
              <w:t xml:space="preserve">  保护区划分范围一览表</w:t>
            </w:r>
          </w:p>
          <w:tbl>
            <w:tblPr>
              <w:jc w:val="left"/>
              <w:tblInd w:w="17" w:type="dxa"/>
              <w:tblW w:w="4998"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843"/>
              <w:gridCol w:w="1553"/>
              <w:gridCol w:w="1865"/>
              <w:gridCol w:w="1623"/>
              <w:gridCol w:w="1664"/>
              <w:gridCol w:w="630"/>
            </w:tblGrid>
            <w:tr>
              <w:trPr>
                <w:trHeight w:val="283"/>
              </w:trPr>
              <w:tc>
                <w:tcPr>
                  <w:tcW w:w="5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水源地名称</w:t>
                  </w:r>
                </w:p>
              </w:tc>
              <w:tc>
                <w:tcPr>
                  <w:tcW w:w="20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一级保护区</w:t>
                  </w:r>
                </w:p>
              </w:tc>
              <w:tc>
                <w:tcPr>
                  <w:tcW w:w="200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二级保护区</w:t>
                  </w:r>
                </w:p>
              </w:tc>
              <w:tc>
                <w:tcPr>
                  <w:tcW w:w="3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准保护区</w:t>
                  </w:r>
                </w:p>
              </w:tc>
            </w:tr>
            <w:tr>
              <w:trPr>
                <w:trHeight w:val="283"/>
              </w:trPr>
              <w:tc>
                <w:tcPr>
                  <w:tcW w:w="515" w:type="pct"/>
                  <w:vMerge/>
                  <w:tcBorders>
                    <w:tl2br w:val="nil"/>
                    <w:tr2bl w:val="nil"/>
                  </w:tcBorders>
                  <w:vAlign w:val="center"/>
                </w:tcPr>
                <w:p/>
              </w:tc>
              <w:tc>
                <w:tcPr>
                  <w:tcW w:w="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水域</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陆域</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水域</w:t>
                  </w:r>
                </w:p>
              </w:tc>
              <w:tc>
                <w:tcPr>
                  <w:tcW w:w="10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sz w:val="21"/>
                      <w:szCs w:val="21"/>
                      <w:u w:val="single" w:color="auto"/>
                      <w:highlight w:val="none"/>
                    </w:rPr>
                  </w:pPr>
                  <w:r>
                    <w:rPr>
                      <w:b/>
                      <w:bCs/>
                      <w:sz w:val="21"/>
                      <w:szCs w:val="21"/>
                      <w:u w:val="single" w:color="auto"/>
                      <w:highlight w:val="none"/>
                    </w:rPr>
                    <w:t>陆域</w:t>
                  </w:r>
                </w:p>
              </w:tc>
              <w:tc>
                <w:tcPr>
                  <w:tcW w:w="385" w:type="pct"/>
                  <w:vMerge/>
                  <w:tcBorders>
                    <w:tl2br w:val="nil"/>
                    <w:tr2bl w:val="nil"/>
                  </w:tcBorders>
                  <w:vAlign w:val="center"/>
                </w:tcPr>
                <w:p/>
              </w:tc>
            </w:tr>
            <w:tr>
              <w:trPr>
                <w:trHeight w:val="283"/>
              </w:trPr>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u w:val="single" w:color="auto"/>
                      <w:lang w:val="en-US"/>
                      <w:highlight w:val="none"/>
                    </w:rPr>
                  </w:pPr>
                  <w:r>
                    <w:rPr>
                      <w:rFonts w:ascii="Times New Roman" w:cs="Times New Roman" w:hAnsi="Times New Roman" w:hint="eastAsia"/>
                      <w:sz w:val="21"/>
                      <w:szCs w:val="21"/>
                      <w:u w:val="single" w:color="auto"/>
                      <w:lang w:val="en-US" w:eastAsia="zh-CN"/>
                      <w:highlight w:val="none"/>
                    </w:rPr>
                    <w:t>太青水库饮用水源保护区</w:t>
                  </w:r>
                </w:p>
              </w:tc>
              <w:tc>
                <w:tcPr>
                  <w:tcW w:w="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cs="Times New Roman" w:hAnsi="Times New Roman"/>
                      <w:sz w:val="21"/>
                      <w:szCs w:val="21"/>
                      <w:u w:val="single" w:color="auto"/>
                      <w:highlight w:val="none"/>
                    </w:rPr>
                  </w:pPr>
                  <w:r>
                    <w:rPr>
                      <w:rFonts w:ascii="Times New Roman" w:cs="Times New Roman" w:hAnsi="Times New Roman"/>
                      <w:sz w:val="21"/>
                      <w:szCs w:val="21"/>
                      <w:u w:val="single" w:color="auto"/>
                      <w:highlight w:val="none"/>
                    </w:rPr>
                    <w:t>取水口半径300米范围内的水域</w:t>
                  </w:r>
                </w:p>
              </w:tc>
              <w:tc>
                <w:tcPr>
                  <w:tcW w:w="11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cs="Times New Roman" w:hAnsi="Times New Roman"/>
                      <w:sz w:val="21"/>
                      <w:szCs w:val="21"/>
                      <w:u w:val="single" w:color="auto"/>
                      <w:highlight w:val="none"/>
                    </w:rPr>
                  </w:pPr>
                  <w:r>
                    <w:rPr>
                      <w:rFonts w:ascii="Times New Roman" w:cs="Times New Roman" w:hAnsi="Times New Roman"/>
                      <w:sz w:val="21"/>
                      <w:szCs w:val="21"/>
                      <w:u w:val="single" w:color="auto"/>
                      <w:highlight w:val="none"/>
                    </w:rPr>
                    <w:t>一级保护区水域边界外200米范围内陆域，不超过大坝迎水侧坝顶、道路迎水侧路肩</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cs="Times New Roman" w:hAnsi="Times New Roman"/>
                      <w:sz w:val="21"/>
                      <w:szCs w:val="21"/>
                      <w:u w:val="single" w:color="auto"/>
                      <w:highlight w:val="none"/>
                    </w:rPr>
                  </w:pPr>
                  <w:r>
                    <w:rPr>
                      <w:rFonts w:ascii="Times New Roman" w:cs="Times New Roman" w:hAnsi="Times New Roman" w:hint="eastAsia"/>
                      <w:sz w:val="21"/>
                      <w:szCs w:val="21"/>
                      <w:u w:val="single" w:color="auto"/>
                      <w:highlight w:val="none"/>
                    </w:rPr>
                    <w:t>太青水库一级保护区边界外的水域面积</w:t>
                  </w:r>
                </w:p>
              </w:tc>
              <w:tc>
                <w:tcPr>
                  <w:tcW w:w="10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cs="Times New Roman" w:hAnsi="Times New Roman"/>
                      <w:sz w:val="21"/>
                      <w:szCs w:val="21"/>
                      <w:u w:val="single" w:color="auto"/>
                      <w:highlight w:val="none"/>
                    </w:rPr>
                  </w:pPr>
                  <w:r>
                    <w:rPr>
                      <w:rFonts w:ascii="Times New Roman" w:cs="Times New Roman" w:hAnsi="Times New Roman" w:hint="eastAsia"/>
                      <w:sz w:val="21"/>
                      <w:szCs w:val="21"/>
                      <w:u w:val="single" w:color="auto"/>
                      <w:highlight w:val="none"/>
                    </w:rPr>
                    <w:t>太青水库的整个集雨区范围内的陆域</w:t>
                  </w:r>
                </w:p>
              </w:tc>
              <w:tc>
                <w:tcPr>
                  <w:tcW w:w="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u w:val="single" w:color="auto"/>
                      <w:highlight w:val="none"/>
                    </w:rPr>
                  </w:pPr>
                  <w:r>
                    <w:rPr>
                      <w:sz w:val="21"/>
                      <w:szCs w:val="21"/>
                      <w:u w:val="single" w:color="auto"/>
                      <w:highlight w:val="none"/>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u w:val="single" w:color="auto"/>
                      <w:highlight w:val="none"/>
                    </w:rPr>
                  </w:pPr>
                </w:p>
              </w:tc>
            </w:tr>
          </w:tbl>
          <w:p>
            <w:pPr>
              <w:tabs>
                <w:tab w:val="left" w:pos="360"/>
              </w:tabs>
              <w:spacing w:line="360" w:lineRule="auto"/>
              <w:ind w:firstLineChars="200" w:firstLine="480"/>
              <w:rPr>
                <w:rFonts w:hint="eastAsia"/>
                <w:kern w:val="0"/>
                <w:sz w:val="24"/>
                <w:u w:val="single"/>
              </w:rPr>
            </w:pPr>
            <w:r>
              <w:rPr>
                <w:rFonts w:hint="eastAsia"/>
                <w:kern w:val="0"/>
                <w:sz w:val="24"/>
                <w:u w:val="single"/>
                <w:lang w:val="en-US" w:eastAsia="zh-CN"/>
              </w:rPr>
              <w:t>本项目取水水源为太青水库，太青水库为中型水库，</w:t>
            </w:r>
            <w:r>
              <w:rPr>
                <w:rFonts w:hint="eastAsia"/>
                <w:kern w:val="0"/>
                <w:sz w:val="24"/>
                <w:u w:val="single"/>
              </w:rPr>
              <w:t>按照《饮用水水源保护区划分技术规范》（H</w:t>
            </w:r>
            <w:r>
              <w:rPr>
                <w:kern w:val="0"/>
                <w:sz w:val="24"/>
                <w:u w:val="single"/>
              </w:rPr>
              <w:t>J338</w:t>
            </w:r>
            <w:r>
              <w:rPr>
                <w:rFonts w:hint="eastAsia"/>
                <w:kern w:val="0"/>
                <w:sz w:val="24"/>
                <w:u w:val="single"/>
              </w:rPr>
              <w:t>-</w:t>
            </w:r>
            <w:r>
              <w:rPr>
                <w:kern w:val="0"/>
                <w:sz w:val="24"/>
                <w:u w:val="single"/>
              </w:rPr>
              <w:t>2018</w:t>
            </w:r>
            <w:r>
              <w:rPr>
                <w:rFonts w:hint="eastAsia"/>
                <w:kern w:val="0"/>
                <w:sz w:val="24"/>
                <w:u w:val="single"/>
              </w:rPr>
              <w:t>），将小型湖泊、中型水库保护区范围为取水口半径不小于300m范围内的区域作为一级保护区水域；小型和单一供水功能的湖泊、水库以及中小型水库为一级保护区水域外不小于200m范围内的陆域，或一定高程线以下的陆域，但不超过流域分水岭范围作为一级保护区陆域。小型湖泊、中小型水库一级保护区边界外的水域面积设定为二级保护区水域；单一功能的湖泊、水库、小型湖泊和平原型中型水库的二级保护区陆域范围是一级保护区以外水平距离不小于2000m区域，山区型中型水库二级保护区的范围为水库周边山脊线以内（一级保护区以外）及入库河流上溯不小于3000m的汇水区域。二级保护区陆域边界不超过相应的流域分水岭。</w:t>
            </w:r>
          </w:p>
          <w:p>
            <w:pPr>
              <w:tabs>
                <w:tab w:val="left" w:pos="360"/>
              </w:tabs>
              <w:spacing w:line="360" w:lineRule="auto"/>
              <w:ind w:firstLineChars="200" w:firstLine="480"/>
              <w:rPr>
                <w:rFonts w:hint="eastAsia"/>
                <w:b/>
                <w:snapToGrid w:val="0"/>
                <w:sz w:val="24"/>
                <w:u w:val="none"/>
                <w:highlight w:val="none"/>
              </w:rPr>
            </w:pPr>
            <w:r>
              <w:rPr>
                <w:rFonts w:hint="eastAsia"/>
                <w:kern w:val="0"/>
                <w:sz w:val="24"/>
                <w:u w:val="single"/>
                <w:lang w:val="en-US" w:eastAsia="zh-CN"/>
              </w:rPr>
              <w:t>本项目建成后，太青水库现有取水口将取消，拟按照《</w:t>
            </w:r>
            <w:r>
              <w:rPr>
                <w:rFonts w:hint="eastAsia"/>
                <w:kern w:val="0"/>
                <w:sz w:val="24"/>
                <w:u w:val="single"/>
              </w:rPr>
              <w:t>饮用水水源保护区划分技术规范》（H</w:t>
            </w:r>
            <w:r>
              <w:rPr>
                <w:kern w:val="0"/>
                <w:sz w:val="24"/>
                <w:u w:val="single"/>
              </w:rPr>
              <w:t>J338</w:t>
            </w:r>
            <w:r>
              <w:rPr>
                <w:rFonts w:hint="eastAsia"/>
                <w:kern w:val="0"/>
                <w:sz w:val="24"/>
                <w:u w:val="single"/>
              </w:rPr>
              <w:t>-</w:t>
            </w:r>
            <w:r>
              <w:rPr>
                <w:kern w:val="0"/>
                <w:sz w:val="24"/>
                <w:u w:val="single"/>
              </w:rPr>
              <w:t>2018</w:t>
            </w:r>
            <w:r>
              <w:rPr>
                <w:rFonts w:hint="eastAsia"/>
                <w:kern w:val="0"/>
                <w:sz w:val="24"/>
                <w:u w:val="single"/>
              </w:rPr>
              <w:t>）</w:t>
            </w:r>
            <w:r>
              <w:rPr>
                <w:rFonts w:hint="eastAsia"/>
                <w:kern w:val="0"/>
                <w:sz w:val="24"/>
                <w:u w:val="single"/>
                <w:lang w:val="en-US" w:eastAsia="zh-CN"/>
              </w:rPr>
              <w:t>重新进行</w:t>
            </w:r>
            <w:r>
              <w:rPr>
                <w:rFonts w:hint="eastAsia"/>
                <w:kern w:val="0"/>
                <w:sz w:val="24"/>
                <w:u w:val="single"/>
                <w:lang w:val="en-US" w:eastAsia="zh-CN"/>
                <w:highlight w:val="none"/>
              </w:rPr>
              <w:t>饮用水源保护区划分方案</w:t>
            </w:r>
            <w:r>
              <w:rPr>
                <w:rFonts w:hint="eastAsia"/>
                <w:kern w:val="0"/>
                <w:sz w:val="24"/>
                <w:u w:val="single"/>
                <w:lang w:eastAsia="zh-CN"/>
              </w:rPr>
              <w:t>。</w:t>
            </w:r>
          </w:p>
          <w:p>
            <w:pPr>
              <w:tabs>
                <w:tab w:val="left" w:pos="360"/>
              </w:tabs>
              <w:spacing w:line="360" w:lineRule="auto"/>
              <w:rPr>
                <w:b/>
                <w:snapToGrid w:val="0"/>
                <w:sz w:val="24"/>
                <w:u w:val="none"/>
                <w:highlight w:val="none"/>
              </w:rPr>
            </w:pPr>
            <w:r>
              <w:rPr>
                <w:rFonts w:hint="eastAsia"/>
                <w:b/>
                <w:snapToGrid w:val="0"/>
                <w:sz w:val="24"/>
                <w:u w:val="none"/>
                <w:highlight w:val="none"/>
              </w:rPr>
              <w:t>3、</w:t>
            </w:r>
            <w:r>
              <w:rPr>
                <w:b/>
                <w:snapToGrid w:val="0"/>
                <w:sz w:val="24"/>
                <w:u w:val="none"/>
                <w:highlight w:val="none"/>
              </w:rPr>
              <w:t>主要建设内容</w:t>
            </w:r>
          </w:p>
          <w:p>
            <w:pPr>
              <w:pStyle w:val="79"/>
              <w:shd w:val="clear" w:color="auto" w:fill="FFFFFF"/>
              <w:spacing w:before="0" w:beforeAutospacing="0" w:after="0" w:afterAutospacing="0" w:line="360" w:lineRule="auto"/>
              <w:ind w:firstLineChars="200" w:firstLine="480"/>
              <w:jc w:val="both"/>
              <w:rPr>
                <w:rFonts w:ascii="Times New Roman" w:cs="Times New Roman" w:hAnsi="Times New Roman"/>
                <w:u w:val="single"/>
                <w:highlight w:val="none"/>
              </w:rPr>
            </w:pPr>
            <w:r>
              <w:rPr>
                <w:rFonts w:hint="eastAsia"/>
                <w:u w:val="single"/>
                <w:lang w:eastAsia="zh-CN"/>
                <w:highlight w:val="none"/>
              </w:rPr>
              <w:t>澧县甘溪滩片区农村供水建设项目（一期）</w:t>
            </w:r>
            <w:r>
              <w:rPr>
                <w:rFonts w:ascii="Times New Roman" w:cs="Times New Roman" w:hAnsi="Times New Roman" w:hint="eastAsia"/>
                <w:u w:val="single"/>
                <w:highlight w:val="none"/>
              </w:rPr>
              <w:t>主</w:t>
            </w:r>
            <w:r>
              <w:rPr>
                <w:rFonts w:ascii="Times New Roman" w:cs="Times New Roman" w:hAnsi="Times New Roman"/>
                <w:u w:val="single"/>
                <w:highlight w:val="none"/>
              </w:rPr>
              <w:t>要</w:t>
            </w:r>
            <w:r>
              <w:rPr>
                <w:rFonts w:ascii="Times New Roman" w:cs="Times New Roman" w:hAnsi="Times New Roman" w:hint="eastAsia"/>
                <w:u w:val="single"/>
                <w:lang w:val="en-US" w:eastAsia="zh-CN"/>
                <w:highlight w:val="none"/>
              </w:rPr>
              <w:t>建设</w:t>
            </w:r>
            <w:r>
              <w:rPr>
                <w:rFonts w:ascii="Times New Roman" w:cs="Times New Roman" w:hAnsi="Times New Roman"/>
                <w:u w:val="single"/>
                <w:highlight w:val="none"/>
              </w:rPr>
              <w:t>内容</w:t>
            </w:r>
            <w:r>
              <w:rPr>
                <w:rFonts w:ascii="Times New Roman" w:cs="Times New Roman" w:hAnsi="Times New Roman" w:hint="eastAsia"/>
                <w:u w:val="single"/>
                <w:highlight w:val="none"/>
              </w:rPr>
              <w:t>为：</w:t>
            </w:r>
          </w:p>
          <w:p>
            <w:pPr>
              <w:widowControl w:val="0"/>
              <w:spacing w:line="360" w:lineRule="auto"/>
              <w:ind w:left="0" w:firstLineChars="200" w:firstLine="480"/>
              <w:rPr>
                <w:rFonts w:ascii="Times New Roman" w:eastAsia="宋体" w:cs="Times New Roman" w:hAnsi="Times New Roman"/>
                <w:color w:val="auto"/>
                <w:sz w:val="24"/>
                <w:szCs w:val="24"/>
                <w:u w:val="single"/>
                <w:highlight w:val="none"/>
              </w:rPr>
            </w:pPr>
            <w:r>
              <w:rPr>
                <w:rFonts w:ascii="Times New Roman" w:eastAsia="宋体" w:cs="Times New Roman" w:hAnsi="Times New Roman"/>
                <w:color w:val="auto"/>
                <w:sz w:val="24"/>
                <w:szCs w:val="24"/>
                <w:u w:val="single"/>
                <w:lang w:eastAsia="zh-CN"/>
                <w:highlight w:val="none"/>
              </w:rPr>
              <w:t>（</w:t>
            </w:r>
            <w:r>
              <w:rPr>
                <w:rFonts w:ascii="Times New Roman" w:eastAsia="宋体" w:cs="Times New Roman" w:hAnsi="Times New Roman"/>
                <w:color w:val="auto"/>
                <w:sz w:val="24"/>
                <w:szCs w:val="24"/>
                <w:u w:val="single"/>
                <w:lang w:val="en-US" w:eastAsia="zh-CN"/>
                <w:highlight w:val="none"/>
              </w:rPr>
              <w:t>1</w:t>
            </w:r>
            <w:r>
              <w:rPr>
                <w:rFonts w:ascii="Times New Roman" w:eastAsia="宋体" w:cs="Times New Roman" w:hAnsi="Times New Roman"/>
                <w:color w:val="auto"/>
                <w:sz w:val="24"/>
                <w:szCs w:val="24"/>
                <w:u w:val="single"/>
                <w:lang w:eastAsia="zh-CN"/>
                <w:highlight w:val="none"/>
              </w:rPr>
              <w:t>）</w:t>
            </w:r>
            <w:r>
              <w:rPr>
                <w:rFonts w:ascii="Times New Roman" w:eastAsia="宋体" w:cs="Times New Roman" w:hAnsi="Times New Roman" w:hint="eastAsia"/>
                <w:color w:val="auto"/>
                <w:sz w:val="24"/>
                <w:szCs w:val="24"/>
                <w:u w:val="single"/>
                <w:lang w:val="en-US" w:eastAsia="zh-CN"/>
                <w:highlight w:val="none"/>
              </w:rPr>
              <w:t>太青水厂新建</w:t>
            </w:r>
            <w:r>
              <w:rPr>
                <w:rFonts w:ascii="Times New Roman" w:cs="Times New Roman" w:hAnsi="Times New Roman" w:hint="eastAsia"/>
                <w:color w:val="auto"/>
                <w:sz w:val="24"/>
                <w:szCs w:val="24"/>
                <w:u w:val="single"/>
                <w:lang w:val="en-US" w:eastAsia="zh-CN"/>
                <w:highlight w:val="none"/>
              </w:rPr>
              <w:t>工程</w:t>
            </w:r>
            <w:r>
              <w:rPr>
                <w:rFonts w:ascii="Times New Roman" w:eastAsia="宋体" w:cs="Times New Roman" w:hAnsi="Times New Roman" w:hint="eastAsia"/>
                <w:color w:val="auto"/>
                <w:sz w:val="24"/>
                <w:szCs w:val="24"/>
                <w:u w:val="single"/>
                <w:lang w:val="en-US" w:eastAsia="zh-CN"/>
                <w:highlight w:val="none"/>
              </w:rPr>
              <w:t>：</w:t>
            </w:r>
            <w:r>
              <w:rPr>
                <w:rFonts w:ascii="Times New Roman" w:eastAsia="宋体" w:cs="Times New Roman" w:hAnsi="Times New Roman"/>
                <w:color w:val="auto"/>
                <w:sz w:val="24"/>
                <w:szCs w:val="24"/>
                <w:u w:val="single"/>
                <w:highlight w:val="none"/>
              </w:rPr>
              <w:t>按10000m</w:t>
            </w:r>
            <w:r>
              <w:rPr>
                <w:rFonts w:ascii="Times New Roman" w:eastAsia="宋体" w:cs="Times New Roman" w:hAnsi="Times New Roman"/>
                <w:color w:val="auto"/>
                <w:sz w:val="24"/>
                <w:szCs w:val="24"/>
                <w:u w:val="single"/>
                <w:vertAlign w:val="superscript"/>
                <w:highlight w:val="none"/>
              </w:rPr>
              <w:t>3</w:t>
            </w:r>
            <w:r>
              <w:rPr>
                <w:rFonts w:ascii="Times New Roman" w:eastAsia="宋体" w:cs="Times New Roman" w:hAnsi="Times New Roman"/>
                <w:color w:val="auto"/>
                <w:sz w:val="24"/>
                <w:szCs w:val="24"/>
                <w:u w:val="single"/>
                <w:highlight w:val="none"/>
              </w:rPr>
              <w:t>/d的制水规模，在太青水库大坝左岸新建太青水厂1座，厂区内配套建设取水浮船泵站1座、一体化净水处理设备系统1套、送水反冲洗泵房及配电室1座、清水池2座（单座750m</w:t>
            </w:r>
            <w:r>
              <w:rPr>
                <w:rFonts w:ascii="Times New Roman" w:eastAsia="宋体" w:cs="Times New Roman" w:hAnsi="Times New Roman"/>
                <w:color w:val="auto"/>
                <w:sz w:val="24"/>
                <w:szCs w:val="24"/>
                <w:u w:val="single"/>
                <w:vertAlign w:val="superscript"/>
                <w:highlight w:val="none"/>
              </w:rPr>
              <w:t>3</w:t>
            </w:r>
            <w:r>
              <w:rPr>
                <w:rFonts w:ascii="Times New Roman" w:eastAsia="宋体" w:cs="Times New Roman" w:hAnsi="Times New Roman"/>
                <w:color w:val="auto"/>
                <w:sz w:val="24"/>
                <w:szCs w:val="24"/>
                <w:u w:val="single"/>
                <w:highlight w:val="none"/>
              </w:rPr>
              <w:t>）、吸水井1座，回用水池及排泥调节池1座、净水辅助间1座、管理用房1座、厂区消防通道、厂区配套改造、室外给排水、配电系统、围墙等措施工程。</w:t>
            </w:r>
          </w:p>
          <w:p>
            <w:pPr>
              <w:widowControl w:val="0"/>
              <w:spacing w:line="360" w:lineRule="auto"/>
              <w:ind w:left="0" w:firstLineChars="200" w:firstLine="480"/>
              <w:rPr>
                <w:rFonts w:ascii="Times New Roman" w:eastAsia="宋体" w:cs="Times New Roman" w:hAnsi="Times New Roman"/>
                <w:color w:val="auto"/>
                <w:sz w:val="24"/>
                <w:szCs w:val="24"/>
                <w:u w:val="single"/>
                <w:highlight w:val="none"/>
              </w:rPr>
            </w:pPr>
            <w:r>
              <w:rPr>
                <w:rFonts w:ascii="Times New Roman" w:eastAsia="宋体" w:cs="Times New Roman" w:hAnsi="Times New Roman"/>
                <w:color w:val="auto"/>
                <w:sz w:val="24"/>
                <w:szCs w:val="24"/>
                <w:u w:val="single"/>
                <w:lang w:eastAsia="zh-CN"/>
                <w:highlight w:val="none"/>
              </w:rPr>
              <w:t>（</w:t>
            </w:r>
            <w:r>
              <w:rPr>
                <w:rFonts w:ascii="Times New Roman" w:eastAsia="宋体" w:cs="Times New Roman" w:hAnsi="Times New Roman"/>
                <w:color w:val="auto"/>
                <w:sz w:val="24"/>
                <w:szCs w:val="24"/>
                <w:u w:val="single"/>
                <w:lang w:val="en-US" w:eastAsia="zh-CN"/>
                <w:highlight w:val="none"/>
              </w:rPr>
              <w:t>2</w:t>
            </w:r>
            <w:r>
              <w:rPr>
                <w:rFonts w:ascii="Times New Roman" w:eastAsia="宋体" w:cs="Times New Roman" w:hAnsi="Times New Roman"/>
                <w:color w:val="auto"/>
                <w:sz w:val="24"/>
                <w:szCs w:val="24"/>
                <w:u w:val="single"/>
                <w:lang w:eastAsia="zh-CN"/>
                <w:highlight w:val="none"/>
              </w:rPr>
              <w:t>）</w:t>
            </w:r>
            <w:r>
              <w:rPr>
                <w:rFonts w:ascii="Times New Roman" w:eastAsia="宋体" w:cs="Times New Roman" w:hAnsi="Times New Roman" w:hint="eastAsia"/>
                <w:color w:val="auto"/>
                <w:sz w:val="24"/>
                <w:szCs w:val="24"/>
                <w:u w:val="single"/>
                <w:lang w:val="en-US" w:eastAsia="zh-CN"/>
                <w:highlight w:val="none"/>
              </w:rPr>
              <w:t>输</w:t>
            </w:r>
            <w:r>
              <w:rPr>
                <w:rFonts w:cs="Times New Roman" w:hint="eastAsia"/>
                <w:color w:val="auto"/>
                <w:sz w:val="24"/>
                <w:szCs w:val="24"/>
                <w:u w:val="single"/>
                <w:lang w:val="en-US" w:eastAsia="zh-CN"/>
                <w:highlight w:val="none"/>
              </w:rPr>
              <w:t>供水</w:t>
            </w:r>
            <w:r>
              <w:rPr>
                <w:rFonts w:ascii="Times New Roman" w:eastAsia="宋体" w:cs="Times New Roman" w:hAnsi="Times New Roman" w:hint="eastAsia"/>
                <w:color w:val="auto"/>
                <w:sz w:val="24"/>
                <w:szCs w:val="24"/>
                <w:u w:val="single"/>
                <w:lang w:val="en-US" w:eastAsia="zh-CN"/>
                <w:highlight w:val="none"/>
              </w:rPr>
              <w:t>工程：</w:t>
            </w:r>
            <w:r>
              <w:rPr>
                <w:rFonts w:ascii="Times New Roman" w:eastAsia="宋体" w:cs="Times New Roman" w:hAnsi="Times New Roman"/>
                <w:color w:val="auto"/>
                <w:sz w:val="24"/>
                <w:szCs w:val="24"/>
                <w:u w:val="single"/>
                <w:highlight w:val="none"/>
              </w:rPr>
              <w:t>新建、改建管网长度189.43km。其中：新建输水干管工程，管网长度</w:t>
            </w:r>
            <w:r>
              <w:rPr>
                <w:rFonts w:cs="Times New Roman" w:hint="eastAsia"/>
                <w:color w:val="auto"/>
                <w:sz w:val="24"/>
                <w:szCs w:val="24"/>
                <w:u w:val="single"/>
                <w:lang w:val="en-US" w:eastAsia="zh-CN"/>
                <w:highlight w:val="none"/>
              </w:rPr>
              <w:t>80</w:t>
            </w:r>
            <w:r>
              <w:rPr>
                <w:rFonts w:ascii="Times New Roman" w:eastAsia="宋体" w:cs="Times New Roman" w:hAnsi="Times New Roman"/>
                <w:color w:val="auto"/>
                <w:sz w:val="24"/>
                <w:szCs w:val="24"/>
                <w:u w:val="single"/>
                <w:highlight w:val="none"/>
              </w:rPr>
              <w:t>m</w:t>
            </w:r>
            <w:r>
              <w:rPr>
                <w:rFonts w:cs="Times New Roman" w:hint="eastAsia"/>
                <w:color w:val="auto"/>
                <w:sz w:val="24"/>
                <w:szCs w:val="24"/>
                <w:u w:val="single"/>
                <w:lang w:eastAsia="zh-CN"/>
                <w:highlight w:val="none"/>
              </w:rPr>
              <w:t>，</w:t>
            </w:r>
            <w:r>
              <w:rPr>
                <w:rFonts w:ascii="Times New Roman" w:eastAsia="宋体" w:cs="Times New Roman" w:hAnsi="Times New Roman"/>
                <w:kern w:val="0"/>
                <w:sz w:val="24"/>
                <w:szCs w:val="24"/>
                <w:u w:val="single"/>
                <w:lang w:val="en-US" w:eastAsia="zh-CN" w:bidi="ar-SA"/>
                <w:highlight w:val="none"/>
              </w:rPr>
              <w:t>管径D</w:t>
            </w:r>
            <w:r>
              <w:rPr>
                <w:rFonts w:eastAsia="宋体" w:cs="Times New Roman" w:hint="eastAsia"/>
                <w:kern w:val="0"/>
                <w:sz w:val="24"/>
                <w:szCs w:val="24"/>
                <w:u w:val="single"/>
                <w:lang w:val="en-US" w:eastAsia="zh-CN" w:bidi="ar-SA"/>
                <w:highlight w:val="none"/>
              </w:rPr>
              <w:t>4</w:t>
            </w:r>
            <w:r>
              <w:rPr>
                <w:rFonts w:ascii="Times New Roman" w:eastAsia="宋体" w:cs="Times New Roman" w:hAnsi="Times New Roman" w:hint="eastAsia"/>
                <w:kern w:val="0"/>
                <w:sz w:val="24"/>
                <w:szCs w:val="24"/>
                <w:u w:val="single"/>
                <w:lang w:val="en-US" w:eastAsia="zh-CN" w:bidi="ar-SA"/>
                <w:highlight w:val="none"/>
              </w:rPr>
              <w:t>00</w:t>
            </w:r>
            <w:r>
              <w:rPr>
                <w:rFonts w:ascii="Times New Roman" w:eastAsia="宋体" w:cs="Times New Roman" w:hAnsi="Times New Roman"/>
                <w:kern w:val="0"/>
                <w:sz w:val="24"/>
                <w:szCs w:val="24"/>
                <w:u w:val="single"/>
                <w:lang w:val="en-US" w:eastAsia="zh-CN" w:bidi="ar-SA"/>
                <w:highlight w:val="none"/>
              </w:rPr>
              <w:t>，选用焊接钢管。管道采用开槽施工，管顶覆土均按0.75m设置。</w:t>
            </w:r>
            <w:r>
              <w:rPr>
                <w:rFonts w:ascii="Times New Roman" w:eastAsia="宋体" w:cs="Times New Roman" w:hAnsi="Times New Roman" w:hint="eastAsia"/>
                <w:kern w:val="0"/>
                <w:sz w:val="24"/>
                <w:szCs w:val="24"/>
                <w:u w:val="single"/>
                <w:lang w:val="en-US" w:eastAsia="zh-CN" w:bidi="ar-SA"/>
                <w:highlight w:val="none"/>
              </w:rPr>
              <w:t>原水</w:t>
            </w:r>
            <w:r>
              <w:rPr>
                <w:rFonts w:ascii="Times New Roman" w:eastAsia="宋体" w:cs="Times New Roman" w:hAnsi="Times New Roman"/>
                <w:kern w:val="0"/>
                <w:sz w:val="24"/>
                <w:szCs w:val="24"/>
                <w:u w:val="single"/>
                <w:lang w:val="en-US" w:eastAsia="zh-CN" w:bidi="ar-SA"/>
                <w:highlight w:val="none"/>
              </w:rPr>
              <w:t>经水厂净水处理达到《生活饮用水卫生标准》（</w:t>
            </w:r>
            <w:r>
              <w:rPr>
                <w:rFonts w:ascii="Times New Roman" w:cs="Times New Roman" w:hAnsi="Times New Roman" w:hint="eastAsia"/>
                <w:kern w:val="0"/>
                <w:sz w:val="24"/>
                <w:szCs w:val="24"/>
                <w:u w:val="single"/>
                <w:lang w:val="en-US" w:eastAsia="zh-CN" w:bidi="ar-SA"/>
                <w:highlight w:val="none"/>
              </w:rPr>
              <w:t>GB5749-2022</w:t>
            </w:r>
            <w:r>
              <w:rPr>
                <w:rFonts w:ascii="Times New Roman" w:eastAsia="宋体" w:cs="Times New Roman" w:hAnsi="Times New Roman"/>
                <w:kern w:val="0"/>
                <w:sz w:val="24"/>
                <w:szCs w:val="24"/>
                <w:u w:val="single"/>
                <w:lang w:val="en-US" w:eastAsia="zh-CN" w:bidi="ar-SA"/>
                <w:highlight w:val="none"/>
              </w:rPr>
              <w:t>）水质要求后，由</w:t>
            </w:r>
            <w:r>
              <w:rPr>
                <w:rFonts w:ascii="Times New Roman" w:eastAsia="宋体" w:cs="Times New Roman" w:hAnsi="Times New Roman" w:hint="eastAsia"/>
                <w:kern w:val="0"/>
                <w:sz w:val="24"/>
                <w:szCs w:val="24"/>
                <w:u w:val="single"/>
                <w:lang w:val="en-US" w:eastAsia="zh-CN" w:bidi="ar-SA"/>
                <w:highlight w:val="none"/>
              </w:rPr>
              <w:t>供</w:t>
            </w:r>
            <w:r>
              <w:rPr>
                <w:rFonts w:ascii="Times New Roman" w:eastAsia="宋体" w:cs="Times New Roman" w:hAnsi="Times New Roman"/>
                <w:kern w:val="0"/>
                <w:sz w:val="24"/>
                <w:szCs w:val="24"/>
                <w:u w:val="single"/>
                <w:lang w:val="en-US" w:eastAsia="zh-CN" w:bidi="ar-SA"/>
                <w:highlight w:val="none"/>
              </w:rPr>
              <w:t>水管网输送到水厂供水服务范围内各用水户。</w:t>
            </w:r>
            <w:r>
              <w:rPr>
                <w:rFonts w:ascii="Times New Roman" w:eastAsia="宋体" w:cs="Times New Roman" w:hAnsi="Times New Roman" w:hint="eastAsia"/>
                <w:kern w:val="0"/>
                <w:sz w:val="24"/>
                <w:szCs w:val="24"/>
                <w:u w:val="single"/>
                <w:lang w:val="en-US" w:eastAsia="zh-CN" w:bidi="ar-SA"/>
                <w:highlight w:val="none"/>
              </w:rPr>
              <w:t>供水管网沿路铺设，</w:t>
            </w:r>
            <w:r>
              <w:rPr>
                <w:rFonts w:ascii="Times New Roman" w:cs="Times New Roman" w:hAnsi="Times New Roman" w:hint="eastAsia"/>
                <w:kern w:val="0"/>
                <w:sz w:val="24"/>
                <w:szCs w:val="24"/>
                <w:u w:val="single"/>
                <w:lang w:val="en-US" w:eastAsia="zh-CN" w:bidi="ar-SA"/>
                <w:highlight w:val="none"/>
              </w:rPr>
              <w:t>管</w:t>
            </w:r>
            <w:r>
              <w:rPr>
                <w:rFonts w:ascii="Times New Roman" w:eastAsia="宋体" w:cs="Times New Roman" w:hAnsi="Times New Roman" w:hint="eastAsia"/>
                <w:kern w:val="0"/>
                <w:sz w:val="24"/>
                <w:szCs w:val="24"/>
                <w:u w:val="single"/>
                <w:lang w:val="en-US" w:eastAsia="zh-CN" w:bidi="ar-SA"/>
                <w:highlight w:val="none"/>
              </w:rPr>
              <w:t>径为</w:t>
            </w:r>
            <w:r>
              <w:rPr>
                <w:rFonts w:ascii="Times New Roman" w:eastAsia="宋体" w:cs="Times New Roman" w:hAnsi="Times New Roman"/>
                <w:kern w:val="0"/>
                <w:sz w:val="24"/>
                <w:szCs w:val="24"/>
                <w:u w:val="single"/>
                <w:lang w:val="en-US" w:eastAsia="zh-CN" w:bidi="ar-SA"/>
                <w:highlight w:val="none"/>
              </w:rPr>
              <w:t>DN</w:t>
            </w:r>
            <w:r>
              <w:rPr>
                <w:rFonts w:ascii="Times New Roman" w:eastAsia="宋体" w:cs="Times New Roman" w:hAnsi="Times New Roman" w:hint="eastAsia"/>
                <w:kern w:val="0"/>
                <w:sz w:val="24"/>
                <w:szCs w:val="24"/>
                <w:u w:val="single"/>
                <w:lang w:val="en-US" w:eastAsia="zh-CN" w:bidi="ar-SA"/>
                <w:highlight w:val="none"/>
              </w:rPr>
              <w:t>4</w:t>
            </w:r>
            <w:r>
              <w:rPr>
                <w:rFonts w:ascii="Times New Roman" w:eastAsia="宋体" w:cs="Times New Roman" w:hAnsi="Times New Roman"/>
                <w:kern w:val="0"/>
                <w:sz w:val="24"/>
                <w:szCs w:val="24"/>
                <w:u w:val="single"/>
                <w:lang w:val="en-US" w:eastAsia="zh-CN" w:bidi="ar-SA"/>
                <w:highlight w:val="none"/>
              </w:rPr>
              <w:t>00~DN50</w:t>
            </w:r>
            <w:r>
              <w:rPr>
                <w:rFonts w:ascii="Times New Roman" w:eastAsia="宋体" w:cs="Times New Roman" w:hAnsi="Times New Roman" w:hint="eastAsia"/>
                <w:kern w:val="0"/>
                <w:sz w:val="24"/>
                <w:szCs w:val="24"/>
                <w:u w:val="single"/>
                <w:lang w:val="en-US" w:eastAsia="zh-CN" w:bidi="ar-SA"/>
                <w:highlight w:val="none"/>
              </w:rPr>
              <w:t>。新建输供水管网总长约</w:t>
            </w:r>
            <w:r>
              <w:rPr>
                <w:rFonts w:ascii="Times New Roman" w:eastAsia="宋体" w:cs="Times New Roman" w:hAnsi="Times New Roman"/>
                <w:color w:val="auto"/>
                <w:sz w:val="24"/>
                <w:szCs w:val="24"/>
                <w:u w:val="single"/>
                <w:highlight w:val="none"/>
              </w:rPr>
              <w:t>189.43</w:t>
            </w:r>
            <w:r>
              <w:rPr>
                <w:rFonts w:ascii="Times New Roman" w:eastAsia="宋体" w:cs="Times New Roman" w:hAnsi="Times New Roman"/>
                <w:kern w:val="0"/>
                <w:sz w:val="24"/>
                <w:szCs w:val="24"/>
                <w:u w:val="single"/>
                <w:lang w:val="en-US" w:eastAsia="zh-CN" w:bidi="ar-SA"/>
                <w:highlight w:val="none"/>
              </w:rPr>
              <w:t>km</w:t>
            </w:r>
            <w:r>
              <w:rPr>
                <w:rFonts w:eastAsia="宋体" w:cs="Times New Roman" w:hint="eastAsia"/>
                <w:kern w:val="0"/>
                <w:sz w:val="24"/>
                <w:szCs w:val="24"/>
                <w:u w:val="single"/>
                <w:lang w:val="en-US" w:eastAsia="zh-CN" w:bidi="ar-SA"/>
                <w:highlight w:val="none"/>
              </w:rPr>
              <w:t>，</w:t>
            </w:r>
            <w:r>
              <w:rPr>
                <w:rFonts w:ascii="Times New Roman" w:eastAsia="宋体" w:cs="Times New Roman" w:hAnsi="Times New Roman"/>
                <w:color w:val="auto"/>
                <w:sz w:val="24"/>
                <w:szCs w:val="24"/>
                <w:u w:val="single"/>
                <w:lang w:val="zh-CN"/>
                <w:highlight w:val="none"/>
              </w:rPr>
              <w:t>入户智能水表8091户。</w:t>
            </w:r>
          </w:p>
          <w:p>
            <w:pPr>
              <w:widowControl w:val="0"/>
              <w:spacing w:line="360" w:lineRule="auto"/>
              <w:ind w:left="0" w:firstLineChars="200" w:firstLine="480"/>
              <w:rPr>
                <w:rFonts w:ascii="Times New Roman" w:eastAsia="宋体" w:cs="Times New Roman" w:hAnsi="Times New Roman"/>
                <w:color w:val="auto"/>
                <w:sz w:val="24"/>
                <w:szCs w:val="24"/>
                <w:u w:val="single"/>
                <w:lang w:eastAsia="zh-CN"/>
                <w:highlight w:val="none"/>
              </w:rPr>
            </w:pPr>
            <w:r>
              <w:rPr>
                <w:rFonts w:ascii="Times New Roman" w:eastAsia="宋体" w:cs="Times New Roman" w:hAnsi="Times New Roman" w:hint="eastAsia"/>
                <w:color w:val="auto"/>
                <w:sz w:val="24"/>
                <w:szCs w:val="24"/>
                <w:u w:val="single"/>
                <w:lang w:val="en-US" w:eastAsia="zh-CN"/>
                <w:highlight w:val="none"/>
              </w:rPr>
              <w:t>（3）取水工程</w:t>
            </w:r>
            <w:r>
              <w:rPr>
                <w:rFonts w:ascii="Times New Roman" w:eastAsia="宋体" w:cs="Times New Roman" w:hAnsi="Times New Roman" w:hint="eastAsia"/>
                <w:color w:val="auto"/>
                <w:sz w:val="24"/>
                <w:szCs w:val="24"/>
                <w:u w:val="single"/>
                <w:lang w:eastAsia="zh-CN"/>
                <w:highlight w:val="none"/>
              </w:rPr>
              <w:t>：</w:t>
            </w:r>
            <w:r>
              <w:rPr>
                <w:rFonts w:ascii="Times New Roman" w:eastAsia="宋体" w:cs="Times New Roman" w:hAnsi="Times New Roman"/>
                <w:color w:val="auto"/>
                <w:sz w:val="24"/>
                <w:szCs w:val="24"/>
                <w:u w:val="single"/>
                <w:lang w:val="en-US" w:eastAsia="zh-CN"/>
                <w:highlight w:val="none"/>
              </w:rPr>
              <w:t>根据水厂规模，确定取水泵船流量为450m</w:t>
            </w:r>
            <w:r>
              <w:rPr>
                <w:rFonts w:ascii="Times New Roman" w:eastAsia="宋体" w:cs="Times New Roman" w:hAnsi="Times New Roman"/>
                <w:color w:val="auto"/>
                <w:sz w:val="24"/>
                <w:szCs w:val="24"/>
                <w:u w:val="single"/>
                <w:vertAlign w:val="superscript"/>
                <w:lang w:val="en-US" w:eastAsia="zh-CN"/>
                <w:highlight w:val="none"/>
              </w:rPr>
              <w:t>3</w:t>
            </w:r>
            <w:r>
              <w:rPr>
                <w:rFonts w:ascii="Times New Roman" w:eastAsia="宋体" w:cs="Times New Roman" w:hAnsi="Times New Roman"/>
                <w:color w:val="auto"/>
                <w:sz w:val="24"/>
                <w:szCs w:val="24"/>
                <w:u w:val="single"/>
                <w:lang w:val="en-US" w:eastAsia="zh-CN"/>
                <w:highlight w:val="none"/>
              </w:rPr>
              <w:t xml:space="preserve"> /h</w:t>
            </w:r>
            <w:r>
              <w:rPr>
                <w:rFonts w:ascii="Times New Roman" w:eastAsia="宋体" w:cs="Times New Roman" w:hAnsi="Times New Roman" w:hint="eastAsia"/>
                <w:color w:val="auto"/>
                <w:sz w:val="24"/>
                <w:szCs w:val="24"/>
                <w:u w:val="single"/>
                <w:lang w:val="en-US" w:eastAsia="zh-CN"/>
                <w:highlight w:val="none"/>
              </w:rPr>
              <w:t>，最低运行水位为</w:t>
            </w:r>
            <w:r>
              <w:rPr>
                <w:rFonts w:ascii="Times New Roman" w:eastAsia="宋体" w:cs="Times New Roman" w:hAnsi="Times New Roman"/>
                <w:color w:val="auto"/>
                <w:sz w:val="24"/>
                <w:szCs w:val="24"/>
                <w:u w:val="single"/>
                <w:lang w:val="en-US" w:eastAsia="zh-CN"/>
                <w:highlight w:val="none"/>
              </w:rPr>
              <w:t>155.80m</w:t>
            </w:r>
            <w:r>
              <w:rPr>
                <w:rFonts w:ascii="Times New Roman" w:eastAsia="宋体" w:cs="Times New Roman" w:hAnsi="Times New Roman" w:hint="eastAsia"/>
                <w:color w:val="auto"/>
                <w:sz w:val="24"/>
                <w:szCs w:val="24"/>
                <w:u w:val="single"/>
                <w:lang w:val="en-US" w:eastAsia="zh-CN"/>
                <w:highlight w:val="none"/>
              </w:rPr>
              <w:t xml:space="preserve">，正常运行水位为 </w:t>
            </w:r>
            <w:r>
              <w:rPr>
                <w:rFonts w:ascii="Times New Roman" w:eastAsia="宋体" w:cs="Times New Roman" w:hAnsi="Times New Roman"/>
                <w:color w:val="auto"/>
                <w:sz w:val="24"/>
                <w:szCs w:val="24"/>
                <w:u w:val="single"/>
                <w:lang w:val="en-US" w:eastAsia="zh-CN"/>
                <w:highlight w:val="none"/>
              </w:rPr>
              <w:t>178.90m</w:t>
            </w:r>
            <w:r>
              <w:rPr>
                <w:rFonts w:ascii="Times New Roman" w:eastAsia="宋体" w:cs="Times New Roman" w:hAnsi="Times New Roman" w:hint="eastAsia"/>
                <w:color w:val="auto"/>
                <w:sz w:val="24"/>
                <w:szCs w:val="24"/>
                <w:u w:val="single"/>
                <w:lang w:val="en-US" w:eastAsia="zh-CN"/>
                <w:highlight w:val="none"/>
              </w:rPr>
              <w:t>，最高运行水位为</w:t>
            </w:r>
            <w:r>
              <w:rPr>
                <w:rFonts w:ascii="Times New Roman" w:eastAsia="宋体" w:cs="Times New Roman" w:hAnsi="Times New Roman"/>
                <w:color w:val="auto"/>
                <w:sz w:val="24"/>
                <w:szCs w:val="24"/>
                <w:u w:val="single"/>
                <w:lang w:val="en-US" w:eastAsia="zh-CN"/>
                <w:highlight w:val="none"/>
              </w:rPr>
              <w:t>181.97m</w:t>
            </w:r>
            <w:r>
              <w:rPr>
                <w:rFonts w:ascii="Times New Roman" w:eastAsia="宋体" w:cs="Times New Roman" w:hAnsi="Times New Roman" w:hint="eastAsia"/>
                <w:color w:val="auto"/>
                <w:sz w:val="24"/>
                <w:szCs w:val="24"/>
                <w:u w:val="single"/>
                <w:lang w:val="en-US" w:eastAsia="zh-CN"/>
                <w:highlight w:val="none"/>
              </w:rPr>
              <w:t>。厂区絮凝池水面高程</w:t>
            </w:r>
            <w:r>
              <w:rPr>
                <w:rFonts w:ascii="Times New Roman" w:eastAsia="宋体" w:cs="Times New Roman" w:hAnsi="Times New Roman"/>
                <w:color w:val="auto"/>
                <w:sz w:val="24"/>
                <w:szCs w:val="24"/>
                <w:u w:val="single"/>
                <w:lang w:val="en-US" w:eastAsia="zh-CN"/>
                <w:highlight w:val="none"/>
              </w:rPr>
              <w:t>193.90m</w:t>
            </w:r>
            <w:r>
              <w:rPr>
                <w:rFonts w:ascii="Times New Roman" w:eastAsia="宋体" w:cs="Times New Roman" w:hAnsi="Times New Roman" w:hint="eastAsia"/>
                <w:color w:val="auto"/>
                <w:sz w:val="24"/>
                <w:szCs w:val="24"/>
                <w:u w:val="single"/>
                <w:lang w:val="en-US" w:eastAsia="zh-CN"/>
                <w:highlight w:val="none"/>
              </w:rPr>
              <w:t>。考虑</w:t>
            </w:r>
            <w:r>
              <w:rPr>
                <w:rFonts w:ascii="Times New Roman" w:eastAsia="宋体" w:cs="Times New Roman" w:hAnsi="Times New Roman"/>
                <w:color w:val="auto"/>
                <w:sz w:val="24"/>
                <w:szCs w:val="24"/>
                <w:u w:val="single"/>
                <w:lang w:val="en-US" w:eastAsia="zh-CN"/>
                <w:highlight w:val="none"/>
              </w:rPr>
              <w:t>2m</w:t>
            </w:r>
            <w:r>
              <w:rPr>
                <w:rFonts w:ascii="Times New Roman" w:eastAsia="宋体" w:cs="Times New Roman" w:hAnsi="Times New Roman" w:hint="eastAsia"/>
                <w:color w:val="auto"/>
                <w:sz w:val="24"/>
                <w:szCs w:val="24"/>
                <w:u w:val="single"/>
                <w:lang w:val="en-US" w:eastAsia="zh-CN"/>
                <w:highlight w:val="none"/>
              </w:rPr>
              <w:t>安全水头及水损。取水工程采用浮船泵站于太青水库取水，取水设计流量</w:t>
            </w:r>
            <w:r>
              <w:rPr>
                <w:rFonts w:ascii="Times New Roman" w:eastAsia="宋体" w:cs="Times New Roman" w:hAnsi="Times New Roman"/>
                <w:color w:val="auto"/>
                <w:sz w:val="24"/>
                <w:szCs w:val="24"/>
                <w:u w:val="single"/>
                <w:lang w:val="en-US" w:eastAsia="zh-CN"/>
                <w:highlight w:val="none"/>
              </w:rPr>
              <w:t>Qmax</w:t>
            </w:r>
            <w:r>
              <w:rPr>
                <w:rFonts w:ascii="Times New Roman" w:eastAsia="宋体" w:cs="Times New Roman" w:hAnsi="Times New Roman" w:hint="eastAsia"/>
                <w:color w:val="auto"/>
                <w:sz w:val="24"/>
                <w:szCs w:val="24"/>
                <w:u w:val="single"/>
                <w:lang w:val="en-US" w:eastAsia="zh-CN"/>
                <w:highlight w:val="none"/>
              </w:rPr>
              <w:t>：</w:t>
            </w:r>
            <w:r>
              <w:rPr>
                <w:rFonts w:ascii="Times New Roman" w:eastAsia="宋体" w:cs="Times New Roman" w:hAnsi="Times New Roman"/>
                <w:color w:val="auto"/>
                <w:sz w:val="24"/>
                <w:szCs w:val="24"/>
                <w:u w:val="single"/>
                <w:lang w:val="en-US" w:eastAsia="zh-CN"/>
                <w:highlight w:val="none"/>
              </w:rPr>
              <w:t>10800m³/d</w:t>
            </w:r>
            <w:r>
              <w:rPr>
                <w:rFonts w:ascii="Times New Roman" w:eastAsia="宋体" w:cs="Times New Roman" w:hAnsi="Times New Roman" w:hint="eastAsia"/>
                <w:color w:val="auto"/>
                <w:sz w:val="24"/>
                <w:szCs w:val="24"/>
                <w:u w:val="single"/>
                <w:lang w:val="en-US" w:eastAsia="zh-CN"/>
                <w:highlight w:val="none"/>
              </w:rPr>
              <w:t>（含</w:t>
            </w:r>
            <w:r>
              <w:rPr>
                <w:rFonts w:ascii="Times New Roman" w:eastAsia="宋体" w:cs="Times New Roman" w:hAnsi="Times New Roman"/>
                <w:color w:val="auto"/>
                <w:sz w:val="24"/>
                <w:szCs w:val="24"/>
                <w:u w:val="single"/>
                <w:lang w:val="en-US" w:eastAsia="zh-CN"/>
                <w:highlight w:val="none"/>
              </w:rPr>
              <w:t>8%</w:t>
            </w:r>
            <w:r>
              <w:rPr>
                <w:rFonts w:ascii="Times New Roman" w:eastAsia="宋体" w:cs="Times New Roman" w:hAnsi="Times New Roman" w:hint="eastAsia"/>
                <w:color w:val="auto"/>
                <w:sz w:val="24"/>
                <w:szCs w:val="24"/>
                <w:u w:val="single"/>
                <w:lang w:val="en-US" w:eastAsia="zh-CN"/>
                <w:highlight w:val="none"/>
              </w:rPr>
              <w:t xml:space="preserve">自用水量）（即 </w:t>
            </w:r>
            <w:r>
              <w:rPr>
                <w:rFonts w:ascii="Times New Roman" w:eastAsia="宋体" w:cs="Times New Roman" w:hAnsi="Times New Roman"/>
                <w:color w:val="auto"/>
                <w:sz w:val="24"/>
                <w:szCs w:val="24"/>
                <w:u w:val="single"/>
                <w:lang w:val="en-US" w:eastAsia="zh-CN"/>
                <w:highlight w:val="none"/>
              </w:rPr>
              <w:t>173.61L/s</w:t>
            </w:r>
            <w:r>
              <w:rPr>
                <w:rFonts w:ascii="Times New Roman" w:eastAsia="宋体" w:cs="Times New Roman" w:hAnsi="Times New Roman" w:hint="eastAsia"/>
                <w:color w:val="auto"/>
                <w:sz w:val="24"/>
                <w:szCs w:val="24"/>
                <w:u w:val="single"/>
                <w:lang w:val="en-US" w:eastAsia="zh-CN"/>
                <w:highlight w:val="none"/>
              </w:rPr>
              <w:t>），采用两根</w:t>
            </w:r>
            <w:r>
              <w:rPr>
                <w:rFonts w:ascii="Times New Roman" w:eastAsia="宋体" w:cs="Times New Roman" w:hAnsi="Times New Roman"/>
                <w:color w:val="auto"/>
                <w:sz w:val="24"/>
                <w:szCs w:val="24"/>
                <w:u w:val="single"/>
                <w:lang w:val="en-US" w:eastAsia="zh-CN"/>
                <w:highlight w:val="none"/>
              </w:rPr>
              <w:t>DN400</w:t>
            </w:r>
            <w:r>
              <w:rPr>
                <w:rFonts w:ascii="Times New Roman" w:eastAsia="宋体" w:cs="Times New Roman" w:hAnsi="Times New Roman" w:hint="eastAsia"/>
                <w:color w:val="auto"/>
                <w:sz w:val="24"/>
                <w:szCs w:val="24"/>
                <w:u w:val="single"/>
                <w:lang w:val="en-US" w:eastAsia="zh-CN"/>
                <w:highlight w:val="none"/>
              </w:rPr>
              <w:t>钢管输水。</w:t>
            </w:r>
          </w:p>
          <w:p>
            <w:pPr>
              <w:widowControl w:val="0"/>
              <w:spacing w:line="360" w:lineRule="auto"/>
              <w:ind w:left="0" w:firstLineChars="200" w:firstLine="480"/>
              <w:rPr>
                <w:rFonts w:ascii="Times New Roman" w:eastAsia="宋体" w:cs="Times New Roman" w:hAnsi="Times New Roman"/>
                <w:color w:val="auto"/>
                <w:sz w:val="24"/>
                <w:szCs w:val="24"/>
                <w:u w:val="single"/>
                <w:highlight w:val="none"/>
              </w:rPr>
            </w:pPr>
            <w:r>
              <w:rPr>
                <w:rFonts w:ascii="Times New Roman" w:eastAsia="宋体" w:cs="Times New Roman" w:hAnsi="Times New Roman"/>
                <w:color w:val="auto"/>
                <w:sz w:val="24"/>
                <w:szCs w:val="24"/>
                <w:u w:val="single"/>
                <w:lang w:eastAsia="zh-CN"/>
                <w:highlight w:val="none"/>
              </w:rPr>
              <w:t>（</w:t>
            </w:r>
            <w:r>
              <w:rPr>
                <w:rFonts w:ascii="Times New Roman" w:eastAsia="宋体" w:cs="Times New Roman" w:hAnsi="Times New Roman" w:hint="eastAsia"/>
                <w:color w:val="auto"/>
                <w:sz w:val="24"/>
                <w:szCs w:val="24"/>
                <w:u w:val="single"/>
                <w:lang w:val="en-US" w:eastAsia="zh-CN"/>
                <w:highlight w:val="none"/>
              </w:rPr>
              <w:t>4</w:t>
            </w:r>
            <w:r>
              <w:rPr>
                <w:rFonts w:ascii="Times New Roman" w:eastAsia="宋体" w:cs="Times New Roman" w:hAnsi="Times New Roman"/>
                <w:color w:val="auto"/>
                <w:sz w:val="24"/>
                <w:szCs w:val="24"/>
                <w:u w:val="single"/>
                <w:lang w:eastAsia="zh-CN"/>
                <w:highlight w:val="none"/>
              </w:rPr>
              <w:t>）</w:t>
            </w:r>
            <w:r>
              <w:rPr>
                <w:rFonts w:cs="Times New Roman" w:hint="eastAsia"/>
                <w:color w:val="auto"/>
                <w:sz w:val="24"/>
                <w:szCs w:val="24"/>
                <w:u w:val="single"/>
                <w:lang w:val="en-US" w:eastAsia="zh-CN"/>
                <w:highlight w:val="none"/>
              </w:rPr>
              <w:t>蓄水池及</w:t>
            </w:r>
            <w:r>
              <w:rPr>
                <w:rFonts w:ascii="Times New Roman" w:eastAsia="宋体" w:cs="Times New Roman" w:hAnsi="Times New Roman" w:hint="eastAsia"/>
                <w:color w:val="auto"/>
                <w:sz w:val="24"/>
                <w:szCs w:val="24"/>
                <w:u w:val="single"/>
                <w:lang w:val="en-US" w:eastAsia="zh-CN"/>
                <w:highlight w:val="none"/>
              </w:rPr>
              <w:t>加压泵站工程：</w:t>
            </w:r>
            <w:r>
              <w:rPr>
                <w:rFonts w:ascii="Times New Roman" w:eastAsia="宋体" w:cs="Times New Roman" w:hAnsi="Times New Roman"/>
                <w:color w:val="auto"/>
                <w:sz w:val="24"/>
                <w:szCs w:val="24"/>
                <w:u w:val="single"/>
                <w:highlight w:val="none"/>
              </w:rPr>
              <w:t>新建200m</w:t>
            </w:r>
            <w:r>
              <w:rPr>
                <w:rFonts w:ascii="Times New Roman" w:eastAsia="宋体" w:cs="Times New Roman" w:hAnsi="Times New Roman"/>
                <w:color w:val="auto"/>
                <w:sz w:val="24"/>
                <w:szCs w:val="24"/>
                <w:u w:val="single"/>
                <w:vertAlign w:val="superscript"/>
                <w:highlight w:val="none"/>
              </w:rPr>
              <w:t>3</w:t>
            </w:r>
            <w:r>
              <w:rPr>
                <w:rFonts w:ascii="Times New Roman" w:eastAsia="宋体" w:cs="Times New Roman" w:hAnsi="Times New Roman"/>
                <w:color w:val="auto"/>
                <w:sz w:val="24"/>
                <w:szCs w:val="24"/>
                <w:u w:val="single"/>
                <w:highlight w:val="none"/>
              </w:rPr>
              <w:t>蓄水池1座；新建400m</w:t>
            </w:r>
            <w:r>
              <w:rPr>
                <w:rFonts w:ascii="Times New Roman" w:eastAsia="宋体" w:cs="Times New Roman" w:hAnsi="Times New Roman"/>
                <w:color w:val="auto"/>
                <w:sz w:val="24"/>
                <w:szCs w:val="24"/>
                <w:u w:val="single"/>
                <w:vertAlign w:val="superscript"/>
                <w:highlight w:val="none"/>
              </w:rPr>
              <w:t>3</w:t>
            </w:r>
            <w:r>
              <w:rPr>
                <w:rFonts w:ascii="Times New Roman" w:eastAsia="宋体" w:cs="Times New Roman" w:hAnsi="Times New Roman"/>
                <w:color w:val="auto"/>
                <w:sz w:val="24"/>
                <w:szCs w:val="24"/>
                <w:u w:val="single"/>
                <w:highlight w:val="none"/>
              </w:rPr>
              <w:t>蓄水池1座，新建中途加压泵站6座，新建管道泵2套。</w:t>
            </w:r>
          </w:p>
          <w:p>
            <w:pPr>
              <w:pStyle w:val="79"/>
              <w:shd w:val="clear" w:color="auto" w:fill="FFFFFF"/>
              <w:adjustRightInd w:val="0"/>
              <w:snapToGrid w:val="0"/>
              <w:spacing w:before="0" w:beforeAutospacing="0" w:after="0" w:afterAutospacing="0" w:line="360" w:lineRule="auto"/>
              <w:ind w:firstLineChars="200" w:firstLine="480"/>
              <w:jc w:val="both"/>
              <w:rPr>
                <w:rFonts w:ascii="Times New Roman" w:eastAsia="宋体" w:cs="Times New Roman" w:hAnsi="Times New Roman"/>
                <w:color w:val="auto"/>
                <w:sz w:val="24"/>
                <w:szCs w:val="24"/>
                <w:highlight w:val="none"/>
              </w:rPr>
            </w:pPr>
            <w:r>
              <w:rPr>
                <w:rFonts w:ascii="Times New Roman" w:eastAsia="宋体" w:cs="Times New Roman" w:hAnsi="Times New Roman"/>
                <w:color w:val="auto"/>
                <w:sz w:val="24"/>
                <w:szCs w:val="24"/>
                <w:u w:val="single"/>
                <w:lang w:eastAsia="zh-CN"/>
                <w:highlight w:val="none"/>
              </w:rPr>
              <w:t>（</w:t>
            </w:r>
            <w:r>
              <w:rPr>
                <w:rFonts w:ascii="Times New Roman" w:eastAsia="宋体" w:cs="Times New Roman" w:hAnsi="Times New Roman" w:hint="eastAsia"/>
                <w:color w:val="auto"/>
                <w:sz w:val="24"/>
                <w:szCs w:val="24"/>
                <w:u w:val="single"/>
                <w:lang w:val="en-US" w:eastAsia="zh-CN"/>
                <w:highlight w:val="none"/>
              </w:rPr>
              <w:t>5</w:t>
            </w:r>
            <w:r>
              <w:rPr>
                <w:rFonts w:ascii="Times New Roman" w:eastAsia="宋体" w:cs="Times New Roman" w:hAnsi="Times New Roman"/>
                <w:color w:val="auto"/>
                <w:sz w:val="24"/>
                <w:szCs w:val="24"/>
                <w:u w:val="single"/>
                <w:lang w:eastAsia="zh-CN"/>
                <w:highlight w:val="none"/>
              </w:rPr>
              <w:t>）</w:t>
            </w:r>
            <w:r>
              <w:rPr>
                <w:rFonts w:ascii="Times New Roman" w:eastAsia="宋体" w:cs="Times New Roman" w:hAnsi="Times New Roman"/>
                <w:color w:val="auto"/>
                <w:sz w:val="24"/>
                <w:szCs w:val="24"/>
                <w:u w:val="single"/>
                <w:highlight w:val="none"/>
              </w:rPr>
              <w:t>配套建设各类闸阀井等附属建筑物若干，配套跨河管道措施工程，配套镇墩、支墩、消防栓、里程碑、界桩等各类措施工程。</w:t>
            </w:r>
          </w:p>
          <w:p>
            <w:pPr>
              <w:pStyle w:val="79"/>
              <w:shd w:val="clear" w:color="auto" w:fill="FFFFFF"/>
              <w:adjustRightInd w:val="0"/>
              <w:snapToGrid w:val="0"/>
              <w:spacing w:before="0" w:beforeAutospacing="0" w:after="0" w:afterAutospacing="0" w:line="360" w:lineRule="auto"/>
              <w:ind w:firstLineChars="200" w:firstLine="480"/>
              <w:jc w:val="both"/>
              <w:rPr>
                <w:rFonts w:ascii="Times New Roman" w:cs="Times New Roman" w:hAnsi="Times New Roman"/>
                <w:b/>
                <w:u w:val="none"/>
                <w:highlight w:val="none"/>
              </w:rPr>
            </w:pPr>
            <w:r>
              <w:rPr>
                <w:rFonts w:ascii="Times New Roman" w:cs="Times New Roman" w:hAnsi="Times New Roman" w:hint="eastAsia"/>
                <w:u w:val="none"/>
                <w:highlight w:val="none"/>
              </w:rPr>
              <w:t>项目</w:t>
            </w:r>
            <w:r>
              <w:rPr>
                <w:rFonts w:ascii="Times New Roman" w:cs="Times New Roman" w:hAnsi="Times New Roman"/>
                <w:u w:val="none"/>
                <w:highlight w:val="none"/>
              </w:rPr>
              <w:t>具体建设内容详见表2-</w:t>
            </w:r>
            <w:bookmarkStart w:id="9" w:name="_Ref267898789"/>
            <w:r>
              <w:rPr>
                <w:rFonts w:ascii="Times New Roman" w:cs="Times New Roman" w:hAnsi="Times New Roman" w:hint="eastAsia"/>
                <w:u w:val="none"/>
                <w:lang w:val="en-US" w:eastAsia="zh-CN"/>
                <w:highlight w:val="none"/>
              </w:rPr>
              <w:t>2</w:t>
            </w:r>
            <w:r>
              <w:rPr>
                <w:rFonts w:ascii="Times New Roman" w:cs="Times New Roman" w:hAnsi="Times New Roman"/>
                <w:u w:val="none"/>
                <w:highlight w:val="none"/>
              </w:rPr>
              <w:t>。</w:t>
            </w:r>
          </w:p>
          <w:p>
            <w:pPr>
              <w:jc w:val="center"/>
              <w:rPr>
                <w:b/>
                <w:szCs w:val="21"/>
                <w:u w:val="none"/>
                <w:highlight w:val="none"/>
              </w:rPr>
            </w:pPr>
            <w:r>
              <w:rPr>
                <w:b/>
                <w:szCs w:val="21"/>
                <w:u w:val="none"/>
                <w:highlight w:val="none"/>
              </w:rPr>
              <w:t>表2-</w:t>
            </w:r>
            <w:r>
              <w:rPr>
                <w:rFonts w:hint="eastAsia"/>
                <w:b/>
                <w:szCs w:val="21"/>
                <w:u w:val="none"/>
                <w:lang w:val="en-US" w:eastAsia="zh-CN"/>
                <w:highlight w:val="none"/>
              </w:rPr>
              <w:t>2</w:t>
            </w:r>
            <w:r>
              <w:rPr>
                <w:b/>
                <w:szCs w:val="21"/>
                <w:u w:val="none"/>
                <w:highlight w:val="none"/>
              </w:rPr>
              <w:t xml:space="preserve">  项目主要建设内容一览表</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398"/>
              <w:gridCol w:w="429"/>
              <w:gridCol w:w="322"/>
              <w:gridCol w:w="670"/>
              <w:gridCol w:w="674"/>
              <w:gridCol w:w="4986"/>
              <w:gridCol w:w="702"/>
            </w:tblGrid>
            <w:tr>
              <w:trPr>
                <w:trHeight w:val="340"/>
              </w:trPr>
              <w:tc>
                <w:tcPr>
                  <w:tcW w:w="243" w:type="pct"/>
                  <w:tcBorders>
                    <w:tl2br w:val="nil"/>
                    <w:tr2bl w:val="nil"/>
                  </w:tcBorders>
                  <w:vAlign w:val="center"/>
                </w:tcPr>
                <w:p>
                  <w:pPr>
                    <w:pStyle w:val="47"/>
                    <w:adjustRightInd/>
                    <w:snapToGrid/>
                    <w:spacing w:beforeLines="0" w:before="10" w:afterLines="0" w:after="10" w:line="240" w:lineRule="auto"/>
                    <w:ind w:left="0" w:right="0" w:firstLine="0"/>
                    <w:rPr>
                      <w:rFonts w:ascii="Times New Roman" w:eastAsia="宋体" w:hAnsi="Times New Roman"/>
                      <w:b/>
                      <w:color w:val="000000"/>
                      <w:kern w:val="21"/>
                      <w:sz w:val="21"/>
                      <w:szCs w:val="21"/>
                      <w:u w:val="single"/>
                      <w:highlight w:val="none"/>
                    </w:rPr>
                  </w:pPr>
                  <w:bookmarkEnd w:id="9"/>
                  <w:r>
                    <w:rPr>
                      <w:rFonts w:ascii="Times New Roman" w:eastAsia="宋体" w:hAnsi="Times New Roman"/>
                      <w:b/>
                      <w:color w:val="000000"/>
                      <w:kern w:val="21"/>
                      <w:sz w:val="21"/>
                      <w:szCs w:val="21"/>
                      <w:u w:val="single"/>
                      <w:highlight w:val="none"/>
                    </w:rPr>
                    <w:t>项目</w:t>
                  </w:r>
                </w:p>
              </w:tc>
              <w:tc>
                <w:tcPr>
                  <w:tcW w:w="459" w:type="pct"/>
                  <w:gridSpan w:val="2"/>
                  <w:tcBorders>
                    <w:tl2br w:val="nil"/>
                    <w:tr2bl w:val="nil"/>
                  </w:tcBorders>
                  <w:vAlign w:val="center"/>
                </w:tcPr>
                <w:p>
                  <w:pPr>
                    <w:pStyle w:val="47"/>
                    <w:adjustRightInd/>
                    <w:snapToGrid/>
                    <w:spacing w:beforeLines="0" w:before="10" w:afterLines="0" w:after="10" w:line="240" w:lineRule="auto"/>
                    <w:ind w:left="0" w:right="0" w:firstLine="0"/>
                    <w:rPr>
                      <w:rFonts w:ascii="Times New Roman" w:eastAsia="宋体" w:hAnsi="Times New Roman"/>
                      <w:b/>
                      <w:color w:val="000000"/>
                      <w:kern w:val="21"/>
                      <w:sz w:val="21"/>
                      <w:szCs w:val="21"/>
                      <w:u w:val="single"/>
                      <w:highlight w:val="none"/>
                    </w:rPr>
                  </w:pPr>
                  <w:r>
                    <w:rPr>
                      <w:rFonts w:ascii="Times New Roman" w:eastAsia="宋体" w:hAnsi="Times New Roman"/>
                      <w:b/>
                      <w:color w:val="000000"/>
                      <w:kern w:val="21"/>
                      <w:sz w:val="21"/>
                      <w:szCs w:val="21"/>
                      <w:u w:val="single"/>
                      <w:highlight w:val="none"/>
                    </w:rPr>
                    <w:t>建设名称</w:t>
                  </w:r>
                </w:p>
              </w:tc>
              <w:tc>
                <w:tcPr>
                  <w:tcW w:w="3867" w:type="pct"/>
                  <w:gridSpan w:val="3"/>
                  <w:tcBorders>
                    <w:tl2br w:val="nil"/>
                    <w:tr2bl w:val="nil"/>
                  </w:tcBorders>
                  <w:vAlign w:val="center"/>
                </w:tcPr>
                <w:p>
                  <w:pPr>
                    <w:pStyle w:val="47"/>
                    <w:adjustRightInd/>
                    <w:snapToGrid/>
                    <w:spacing w:beforeLines="0" w:before="10" w:afterLines="0" w:after="10" w:line="240" w:lineRule="auto"/>
                    <w:ind w:left="0" w:right="0" w:firstLine="0"/>
                    <w:rPr>
                      <w:rFonts w:ascii="Times New Roman" w:eastAsia="宋体" w:hAnsi="Times New Roman"/>
                      <w:b/>
                      <w:color w:val="000000"/>
                      <w:kern w:val="21"/>
                      <w:sz w:val="21"/>
                      <w:szCs w:val="21"/>
                      <w:u w:val="single"/>
                      <w:highlight w:val="none"/>
                    </w:rPr>
                  </w:pPr>
                  <w:r>
                    <w:rPr>
                      <w:rFonts w:ascii="Times New Roman" w:eastAsia="宋体" w:hAnsi="Times New Roman"/>
                      <w:b/>
                      <w:color w:val="000000"/>
                      <w:kern w:val="21"/>
                      <w:sz w:val="21"/>
                      <w:szCs w:val="21"/>
                      <w:u w:val="single"/>
                      <w:highlight w:val="none"/>
                    </w:rPr>
                    <w:t>内容和规模</w:t>
                  </w:r>
                </w:p>
              </w:tc>
              <w:tc>
                <w:tcPr>
                  <w:tcW w:w="429" w:type="pct"/>
                  <w:tcBorders>
                    <w:tl2br w:val="nil"/>
                    <w:tr2bl w:val="nil"/>
                  </w:tcBorders>
                  <w:vAlign w:val="center"/>
                </w:tcPr>
                <w:p>
                  <w:pPr>
                    <w:pStyle w:val="47"/>
                    <w:adjustRightInd/>
                    <w:snapToGrid/>
                    <w:spacing w:beforeLines="0" w:before="10" w:afterLines="0" w:after="10" w:line="240" w:lineRule="auto"/>
                    <w:ind w:left="0" w:right="0" w:firstLine="0"/>
                    <w:rPr>
                      <w:rFonts w:ascii="Times New Roman" w:eastAsia="宋体" w:hAnsi="Times New Roman" w:hint="eastAsia"/>
                      <w:b/>
                      <w:color w:val="000000"/>
                      <w:kern w:val="21"/>
                      <w:sz w:val="21"/>
                      <w:szCs w:val="21"/>
                      <w:u w:val="single"/>
                      <w:lang w:val="en-US" w:eastAsia="zh-CN"/>
                      <w:highlight w:val="none"/>
                    </w:rPr>
                  </w:pPr>
                  <w:r>
                    <w:rPr>
                      <w:rFonts w:ascii="Times New Roman" w:eastAsia="宋体" w:hAnsi="Times New Roman" w:hint="eastAsia"/>
                      <w:b/>
                      <w:color w:val="000000"/>
                      <w:kern w:val="21"/>
                      <w:sz w:val="21"/>
                      <w:szCs w:val="21"/>
                      <w:u w:val="single"/>
                      <w:lang w:val="en-US" w:eastAsia="zh-CN"/>
                      <w:highlight w:val="none"/>
                    </w:rPr>
                    <w:t>备注</w:t>
                  </w:r>
                </w:p>
              </w:tc>
            </w:tr>
            <w:tr>
              <w:trPr>
                <w:trHeight w:val="340"/>
              </w:trPr>
              <w:tc>
                <w:tcPr>
                  <w:tcW w:w="243" w:type="pct"/>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主体工程</w:t>
                  </w:r>
                </w:p>
              </w:tc>
              <w:tc>
                <w:tcPr>
                  <w:tcW w:w="459"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取水</w:t>
                  </w:r>
                  <w:r>
                    <w:rPr>
                      <w:rFonts w:ascii="Times New Roman" w:eastAsia="宋体" w:hAnsi="Times New Roman"/>
                      <w:color w:val="000000"/>
                      <w:kern w:val="21"/>
                      <w:sz w:val="21"/>
                      <w:szCs w:val="21"/>
                      <w:u w:val="single"/>
                      <w:highlight w:val="none"/>
                    </w:rPr>
                    <w:t>工程</w:t>
                  </w:r>
                </w:p>
              </w:tc>
              <w:tc>
                <w:tcPr>
                  <w:tcW w:w="3867" w:type="pct"/>
                  <w:gridSpan w:val="3"/>
                  <w:tcBorders>
                    <w:tl2br w:val="nil"/>
                    <w:tr2bl w:val="nil"/>
                  </w:tcBorders>
                  <w:vAlign w:val="center"/>
                </w:tcPr>
                <w:p>
                  <w:pPr>
                    <w:pStyle w:val="47"/>
                    <w:spacing w:beforeLines="0" w:before="10" w:afterLines="0" w:after="10" w:line="240" w:lineRule="auto"/>
                    <w:ind w:left="0" w:right="0" w:firstLine="0"/>
                    <w:jc w:val="center"/>
                    <w:rPr>
                      <w:rFonts w:ascii="Times New Roman" w:eastAsia="宋体" w:hAnsi="Times New Roman"/>
                      <w:kern w:val="21"/>
                      <w:sz w:val="21"/>
                      <w:szCs w:val="21"/>
                      <w:u w:val="single"/>
                      <w:highlight w:val="none"/>
                    </w:rPr>
                  </w:pPr>
                  <w:r>
                    <w:rPr>
                      <w:rFonts w:ascii="Times New Roman" w:eastAsia="宋体" w:cs="Times New Roman" w:hAnsi="Times New Roman" w:hint="eastAsia"/>
                      <w:kern w:val="21"/>
                      <w:sz w:val="21"/>
                      <w:szCs w:val="21"/>
                      <w:u w:val="single"/>
                      <w:highlight w:val="none"/>
                    </w:rPr>
                    <w:t>新建</w:t>
                  </w:r>
                  <w:r>
                    <w:rPr>
                      <w:rFonts w:ascii="Times New Roman" w:eastAsia="宋体" w:cs="Times New Roman" w:hAnsi="Times New Roman" w:hint="eastAsia"/>
                      <w:u w:val="single"/>
                      <w:lang w:val="en-US" w:eastAsia="zh-CN"/>
                      <w:highlight w:val="none"/>
                    </w:rPr>
                    <w:t xml:space="preserve"> </w:t>
                  </w:r>
                  <w:r>
                    <w:rPr>
                      <w:rFonts w:ascii="Times New Roman" w:eastAsia="宋体" w:cs="Times New Roman" w:hAnsi="Times New Roman"/>
                      <w:sz w:val="21"/>
                      <w:szCs w:val="16"/>
                      <w:u w:val="single"/>
                      <w:lang w:val="en-US" w:eastAsia="zh-CN"/>
                      <w:highlight w:val="none"/>
                    </w:rPr>
                    <w:t xml:space="preserve">1 </w:t>
                  </w:r>
                  <w:r>
                    <w:rPr>
                      <w:rFonts w:ascii="Times New Roman" w:eastAsia="宋体" w:cs="Times New Roman" w:hAnsi="Times New Roman" w:hint="eastAsia"/>
                      <w:sz w:val="21"/>
                      <w:szCs w:val="16"/>
                      <w:u w:val="single"/>
                      <w:lang w:val="en-US" w:eastAsia="zh-CN"/>
                      <w:highlight w:val="none"/>
                    </w:rPr>
                    <w:t xml:space="preserve">座浮船式取水泵站，设计流量 </w:t>
                  </w:r>
                  <w:r>
                    <w:rPr>
                      <w:rFonts w:ascii="Times New Roman" w:eastAsia="宋体" w:cs="Times New Roman" w:hAnsi="Times New Roman"/>
                      <w:sz w:val="21"/>
                      <w:szCs w:val="16"/>
                      <w:u w:val="single"/>
                      <w:lang w:val="en-US" w:eastAsia="zh-CN"/>
                      <w:highlight w:val="none"/>
                    </w:rPr>
                    <w:t>Q</w:t>
                  </w:r>
                  <w:r>
                    <w:rPr>
                      <w:rFonts w:ascii="Times New Roman" w:eastAsia="宋体" w:cs="Times New Roman" w:hAnsi="Times New Roman"/>
                      <w:sz w:val="21"/>
                      <w:szCs w:val="16"/>
                      <w:u w:val="single"/>
                      <w:vertAlign w:val="subscript"/>
                      <w:lang w:val="en-US" w:eastAsia="zh-CN"/>
                      <w:highlight w:val="none"/>
                    </w:rPr>
                    <w:t>max</w:t>
                  </w:r>
                  <w:r>
                    <w:rPr>
                      <w:rFonts w:ascii="Times New Roman" w:eastAsia="宋体" w:cs="Times New Roman" w:hAnsi="Times New Roman"/>
                      <w:sz w:val="21"/>
                      <w:szCs w:val="16"/>
                      <w:u w:val="single"/>
                      <w:lang w:val="en-US" w:eastAsia="zh-CN"/>
                      <w:highlight w:val="none"/>
                    </w:rPr>
                    <w:t>1</w:t>
                  </w:r>
                  <w:r>
                    <w:rPr>
                      <w:rFonts w:ascii="Times New Roman" w:eastAsia="宋体" w:cs="Times New Roman" w:hAnsi="Times New Roman" w:hint="eastAsia"/>
                      <w:sz w:val="21"/>
                      <w:szCs w:val="16"/>
                      <w:u w:val="single"/>
                      <w:lang w:val="en-US" w:eastAsia="zh-CN"/>
                      <w:highlight w:val="none"/>
                    </w:rPr>
                    <w:t>08</w:t>
                  </w:r>
                  <w:r>
                    <w:rPr>
                      <w:rFonts w:ascii="Times New Roman" w:eastAsia="宋体" w:cs="Times New Roman" w:hAnsi="Times New Roman"/>
                      <w:sz w:val="21"/>
                      <w:szCs w:val="16"/>
                      <w:u w:val="single"/>
                      <w:lang w:val="en-US" w:eastAsia="zh-CN"/>
                      <w:highlight w:val="none"/>
                    </w:rPr>
                    <w:t>00m</w:t>
                  </w:r>
                  <w:r>
                    <w:rPr>
                      <w:rFonts w:ascii="Times New Roman" w:eastAsia="宋体" w:cs="Times New Roman" w:hAnsi="Times New Roman" w:hint="eastAsia"/>
                      <w:sz w:val="21"/>
                      <w:szCs w:val="16"/>
                      <w:u w:val="single"/>
                      <w:lang w:val="en-US" w:eastAsia="zh-CN"/>
                      <w:highlight w:val="none"/>
                    </w:rPr>
                    <w:t>³</w:t>
                  </w:r>
                  <w:r>
                    <w:rPr>
                      <w:rFonts w:ascii="Times New Roman" w:eastAsia="宋体" w:cs="Times New Roman" w:hAnsi="Times New Roman"/>
                      <w:sz w:val="21"/>
                      <w:szCs w:val="16"/>
                      <w:u w:val="single"/>
                      <w:lang w:val="en-US" w:eastAsia="zh-CN"/>
                      <w:highlight w:val="none"/>
                    </w:rPr>
                    <w:t>/d</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已建</w:t>
                  </w:r>
                </w:p>
              </w:tc>
            </w:tr>
            <w:tr>
              <w:trPr>
                <w:trHeight w:val="340"/>
              </w:trPr>
              <w:tc>
                <w:tcPr>
                  <w:tcW w:w="243" w:type="pct"/>
                  <w:vMerge/>
                  <w:tcBorders>
                    <w:tl2br w:val="nil"/>
                    <w:tr2bl w:val="nil"/>
                  </w:tcBorders>
                  <w:vAlign w:val="center"/>
                </w:tcPr>
                <w:p/>
              </w:tc>
              <w:tc>
                <w:tcPr>
                  <w:tcW w:w="459"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hint="eastAsia"/>
                      <w:color w:val="000000"/>
                      <w:kern w:val="21"/>
                      <w:sz w:val="21"/>
                      <w:szCs w:val="21"/>
                      <w:u w:val="single"/>
                      <w:lang w:val="en-US" w:eastAsia="zh-CN"/>
                      <w:highlight w:val="none"/>
                    </w:rPr>
                  </w:pPr>
                  <w:r>
                    <w:rPr>
                      <w:rFonts w:ascii="Times New Roman" w:eastAsia="宋体" w:hAnsi="Times New Roman" w:hint="eastAsia"/>
                      <w:color w:val="000000"/>
                      <w:kern w:val="21"/>
                      <w:sz w:val="21"/>
                      <w:szCs w:val="21"/>
                      <w:u w:val="single"/>
                      <w:lang w:val="en-US" w:eastAsia="zh-CN"/>
                      <w:highlight w:val="none"/>
                    </w:rPr>
                    <w:t>输供水</w:t>
                  </w:r>
                  <w:r>
                    <w:rPr>
                      <w:rFonts w:ascii="Times New Roman" w:eastAsia="宋体" w:hAnsi="Times New Roman"/>
                      <w:color w:val="000000"/>
                      <w:kern w:val="21"/>
                      <w:sz w:val="21"/>
                      <w:szCs w:val="21"/>
                      <w:u w:val="single"/>
                      <w:highlight w:val="none"/>
                    </w:rPr>
                    <w:t>工程</w:t>
                  </w:r>
                </w:p>
              </w:tc>
              <w:tc>
                <w:tcPr>
                  <w:tcW w:w="3867" w:type="pct"/>
                  <w:gridSpan w:val="3"/>
                  <w:tcBorders>
                    <w:tl2br w:val="nil"/>
                    <w:tr2bl w:val="nil"/>
                  </w:tcBorders>
                  <w:vAlign w:val="center"/>
                </w:tcPr>
                <w:p>
                  <w:pPr>
                    <w:pStyle w:val="47"/>
                    <w:spacing w:beforeLines="0" w:before="10" w:afterLines="0" w:after="10" w:line="240" w:lineRule="auto"/>
                    <w:ind w:left="0" w:right="0" w:firstLine="0"/>
                    <w:jc w:val="center"/>
                    <w:rPr>
                      <w:rFonts w:ascii="Times New Roman" w:eastAsia="宋体" w:cs="Times New Roman" w:hAnsi="Times New Roman" w:hint="eastAsia"/>
                      <w:kern w:val="21"/>
                      <w:sz w:val="21"/>
                      <w:szCs w:val="21"/>
                      <w:u w:val="single"/>
                      <w:highlight w:val="none"/>
                    </w:rPr>
                  </w:pPr>
                  <w:r>
                    <w:rPr>
                      <w:rFonts w:ascii="Times New Roman" w:eastAsia="宋体" w:cs="Times New Roman" w:hAnsi="Times New Roman"/>
                      <w:color w:val="auto"/>
                      <w:sz w:val="21"/>
                      <w:szCs w:val="21"/>
                      <w:u w:val="single"/>
                      <w:highlight w:val="none"/>
                    </w:rPr>
                    <w:t>新建、改建管网长度189.43km。其中：新建输水干管工程，管网长度</w:t>
                  </w:r>
                  <w:r>
                    <w:rPr>
                      <w:rFonts w:cs="Times New Roman" w:hint="eastAsia"/>
                      <w:color w:val="auto"/>
                      <w:sz w:val="21"/>
                      <w:szCs w:val="21"/>
                      <w:u w:val="single"/>
                      <w:lang w:val="en-US" w:eastAsia="zh-CN"/>
                      <w:highlight w:val="none"/>
                    </w:rPr>
                    <w:t>800</w:t>
                  </w:r>
                  <w:r>
                    <w:rPr>
                      <w:rFonts w:ascii="Times New Roman" w:eastAsia="宋体" w:cs="Times New Roman" w:hAnsi="Times New Roman"/>
                      <w:color w:val="auto"/>
                      <w:sz w:val="21"/>
                      <w:szCs w:val="21"/>
                      <w:u w:val="single"/>
                      <w:highlight w:val="none"/>
                    </w:rPr>
                    <w:t>m</w:t>
                  </w:r>
                  <w:r>
                    <w:rPr>
                      <w:rFonts w:cs="Times New Roman" w:hint="eastAsia"/>
                      <w:color w:val="auto"/>
                      <w:sz w:val="21"/>
                      <w:szCs w:val="21"/>
                      <w:u w:val="single"/>
                      <w:lang w:eastAsia="zh-CN"/>
                      <w:highlight w:val="none"/>
                    </w:rPr>
                    <w:t>，</w:t>
                  </w:r>
                  <w:r>
                    <w:rPr>
                      <w:rFonts w:ascii="Times New Roman" w:eastAsia="宋体" w:cs="Times New Roman" w:hAnsi="Times New Roman"/>
                      <w:kern w:val="0"/>
                      <w:sz w:val="21"/>
                      <w:szCs w:val="21"/>
                      <w:u w:val="single"/>
                      <w:lang w:val="en-US" w:eastAsia="zh-CN" w:bidi="ar-SA"/>
                      <w:highlight w:val="none"/>
                    </w:rPr>
                    <w:t>管径D</w:t>
                  </w:r>
                  <w:r>
                    <w:rPr>
                      <w:rFonts w:eastAsia="宋体" w:cs="Times New Roman" w:hint="eastAsia"/>
                      <w:kern w:val="0"/>
                      <w:sz w:val="21"/>
                      <w:szCs w:val="21"/>
                      <w:u w:val="single"/>
                      <w:lang w:val="en-US" w:eastAsia="zh-CN" w:bidi="ar-SA"/>
                      <w:highlight w:val="none"/>
                    </w:rPr>
                    <w:t>4</w:t>
                  </w:r>
                  <w:r>
                    <w:rPr>
                      <w:rFonts w:ascii="Times New Roman" w:eastAsia="宋体" w:cs="Times New Roman" w:hAnsi="Times New Roman" w:hint="eastAsia"/>
                      <w:kern w:val="0"/>
                      <w:sz w:val="21"/>
                      <w:szCs w:val="21"/>
                      <w:u w:val="single"/>
                      <w:lang w:val="en-US" w:eastAsia="zh-CN" w:bidi="ar-SA"/>
                      <w:highlight w:val="none"/>
                    </w:rPr>
                    <w:t>00</w:t>
                  </w:r>
                  <w:r>
                    <w:rPr>
                      <w:rFonts w:ascii="Times New Roman" w:eastAsia="宋体" w:cs="Times New Roman" w:hAnsi="Times New Roman"/>
                      <w:kern w:val="0"/>
                      <w:sz w:val="21"/>
                      <w:szCs w:val="21"/>
                      <w:u w:val="single"/>
                      <w:lang w:val="en-US" w:eastAsia="zh-CN" w:bidi="ar-SA"/>
                      <w:highlight w:val="none"/>
                    </w:rPr>
                    <w:t>，选用焊接钢管。管道采用开槽施工，管顶覆土均按0.75m设置。</w:t>
                  </w:r>
                  <w:r>
                    <w:rPr>
                      <w:rFonts w:ascii="Times New Roman" w:eastAsia="宋体" w:cs="Times New Roman" w:hAnsi="Times New Roman" w:hint="eastAsia"/>
                      <w:kern w:val="0"/>
                      <w:sz w:val="21"/>
                      <w:szCs w:val="21"/>
                      <w:u w:val="single"/>
                      <w:lang w:val="en-US" w:eastAsia="zh-CN" w:bidi="ar-SA"/>
                      <w:highlight w:val="none"/>
                    </w:rPr>
                    <w:t>原水</w:t>
                  </w:r>
                  <w:r>
                    <w:rPr>
                      <w:rFonts w:ascii="Times New Roman" w:eastAsia="宋体" w:cs="Times New Roman" w:hAnsi="Times New Roman"/>
                      <w:kern w:val="0"/>
                      <w:sz w:val="21"/>
                      <w:szCs w:val="21"/>
                      <w:u w:val="single"/>
                      <w:lang w:val="en-US" w:eastAsia="zh-CN" w:bidi="ar-SA"/>
                      <w:highlight w:val="none"/>
                    </w:rPr>
                    <w:t>经水厂净水处理达到《生活饮用水卫生标准》（</w:t>
                  </w:r>
                  <w:r>
                    <w:rPr>
                      <w:rFonts w:ascii="Times New Roman" w:cs="Times New Roman" w:hAnsi="Times New Roman" w:hint="eastAsia"/>
                      <w:kern w:val="0"/>
                      <w:sz w:val="21"/>
                      <w:szCs w:val="21"/>
                      <w:u w:val="single"/>
                      <w:lang w:val="en-US" w:eastAsia="zh-CN" w:bidi="ar-SA"/>
                      <w:highlight w:val="none"/>
                    </w:rPr>
                    <w:t>GB5749-2022</w:t>
                  </w:r>
                  <w:r>
                    <w:rPr>
                      <w:rFonts w:ascii="Times New Roman" w:eastAsia="宋体" w:cs="Times New Roman" w:hAnsi="Times New Roman"/>
                      <w:kern w:val="0"/>
                      <w:sz w:val="21"/>
                      <w:szCs w:val="21"/>
                      <w:u w:val="single"/>
                      <w:lang w:val="en-US" w:eastAsia="zh-CN" w:bidi="ar-SA"/>
                      <w:highlight w:val="none"/>
                    </w:rPr>
                    <w:t>）水质要求后，由</w:t>
                  </w:r>
                  <w:r>
                    <w:rPr>
                      <w:rFonts w:ascii="Times New Roman" w:eastAsia="宋体" w:cs="Times New Roman" w:hAnsi="Times New Roman" w:hint="eastAsia"/>
                      <w:kern w:val="0"/>
                      <w:sz w:val="21"/>
                      <w:szCs w:val="21"/>
                      <w:u w:val="single"/>
                      <w:lang w:val="en-US" w:eastAsia="zh-CN" w:bidi="ar-SA"/>
                      <w:highlight w:val="none"/>
                    </w:rPr>
                    <w:t>供</w:t>
                  </w:r>
                  <w:r>
                    <w:rPr>
                      <w:rFonts w:ascii="Times New Roman" w:eastAsia="宋体" w:cs="Times New Roman" w:hAnsi="Times New Roman"/>
                      <w:kern w:val="0"/>
                      <w:sz w:val="21"/>
                      <w:szCs w:val="21"/>
                      <w:u w:val="single"/>
                      <w:lang w:val="en-US" w:eastAsia="zh-CN" w:bidi="ar-SA"/>
                      <w:highlight w:val="none"/>
                    </w:rPr>
                    <w:t>水管网输送到水厂供水服务范围内各用水户。</w:t>
                  </w:r>
                  <w:r>
                    <w:rPr>
                      <w:rFonts w:ascii="Times New Roman" w:eastAsia="宋体" w:cs="Times New Roman" w:hAnsi="Times New Roman" w:hint="eastAsia"/>
                      <w:kern w:val="0"/>
                      <w:sz w:val="21"/>
                      <w:szCs w:val="21"/>
                      <w:u w:val="single"/>
                      <w:lang w:val="en-US" w:eastAsia="zh-CN" w:bidi="ar-SA"/>
                      <w:highlight w:val="none"/>
                    </w:rPr>
                    <w:t>供水管网沿路铺设，管径为</w:t>
                  </w:r>
                  <w:r>
                    <w:rPr>
                      <w:rFonts w:ascii="Times New Roman" w:eastAsia="宋体" w:cs="Times New Roman" w:hAnsi="Times New Roman"/>
                      <w:kern w:val="0"/>
                      <w:sz w:val="21"/>
                      <w:szCs w:val="21"/>
                      <w:u w:val="single"/>
                      <w:lang w:val="en-US" w:eastAsia="zh-CN" w:bidi="ar-SA"/>
                      <w:highlight w:val="none"/>
                    </w:rPr>
                    <w:t>DN</w:t>
                  </w:r>
                  <w:r>
                    <w:rPr>
                      <w:rFonts w:ascii="Times New Roman" w:eastAsia="宋体" w:cs="Times New Roman" w:hAnsi="Times New Roman" w:hint="eastAsia"/>
                      <w:kern w:val="0"/>
                      <w:sz w:val="21"/>
                      <w:szCs w:val="21"/>
                      <w:u w:val="single"/>
                      <w:lang w:val="en-US" w:eastAsia="zh-CN" w:bidi="ar-SA"/>
                      <w:highlight w:val="none"/>
                    </w:rPr>
                    <w:t>4</w:t>
                  </w:r>
                  <w:r>
                    <w:rPr>
                      <w:rFonts w:ascii="Times New Roman" w:eastAsia="宋体" w:cs="Times New Roman" w:hAnsi="Times New Roman"/>
                      <w:kern w:val="0"/>
                      <w:sz w:val="21"/>
                      <w:szCs w:val="21"/>
                      <w:u w:val="single"/>
                      <w:lang w:val="en-US" w:eastAsia="zh-CN" w:bidi="ar-SA"/>
                      <w:highlight w:val="none"/>
                    </w:rPr>
                    <w:t>00~DN50</w:t>
                  </w:r>
                  <w:r>
                    <w:rPr>
                      <w:rFonts w:ascii="Times New Roman" w:eastAsia="宋体" w:cs="Times New Roman" w:hAnsi="Times New Roman" w:hint="eastAsia"/>
                      <w:kern w:val="0"/>
                      <w:sz w:val="21"/>
                      <w:szCs w:val="21"/>
                      <w:u w:val="single"/>
                      <w:lang w:val="en-US" w:eastAsia="zh-CN" w:bidi="ar-SA"/>
                      <w:highlight w:val="none"/>
                    </w:rPr>
                    <w:t>。新建输供水管网总长约</w:t>
                  </w:r>
                  <w:r>
                    <w:rPr>
                      <w:rFonts w:ascii="Times New Roman" w:eastAsia="宋体" w:cs="Times New Roman" w:hAnsi="Times New Roman"/>
                      <w:color w:val="auto"/>
                      <w:sz w:val="21"/>
                      <w:szCs w:val="21"/>
                      <w:u w:val="single"/>
                      <w:highlight w:val="none"/>
                    </w:rPr>
                    <w:t>189.43</w:t>
                  </w:r>
                  <w:r>
                    <w:rPr>
                      <w:rFonts w:ascii="Times New Roman" w:eastAsia="宋体" w:cs="Times New Roman" w:hAnsi="Times New Roman"/>
                      <w:kern w:val="0"/>
                      <w:sz w:val="21"/>
                      <w:szCs w:val="21"/>
                      <w:u w:val="single"/>
                      <w:lang w:val="en-US" w:eastAsia="zh-CN" w:bidi="ar-SA"/>
                      <w:highlight w:val="none"/>
                    </w:rPr>
                    <w:t>km</w:t>
                  </w:r>
                  <w:r>
                    <w:rPr>
                      <w:rFonts w:eastAsia="宋体" w:cs="Times New Roman" w:hint="eastAsia"/>
                      <w:kern w:val="0"/>
                      <w:sz w:val="21"/>
                      <w:szCs w:val="21"/>
                      <w:u w:val="single"/>
                      <w:lang w:val="en-US" w:eastAsia="zh-CN" w:bidi="ar-SA"/>
                      <w:highlight w:val="none"/>
                    </w:rPr>
                    <w:t>，</w:t>
                  </w:r>
                  <w:r>
                    <w:rPr>
                      <w:rFonts w:ascii="Times New Roman" w:eastAsia="宋体" w:cs="Times New Roman" w:hAnsi="Times New Roman"/>
                      <w:color w:val="auto"/>
                      <w:sz w:val="21"/>
                      <w:szCs w:val="21"/>
                      <w:u w:val="single"/>
                      <w:lang w:val="zh-CN"/>
                      <w:highlight w:val="none"/>
                    </w:rPr>
                    <w:t>入户智能水表8091户。</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cs="Times New Roman" w:hAnsi="Times New Roman"/>
                      <w:color w:val="auto"/>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kern w:val="21"/>
                      <w:sz w:val="21"/>
                      <w:szCs w:val="21"/>
                      <w:u w:val="single"/>
                      <w:lang w:val="en-US" w:eastAsia="zh-CN"/>
                      <w:highlight w:val="none"/>
                    </w:rPr>
                    <w:t>蓄水池及</w:t>
                  </w:r>
                  <w:r>
                    <w:rPr>
                      <w:rFonts w:ascii="Times New Roman" w:eastAsia="宋体" w:hAnsi="Times New Roman"/>
                      <w:kern w:val="21"/>
                      <w:sz w:val="21"/>
                      <w:szCs w:val="21"/>
                      <w:u w:val="single"/>
                      <w:highlight w:val="none"/>
                    </w:rPr>
                    <w:t>加压泵站</w:t>
                  </w:r>
                  <w:r>
                    <w:rPr>
                      <w:rFonts w:ascii="Times New Roman" w:eastAsia="宋体" w:hAnsi="Times New Roman"/>
                      <w:color w:val="000000"/>
                      <w:kern w:val="21"/>
                      <w:sz w:val="21"/>
                      <w:szCs w:val="21"/>
                      <w:u w:val="single"/>
                      <w:highlight w:val="none"/>
                    </w:rPr>
                    <w:t>工程</w:t>
                  </w:r>
                </w:p>
              </w:tc>
              <w:tc>
                <w:tcPr>
                  <w:tcW w:w="3867" w:type="pct"/>
                  <w:gridSpan w:val="3"/>
                  <w:tcBorders>
                    <w:tl2br w:val="nil"/>
                    <w:tr2bl w:val="nil"/>
                  </w:tcBorders>
                  <w:vAlign w:val="center"/>
                </w:tcPr>
                <w:p>
                  <w:pPr>
                    <w:jc w:val="center"/>
                    <w:rPr>
                      <w:rFonts w:ascii="Times New Roman" w:eastAsia="宋体" w:hAnsi="Times New Roman"/>
                      <w:kern w:val="21"/>
                      <w:sz w:val="21"/>
                      <w:szCs w:val="21"/>
                      <w:u w:val="single"/>
                      <w:lang w:val="en-US"/>
                      <w:highlight w:val="none"/>
                    </w:rPr>
                  </w:pPr>
                  <w:r>
                    <w:rPr>
                      <w:rFonts w:ascii="Times New Roman" w:eastAsia="宋体" w:cs="Times New Roman" w:hAnsi="Times New Roman"/>
                      <w:color w:val="auto"/>
                      <w:sz w:val="21"/>
                      <w:szCs w:val="21"/>
                      <w:u w:val="single"/>
                    </w:rPr>
                    <w:t>新建200m</w:t>
                  </w:r>
                  <w:r>
                    <w:rPr>
                      <w:rFonts w:ascii="Times New Roman" w:eastAsia="宋体" w:cs="Times New Roman" w:hAnsi="Times New Roman"/>
                      <w:color w:val="auto"/>
                      <w:sz w:val="21"/>
                      <w:szCs w:val="21"/>
                      <w:u w:val="single"/>
                      <w:vertAlign w:val="superscript"/>
                    </w:rPr>
                    <w:t>3</w:t>
                  </w:r>
                  <w:r>
                    <w:rPr>
                      <w:rFonts w:ascii="Times New Roman" w:eastAsia="宋体" w:cs="Times New Roman" w:hAnsi="Times New Roman"/>
                      <w:color w:val="auto"/>
                      <w:sz w:val="21"/>
                      <w:szCs w:val="21"/>
                      <w:u w:val="single"/>
                    </w:rPr>
                    <w:t>蓄水池1座；新建400m</w:t>
                  </w:r>
                  <w:r>
                    <w:rPr>
                      <w:rFonts w:ascii="Times New Roman" w:eastAsia="宋体" w:cs="Times New Roman" w:hAnsi="Times New Roman"/>
                      <w:color w:val="auto"/>
                      <w:sz w:val="21"/>
                      <w:szCs w:val="21"/>
                      <w:u w:val="single"/>
                      <w:vertAlign w:val="superscript"/>
                    </w:rPr>
                    <w:t>3</w:t>
                  </w:r>
                  <w:r>
                    <w:rPr>
                      <w:rFonts w:ascii="Times New Roman" w:eastAsia="宋体" w:cs="Times New Roman" w:hAnsi="Times New Roman"/>
                      <w:color w:val="auto"/>
                      <w:sz w:val="21"/>
                      <w:szCs w:val="21"/>
                      <w:u w:val="single"/>
                    </w:rPr>
                    <w:t>蓄水池1座</w:t>
                  </w:r>
                  <w:r>
                    <w:rPr>
                      <w:rFonts w:ascii="Times New Roman" w:eastAsia="宋体" w:cs="Times New Roman" w:hAnsi="Times New Roman"/>
                      <w:color w:val="auto"/>
                      <w:sz w:val="21"/>
                      <w:szCs w:val="21"/>
                      <w:u w:val="single"/>
                      <w:lang w:eastAsia="zh-CN"/>
                    </w:rPr>
                    <w:t>。</w:t>
                  </w:r>
                  <w:r>
                    <w:rPr>
                      <w:rFonts w:ascii="Times New Roman" w:eastAsia="宋体" w:cs="Times New Roman" w:hAnsi="Times New Roman" w:hint="eastAsia"/>
                      <w:kern w:val="0"/>
                      <w:sz w:val="21"/>
                      <w:szCs w:val="21"/>
                      <w:u w:val="single"/>
                      <w:lang w:val="en-US" w:eastAsia="zh-CN" w:bidi="ar-SA"/>
                      <w:highlight w:val="none"/>
                    </w:rPr>
                    <w:t xml:space="preserve">在探裕-遇市村、东门村、干管D加压泵站、三岔湾、楠木、古台管段处各设置 </w:t>
                  </w:r>
                  <w:r>
                    <w:rPr>
                      <w:rFonts w:ascii="Times New Roman" w:eastAsia="宋体" w:cs="Times New Roman" w:hAnsi="Times New Roman"/>
                      <w:kern w:val="0"/>
                      <w:sz w:val="21"/>
                      <w:szCs w:val="21"/>
                      <w:u w:val="single"/>
                      <w:lang w:val="en-US" w:eastAsia="zh-CN" w:bidi="ar-SA"/>
                      <w:highlight w:val="none"/>
                    </w:rPr>
                    <w:t xml:space="preserve">1 </w:t>
                  </w:r>
                  <w:r>
                    <w:rPr>
                      <w:rFonts w:ascii="Times New Roman" w:eastAsia="宋体" w:cs="Times New Roman" w:hAnsi="Times New Roman" w:hint="eastAsia"/>
                      <w:kern w:val="0"/>
                      <w:sz w:val="21"/>
                      <w:szCs w:val="21"/>
                      <w:u w:val="single"/>
                      <w:lang w:val="en-US" w:eastAsia="zh-CN" w:bidi="ar-SA"/>
                      <w:highlight w:val="none"/>
                    </w:rPr>
                    <w:t>处加压泵站，共</w:t>
                  </w:r>
                  <w:r>
                    <w:rPr>
                      <w:rFonts w:ascii="Times New Roman" w:eastAsia="宋体" w:cs="Times New Roman" w:hAnsi="Times New Roman" w:hint="eastAsia"/>
                      <w:bCs/>
                      <w:color w:val="auto"/>
                      <w:sz w:val="21"/>
                      <w:szCs w:val="16"/>
                      <w:u w:val="single"/>
                      <w:lang w:val="en-US" w:eastAsia="zh-CN"/>
                      <w:highlight w:val="none"/>
                    </w:rPr>
                    <w:t>六</w:t>
                  </w:r>
                  <w:r>
                    <w:rPr>
                      <w:rFonts w:ascii="Times New Roman" w:eastAsia="宋体" w:cs="Times New Roman" w:hAnsi="Times New Roman" w:hint="eastAsia"/>
                      <w:bCs/>
                      <w:color w:val="auto"/>
                      <w:sz w:val="21"/>
                      <w:szCs w:val="16"/>
                      <w:u w:val="single"/>
                      <w:lang w:val="en-US" w:eastAsia="zh-CN"/>
                      <w:highlight w:val="none"/>
                    </w:rPr>
                    <w:t>座中途加压泵站</w:t>
                  </w:r>
                </w:p>
              </w:tc>
              <w:tc>
                <w:tcPr>
                  <w:tcW w:w="429" w:type="pct"/>
                  <w:tcBorders>
                    <w:tl2br w:val="nil"/>
                    <w:tr2bl w:val="nil"/>
                  </w:tcBorders>
                  <w:vAlign w:val="center"/>
                </w:tcPr>
                <w:p>
                  <w:pPr>
                    <w:jc w:val="center"/>
                    <w:rPr>
                      <w:rFonts w:ascii="Times New Roman" w:eastAsia="宋体" w:cs="Times New Roman" w:hAnsi="Times New Roman"/>
                      <w:color w:val="auto"/>
                      <w:sz w:val="21"/>
                      <w:szCs w:val="21"/>
                      <w:u w:val="singl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太青水厂新</w:t>
                  </w:r>
                  <w:r>
                    <w:rPr>
                      <w:rFonts w:ascii="Times New Roman" w:eastAsia="宋体" w:hAnsi="Times New Roman"/>
                      <w:color w:val="000000"/>
                      <w:kern w:val="21"/>
                      <w:sz w:val="21"/>
                      <w:szCs w:val="21"/>
                      <w:u w:val="single"/>
                      <w:highlight w:val="none"/>
                    </w:rPr>
                    <w:t>建工程</w:t>
                  </w:r>
                </w:p>
              </w:tc>
              <w:tc>
                <w:tcPr>
                  <w:tcW w:w="408"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网格絮凝斜管池</w:t>
                  </w:r>
                </w:p>
              </w:tc>
              <w:tc>
                <w:tcPr>
                  <w:tcW w:w="3458" w:type="pct"/>
                  <w:gridSpan w:val="2"/>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 xml:space="preserve">网格絮凝池充分利用水力混合原理，在竖向流道中放置网格反应絮凝设备，一座分两组。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 xml:space="preserve">工艺参数：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单组絮凝池尺寸：5.8m</w:t>
                  </w:r>
                  <w:r>
                    <w:rPr>
                      <w:rFonts w:ascii="Times New Roman" w:eastAsia="宋体" w:cs="Times New Roman" w:hAnsi="Times New Roman"/>
                      <w:kern w:val="21"/>
                      <w:sz w:val="21"/>
                      <w:szCs w:val="21"/>
                      <w:u w:val="single"/>
                      <w:lang w:val="en-US" w:eastAsia="zh-CN"/>
                      <w:highlight w:val="none"/>
                    </w:rPr>
                    <w:t>×</w:t>
                  </w:r>
                  <w:r>
                    <w:rPr>
                      <w:rFonts w:ascii="Times New Roman" w:eastAsia="宋体" w:cs="Times New Roman" w:hAnsi="Times New Roman" w:hint="eastAsia"/>
                      <w:kern w:val="21"/>
                      <w:sz w:val="21"/>
                      <w:szCs w:val="21"/>
                      <w:u w:val="single"/>
                      <w:lang w:val="en-US" w:eastAsia="zh-CN"/>
                      <w:highlight w:val="none"/>
                    </w:rPr>
                    <w:t>2.5m</w:t>
                  </w:r>
                  <w:r>
                    <w:rPr>
                      <w:rFonts w:ascii="Times New Roman" w:eastAsia="宋体" w:cs="Times New Roman" w:hAnsi="Times New Roman"/>
                      <w:kern w:val="21"/>
                      <w:sz w:val="21"/>
                      <w:szCs w:val="21"/>
                      <w:u w:val="single"/>
                      <w:lang w:val="en-US" w:eastAsia="zh-CN"/>
                      <w:highlight w:val="none"/>
                    </w:rPr>
                    <w:t>×</w:t>
                  </w:r>
                  <w:r>
                    <w:rPr>
                      <w:rFonts w:ascii="Times New Roman" w:eastAsia="宋体" w:cs="Times New Roman" w:hAnsi="Times New Roman" w:hint="eastAsia"/>
                      <w:kern w:val="21"/>
                      <w:sz w:val="21"/>
                      <w:szCs w:val="21"/>
                      <w:u w:val="single"/>
                      <w:lang w:val="en-US" w:eastAsia="zh-CN"/>
                      <w:highlight w:val="none"/>
                    </w:rPr>
                    <w:t xml:space="preserve">4.8m（水深 </w:t>
                  </w:r>
                  <w:r>
                    <w:rPr>
                      <w:rFonts w:ascii="Times New Roman" w:eastAsia="宋体" w:cs="Times New Roman" w:hAnsi="Times New Roman"/>
                      <w:kern w:val="21"/>
                      <w:sz w:val="21"/>
                      <w:szCs w:val="21"/>
                      <w:u w:val="single"/>
                      <w:lang w:val="en-US" w:eastAsia="zh-CN"/>
                      <w:highlight w:val="none"/>
                    </w:rPr>
                    <w:t>4.5m</w:t>
                  </w:r>
                  <w:r>
                    <w:rPr>
                      <w:rFonts w:ascii="Times New Roman" w:eastAsia="宋体" w:cs="Times New Roman" w:hAnsi="Times New Roman" w:hint="eastAsia"/>
                      <w:kern w:val="21"/>
                      <w:sz w:val="21"/>
                      <w:szCs w:val="21"/>
                      <w:u w:val="single"/>
                      <w:lang w:val="en-US" w:eastAsia="zh-CN"/>
                      <w:highlight w:val="none"/>
                    </w:rPr>
                    <w:t xml:space="preserve">）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网格格数：</w:t>
                  </w:r>
                  <w:r>
                    <w:rPr>
                      <w:rFonts w:ascii="Times New Roman" w:eastAsia="宋体" w:cs="Times New Roman" w:hAnsi="Times New Roman"/>
                      <w:kern w:val="21"/>
                      <w:sz w:val="21"/>
                      <w:szCs w:val="21"/>
                      <w:u w:val="single"/>
                      <w:lang w:val="en-US" w:eastAsia="zh-CN"/>
                      <w:highlight w:val="none"/>
                    </w:rPr>
                    <w:t xml:space="preserve">24 </w:t>
                  </w:r>
                  <w:r>
                    <w:rPr>
                      <w:rFonts w:ascii="Times New Roman" w:eastAsia="宋体" w:cs="Times New Roman" w:hAnsi="Times New Roman" w:hint="eastAsia"/>
                      <w:kern w:val="21"/>
                      <w:sz w:val="21"/>
                      <w:szCs w:val="21"/>
                      <w:u w:val="single"/>
                      <w:lang w:val="en-US" w:eastAsia="zh-CN"/>
                      <w:highlight w:val="none"/>
                    </w:rPr>
                    <w:t xml:space="preserve">格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絮凝时间：</w:t>
                  </w:r>
                  <w:r>
                    <w:rPr>
                      <w:rFonts w:ascii="Times New Roman" w:eastAsia="宋体" w:cs="Times New Roman" w:hAnsi="Times New Roman"/>
                      <w:kern w:val="21"/>
                      <w:sz w:val="21"/>
                      <w:szCs w:val="21"/>
                      <w:u w:val="single"/>
                      <w:lang w:val="en-US" w:eastAsia="zh-CN"/>
                      <w:highlight w:val="none"/>
                    </w:rPr>
                    <w:t>17.71min</w:t>
                  </w:r>
                </w:p>
              </w:tc>
              <w:tc>
                <w:tcPr>
                  <w:tcW w:w="429"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center"/>
                    <w:textAlignment w:val="baseline"/>
                    <w:rPr>
                      <w:rFonts w:ascii="Times New Roman" w:eastAsia="宋体" w:cs="Times New Roman" w:hAnsi="Times New Roman"/>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vMerge/>
                  <w:tcBorders>
                    <w:tl2br w:val="nil"/>
                    <w:tr2bl w:val="nil"/>
                  </w:tcBorders>
                  <w:vAlign w:val="center"/>
                </w:tcPr>
                <w:p/>
              </w:tc>
              <w:tc>
                <w:tcPr>
                  <w:tcW w:w="408"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hint="eastAsia"/>
                      <w:kern w:val="21"/>
                      <w:sz w:val="21"/>
                      <w:szCs w:val="21"/>
                      <w:u w:val="single"/>
                      <w:lang w:val="en-US" w:eastAsia="zh-CN"/>
                      <w:highlight w:val="none"/>
                    </w:rPr>
                  </w:pPr>
                  <w:r>
                    <w:rPr>
                      <w:rFonts w:ascii="Times New Roman" w:eastAsia="宋体" w:hAnsi="Times New Roman" w:hint="eastAsia"/>
                      <w:kern w:val="21"/>
                      <w:sz w:val="21"/>
                      <w:szCs w:val="21"/>
                      <w:u w:val="single"/>
                      <w:lang w:val="en-US" w:eastAsia="zh-CN"/>
                      <w:highlight w:val="none"/>
                    </w:rPr>
                    <w:t>斜管沉淀池</w:t>
                  </w:r>
                </w:p>
              </w:tc>
              <w:tc>
                <w:tcPr>
                  <w:tcW w:w="3458" w:type="pct"/>
                  <w:gridSpan w:val="2"/>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 xml:space="preserve">沉淀采用斜管沉淀池型式，一座分两组，设计规模为 </w:t>
                  </w:r>
                  <w:r>
                    <w:rPr>
                      <w:rFonts w:ascii="Times New Roman" w:eastAsia="宋体" w:cs="Times New Roman" w:hAnsi="Times New Roman"/>
                      <w:kern w:val="21"/>
                      <w:sz w:val="21"/>
                      <w:szCs w:val="21"/>
                      <w:u w:val="single"/>
                      <w:lang w:val="en-US" w:eastAsia="zh-CN"/>
                      <w:highlight w:val="none"/>
                    </w:rPr>
                    <w:t>Q=1.</w:t>
                  </w:r>
                  <w:r>
                    <w:rPr>
                      <w:rFonts w:ascii="Times New Roman" w:eastAsia="宋体" w:cs="Times New Roman" w:hAnsi="Times New Roman" w:hint="eastAsia"/>
                      <w:kern w:val="21"/>
                      <w:sz w:val="21"/>
                      <w:szCs w:val="21"/>
                      <w:u w:val="single"/>
                      <w:lang w:val="en-US" w:eastAsia="zh-CN"/>
                      <w:highlight w:val="none"/>
                    </w:rPr>
                    <w:t>0</w:t>
                  </w:r>
                  <w:r>
                    <w:rPr>
                      <w:rFonts w:ascii="Times New Roman" w:eastAsia="宋体" w:cs="Times New Roman" w:hAnsi="Times New Roman"/>
                      <w:kern w:val="21"/>
                      <w:sz w:val="21"/>
                      <w:szCs w:val="21"/>
                      <w:u w:val="single"/>
                      <w:lang w:val="en-US" w:eastAsia="zh-CN"/>
                      <w:highlight w:val="none"/>
                    </w:rPr>
                    <w:t xml:space="preserve"> </w:t>
                  </w:r>
                  <w:r>
                    <w:rPr>
                      <w:rFonts w:ascii="Times New Roman" w:eastAsia="宋体" w:cs="Times New Roman" w:hAnsi="Times New Roman" w:hint="eastAsia"/>
                      <w:kern w:val="21"/>
                      <w:sz w:val="21"/>
                      <w:szCs w:val="21"/>
                      <w:u w:val="single"/>
                      <w:lang w:val="en-US" w:eastAsia="zh-CN"/>
                      <w:highlight w:val="none"/>
                    </w:rPr>
                    <w:t xml:space="preserve">万 </w:t>
                  </w:r>
                  <w:r>
                    <w:rPr>
                      <w:rFonts w:ascii="Times New Roman" w:eastAsia="宋体" w:cs="Times New Roman" w:hAnsi="Times New Roman"/>
                      <w:kern w:val="21"/>
                      <w:sz w:val="21"/>
                      <w:szCs w:val="21"/>
                      <w:u w:val="single"/>
                      <w:lang w:val="en-US" w:eastAsia="zh-CN"/>
                      <w:highlight w:val="none"/>
                    </w:rPr>
                    <w:t>m</w:t>
                  </w:r>
                  <w:r>
                    <w:rPr>
                      <w:rFonts w:ascii="Times New Roman" w:eastAsia="宋体" w:cs="Times New Roman" w:hAnsi="Times New Roman" w:hint="eastAsia"/>
                      <w:kern w:val="21"/>
                      <w:sz w:val="21"/>
                      <w:szCs w:val="21"/>
                      <w:u w:val="single"/>
                      <w:lang w:val="en-US" w:eastAsia="zh-CN"/>
                      <w:highlight w:val="none"/>
                    </w:rPr>
                    <w:t>³</w:t>
                  </w:r>
                  <w:r>
                    <w:rPr>
                      <w:rFonts w:ascii="Times New Roman" w:eastAsia="宋体" w:cs="Times New Roman" w:hAnsi="Times New Roman"/>
                      <w:kern w:val="21"/>
                      <w:sz w:val="21"/>
                      <w:szCs w:val="21"/>
                      <w:u w:val="single"/>
                      <w:lang w:val="en-US" w:eastAsia="zh-CN"/>
                      <w:highlight w:val="none"/>
                    </w:rPr>
                    <w:t>/d</w:t>
                  </w:r>
                  <w:r>
                    <w:rPr>
                      <w:rFonts w:ascii="Times New Roman" w:eastAsia="宋体" w:cs="Times New Roman" w:hAnsi="Times New Roman" w:hint="eastAsia"/>
                      <w:kern w:val="21"/>
                      <w:sz w:val="21"/>
                      <w:szCs w:val="21"/>
                      <w:u w:val="single"/>
                      <w:lang w:val="en-US" w:eastAsia="zh-CN"/>
                      <w:highlight w:val="none"/>
                    </w:rPr>
                    <w:t xml:space="preserve">，自用水系数 </w:t>
                  </w:r>
                  <w:r>
                    <w:rPr>
                      <w:rFonts w:ascii="Times New Roman" w:eastAsia="宋体" w:cs="Times New Roman" w:hAnsi="Times New Roman"/>
                      <w:kern w:val="21"/>
                      <w:sz w:val="21"/>
                      <w:szCs w:val="21"/>
                      <w:u w:val="single"/>
                      <w:lang w:val="en-US" w:eastAsia="zh-CN"/>
                      <w:highlight w:val="none"/>
                    </w:rPr>
                    <w:t>K=1.05</w:t>
                  </w:r>
                  <w:r>
                    <w:rPr>
                      <w:rFonts w:ascii="Times New Roman" w:eastAsia="宋体" w:cs="Times New Roman" w:hAnsi="Times New Roman" w:hint="eastAsia"/>
                      <w:kern w:val="21"/>
                      <w:sz w:val="21"/>
                      <w:szCs w:val="21"/>
                      <w:u w:val="single"/>
                      <w:lang w:val="en-US" w:eastAsia="zh-CN"/>
                      <w:highlight w:val="none"/>
                    </w:rPr>
                    <w:t xml:space="preserve">。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 xml:space="preserve">工艺参数：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单组沉淀池尺寸：</w:t>
                  </w:r>
                  <w:r>
                    <w:rPr>
                      <w:rFonts w:ascii="Times New Roman" w:eastAsia="宋体" w:cs="Times New Roman" w:hAnsi="Times New Roman" w:hint="eastAsia"/>
                      <w:kern w:val="21"/>
                      <w:sz w:val="21"/>
                      <w:szCs w:val="21"/>
                      <w:u w:val="single"/>
                      <w:lang w:val="en-US" w:eastAsia="zh-CN"/>
                      <w:highlight w:val="none"/>
                    </w:rPr>
                    <w:t>6.8</w:t>
                  </w:r>
                  <w:r>
                    <w:rPr>
                      <w:rFonts w:ascii="Times New Roman" w:eastAsia="宋体" w:cs="Times New Roman" w:hAnsi="Times New Roman"/>
                      <w:kern w:val="21"/>
                      <w:sz w:val="21"/>
                      <w:szCs w:val="21"/>
                      <w:u w:val="single"/>
                      <w:lang w:val="en-US" w:eastAsia="zh-CN"/>
                      <w:highlight w:val="none"/>
                    </w:rPr>
                    <w:t>m*</w:t>
                  </w:r>
                  <w:r>
                    <w:rPr>
                      <w:rFonts w:ascii="Times New Roman" w:eastAsia="宋体" w:cs="Times New Roman" w:hAnsi="Times New Roman" w:hint="eastAsia"/>
                      <w:kern w:val="21"/>
                      <w:sz w:val="21"/>
                      <w:szCs w:val="21"/>
                      <w:u w:val="single"/>
                      <w:lang w:val="en-US" w:eastAsia="zh-CN"/>
                      <w:highlight w:val="none"/>
                    </w:rPr>
                    <w:t>5.8</w:t>
                  </w:r>
                  <w:r>
                    <w:rPr>
                      <w:rFonts w:ascii="Times New Roman" w:eastAsia="宋体" w:cs="Times New Roman" w:hAnsi="Times New Roman"/>
                      <w:kern w:val="21"/>
                      <w:sz w:val="21"/>
                      <w:szCs w:val="21"/>
                      <w:u w:val="single"/>
                      <w:lang w:val="en-US" w:eastAsia="zh-CN"/>
                      <w:highlight w:val="none"/>
                    </w:rPr>
                    <w:t>m*4.</w:t>
                  </w:r>
                  <w:r>
                    <w:rPr>
                      <w:rFonts w:ascii="Times New Roman" w:eastAsia="宋体" w:cs="Times New Roman" w:hAnsi="Times New Roman" w:hint="eastAsia"/>
                      <w:kern w:val="21"/>
                      <w:sz w:val="21"/>
                      <w:szCs w:val="21"/>
                      <w:u w:val="single"/>
                      <w:lang w:val="en-US" w:eastAsia="zh-CN"/>
                      <w:highlight w:val="none"/>
                    </w:rPr>
                    <w:t>9</w:t>
                  </w:r>
                  <w:r>
                    <w:rPr>
                      <w:rFonts w:ascii="Times New Roman" w:eastAsia="宋体" w:cs="Times New Roman" w:hAnsi="Times New Roman"/>
                      <w:kern w:val="21"/>
                      <w:sz w:val="21"/>
                      <w:szCs w:val="21"/>
                      <w:u w:val="single"/>
                      <w:lang w:val="en-US" w:eastAsia="zh-CN"/>
                      <w:highlight w:val="none"/>
                    </w:rPr>
                    <w:t xml:space="preserve">m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hAnsi="Times New Roman"/>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沉淀负荷：</w:t>
                  </w:r>
                  <w:r>
                    <w:rPr>
                      <w:rFonts w:ascii="Times New Roman" w:eastAsia="宋体" w:cs="Times New Roman" w:hAnsi="Times New Roman"/>
                      <w:kern w:val="21"/>
                      <w:sz w:val="21"/>
                      <w:szCs w:val="21"/>
                      <w:u w:val="single"/>
                      <w:lang w:val="en-US" w:eastAsia="zh-CN"/>
                      <w:highlight w:val="none"/>
                    </w:rPr>
                    <w:t>5.</w:t>
                  </w:r>
                  <w:r>
                    <w:rPr>
                      <w:rFonts w:ascii="Times New Roman" w:eastAsia="宋体" w:cs="Times New Roman" w:hAnsi="Times New Roman" w:hint="eastAsia"/>
                      <w:kern w:val="21"/>
                      <w:sz w:val="21"/>
                      <w:szCs w:val="21"/>
                      <w:u w:val="single"/>
                      <w:lang w:val="en-US" w:eastAsia="zh-CN"/>
                      <w:highlight w:val="none"/>
                    </w:rPr>
                    <w:t>99</w:t>
                  </w:r>
                  <w:r>
                    <w:rPr>
                      <w:rFonts w:ascii="Times New Roman" w:eastAsia="宋体" w:cs="Times New Roman" w:hAnsi="Times New Roman"/>
                      <w:kern w:val="21"/>
                      <w:sz w:val="21"/>
                      <w:szCs w:val="21"/>
                      <w:u w:val="single"/>
                      <w:lang w:val="en-US" w:eastAsia="zh-CN"/>
                      <w:highlight w:val="none"/>
                    </w:rPr>
                    <w:t>m³/</w:t>
                  </w:r>
                  <w:r>
                    <w:rPr>
                      <w:rFonts w:ascii="Times New Roman" w:eastAsia="宋体" w:cs="Times New Roman" w:hAnsi="Times New Roman" w:hint="eastAsia"/>
                      <w:kern w:val="21"/>
                      <w:sz w:val="21"/>
                      <w:szCs w:val="21"/>
                      <w:u w:val="single"/>
                      <w:lang w:val="en-US" w:eastAsia="zh-CN"/>
                      <w:highlight w:val="none"/>
                    </w:rPr>
                    <w:t>（</w:t>
                  </w:r>
                  <w:r>
                    <w:rPr>
                      <w:rFonts w:ascii="Times New Roman" w:eastAsia="宋体" w:cs="Times New Roman" w:hAnsi="Times New Roman"/>
                      <w:kern w:val="21"/>
                      <w:sz w:val="21"/>
                      <w:szCs w:val="21"/>
                      <w:u w:val="single"/>
                      <w:lang w:val="en-US" w:eastAsia="zh-CN"/>
                      <w:highlight w:val="none"/>
                    </w:rPr>
                    <w:t>m</w:t>
                  </w:r>
                  <w:r>
                    <w:rPr>
                      <w:rFonts w:ascii="Times New Roman" w:eastAsia="宋体" w:cs="Times New Roman" w:hAnsi="Times New Roman"/>
                      <w:kern w:val="21"/>
                      <w:sz w:val="21"/>
                      <w:szCs w:val="21"/>
                      <w:u w:val="single"/>
                      <w:vertAlign w:val="superscript"/>
                      <w:lang w:val="en-US" w:eastAsia="zh-CN"/>
                      <w:highlight w:val="none"/>
                    </w:rPr>
                    <w:t>2</w:t>
                  </w:r>
                  <w:r>
                    <w:rPr>
                      <w:rFonts w:ascii="Times New Roman" w:eastAsia="宋体" w:cs="Times New Roman" w:hAnsi="Times New Roman" w:hint="eastAsia"/>
                      <w:kern w:val="21"/>
                      <w:sz w:val="21"/>
                      <w:szCs w:val="21"/>
                      <w:u w:val="single"/>
                      <w:lang w:val="en-US" w:eastAsia="zh-CN"/>
                      <w:highlight w:val="none"/>
                    </w:rPr>
                    <w:t>·</w:t>
                  </w:r>
                  <w:r>
                    <w:rPr>
                      <w:rFonts w:ascii="Times New Roman" w:eastAsia="宋体" w:cs="Times New Roman" w:hAnsi="Times New Roman"/>
                      <w:kern w:val="21"/>
                      <w:sz w:val="21"/>
                      <w:szCs w:val="21"/>
                      <w:u w:val="single"/>
                      <w:lang w:val="en-US" w:eastAsia="zh-CN"/>
                      <w:highlight w:val="none"/>
                    </w:rPr>
                    <w:t>h</w:t>
                  </w:r>
                  <w:r>
                    <w:rPr>
                      <w:rFonts w:ascii="Times New Roman" w:eastAsia="宋体" w:cs="Times New Roman" w:hAnsi="Times New Roman" w:hint="eastAsia"/>
                      <w:kern w:val="21"/>
                      <w:sz w:val="21"/>
                      <w:szCs w:val="21"/>
                      <w:u w:val="single"/>
                      <w:lang w:val="en-US" w:eastAsia="zh-CN"/>
                      <w:highlight w:val="none"/>
                    </w:rPr>
                    <w:t>）</w:t>
                  </w:r>
                </w:p>
              </w:tc>
              <w:tc>
                <w:tcPr>
                  <w:tcW w:w="429"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center"/>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vMerge/>
                  <w:tcBorders>
                    <w:tl2br w:val="nil"/>
                    <w:tr2bl w:val="nil"/>
                  </w:tcBorders>
                  <w:vAlign w:val="center"/>
                </w:tcPr>
                <w:p/>
              </w:tc>
              <w:tc>
                <w:tcPr>
                  <w:tcW w:w="408"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lang w:val="en-US" w:eastAsia="zh-CN"/>
                      <w:highlight w:val="none"/>
                    </w:rPr>
                  </w:pPr>
                  <w:r>
                    <w:rPr>
                      <w:rFonts w:ascii="Times New Roman" w:eastAsia="宋体" w:hAnsi="Times New Roman" w:hint="eastAsia"/>
                      <w:kern w:val="21"/>
                      <w:sz w:val="21"/>
                      <w:szCs w:val="21"/>
                      <w:u w:val="single"/>
                      <w:lang w:val="en-US" w:eastAsia="zh-CN"/>
                      <w:highlight w:val="none"/>
                    </w:rPr>
                    <w:t>滤砖滤池</w:t>
                  </w:r>
                </w:p>
              </w:tc>
              <w:tc>
                <w:tcPr>
                  <w:tcW w:w="3458" w:type="pct"/>
                  <w:gridSpan w:val="2"/>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 xml:space="preserve">设计规模为 </w:t>
                  </w:r>
                  <w:r>
                    <w:rPr>
                      <w:rFonts w:ascii="Times New Roman" w:eastAsia="宋体" w:cs="Times New Roman" w:hAnsi="Times New Roman"/>
                      <w:kern w:val="21"/>
                      <w:sz w:val="21"/>
                      <w:szCs w:val="21"/>
                      <w:u w:val="single"/>
                      <w:lang w:val="en-US" w:eastAsia="zh-CN"/>
                      <w:highlight w:val="none"/>
                    </w:rPr>
                    <w:t>Q=1.</w:t>
                  </w:r>
                  <w:r>
                    <w:rPr>
                      <w:rFonts w:ascii="Times New Roman" w:eastAsia="宋体" w:cs="Times New Roman" w:hAnsi="Times New Roman" w:hint="eastAsia"/>
                      <w:kern w:val="21"/>
                      <w:sz w:val="21"/>
                      <w:szCs w:val="21"/>
                      <w:u w:val="single"/>
                      <w:lang w:val="en-US" w:eastAsia="zh-CN"/>
                      <w:highlight w:val="none"/>
                    </w:rPr>
                    <w:t>0</w:t>
                  </w:r>
                  <w:r>
                    <w:rPr>
                      <w:rFonts w:ascii="Times New Roman" w:eastAsia="宋体" w:cs="Times New Roman" w:hAnsi="Times New Roman"/>
                      <w:kern w:val="21"/>
                      <w:sz w:val="21"/>
                      <w:szCs w:val="21"/>
                      <w:u w:val="single"/>
                      <w:lang w:val="en-US" w:eastAsia="zh-CN"/>
                      <w:highlight w:val="none"/>
                    </w:rPr>
                    <w:t xml:space="preserve"> </w:t>
                  </w:r>
                  <w:r>
                    <w:rPr>
                      <w:rFonts w:ascii="Times New Roman" w:eastAsia="宋体" w:cs="Times New Roman" w:hAnsi="Times New Roman" w:hint="eastAsia"/>
                      <w:kern w:val="21"/>
                      <w:sz w:val="21"/>
                      <w:szCs w:val="21"/>
                      <w:u w:val="single"/>
                      <w:lang w:val="en-US" w:eastAsia="zh-CN"/>
                      <w:highlight w:val="none"/>
                    </w:rPr>
                    <w:t xml:space="preserve">万 </w:t>
                  </w:r>
                  <w:r>
                    <w:rPr>
                      <w:rFonts w:ascii="Times New Roman" w:eastAsia="宋体" w:cs="Times New Roman" w:hAnsi="Times New Roman"/>
                      <w:kern w:val="21"/>
                      <w:sz w:val="21"/>
                      <w:szCs w:val="21"/>
                      <w:u w:val="single"/>
                      <w:lang w:val="en-US" w:eastAsia="zh-CN"/>
                      <w:highlight w:val="none"/>
                    </w:rPr>
                    <w:t>m</w:t>
                  </w:r>
                  <w:r>
                    <w:rPr>
                      <w:rFonts w:ascii="Times New Roman" w:eastAsia="宋体" w:cs="Times New Roman" w:hAnsi="Times New Roman" w:hint="eastAsia"/>
                      <w:kern w:val="21"/>
                      <w:sz w:val="21"/>
                      <w:szCs w:val="21"/>
                      <w:u w:val="single"/>
                      <w:lang w:val="en-US" w:eastAsia="zh-CN"/>
                      <w:highlight w:val="none"/>
                    </w:rPr>
                    <w:t>³</w:t>
                  </w:r>
                  <w:r>
                    <w:rPr>
                      <w:rFonts w:ascii="Times New Roman" w:eastAsia="宋体" w:cs="Times New Roman" w:hAnsi="Times New Roman"/>
                      <w:kern w:val="21"/>
                      <w:sz w:val="21"/>
                      <w:szCs w:val="21"/>
                      <w:u w:val="single"/>
                      <w:lang w:val="en-US" w:eastAsia="zh-CN"/>
                      <w:highlight w:val="none"/>
                    </w:rPr>
                    <w:t>/d</w:t>
                  </w:r>
                  <w:r>
                    <w:rPr>
                      <w:rFonts w:ascii="Times New Roman" w:eastAsia="宋体" w:cs="Times New Roman" w:hAnsi="Times New Roman" w:hint="eastAsia"/>
                      <w:kern w:val="21"/>
                      <w:sz w:val="21"/>
                      <w:szCs w:val="21"/>
                      <w:u w:val="single"/>
                      <w:lang w:val="en-US" w:eastAsia="zh-CN"/>
                      <w:highlight w:val="none"/>
                    </w:rPr>
                    <w:t>，自用水系数</w:t>
                  </w:r>
                  <w:r>
                    <w:rPr>
                      <w:rFonts w:ascii="Times New Roman" w:eastAsia="宋体" w:cs="Times New Roman" w:hAnsi="Times New Roman"/>
                      <w:kern w:val="21"/>
                      <w:sz w:val="21"/>
                      <w:szCs w:val="21"/>
                      <w:u w:val="single"/>
                      <w:lang w:val="en-US" w:eastAsia="zh-CN"/>
                      <w:highlight w:val="none"/>
                    </w:rPr>
                    <w:t>K=1.05</w:t>
                  </w:r>
                  <w:r>
                    <w:rPr>
                      <w:rFonts w:ascii="Times New Roman" w:eastAsia="宋体" w:cs="Times New Roman" w:hAnsi="Times New Roman" w:hint="eastAsia"/>
                      <w:kern w:val="21"/>
                      <w:sz w:val="21"/>
                      <w:szCs w:val="21"/>
                      <w:u w:val="single"/>
                      <w:lang w:val="en-US" w:eastAsia="zh-CN"/>
                      <w:highlight w:val="none"/>
                    </w:rPr>
                    <w:t xml:space="preserve">。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 xml:space="preserve">工艺参数：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格数：</w:t>
                  </w:r>
                  <w:r>
                    <w:rPr>
                      <w:rFonts w:ascii="Times New Roman" w:eastAsia="宋体" w:cs="Times New Roman" w:hAnsi="Times New Roman"/>
                      <w:kern w:val="21"/>
                      <w:sz w:val="21"/>
                      <w:szCs w:val="21"/>
                      <w:u w:val="single"/>
                      <w:lang w:val="en-US" w:eastAsia="zh-CN"/>
                      <w:highlight w:val="none"/>
                    </w:rPr>
                    <w:t xml:space="preserve">4 </w:t>
                  </w:r>
                  <w:r>
                    <w:rPr>
                      <w:rFonts w:ascii="Times New Roman" w:eastAsia="宋体" w:cs="Times New Roman" w:hAnsi="Times New Roman" w:hint="eastAsia"/>
                      <w:kern w:val="21"/>
                      <w:sz w:val="21"/>
                      <w:szCs w:val="21"/>
                      <w:u w:val="single"/>
                      <w:lang w:val="en-US" w:eastAsia="zh-CN"/>
                      <w:highlight w:val="none"/>
                    </w:rPr>
                    <w:t xml:space="preserve">格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单格尺寸：4.8m</w:t>
                  </w:r>
                  <w:r>
                    <w:rPr>
                      <w:rFonts w:ascii="Times New Roman" w:eastAsia="宋体" w:cs="Times New Roman" w:hAnsi="Times New Roman"/>
                      <w:kern w:val="21"/>
                      <w:sz w:val="21"/>
                      <w:szCs w:val="21"/>
                      <w:u w:val="single"/>
                      <w:lang w:val="en-US" w:eastAsia="zh-CN"/>
                      <w:highlight w:val="none"/>
                    </w:rPr>
                    <w:t>×</w:t>
                  </w:r>
                  <w:r>
                    <w:rPr>
                      <w:rFonts w:ascii="Times New Roman" w:eastAsia="宋体" w:cs="Times New Roman" w:hAnsi="Times New Roman" w:hint="eastAsia"/>
                      <w:kern w:val="21"/>
                      <w:sz w:val="21"/>
                      <w:szCs w:val="21"/>
                      <w:u w:val="single"/>
                      <w:lang w:val="en-US" w:eastAsia="zh-CN"/>
                      <w:highlight w:val="none"/>
                    </w:rPr>
                    <w:t>2.9</w:t>
                  </w:r>
                  <w:r>
                    <w:rPr>
                      <w:rFonts w:ascii="Times New Roman" w:eastAsia="宋体" w:cs="Times New Roman" w:hAnsi="Times New Roman"/>
                      <w:kern w:val="21"/>
                      <w:sz w:val="21"/>
                      <w:szCs w:val="21"/>
                      <w:u w:val="single"/>
                      <w:lang w:val="en-US" w:eastAsia="zh-CN"/>
                      <w:highlight w:val="none"/>
                    </w:rPr>
                    <w:t>×</w:t>
                  </w:r>
                  <w:r>
                    <w:rPr>
                      <w:rFonts w:ascii="Times New Roman" w:eastAsia="宋体" w:cs="Times New Roman" w:hAnsi="Times New Roman" w:hint="eastAsia"/>
                      <w:kern w:val="21"/>
                      <w:sz w:val="21"/>
                      <w:szCs w:val="21"/>
                      <w:u w:val="single"/>
                      <w:lang w:val="en-US" w:eastAsia="zh-CN"/>
                      <w:highlight w:val="none"/>
                    </w:rPr>
                    <w:t>4.5m</w:t>
                  </w:r>
                  <w:r>
                    <w:rPr>
                      <w:rFonts w:ascii="Times New Roman" w:eastAsia="宋体" w:cs="Times New Roman" w:hAnsi="Times New Roman"/>
                      <w:kern w:val="21"/>
                      <w:sz w:val="21"/>
                      <w:szCs w:val="21"/>
                      <w:u w:val="single"/>
                      <w:lang w:val="en-US" w:eastAsia="zh-CN"/>
                      <w:highlight w:val="none"/>
                    </w:rPr>
                    <w:t xml:space="preserve"> </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hAnsi="Times New Roman" w:hint="eastAsia"/>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滤速：</w:t>
                  </w:r>
                  <w:r>
                    <w:rPr>
                      <w:rFonts w:ascii="Times New Roman" w:eastAsia="宋体" w:cs="Times New Roman" w:hAnsi="Times New Roman" w:hint="eastAsia"/>
                      <w:kern w:val="21"/>
                      <w:sz w:val="21"/>
                      <w:szCs w:val="21"/>
                      <w:u w:val="single"/>
                      <w:lang w:val="en-US" w:eastAsia="zh-CN"/>
                      <w:highlight w:val="none"/>
                    </w:rPr>
                    <w:t>7.86</w:t>
                  </w:r>
                  <w:r>
                    <w:rPr>
                      <w:rFonts w:ascii="Times New Roman" w:eastAsia="宋体" w:cs="Times New Roman" w:hAnsi="Times New Roman"/>
                      <w:kern w:val="21"/>
                      <w:sz w:val="21"/>
                      <w:szCs w:val="21"/>
                      <w:u w:val="single"/>
                      <w:lang w:val="en-US" w:eastAsia="zh-CN"/>
                      <w:highlight w:val="none"/>
                    </w:rPr>
                    <w:t xml:space="preserve">m/h </w:t>
                  </w:r>
                </w:p>
              </w:tc>
              <w:tc>
                <w:tcPr>
                  <w:tcW w:w="429"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center"/>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vMerge/>
                  <w:tcBorders>
                    <w:tl2br w:val="nil"/>
                    <w:tr2bl w:val="nil"/>
                  </w:tcBorders>
                  <w:vAlign w:val="center"/>
                </w:tcPr>
                <w:p/>
              </w:tc>
              <w:tc>
                <w:tcPr>
                  <w:tcW w:w="408"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反冲洗泵房</w:t>
                  </w:r>
                </w:p>
              </w:tc>
              <w:tc>
                <w:tcPr>
                  <w:tcW w:w="3458" w:type="pct"/>
                  <w:gridSpan w:val="2"/>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泵房按-1+1层设计，平面尺寸29.68m×6.60m，包括反冲洗水泵间、送水泵房间及配电间。反冲洗水泵间布置成地下式，以保证反冲洗水泵快速自灌启动。</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反冲洗泵：双吸卧式离心泵Q=240m</w:t>
                  </w:r>
                  <w:r>
                    <w:rPr>
                      <w:rFonts w:ascii="Times New Roman" w:eastAsia="宋体" w:cs="Times New Roman" w:hAnsi="Times New Roman"/>
                      <w:kern w:val="21"/>
                      <w:sz w:val="21"/>
                      <w:szCs w:val="21"/>
                      <w:u w:val="single"/>
                      <w:lang w:val="en-US" w:eastAsia="zh-CN"/>
                      <w:highlight w:val="none"/>
                    </w:rPr>
                    <w:t>³</w:t>
                  </w:r>
                  <w:r>
                    <w:rPr>
                      <w:rFonts w:ascii="Times New Roman" w:eastAsia="宋体" w:cs="Times New Roman" w:hAnsi="Times New Roman" w:hint="eastAsia"/>
                      <w:kern w:val="21"/>
                      <w:sz w:val="21"/>
                      <w:szCs w:val="21"/>
                      <w:u w:val="single"/>
                      <w:lang w:val="en-US" w:eastAsia="zh-CN"/>
                      <w:highlight w:val="none"/>
                    </w:rPr>
                    <w:t>/h，H=12m，P=15Kw，n=970转/分，二用一备。</w:t>
                  </w:r>
                </w:p>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left"/>
                    <w:textAlignment w:val="baseline"/>
                    <w:rPr>
                      <w:rFonts w:ascii="Times New Roman" w:eastAsia="宋体" w:hAnsi="Times New Roman"/>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送水泵房：①输水干管C：2台ISG-200-500（Ⅰ）型离心泵，Q=305m</w:t>
                  </w:r>
                  <w:r>
                    <w:rPr>
                      <w:rFonts w:ascii="Times New Roman" w:eastAsia="宋体" w:cs="Times New Roman" w:hAnsi="Times New Roman"/>
                      <w:kern w:val="21"/>
                      <w:sz w:val="21"/>
                      <w:szCs w:val="21"/>
                      <w:u w:val="single"/>
                      <w:lang w:val="en-US" w:eastAsia="zh-CN"/>
                      <w:highlight w:val="none"/>
                    </w:rPr>
                    <w:t>³</w:t>
                  </w:r>
                  <w:r>
                    <w:rPr>
                      <w:rFonts w:ascii="Times New Roman" w:eastAsia="宋体" w:cs="Times New Roman" w:hAnsi="Times New Roman" w:hint="eastAsia"/>
                      <w:kern w:val="21"/>
                      <w:sz w:val="21"/>
                      <w:szCs w:val="21"/>
                      <w:u w:val="single"/>
                      <w:lang w:val="en-US" w:eastAsia="zh-CN"/>
                      <w:highlight w:val="none"/>
                    </w:rPr>
                    <w:t>/h，H=80m，N=90Kw，一用一备。</w:t>
                  </w:r>
                </w:p>
              </w:tc>
              <w:tc>
                <w:tcPr>
                  <w:tcW w:w="429"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center"/>
                    <w:textAlignment w:val="baseline"/>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vMerge/>
                  <w:tcBorders>
                    <w:tl2br w:val="nil"/>
                    <w:tr2bl w:val="nil"/>
                  </w:tcBorders>
                  <w:vAlign w:val="center"/>
                </w:tcPr>
                <w:p/>
              </w:tc>
              <w:tc>
                <w:tcPr>
                  <w:tcW w:w="408"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清水池</w:t>
                  </w:r>
                </w:p>
              </w:tc>
              <w:tc>
                <w:tcPr>
                  <w:tcW w:w="3458" w:type="pct"/>
                  <w:gridSpan w:val="2"/>
                  <w:tcBorders>
                    <w:tl2br w:val="nil"/>
                    <w:tr2bl w:val="nil"/>
                  </w:tcBorders>
                  <w:vAlign w:val="center"/>
                </w:tcPr>
                <w:p>
                  <w:pPr>
                    <w:pStyle w:val="47"/>
                    <w:spacing w:beforeLines="0" w:before="10" w:afterLines="0" w:after="10" w:line="240" w:lineRule="auto"/>
                    <w:ind w:left="0" w:right="0" w:firstLine="0"/>
                    <w:jc w:val="left"/>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数量：</w:t>
                  </w:r>
                  <w:r>
                    <w:rPr>
                      <w:rFonts w:ascii="Times New Roman" w:eastAsia="宋体" w:cs="Times New Roman" w:hAnsi="Times New Roman"/>
                      <w:kern w:val="21"/>
                      <w:sz w:val="21"/>
                      <w:szCs w:val="21"/>
                      <w:u w:val="single"/>
                      <w:lang w:val="en-US" w:eastAsia="zh-CN"/>
                      <w:highlight w:val="none"/>
                    </w:rPr>
                    <w:t xml:space="preserve">2 </w:t>
                  </w:r>
                  <w:r>
                    <w:rPr>
                      <w:rFonts w:ascii="Times New Roman" w:eastAsia="宋体" w:cs="Times New Roman" w:hAnsi="Times New Roman" w:hint="eastAsia"/>
                      <w:kern w:val="21"/>
                      <w:sz w:val="21"/>
                      <w:szCs w:val="21"/>
                      <w:u w:val="single"/>
                      <w:lang w:val="en-US" w:eastAsia="zh-CN"/>
                      <w:highlight w:val="none"/>
                    </w:rPr>
                    <w:t xml:space="preserve">座。 </w:t>
                  </w:r>
                </w:p>
                <w:p>
                  <w:pPr>
                    <w:pStyle w:val="47"/>
                    <w:spacing w:beforeLines="0" w:before="10" w:afterLines="0" w:after="10" w:line="240" w:lineRule="auto"/>
                    <w:ind w:left="0" w:right="0" w:firstLine="0"/>
                    <w:jc w:val="left"/>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 xml:space="preserve">结构形式：钢筋混凝土封闭结构； </w:t>
                  </w:r>
                </w:p>
                <w:p>
                  <w:pPr>
                    <w:pStyle w:val="47"/>
                    <w:spacing w:beforeLines="0" w:before="10" w:afterLines="0" w:after="10" w:line="240" w:lineRule="auto"/>
                    <w:ind w:left="0" w:right="0" w:firstLine="0"/>
                    <w:jc w:val="left"/>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 xml:space="preserve">设计有效水深 </w:t>
                  </w:r>
                  <w:r>
                    <w:rPr>
                      <w:rFonts w:ascii="Times New Roman" w:eastAsia="宋体" w:cs="Times New Roman" w:hAnsi="Times New Roman" w:hint="eastAsia"/>
                      <w:kern w:val="21"/>
                      <w:sz w:val="21"/>
                      <w:szCs w:val="21"/>
                      <w:u w:val="single"/>
                      <w:lang w:val="en-US" w:eastAsia="zh-CN"/>
                      <w:highlight w:val="none"/>
                    </w:rPr>
                    <w:t>4.2</w:t>
                  </w:r>
                  <w:r>
                    <w:rPr>
                      <w:rFonts w:ascii="Times New Roman" w:eastAsia="宋体" w:cs="Times New Roman" w:hAnsi="Times New Roman"/>
                      <w:kern w:val="21"/>
                      <w:sz w:val="21"/>
                      <w:szCs w:val="21"/>
                      <w:u w:val="single"/>
                      <w:lang w:val="en-US" w:eastAsia="zh-CN"/>
                      <w:highlight w:val="none"/>
                    </w:rPr>
                    <w:t>m</w:t>
                  </w:r>
                  <w:r>
                    <w:rPr>
                      <w:rFonts w:ascii="Times New Roman" w:eastAsia="宋体" w:cs="Times New Roman" w:hAnsi="Times New Roman" w:hint="eastAsia"/>
                      <w:kern w:val="21"/>
                      <w:sz w:val="21"/>
                      <w:szCs w:val="21"/>
                      <w:u w:val="single"/>
                      <w:lang w:val="en-US" w:eastAsia="zh-CN"/>
                      <w:highlight w:val="none"/>
                    </w:rPr>
                    <w:t xml:space="preserve">。 </w:t>
                  </w:r>
                </w:p>
                <w:p>
                  <w:pPr>
                    <w:pStyle w:val="47"/>
                    <w:spacing w:beforeLines="0" w:before="10" w:afterLines="0" w:after="10" w:line="240" w:lineRule="auto"/>
                    <w:ind w:left="0" w:right="0" w:firstLine="0"/>
                    <w:jc w:val="left"/>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新建清水池设计有效容积：</w:t>
                  </w:r>
                  <w:r>
                    <w:rPr>
                      <w:rFonts w:ascii="Times New Roman" w:eastAsia="宋体" w:cs="Times New Roman" w:hAnsi="Times New Roman"/>
                      <w:kern w:val="21"/>
                      <w:sz w:val="21"/>
                      <w:szCs w:val="21"/>
                      <w:u w:val="single"/>
                      <w:lang w:val="en-US" w:eastAsia="zh-CN"/>
                      <w:highlight w:val="none"/>
                    </w:rPr>
                    <w:t>V=1</w:t>
                  </w:r>
                  <w:r>
                    <w:rPr>
                      <w:rFonts w:ascii="Times New Roman" w:eastAsia="宋体" w:cs="Times New Roman" w:hAnsi="Times New Roman" w:hint="eastAsia"/>
                      <w:kern w:val="21"/>
                      <w:sz w:val="21"/>
                      <w:szCs w:val="21"/>
                      <w:u w:val="single"/>
                      <w:lang w:val="en-US" w:eastAsia="zh-CN"/>
                      <w:highlight w:val="none"/>
                    </w:rPr>
                    <w:t>5</w:t>
                  </w:r>
                  <w:r>
                    <w:rPr>
                      <w:rFonts w:ascii="Times New Roman" w:eastAsia="宋体" w:cs="Times New Roman" w:hAnsi="Times New Roman"/>
                      <w:kern w:val="21"/>
                      <w:sz w:val="21"/>
                      <w:szCs w:val="21"/>
                      <w:u w:val="single"/>
                      <w:lang w:val="en-US" w:eastAsia="zh-CN"/>
                      <w:highlight w:val="none"/>
                    </w:rPr>
                    <w:t>00m³</w:t>
                  </w:r>
                  <w:r>
                    <w:rPr>
                      <w:rFonts w:ascii="Times New Roman" w:eastAsia="宋体" w:cs="Times New Roman" w:hAnsi="Times New Roman" w:hint="eastAsia"/>
                      <w:kern w:val="21"/>
                      <w:sz w:val="21"/>
                      <w:szCs w:val="21"/>
                      <w:u w:val="single"/>
                      <w:lang w:val="en-US" w:eastAsia="zh-CN"/>
                      <w:highlight w:val="none"/>
                    </w:rPr>
                    <w:t xml:space="preserve">。 </w:t>
                  </w:r>
                </w:p>
                <w:p>
                  <w:pPr>
                    <w:pStyle w:val="47"/>
                    <w:spacing w:beforeLines="0" w:before="10" w:afterLines="0" w:after="10" w:line="240" w:lineRule="auto"/>
                    <w:ind w:left="0" w:right="0" w:firstLine="0"/>
                    <w:jc w:val="left"/>
                    <w:rPr>
                      <w:rFonts w:ascii="Times New Roman" w:eastAsia="宋体" w:hAnsi="Times New Roman"/>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 xml:space="preserve">清水池内部设置导流墙，导流墙顶距池顶板 </w:t>
                  </w:r>
                  <w:r>
                    <w:rPr>
                      <w:rFonts w:ascii="Times New Roman" w:eastAsia="宋体" w:cs="Times New Roman" w:hAnsi="Times New Roman"/>
                      <w:kern w:val="21"/>
                      <w:sz w:val="21"/>
                      <w:szCs w:val="21"/>
                      <w:u w:val="single"/>
                      <w:lang w:val="en-US" w:eastAsia="zh-CN"/>
                      <w:highlight w:val="none"/>
                    </w:rPr>
                    <w:t>200</w:t>
                  </w:r>
                  <w:r>
                    <w:rPr>
                      <w:rFonts w:ascii="Times New Roman" w:eastAsia="宋体" w:cs="Times New Roman" w:hAnsi="Times New Roman" w:hint="eastAsia"/>
                      <w:kern w:val="21"/>
                      <w:sz w:val="21"/>
                      <w:szCs w:val="21"/>
                      <w:u w:val="single"/>
                      <w:lang w:val="en-US" w:eastAsia="zh-CN"/>
                      <w:highlight w:val="none"/>
                    </w:rPr>
                    <w:t xml:space="preserve">，导流墙底部每隔 </w:t>
                  </w:r>
                  <w:r>
                    <w:rPr>
                      <w:rFonts w:ascii="Times New Roman" w:eastAsia="宋体" w:cs="Times New Roman" w:hAnsi="Times New Roman"/>
                      <w:kern w:val="21"/>
                      <w:sz w:val="21"/>
                      <w:szCs w:val="21"/>
                      <w:u w:val="single"/>
                      <w:lang w:val="en-US" w:eastAsia="zh-CN"/>
                      <w:highlight w:val="none"/>
                    </w:rPr>
                    <w:t xml:space="preserve">2m </w:t>
                  </w:r>
                  <w:r>
                    <w:rPr>
                      <w:rFonts w:ascii="Times New Roman" w:eastAsia="宋体" w:cs="Times New Roman" w:hAnsi="Times New Roman" w:hint="eastAsia"/>
                      <w:kern w:val="21"/>
                      <w:sz w:val="21"/>
                      <w:szCs w:val="21"/>
                      <w:u w:val="single"/>
                      <w:lang w:val="en-US" w:eastAsia="zh-CN"/>
                      <w:highlight w:val="none"/>
                    </w:rPr>
                    <w:t xml:space="preserve">开流水孔洞，孔洞大小为 </w:t>
                  </w:r>
                  <w:r>
                    <w:rPr>
                      <w:rFonts w:ascii="Times New Roman" w:eastAsia="宋体" w:cs="Times New Roman" w:hAnsi="Times New Roman"/>
                      <w:kern w:val="21"/>
                      <w:sz w:val="21"/>
                      <w:szCs w:val="21"/>
                      <w:u w:val="single"/>
                      <w:lang w:val="en-US" w:eastAsia="zh-CN"/>
                      <w:highlight w:val="none"/>
                    </w:rPr>
                    <w:t>120×120mm</w:t>
                  </w:r>
                  <w:r>
                    <w:rPr>
                      <w:rFonts w:ascii="Times New Roman" w:eastAsia="宋体" w:cs="Times New Roman" w:hAnsi="Times New Roman" w:hint="eastAsia"/>
                      <w:kern w:val="21"/>
                      <w:sz w:val="21"/>
                      <w:szCs w:val="21"/>
                      <w:u w:val="single"/>
                      <w:lang w:val="en-US" w:eastAsia="zh-CN"/>
                      <w:highlight w:val="none"/>
                    </w:rPr>
                    <w:t>。</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vMerge/>
                  <w:tcBorders>
                    <w:tl2br w:val="nil"/>
                    <w:tr2bl w:val="nil"/>
                  </w:tcBorders>
                  <w:vAlign w:val="center"/>
                </w:tcPr>
                <w:p/>
              </w:tc>
              <w:tc>
                <w:tcPr>
                  <w:tcW w:w="408"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hint="eastAsia"/>
                      <w:kern w:val="21"/>
                      <w:sz w:val="21"/>
                      <w:szCs w:val="21"/>
                      <w:u w:val="single"/>
                      <w:lang w:val="en-US" w:eastAsia="zh-CN"/>
                      <w:highlight w:val="none"/>
                    </w:rPr>
                  </w:pPr>
                  <w:r>
                    <w:rPr>
                      <w:rFonts w:ascii="Times New Roman" w:eastAsia="宋体" w:hAnsi="Times New Roman" w:hint="eastAsia"/>
                      <w:kern w:val="21"/>
                      <w:sz w:val="21"/>
                      <w:szCs w:val="21"/>
                      <w:u w:val="single"/>
                      <w:lang w:val="en-US" w:eastAsia="zh-CN"/>
                      <w:highlight w:val="none"/>
                    </w:rPr>
                    <w:t>吸水井</w:t>
                  </w:r>
                </w:p>
              </w:tc>
              <w:tc>
                <w:tcPr>
                  <w:tcW w:w="3458" w:type="pct"/>
                  <w:gridSpan w:val="2"/>
                  <w:tcBorders>
                    <w:tl2br w:val="nil"/>
                    <w:tr2bl w:val="nil"/>
                  </w:tcBorders>
                  <w:vAlign w:val="center"/>
                </w:tcPr>
                <w:p>
                  <w:pPr>
                    <w:pStyle w:val="47"/>
                    <w:spacing w:beforeLines="0" w:before="10" w:afterLines="0" w:after="10" w:line="240" w:lineRule="auto"/>
                    <w:ind w:left="0" w:right="0" w:firstLine="0"/>
                    <w:jc w:val="left"/>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送水泵房前设吸水井1座，尺寸：15m×</w:t>
                  </w:r>
                  <w:r>
                    <w:rPr>
                      <w:rFonts w:ascii="Times New Roman" w:eastAsia="宋体" w:cs="Times New Roman" w:hAnsi="Times New Roman" w:hint="eastAsia"/>
                      <w:kern w:val="21"/>
                      <w:sz w:val="21"/>
                      <w:szCs w:val="21"/>
                      <w:u w:val="single"/>
                      <w:lang w:val="en-US" w:eastAsia="zh-CN"/>
                      <w:highlight w:val="none"/>
                    </w:rPr>
                    <w:t>4</w:t>
                  </w:r>
                  <w:r>
                    <w:rPr>
                      <w:rFonts w:ascii="Times New Roman" w:eastAsia="宋体" w:cs="Times New Roman" w:hAnsi="Times New Roman" w:hint="eastAsia"/>
                      <w:kern w:val="21"/>
                      <w:sz w:val="21"/>
                      <w:szCs w:val="21"/>
                      <w:u w:val="single"/>
                      <w:lang w:val="en-US" w:eastAsia="zh-CN"/>
                      <w:highlight w:val="none"/>
                    </w:rPr>
                    <w:t>.6m×5.6m（水深4.7m）。</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vMerge/>
                  <w:tcBorders>
                    <w:tl2br w:val="nil"/>
                    <w:tr2bl w:val="nil"/>
                  </w:tcBorders>
                  <w:vAlign w:val="center"/>
                </w:tcPr>
                <w:p/>
              </w:tc>
              <w:tc>
                <w:tcPr>
                  <w:tcW w:w="408"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cs="Times New Roman" w:hAnsi="Times New Roman" w:hint="eastAsia"/>
                      <w:kern w:val="21"/>
                      <w:sz w:val="21"/>
                      <w:szCs w:val="21"/>
                      <w:u w:val="single"/>
                      <w:lang w:val="zh-CN" w:eastAsia="zh-CN"/>
                      <w:highlight w:val="none"/>
                    </w:rPr>
                    <w:t>回用水池及排泥调节池</w:t>
                  </w:r>
                </w:p>
              </w:tc>
              <w:tc>
                <w:tcPr>
                  <w:tcW w:w="3458" w:type="pct"/>
                  <w:gridSpan w:val="2"/>
                  <w:tcBorders>
                    <w:tl2br w:val="nil"/>
                    <w:tr2bl w:val="nil"/>
                  </w:tcBorders>
                  <w:vAlign w:val="center"/>
                </w:tcPr>
                <w:p>
                  <w:pPr>
                    <w:pStyle w:val="47"/>
                    <w:spacing w:beforeLines="0" w:before="10" w:afterLines="0" w:after="10" w:line="240" w:lineRule="auto"/>
                    <w:ind w:left="0" w:right="0" w:firstLine="0"/>
                    <w:jc w:val="left"/>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数量：1座。</w:t>
                  </w:r>
                </w:p>
                <w:p>
                  <w:pPr>
                    <w:pStyle w:val="47"/>
                    <w:spacing w:beforeLines="0" w:before="10" w:afterLines="0" w:after="10" w:line="240" w:lineRule="auto"/>
                    <w:ind w:left="0" w:right="0" w:firstLine="0"/>
                    <w:jc w:val="left"/>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结构形式：钢筋混凝土封闭结构。</w:t>
                  </w:r>
                </w:p>
                <w:p>
                  <w:pPr>
                    <w:pStyle w:val="47"/>
                    <w:spacing w:beforeLines="0" w:before="10" w:afterLines="0" w:after="10" w:line="240" w:lineRule="auto"/>
                    <w:ind w:left="0" w:right="0" w:firstLine="0"/>
                    <w:jc w:val="left"/>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kern w:val="21"/>
                      <w:sz w:val="21"/>
                      <w:szCs w:val="21"/>
                      <w:u w:val="single"/>
                      <w:lang w:val="en-US" w:eastAsia="zh-CN"/>
                      <w:highlight w:val="none"/>
                    </w:rPr>
                    <w:t>尺寸：14m×6.9m×4.25m。</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vMerge/>
                  <w:tcBorders>
                    <w:tl2br w:val="nil"/>
                    <w:tr2bl w:val="nil"/>
                  </w:tcBorders>
                  <w:vAlign w:val="center"/>
                </w:tcPr>
                <w:p/>
              </w:tc>
              <w:tc>
                <w:tcPr>
                  <w:tcW w:w="408"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加药间</w:t>
                  </w:r>
                </w:p>
              </w:tc>
              <w:tc>
                <w:tcPr>
                  <w:tcW w:w="3458" w:type="pct"/>
                  <w:gridSpan w:val="2"/>
                  <w:tcBorders>
                    <w:tl2br w:val="nil"/>
                    <w:tr2bl w:val="nil"/>
                  </w:tcBorders>
                  <w:vAlign w:val="center"/>
                </w:tcPr>
                <w:p>
                  <w:pPr>
                    <w:pStyle w:val="47"/>
                    <w:spacing w:beforeLines="0" w:before="10" w:afterLines="0" w:after="10" w:line="240" w:lineRule="auto"/>
                    <w:ind w:left="0" w:right="0" w:firstLine="0"/>
                    <w:jc w:val="left"/>
                    <w:rPr>
                      <w:rFonts w:ascii="Times New Roman" w:eastAsia="宋体" w:hAnsi="Times New Roman"/>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 xml:space="preserve">新建加药间一间，设计处理能力 </w:t>
                  </w:r>
                  <w:r>
                    <w:rPr>
                      <w:rFonts w:ascii="Times New Roman" w:eastAsia="宋体" w:cs="Times New Roman" w:hAnsi="Times New Roman"/>
                      <w:kern w:val="21"/>
                      <w:sz w:val="21"/>
                      <w:szCs w:val="21"/>
                      <w:u w:val="single"/>
                      <w:lang w:val="en-US" w:eastAsia="zh-CN"/>
                      <w:highlight w:val="none"/>
                    </w:rPr>
                    <w:t>1</w:t>
                  </w:r>
                  <w:r>
                    <w:rPr>
                      <w:rFonts w:ascii="Times New Roman" w:eastAsia="宋体" w:cs="Times New Roman" w:hAnsi="Times New Roman" w:hint="eastAsia"/>
                      <w:kern w:val="21"/>
                      <w:sz w:val="21"/>
                      <w:szCs w:val="21"/>
                      <w:u w:val="single"/>
                      <w:lang w:val="en-US" w:eastAsia="zh-CN"/>
                      <w:highlight w:val="none"/>
                    </w:rPr>
                    <w:t>0</w:t>
                  </w:r>
                  <w:r>
                    <w:rPr>
                      <w:rFonts w:ascii="Times New Roman" w:eastAsia="宋体" w:cs="Times New Roman" w:hAnsi="Times New Roman"/>
                      <w:kern w:val="21"/>
                      <w:sz w:val="21"/>
                      <w:szCs w:val="21"/>
                      <w:u w:val="single"/>
                      <w:lang w:val="en-US" w:eastAsia="zh-CN"/>
                      <w:highlight w:val="none"/>
                    </w:rPr>
                    <w:t>000m³/d</w:t>
                  </w:r>
                  <w:r>
                    <w:rPr>
                      <w:rFonts w:ascii="Times New Roman" w:eastAsia="宋体" w:cs="Times New Roman" w:hAnsi="Times New Roman" w:hint="eastAsia"/>
                      <w:kern w:val="21"/>
                      <w:sz w:val="21"/>
                      <w:szCs w:val="21"/>
                      <w:u w:val="single"/>
                      <w:lang w:val="en-US" w:eastAsia="zh-CN"/>
                      <w:highlight w:val="none"/>
                    </w:rPr>
                    <w:t>。设有次氯酸钠发生器系统</w:t>
                  </w:r>
                  <w:r>
                    <w:rPr>
                      <w:rFonts w:ascii="Times New Roman" w:eastAsia="宋体" w:hAnsi="Times New Roman"/>
                      <w:kern w:val="21"/>
                      <w:sz w:val="21"/>
                      <w:szCs w:val="21"/>
                      <w:u w:val="single"/>
                      <w:highlight w:val="none"/>
                    </w:rPr>
                    <w:t>及加矾系统。</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cs="Times New Roman" w:hAnsi="Times New Roman" w:hint="eastAsia"/>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lang w:val="en-US" w:eastAsia="zh-CN"/>
                      <w:highlight w:val="none"/>
                    </w:rPr>
                  </w:pPr>
                  <w:r>
                    <w:rPr>
                      <w:rFonts w:ascii="Times New Roman" w:eastAsia="宋体" w:hAnsi="Times New Roman" w:hint="eastAsia"/>
                      <w:color w:val="000000"/>
                      <w:kern w:val="21"/>
                      <w:sz w:val="21"/>
                      <w:szCs w:val="21"/>
                      <w:u w:val="single"/>
                      <w:lang w:val="en-US" w:eastAsia="zh-CN"/>
                      <w:highlight w:val="none"/>
                    </w:rPr>
                    <w:t>辅助工程</w:t>
                  </w:r>
                </w:p>
              </w:tc>
              <w:tc>
                <w:tcPr>
                  <w:tcW w:w="459"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lang w:val="en-US" w:eastAsia="zh-CN"/>
                      <w:highlight w:val="none"/>
                    </w:rPr>
                  </w:pPr>
                  <w:r>
                    <w:rPr>
                      <w:rFonts w:ascii="Times New Roman" w:eastAsia="宋体" w:hAnsi="Times New Roman" w:hint="eastAsia"/>
                      <w:color w:val="000000"/>
                      <w:kern w:val="21"/>
                      <w:sz w:val="21"/>
                      <w:szCs w:val="21"/>
                      <w:u w:val="single"/>
                      <w:lang w:val="en-US" w:eastAsia="zh-CN"/>
                      <w:highlight w:val="none"/>
                    </w:rPr>
                    <w:t>管理房</w:t>
                  </w:r>
                </w:p>
              </w:tc>
              <w:tc>
                <w:tcPr>
                  <w:tcW w:w="3867" w:type="pct"/>
                  <w:gridSpan w:val="3"/>
                  <w:tcBorders>
                    <w:tl2br w:val="nil"/>
                    <w:tr2bl w:val="nil"/>
                  </w:tcBorders>
                  <w:vAlign w:val="center"/>
                </w:tcPr>
                <w:p>
                  <w:pPr>
                    <w:pStyle w:val="47"/>
                    <w:spacing w:beforeLines="0" w:before="10" w:afterLines="0" w:after="10" w:line="240" w:lineRule="auto"/>
                    <w:ind w:left="0" w:right="0" w:firstLine="0"/>
                    <w:jc w:val="center"/>
                    <w:rPr>
                      <w:rFonts w:ascii="Times New Roman" w:eastAsia="宋体" w:hAnsi="Times New Roman" w:hint="eastAsia"/>
                      <w:kern w:val="21"/>
                      <w:sz w:val="21"/>
                      <w:szCs w:val="21"/>
                      <w:u w:val="single"/>
                      <w:highlight w:val="none"/>
                    </w:rPr>
                  </w:pPr>
                  <w:r>
                    <w:rPr>
                      <w:rFonts w:ascii="Times New Roman" w:eastAsia="宋体" w:hAnsi="Times New Roman" w:hint="eastAsia"/>
                      <w:kern w:val="21"/>
                      <w:sz w:val="21"/>
                      <w:szCs w:val="21"/>
                      <w:u w:val="single"/>
                      <w:lang w:val="en-US" w:eastAsia="zh-CN"/>
                      <w:highlight w:val="none"/>
                    </w:rPr>
                    <w:t>1栋1层，砖混结构，</w:t>
                  </w:r>
                  <w:r>
                    <w:rPr>
                      <w:rFonts w:ascii="Times New Roman" w:eastAsia="宋体" w:hAnsi="Times New Roman" w:hint="eastAsia"/>
                      <w:kern w:val="21"/>
                      <w:sz w:val="21"/>
                      <w:szCs w:val="21"/>
                      <w:u w:val="single"/>
                      <w:highlight w:val="none"/>
                    </w:rPr>
                    <w:t>占地面积</w:t>
                  </w:r>
                  <w:r>
                    <w:rPr>
                      <w:rFonts w:ascii="Times New Roman" w:eastAsia="宋体" w:hAnsi="Times New Roman" w:hint="eastAsia"/>
                      <w:kern w:val="21"/>
                      <w:sz w:val="21"/>
                      <w:szCs w:val="21"/>
                      <w:u w:val="single"/>
                      <w:lang w:val="en-US" w:eastAsia="zh-CN"/>
                      <w:highlight w:val="none"/>
                    </w:rPr>
                    <w:t>55.20</w:t>
                  </w:r>
                  <w:r>
                    <w:rPr>
                      <w:rFonts w:ascii="Times New Roman" w:eastAsia="宋体" w:hAnsi="Times New Roman" w:hint="eastAsia"/>
                      <w:kern w:val="21"/>
                      <w:sz w:val="21"/>
                      <w:szCs w:val="21"/>
                      <w:u w:val="single"/>
                      <w:highlight w:val="none"/>
                    </w:rPr>
                    <w:t>m</w:t>
                  </w:r>
                  <w:r>
                    <w:rPr>
                      <w:rFonts w:ascii="Times New Roman" w:eastAsia="宋体" w:hAnsi="Times New Roman" w:hint="eastAsia"/>
                      <w:kern w:val="21"/>
                      <w:sz w:val="21"/>
                      <w:szCs w:val="21"/>
                      <w:u w:val="single"/>
                      <w:vertAlign w:val="superscript"/>
                      <w:highlight w:val="none"/>
                    </w:rPr>
                    <w:t>2</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hAnsi="Times New Roman" w:hint="eastAsia"/>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lang w:val="en-US" w:eastAsia="zh-CN"/>
                      <w:highlight w:val="none"/>
                    </w:rPr>
                  </w:pPr>
                  <w:r>
                    <w:rPr>
                      <w:rFonts w:ascii="Times New Roman" w:eastAsia="宋体" w:hAnsi="Times New Roman" w:hint="eastAsia"/>
                      <w:color w:val="000000"/>
                      <w:kern w:val="21"/>
                      <w:sz w:val="21"/>
                      <w:szCs w:val="21"/>
                      <w:u w:val="single"/>
                      <w:lang w:val="en-US" w:eastAsia="zh-CN"/>
                      <w:highlight w:val="none"/>
                    </w:rPr>
                    <w:t>净水辅助间</w:t>
                  </w:r>
                </w:p>
              </w:tc>
              <w:tc>
                <w:tcPr>
                  <w:tcW w:w="3867" w:type="pct"/>
                  <w:gridSpan w:val="3"/>
                  <w:tcBorders>
                    <w:tl2br w:val="nil"/>
                    <w:tr2bl w:val="nil"/>
                  </w:tcBorders>
                  <w:vAlign w:val="center"/>
                </w:tcPr>
                <w:p>
                  <w:pPr>
                    <w:pStyle w:val="47"/>
                    <w:spacing w:beforeLines="0" w:before="10" w:afterLines="0" w:after="10" w:line="240" w:lineRule="auto"/>
                    <w:ind w:left="0" w:right="0" w:firstLine="0"/>
                    <w:jc w:val="center"/>
                    <w:rPr>
                      <w:rFonts w:ascii="Times New Roman" w:eastAsia="宋体" w:hAnsi="Times New Roman" w:hint="eastAsia"/>
                      <w:kern w:val="21"/>
                      <w:sz w:val="21"/>
                      <w:szCs w:val="21"/>
                      <w:u w:val="single"/>
                      <w:lang w:val="en-US" w:eastAsia="zh-CN"/>
                      <w:highlight w:val="none"/>
                    </w:rPr>
                  </w:pPr>
                  <w:r>
                    <w:rPr>
                      <w:rFonts w:ascii="Times New Roman" w:eastAsia="宋体" w:hAnsi="Times New Roman" w:hint="eastAsia"/>
                      <w:kern w:val="21"/>
                      <w:sz w:val="21"/>
                      <w:szCs w:val="21"/>
                      <w:u w:val="single"/>
                      <w:lang w:val="en-US" w:eastAsia="zh-CN"/>
                      <w:highlight w:val="none"/>
                    </w:rPr>
                    <w:t>1栋1层，砖混结构，</w:t>
                  </w:r>
                  <w:r>
                    <w:rPr>
                      <w:rFonts w:ascii="Times New Roman" w:eastAsia="宋体" w:hAnsi="Times New Roman" w:hint="eastAsia"/>
                      <w:kern w:val="21"/>
                      <w:sz w:val="21"/>
                      <w:szCs w:val="21"/>
                      <w:u w:val="single"/>
                      <w:highlight w:val="none"/>
                    </w:rPr>
                    <w:t>占地面积</w:t>
                  </w:r>
                  <w:r>
                    <w:rPr>
                      <w:rFonts w:ascii="Times New Roman" w:eastAsia="宋体" w:hAnsi="Times New Roman" w:hint="eastAsia"/>
                      <w:kern w:val="21"/>
                      <w:sz w:val="21"/>
                      <w:szCs w:val="21"/>
                      <w:u w:val="single"/>
                      <w:lang w:val="en-US" w:eastAsia="zh-CN"/>
                      <w:highlight w:val="none"/>
                    </w:rPr>
                    <w:t>106.08</w:t>
                  </w:r>
                  <w:r>
                    <w:rPr>
                      <w:rFonts w:ascii="Times New Roman" w:eastAsia="宋体" w:hAnsi="Times New Roman" w:hint="eastAsia"/>
                      <w:kern w:val="21"/>
                      <w:sz w:val="21"/>
                      <w:szCs w:val="21"/>
                      <w:u w:val="single"/>
                      <w:highlight w:val="none"/>
                    </w:rPr>
                    <w:t>m</w:t>
                  </w:r>
                  <w:r>
                    <w:rPr>
                      <w:rFonts w:ascii="Times New Roman" w:eastAsia="宋体" w:hAnsi="Times New Roman" w:hint="eastAsia"/>
                      <w:kern w:val="21"/>
                      <w:sz w:val="21"/>
                      <w:szCs w:val="21"/>
                      <w:u w:val="single"/>
                      <w:vertAlign w:val="superscript"/>
                      <w:highlight w:val="none"/>
                    </w:rPr>
                    <w:t>2</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hAnsi="Times New Roman" w:hint="eastAsia"/>
                      <w:kern w:val="21"/>
                      <w:sz w:val="21"/>
                      <w:szCs w:val="21"/>
                      <w:u w:val="single"/>
                      <w:lang w:val="en-US" w:eastAsia="zh-CN"/>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公用工程</w:t>
                  </w:r>
                </w:p>
              </w:tc>
              <w:tc>
                <w:tcPr>
                  <w:tcW w:w="459"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给水</w:t>
                  </w:r>
                </w:p>
              </w:tc>
              <w:tc>
                <w:tcPr>
                  <w:tcW w:w="3867" w:type="pct"/>
                  <w:gridSpan w:val="3"/>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highlight w:val="none"/>
                    </w:rPr>
                    <w:t>厂区生活用水由厂区送水泵房供水干管供给</w:t>
                  </w:r>
                </w:p>
              </w:tc>
              <w:tc>
                <w:tcPr>
                  <w:tcW w:w="429" w:type="pct"/>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hint="eastAsia"/>
                      <w:kern w:val="21"/>
                      <w:sz w:val="21"/>
                      <w:szCs w:val="21"/>
                      <w:u w:val="single"/>
                      <w:highlight w:val="none"/>
                    </w:rPr>
                  </w:pPr>
                  <w:r>
                    <w:rPr>
                      <w:rFonts w:ascii="Times New Roman" w:eastAsia="宋体" w:cs="Times New Roman" w:hAnsi="Times New Roman" w:hint="eastAsia"/>
                      <w:color w:val="auto"/>
                      <w:sz w:val="21"/>
                      <w:szCs w:val="21"/>
                      <w:u w:val="single"/>
                      <w:lang w:val="en-US" w:eastAsia="zh-CN"/>
                      <w:highlight w:val="none"/>
                    </w:rPr>
                    <w:t>建设中</w:t>
                  </w:r>
                </w:p>
              </w:tc>
            </w:tr>
            <w:tr>
              <w:trPr>
                <w:trHeight w:val="340"/>
              </w:trPr>
              <w:tc>
                <w:tcPr>
                  <w:tcW w:w="243" w:type="pct"/>
                  <w:vMerge/>
                  <w:tcBorders>
                    <w:tl2br w:val="nil"/>
                    <w:tr2bl w:val="nil"/>
                  </w:tcBorders>
                  <w:vAlign w:val="center"/>
                </w:tcPr>
                <w:p/>
              </w:tc>
              <w:tc>
                <w:tcPr>
                  <w:tcW w:w="459" w:type="pct"/>
                  <w:gridSpan w:val="2"/>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排水</w:t>
                  </w:r>
                </w:p>
              </w:tc>
              <w:tc>
                <w:tcPr>
                  <w:tcW w:w="3867" w:type="pct"/>
                  <w:gridSpan w:val="3"/>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lang w:val="en-US"/>
                      <w:highlight w:val="none"/>
                    </w:rPr>
                  </w:pPr>
                  <w:r>
                    <w:rPr>
                      <w:rFonts w:ascii="Times New Roman" w:eastAsia="宋体" w:hAnsi="Times New Roman"/>
                      <w:kern w:val="21"/>
                      <w:sz w:val="21"/>
                      <w:szCs w:val="21"/>
                      <w:u w:val="single"/>
                      <w:highlight w:val="none"/>
                    </w:rPr>
                    <w:t>雨污分流，生活污水</w:t>
                  </w:r>
                  <w:r>
                    <w:rPr>
                      <w:rFonts w:ascii="Times New Roman" w:eastAsia="宋体" w:hAnsi="Times New Roman" w:hint="eastAsia"/>
                      <w:kern w:val="21"/>
                      <w:sz w:val="21"/>
                      <w:szCs w:val="21"/>
                      <w:u w:val="single"/>
                      <w:lang w:val="en-US" w:eastAsia="zh-CN"/>
                      <w:highlight w:val="none"/>
                    </w:rPr>
                    <w:t>经化粪池处理后用于周边农肥</w:t>
                  </w:r>
                </w:p>
              </w:tc>
              <w:tc>
                <w:tcPr>
                  <w:tcW w:w="429" w:type="pct"/>
                  <w:vMerge/>
                  <w:tcBorders>
                    <w:tl2br w:val="nil"/>
                    <w:tr2bl w:val="nil"/>
                  </w:tcBorders>
                  <w:vAlign w:val="center"/>
                </w:tcPr>
                <w:p/>
              </w:tc>
            </w:tr>
            <w:tr>
              <w:trPr>
                <w:trHeight w:val="340"/>
              </w:trPr>
              <w:tc>
                <w:tcPr>
                  <w:tcW w:w="243" w:type="pct"/>
                  <w:vMerge/>
                  <w:tcBorders>
                    <w:tl2br w:val="nil"/>
                    <w:tr2bl w:val="nil"/>
                  </w:tcBorders>
                  <w:vAlign w:val="center"/>
                </w:tcPr>
                <w:p/>
              </w:tc>
              <w:tc>
                <w:tcPr>
                  <w:tcW w:w="459" w:type="pct"/>
                  <w:gridSpan w:val="2"/>
                  <w:vMerge/>
                  <w:tcBorders>
                    <w:tl2br w:val="nil"/>
                    <w:tr2bl w:val="nil"/>
                  </w:tcBorders>
                  <w:vAlign w:val="center"/>
                </w:tcPr>
                <w:p/>
              </w:tc>
              <w:tc>
                <w:tcPr>
                  <w:tcW w:w="3867" w:type="pct"/>
                  <w:gridSpan w:val="3"/>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滤池反冲洗水收集至回用水池后回用于原水利用，不外排；</w:t>
                  </w:r>
                  <w:r>
                    <w:rPr>
                      <w:rFonts w:ascii="Times New Roman" w:eastAsia="宋体" w:hAnsi="Times New Roman" w:hint="eastAsia"/>
                      <w:kern w:val="21"/>
                      <w:sz w:val="21"/>
                      <w:szCs w:val="21"/>
                      <w:u w:val="single"/>
                      <w:lang w:val="en-US" w:eastAsia="zh-CN"/>
                      <w:highlight w:val="none"/>
                    </w:rPr>
                    <w:t>沉淀池排泥</w:t>
                  </w:r>
                  <w:r>
                    <w:rPr>
                      <w:rFonts w:ascii="Times New Roman" w:eastAsia="宋体" w:hAnsi="Times New Roman" w:hint="eastAsia"/>
                      <w:kern w:val="21"/>
                      <w:sz w:val="21"/>
                      <w:szCs w:val="21"/>
                      <w:u w:val="single"/>
                      <w:highlight w:val="none"/>
                    </w:rPr>
                    <w:t>污水排入</w:t>
                  </w:r>
                  <w:r>
                    <w:rPr>
                      <w:rFonts w:ascii="Times New Roman" w:eastAsia="宋体" w:cs="Times New Roman" w:hAnsi="Times New Roman" w:hint="eastAsia"/>
                      <w:kern w:val="21"/>
                      <w:sz w:val="21"/>
                      <w:szCs w:val="21"/>
                      <w:u w:val="single"/>
                      <w:lang w:val="zh-CN" w:eastAsia="zh-CN"/>
                      <w:highlight w:val="none"/>
                    </w:rPr>
                    <w:t>回用水池及排泥调节池</w:t>
                  </w:r>
                  <w:r>
                    <w:rPr>
                      <w:rFonts w:ascii="Times New Roman" w:eastAsia="宋体" w:cs="Times New Roman" w:hAnsi="Times New Roman" w:hint="eastAsia"/>
                      <w:kern w:val="21"/>
                      <w:sz w:val="21"/>
                      <w:szCs w:val="21"/>
                      <w:u w:val="single"/>
                      <w:lang w:val="en-US" w:eastAsia="zh-CN"/>
                      <w:highlight w:val="none"/>
                    </w:rPr>
                    <w:t>后</w:t>
                  </w:r>
                  <w:r>
                    <w:rPr>
                      <w:rFonts w:ascii="Times New Roman" w:eastAsia="宋体" w:hAnsi="Times New Roman" w:hint="eastAsia"/>
                      <w:kern w:val="21"/>
                      <w:sz w:val="21"/>
                      <w:szCs w:val="21"/>
                      <w:u w:val="single"/>
                      <w:lang w:val="en-US" w:eastAsia="zh-CN"/>
                      <w:highlight w:val="none"/>
                    </w:rPr>
                    <w:t>回用</w:t>
                  </w:r>
                  <w:r>
                    <w:rPr>
                      <w:rFonts w:ascii="Times New Roman" w:eastAsia="宋体" w:hAnsi="Times New Roman"/>
                      <w:kern w:val="21"/>
                      <w:sz w:val="21"/>
                      <w:szCs w:val="21"/>
                      <w:u w:val="single"/>
                      <w:highlight w:val="none"/>
                    </w:rPr>
                    <w:t>，不外排</w:t>
                  </w:r>
                </w:p>
              </w:tc>
              <w:tc>
                <w:tcPr>
                  <w:tcW w:w="429" w:type="pct"/>
                  <w:vMerge/>
                  <w:tcBorders>
                    <w:tl2br w:val="nil"/>
                    <w:tr2bl w:val="nil"/>
                  </w:tcBorders>
                  <w:vAlign w:val="center"/>
                </w:tcPr>
                <w:p/>
              </w:tc>
            </w:tr>
            <w:tr>
              <w:trPr>
                <w:trHeight w:val="340"/>
              </w:trPr>
              <w:tc>
                <w:tcPr>
                  <w:tcW w:w="243" w:type="pct"/>
                  <w:vMerge/>
                  <w:tcBorders>
                    <w:tl2br w:val="nil"/>
                    <w:tr2bl w:val="nil"/>
                  </w:tcBorders>
                  <w:vAlign w:val="center"/>
                </w:tcPr>
                <w:p/>
              </w:tc>
              <w:tc>
                <w:tcPr>
                  <w:tcW w:w="459"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供电</w:t>
                  </w:r>
                </w:p>
              </w:tc>
              <w:tc>
                <w:tcPr>
                  <w:tcW w:w="3867" w:type="pct"/>
                  <w:gridSpan w:val="3"/>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市政电网供给</w:t>
                  </w:r>
                </w:p>
              </w:tc>
              <w:tc>
                <w:tcPr>
                  <w:tcW w:w="429"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hint="eastAsia"/>
                      <w:color w:val="000000"/>
                      <w:kern w:val="21"/>
                      <w:sz w:val="21"/>
                      <w:szCs w:val="21"/>
                      <w:u w:val="single"/>
                      <w:highlight w:val="none"/>
                    </w:rPr>
                  </w:pPr>
                  <w:r>
                    <w:rPr>
                      <w:rFonts w:ascii="Times New Roman" w:eastAsia="宋体" w:cs="Times New Roman" w:hAnsi="Times New Roman" w:hint="eastAsia"/>
                      <w:kern w:val="21"/>
                      <w:sz w:val="21"/>
                      <w:szCs w:val="21"/>
                      <w:u w:val="single"/>
                      <w:lang w:val="en-US" w:eastAsia="zh-CN"/>
                      <w:highlight w:val="none"/>
                    </w:rPr>
                    <w:t>已建</w:t>
                  </w:r>
                </w:p>
              </w:tc>
            </w:tr>
            <w:tr>
              <w:trPr>
                <w:trHeight w:val="340"/>
              </w:trPr>
              <w:tc>
                <w:tcPr>
                  <w:tcW w:w="243" w:type="pct"/>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临时工程</w:t>
                  </w:r>
                </w:p>
              </w:tc>
              <w:tc>
                <w:tcPr>
                  <w:tcW w:w="459" w:type="pct"/>
                  <w:gridSpan w:val="2"/>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center"/>
                    <w:textAlignment w:val="baseline"/>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施工作业带</w:t>
                  </w:r>
                </w:p>
              </w:tc>
              <w:tc>
                <w:tcPr>
                  <w:tcW w:w="3867" w:type="pct"/>
                  <w:gridSpan w:val="3"/>
                  <w:tcBorders>
                    <w:tl2br w:val="nil"/>
                    <w:tr2bl w:val="nil"/>
                  </w:tcBorders>
                  <w:vAlign w:val="center"/>
                </w:tcPr>
                <w:p>
                  <w:pPr>
                    <w:pStyle w:val="47"/>
                    <w:ind w:left="0" w:firstLine="0"/>
                    <w:jc w:val="center"/>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管道全线总长度为1</w:t>
                  </w:r>
                  <w:r>
                    <w:rPr>
                      <w:rFonts w:ascii="Times New Roman" w:eastAsia="宋体" w:hAnsi="Times New Roman" w:hint="eastAsia"/>
                      <w:color w:val="000000"/>
                      <w:kern w:val="21"/>
                      <w:sz w:val="21"/>
                      <w:szCs w:val="21"/>
                      <w:u w:val="single"/>
                      <w:lang w:val="en-US" w:eastAsia="zh-CN"/>
                      <w:highlight w:val="none"/>
                    </w:rPr>
                    <w:t>89.43</w:t>
                  </w:r>
                  <w:r>
                    <w:rPr>
                      <w:rFonts w:ascii="Times New Roman" w:eastAsia="宋体" w:hAnsi="Times New Roman" w:hint="eastAsia"/>
                      <w:color w:val="000000"/>
                      <w:kern w:val="21"/>
                      <w:sz w:val="21"/>
                      <w:szCs w:val="21"/>
                      <w:u w:val="single"/>
                      <w:highlight w:val="none"/>
                    </w:rPr>
                    <w:t>km，施工作业带宽度</w:t>
                  </w:r>
                  <w:r>
                    <w:rPr>
                      <w:rFonts w:ascii="Times New Roman" w:eastAsia="宋体" w:hAnsi="Times New Roman" w:hint="eastAsia"/>
                      <w:color w:val="000000"/>
                      <w:kern w:val="21"/>
                      <w:sz w:val="21"/>
                      <w:szCs w:val="21"/>
                      <w:u w:val="single"/>
                      <w:lang w:val="en-US" w:eastAsia="zh-CN"/>
                      <w:highlight w:val="none"/>
                    </w:rPr>
                    <w:t>为</w:t>
                  </w:r>
                  <w:r>
                    <w:rPr>
                      <w:rFonts w:ascii="Times New Roman" w:eastAsia="宋体" w:hAnsi="Times New Roman" w:hint="eastAsia"/>
                      <w:color w:val="000000"/>
                      <w:kern w:val="21"/>
                      <w:sz w:val="21"/>
                      <w:szCs w:val="21"/>
                      <w:u w:val="single"/>
                      <w:highlight w:val="none"/>
                    </w:rPr>
                    <w:t>2m，临时占地面积为</w:t>
                  </w:r>
                  <w:r>
                    <w:rPr>
                      <w:rFonts w:ascii="Times New Roman" w:eastAsia="宋体" w:hAnsi="Times New Roman" w:hint="eastAsia"/>
                      <w:color w:val="000000"/>
                      <w:kern w:val="21"/>
                      <w:sz w:val="21"/>
                      <w:szCs w:val="21"/>
                      <w:u w:val="single"/>
                      <w:lang w:val="en-US" w:eastAsia="zh-CN"/>
                      <w:highlight w:val="none"/>
                    </w:rPr>
                    <w:t>37.89</w:t>
                  </w:r>
                  <w:r>
                    <w:rPr>
                      <w:rFonts w:ascii="Times New Roman" w:eastAsia="宋体" w:hAnsi="Times New Roman" w:hint="eastAsia"/>
                      <w:color w:val="000000"/>
                      <w:kern w:val="21"/>
                      <w:sz w:val="21"/>
                      <w:szCs w:val="21"/>
                      <w:u w:val="single"/>
                      <w:highlight w:val="none"/>
                    </w:rPr>
                    <w:t>hm</w:t>
                  </w:r>
                  <w:r>
                    <w:rPr>
                      <w:rFonts w:ascii="Times New Roman" w:eastAsia="宋体" w:hAnsi="Times New Roman" w:hint="eastAsia"/>
                      <w:color w:val="000000"/>
                      <w:kern w:val="21"/>
                      <w:sz w:val="21"/>
                      <w:szCs w:val="21"/>
                      <w:u w:val="single"/>
                      <w:vertAlign w:val="superscript"/>
                      <w:highlight w:val="none"/>
                    </w:rPr>
                    <w:t>2</w:t>
                  </w:r>
                </w:p>
              </w:tc>
              <w:tc>
                <w:tcPr>
                  <w:tcW w:w="429" w:type="pct"/>
                  <w:tcBorders>
                    <w:tl2br w:val="nil"/>
                    <w:tr2bl w:val="nil"/>
                  </w:tcBorders>
                  <w:vAlign w:val="center"/>
                </w:tcPr>
                <w:p>
                  <w:pPr>
                    <w:pStyle w:val="47"/>
                    <w:ind w:left="0" w:firstLine="0"/>
                    <w:jc w:val="center"/>
                    <w:rPr>
                      <w:rFonts w:ascii="Times New Roman" w:eastAsia="宋体" w:hAnsi="Times New Roman" w:hint="eastAsia"/>
                      <w:color w:val="000000"/>
                      <w:kern w:val="21"/>
                      <w:sz w:val="21"/>
                      <w:szCs w:val="21"/>
                      <w:u w:val="single"/>
                      <w:lang w:val="en-US" w:eastAsia="zh-CN"/>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459" w:type="pct"/>
                  <w:gridSpan w:val="2"/>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ind w:left="0" w:right="0" w:firstLine="0"/>
                    <w:jc w:val="center"/>
                    <w:textAlignment w:val="baseline"/>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施工营地</w:t>
                  </w:r>
                </w:p>
              </w:tc>
              <w:tc>
                <w:tcPr>
                  <w:tcW w:w="3867" w:type="pct"/>
                  <w:gridSpan w:val="3"/>
                  <w:tcBorders>
                    <w:tl2br w:val="nil"/>
                    <w:tr2bl w:val="nil"/>
                  </w:tcBorders>
                  <w:vAlign w:val="center"/>
                </w:tcPr>
                <w:p>
                  <w:pPr>
                    <w:pStyle w:val="47"/>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项目不设置施工营地，施工人员租用附近民房。</w:t>
                  </w:r>
                </w:p>
              </w:tc>
              <w:tc>
                <w:tcPr>
                  <w:tcW w:w="429" w:type="pct"/>
                  <w:tcBorders>
                    <w:tl2br w:val="nil"/>
                    <w:tr2bl w:val="nil"/>
                  </w:tcBorders>
                  <w:vAlign w:val="center"/>
                </w:tcPr>
                <w:p>
                  <w:pPr>
                    <w:pStyle w:val="47"/>
                    <w:ind w:left="0" w:firstLine="0"/>
                    <w:jc w:val="center"/>
                    <w:rPr>
                      <w:rFonts w:ascii="Times New Roman" w:eastAsia="宋体" w:hAnsi="Times New Roman" w:hint="eastAsia"/>
                      <w:color w:val="000000"/>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459" w:type="pct"/>
                  <w:gridSpan w:val="2"/>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center"/>
                    <w:textAlignment w:val="baseline"/>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施工场地</w:t>
                  </w:r>
                </w:p>
              </w:tc>
              <w:tc>
                <w:tcPr>
                  <w:tcW w:w="3867" w:type="pct"/>
                  <w:gridSpan w:val="3"/>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水厂施工场地布置在</w:t>
                  </w:r>
                  <w:r>
                    <w:rPr>
                      <w:rFonts w:ascii="Times New Roman" w:eastAsia="宋体" w:hAnsi="Times New Roman" w:hint="eastAsia"/>
                      <w:color w:val="000000"/>
                      <w:kern w:val="21"/>
                      <w:sz w:val="21"/>
                      <w:szCs w:val="21"/>
                      <w:u w:val="single"/>
                      <w:lang w:eastAsia="zh-CN"/>
                      <w:highlight w:val="none"/>
                    </w:rPr>
                    <w:t>太青水厂</w:t>
                  </w:r>
                  <w:r>
                    <w:rPr>
                      <w:rFonts w:ascii="Times New Roman" w:eastAsia="宋体" w:hAnsi="Times New Roman" w:hint="eastAsia"/>
                      <w:color w:val="000000"/>
                      <w:kern w:val="21"/>
                      <w:sz w:val="21"/>
                      <w:szCs w:val="21"/>
                      <w:u w:val="single"/>
                      <w:highlight w:val="none"/>
                    </w:rPr>
                    <w:t>永久占地范围内，不新增占地。管道施工不设施工场地，均布置在施工作业带内</w:t>
                  </w:r>
                  <w:r>
                    <w:rPr>
                      <w:rFonts w:ascii="Times New Roman" w:eastAsia="宋体" w:hAnsi="Times New Roman" w:hint="eastAsia"/>
                      <w:color w:val="000000"/>
                      <w:kern w:val="21"/>
                      <w:sz w:val="21"/>
                      <w:szCs w:val="21"/>
                      <w:u w:val="single"/>
                      <w:lang w:eastAsia="zh-CN"/>
                      <w:highlight w:val="none"/>
                    </w:rPr>
                    <w:t>，</w:t>
                  </w:r>
                  <w:r>
                    <w:rPr>
                      <w:rFonts w:ascii="Times New Roman" w:eastAsia="宋体" w:hAnsi="Times New Roman" w:hint="eastAsia"/>
                      <w:color w:val="000000"/>
                      <w:kern w:val="21"/>
                      <w:sz w:val="21"/>
                      <w:szCs w:val="21"/>
                      <w:u w:val="single"/>
                      <w:lang w:val="en-US" w:eastAsia="zh-CN"/>
                      <w:highlight w:val="none"/>
                    </w:rPr>
                    <w:t>仅设一个400m</w:t>
                  </w:r>
                  <w:r>
                    <w:rPr>
                      <w:rFonts w:ascii="Times New Roman" w:eastAsia="宋体" w:hAnsi="Times New Roman" w:hint="eastAsia"/>
                      <w:color w:val="000000"/>
                      <w:kern w:val="21"/>
                      <w:sz w:val="21"/>
                      <w:szCs w:val="21"/>
                      <w:u w:val="single"/>
                      <w:vertAlign w:val="superscript"/>
                      <w:lang w:val="en-US" w:eastAsia="zh-CN"/>
                      <w:highlight w:val="none"/>
                    </w:rPr>
                    <w:t>2</w:t>
                  </w:r>
                  <w:r>
                    <w:rPr>
                      <w:rFonts w:ascii="Times New Roman" w:eastAsia="宋体" w:hAnsi="Times New Roman" w:hint="eastAsia"/>
                      <w:color w:val="000000"/>
                      <w:kern w:val="21"/>
                      <w:sz w:val="21"/>
                      <w:szCs w:val="21"/>
                      <w:u w:val="single"/>
                      <w:lang w:val="en-US" w:eastAsia="zh-CN"/>
                      <w:highlight w:val="none"/>
                    </w:rPr>
                    <w:t>的施工仓库，占地类型为荒地</w:t>
                  </w:r>
                  <w:r>
                    <w:rPr>
                      <w:rFonts w:ascii="Times New Roman" w:eastAsia="宋体" w:hAnsi="Times New Roman" w:hint="eastAsia"/>
                      <w:color w:val="000000"/>
                      <w:kern w:val="21"/>
                      <w:sz w:val="21"/>
                      <w:szCs w:val="21"/>
                      <w:u w:val="single"/>
                      <w:highlight w:val="none"/>
                    </w:rPr>
                    <w:t>。</w:t>
                  </w:r>
                </w:p>
              </w:tc>
              <w:tc>
                <w:tcPr>
                  <w:tcW w:w="429"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hint="eastAsia"/>
                      <w:color w:val="000000"/>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459" w:type="pct"/>
                  <w:gridSpan w:val="2"/>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jc w:val="center"/>
                    <w:textAlignment w:val="baseline"/>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施工道路</w:t>
                  </w:r>
                </w:p>
              </w:tc>
              <w:tc>
                <w:tcPr>
                  <w:tcW w:w="3867" w:type="pct"/>
                  <w:gridSpan w:val="3"/>
                  <w:tcBorders>
                    <w:tl2br w:val="nil"/>
                    <w:tr2bl w:val="nil"/>
                  </w:tcBorders>
                  <w:vAlign w:val="center"/>
                </w:tcPr>
                <w:p>
                  <w:pPr>
                    <w:pStyle w:val="47"/>
                    <w:spacing w:beforeLines="0" w:before="10" w:afterLines="0" w:after="10" w:line="240" w:lineRule="auto"/>
                    <w:ind w:left="0" w:right="0" w:firstLine="0"/>
                    <w:rPr>
                      <w:rFonts w:ascii="Times New Roman" w:eastAsia="宋体" w:cs="Times New Roman" w:hAnsi="Times New Roman" w:hint="eastAsia"/>
                      <w:color w:val="000000"/>
                      <w:kern w:val="21"/>
                      <w:sz w:val="21"/>
                      <w:szCs w:val="21"/>
                      <w:u w:val="single"/>
                      <w:highlight w:val="none"/>
                    </w:rPr>
                  </w:pPr>
                  <w:r>
                    <w:rPr>
                      <w:rFonts w:ascii="Times New Roman" w:eastAsia="宋体" w:cs="Times New Roman" w:hAnsi="Times New Roman" w:hint="eastAsia"/>
                      <w:color w:val="000000"/>
                      <w:kern w:val="21"/>
                      <w:sz w:val="21"/>
                      <w:szCs w:val="21"/>
                      <w:u w:val="single"/>
                      <w:highlight w:val="none"/>
                    </w:rPr>
                    <w:t>施工道路</w:t>
                  </w:r>
                  <w:r>
                    <w:rPr>
                      <w:rFonts w:ascii="Times New Roman" w:eastAsia="宋体" w:cs="Times New Roman" w:hAnsi="Times New Roman" w:hint="eastAsia"/>
                      <w:color w:val="000000"/>
                      <w:kern w:val="21"/>
                      <w:sz w:val="21"/>
                      <w:szCs w:val="21"/>
                      <w:u w:val="single"/>
                      <w:lang w:val="en-US" w:eastAsia="zh-CN"/>
                      <w:highlight w:val="none"/>
                    </w:rPr>
                    <w:t>大部分</w:t>
                  </w:r>
                  <w:r>
                    <w:rPr>
                      <w:rFonts w:ascii="Times New Roman" w:eastAsia="宋体" w:cs="Times New Roman" w:hAnsi="Times New Roman" w:hint="eastAsia"/>
                      <w:color w:val="000000"/>
                      <w:kern w:val="21"/>
                      <w:sz w:val="21"/>
                      <w:szCs w:val="21"/>
                      <w:u w:val="single"/>
                      <w:highlight w:val="none"/>
                    </w:rPr>
                    <w:t>可依托现状道路，设置施工便道</w:t>
                  </w:r>
                  <w:r>
                    <w:rPr>
                      <w:rFonts w:ascii="Times New Roman" w:eastAsia="宋体" w:cs="Times New Roman" w:hAnsi="Times New Roman" w:hint="eastAsia"/>
                      <w:color w:val="000000"/>
                      <w:kern w:val="21"/>
                      <w:sz w:val="21"/>
                      <w:szCs w:val="21"/>
                      <w:u w:val="single"/>
                      <w:lang w:val="en-US" w:eastAsia="zh-CN"/>
                      <w:highlight w:val="none"/>
                    </w:rPr>
                    <w:t xml:space="preserve">约500m，路面宽均为 </w:t>
                  </w:r>
                  <w:r>
                    <w:rPr>
                      <w:rFonts w:ascii="Times New Roman" w:eastAsia="宋体" w:cs="Times New Roman" w:hAnsi="Times New Roman"/>
                      <w:color w:val="000000"/>
                      <w:kern w:val="21"/>
                      <w:sz w:val="21"/>
                      <w:szCs w:val="21"/>
                      <w:u w:val="single"/>
                      <w:lang w:val="en-US" w:eastAsia="zh-CN"/>
                      <w:highlight w:val="none"/>
                    </w:rPr>
                    <w:t>3.5m</w:t>
                  </w:r>
                  <w:r>
                    <w:rPr>
                      <w:rFonts w:ascii="Times New Roman" w:eastAsia="宋体" w:cs="Times New Roman" w:hAnsi="Times New Roman" w:hint="eastAsia"/>
                      <w:color w:val="000000"/>
                      <w:kern w:val="21"/>
                      <w:sz w:val="21"/>
                      <w:szCs w:val="21"/>
                      <w:u w:val="single"/>
                      <w:lang w:val="en-US" w:eastAsia="zh-CN"/>
                      <w:highlight w:val="none"/>
                    </w:rPr>
                    <w:t xml:space="preserve">，全部为 </w:t>
                  </w:r>
                  <w:r>
                    <w:rPr>
                      <w:rFonts w:ascii="Times New Roman" w:eastAsia="宋体" w:cs="Times New Roman" w:hAnsi="Times New Roman"/>
                      <w:color w:val="000000"/>
                      <w:kern w:val="21"/>
                      <w:sz w:val="21"/>
                      <w:szCs w:val="21"/>
                      <w:u w:val="single"/>
                      <w:lang w:val="en-US" w:eastAsia="zh-CN"/>
                      <w:highlight w:val="none"/>
                    </w:rPr>
                    <w:t xml:space="preserve">20cm </w:t>
                  </w:r>
                  <w:r>
                    <w:rPr>
                      <w:rFonts w:ascii="Times New Roman" w:eastAsia="宋体" w:cs="Times New Roman" w:hAnsi="Times New Roman" w:hint="eastAsia"/>
                      <w:color w:val="000000"/>
                      <w:kern w:val="21"/>
                      <w:sz w:val="21"/>
                      <w:szCs w:val="21"/>
                      <w:u w:val="single"/>
                      <w:lang w:val="en-US" w:eastAsia="zh-CN"/>
                      <w:highlight w:val="none"/>
                    </w:rPr>
                    <w:t>厚泥结石路面</w:t>
                  </w:r>
                  <w:r>
                    <w:rPr>
                      <w:rFonts w:ascii="Times New Roman" w:eastAsia="宋体" w:cs="Times New Roman" w:hAnsi="Times New Roman" w:hint="eastAsia"/>
                      <w:color w:val="000000"/>
                      <w:kern w:val="21"/>
                      <w:sz w:val="21"/>
                      <w:szCs w:val="21"/>
                      <w:u w:val="single"/>
                      <w:highlight w:val="none"/>
                    </w:rPr>
                    <w:t>。</w:t>
                  </w:r>
                </w:p>
              </w:tc>
              <w:tc>
                <w:tcPr>
                  <w:tcW w:w="429" w:type="pct"/>
                  <w:tcBorders>
                    <w:tl2br w:val="nil"/>
                    <w:tr2bl w:val="nil"/>
                  </w:tcBorders>
                  <w:vAlign w:val="center"/>
                </w:tcPr>
                <w:p>
                  <w:pPr>
                    <w:pStyle w:val="47"/>
                    <w:spacing w:beforeLines="0" w:before="10" w:afterLines="0" w:after="10" w:line="240" w:lineRule="auto"/>
                    <w:ind w:left="0" w:right="0" w:firstLine="0"/>
                    <w:rPr>
                      <w:rFonts w:ascii="Times New Roman" w:eastAsia="宋体" w:cs="Times New Roman" w:hAnsi="Times New Roman" w:hint="eastAsia"/>
                      <w:color w:val="000000"/>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459"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取土场</w:t>
                  </w:r>
                </w:p>
              </w:tc>
              <w:tc>
                <w:tcPr>
                  <w:tcW w:w="3867" w:type="pct"/>
                  <w:gridSpan w:val="3"/>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项目管线施工土石方均回填平衡，不设置取土场。</w:t>
                  </w:r>
                </w:p>
              </w:tc>
              <w:tc>
                <w:tcPr>
                  <w:tcW w:w="429"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hint="eastAsia"/>
                      <w:color w:val="000000"/>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459"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弃渣场</w:t>
                  </w:r>
                </w:p>
              </w:tc>
              <w:tc>
                <w:tcPr>
                  <w:tcW w:w="3867" w:type="pct"/>
                  <w:gridSpan w:val="3"/>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hint="eastAsia"/>
                      <w:color w:val="000000"/>
                      <w:kern w:val="21"/>
                      <w:sz w:val="21"/>
                      <w:szCs w:val="21"/>
                      <w:u w:val="single"/>
                      <w:highlight w:val="none"/>
                    </w:rPr>
                    <w:t>项目土石方均回填平衡，不设置渣场</w:t>
                  </w:r>
                  <w:r>
                    <w:rPr>
                      <w:rFonts w:ascii="Times New Roman" w:eastAsia="宋体" w:hAnsi="Times New Roman" w:hint="eastAsia"/>
                      <w:color w:val="000000"/>
                      <w:kern w:val="21"/>
                      <w:sz w:val="21"/>
                      <w:szCs w:val="21"/>
                      <w:u w:val="single"/>
                      <w:lang w:eastAsia="zh-CN"/>
                      <w:highlight w:val="none"/>
                    </w:rPr>
                    <w:t>。</w:t>
                  </w:r>
                </w:p>
              </w:tc>
              <w:tc>
                <w:tcPr>
                  <w:tcW w:w="429"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hint="eastAsia"/>
                      <w:color w:val="000000"/>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环保工程</w:t>
                  </w:r>
                </w:p>
              </w:tc>
              <w:tc>
                <w:tcPr>
                  <w:tcW w:w="262" w:type="pct"/>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highlight w:val="none"/>
                    </w:rPr>
                    <w:t>施工期</w:t>
                  </w:r>
                </w:p>
              </w:tc>
              <w:tc>
                <w:tcPr>
                  <w:tcW w:w="606"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废气</w:t>
                  </w:r>
                </w:p>
              </w:tc>
              <w:tc>
                <w:tcPr>
                  <w:tcW w:w="3458" w:type="pct"/>
                  <w:gridSpan w:val="2"/>
                  <w:tcBorders>
                    <w:tl2br w:val="nil"/>
                    <w:tr2bl w:val="nil"/>
                  </w:tcBorders>
                  <w:shd w:val="clear" w:color="auto" w:fill="auto"/>
                  <w:vAlign w:val="center"/>
                </w:tcPr>
                <w:p>
                  <w:pPr>
                    <w:pStyle w:val="47"/>
                    <w:ind w:left="0" w:right="0" w:firstLine="0"/>
                    <w:jc w:val="center"/>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highlight w:val="none"/>
                    </w:rPr>
                    <w:t>洒水抑尘、保持施工场地清洁、封闭施工、原料堆放、渣土堆放、运输加盖篷布等</w:t>
                  </w:r>
                </w:p>
              </w:tc>
              <w:tc>
                <w:tcPr>
                  <w:tcW w:w="429" w:type="pct"/>
                  <w:tcBorders>
                    <w:tl2br w:val="nil"/>
                    <w:tr2bl w:val="nil"/>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ind w:left="0" w:right="0" w:firstLine="0"/>
                    <w:jc w:val="center"/>
                    <w:textAlignment w:val="baseline"/>
                    <w:rPr>
                      <w:rFonts w:ascii="Times New Roman" w:eastAsia="宋体" w:hAnsi="Times New Roman" w:hint="eastAsia"/>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262" w:type="pct"/>
                  <w:vMerge/>
                  <w:tcBorders>
                    <w:tl2br w:val="nil"/>
                    <w:tr2bl w:val="nil"/>
                  </w:tcBorders>
                  <w:vAlign w:val="center"/>
                </w:tcPr>
                <w:p/>
              </w:tc>
              <w:tc>
                <w:tcPr>
                  <w:tcW w:w="606"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color w:val="000000"/>
                      <w:kern w:val="21"/>
                      <w:sz w:val="21"/>
                      <w:szCs w:val="21"/>
                      <w:u w:val="single"/>
                      <w:highlight w:val="none"/>
                    </w:rPr>
                    <w:t>废水</w:t>
                  </w:r>
                </w:p>
              </w:tc>
              <w:tc>
                <w:tcPr>
                  <w:tcW w:w="3458" w:type="pct"/>
                  <w:gridSpan w:val="2"/>
                  <w:tcBorders>
                    <w:tl2br w:val="nil"/>
                    <w:tr2bl w:val="nil"/>
                  </w:tcBorders>
                  <w:shd w:val="clear" w:color="auto" w:fill="auto"/>
                  <w:vAlign w:val="center"/>
                </w:tcPr>
                <w:p>
                  <w:pPr>
                    <w:pStyle w:val="47"/>
                    <w:ind w:left="0" w:right="0" w:firstLine="0"/>
                    <w:jc w:val="center"/>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highlight w:val="none"/>
                    </w:rPr>
                    <w:t>施工人员产生的生活污水</w:t>
                  </w:r>
                  <w:r>
                    <w:rPr>
                      <w:rFonts w:ascii="Times New Roman" w:eastAsia="宋体" w:hAnsi="Times New Roman" w:hint="eastAsia"/>
                      <w:kern w:val="21"/>
                      <w:sz w:val="21"/>
                      <w:szCs w:val="21"/>
                      <w:u w:val="single"/>
                      <w:lang w:val="en-US" w:eastAsia="zh-CN"/>
                      <w:highlight w:val="none"/>
                    </w:rPr>
                    <w:t>经化粪池处理后用于农肥</w:t>
                  </w:r>
                  <w:r>
                    <w:rPr>
                      <w:rFonts w:ascii="Times New Roman" w:eastAsia="宋体" w:hAnsi="Times New Roman" w:hint="eastAsia"/>
                      <w:kern w:val="21"/>
                      <w:sz w:val="21"/>
                      <w:szCs w:val="21"/>
                      <w:u w:val="single"/>
                      <w:highlight w:val="none"/>
                    </w:rPr>
                    <w:t>。试压水设置沉淀池，废水沉淀后用于施工作业带洒水抑尘。废泥浆在沉淀池中通过沉淀后，上清液回用于施工用水及场区洒水降尘。</w:t>
                  </w:r>
                  <w:r>
                    <w:rPr>
                      <w:rFonts w:ascii="Times New Roman" w:eastAsia="宋体" w:hAnsi="Times New Roman" w:hint="eastAsia"/>
                      <w:kern w:val="21"/>
                      <w:sz w:val="21"/>
                      <w:szCs w:val="21"/>
                      <w:u w:val="single"/>
                      <w:lang w:val="en-US" w:eastAsia="zh-CN"/>
                      <w:highlight w:val="none"/>
                    </w:rPr>
                    <w:t>基坑废水</w:t>
                  </w:r>
                  <w:r>
                    <w:rPr>
                      <w:rFonts w:ascii="Times New Roman" w:eastAsia="宋体" w:cs="Times New Roman" w:hAnsi="Times New Roman" w:hint="eastAsia"/>
                      <w:kern w:val="21"/>
                      <w:sz w:val="21"/>
                      <w:szCs w:val="21"/>
                      <w:u w:val="single"/>
                      <w:lang w:val="en-US" w:eastAsia="zh-CN"/>
                      <w:highlight w:val="none"/>
                    </w:rPr>
                    <w:t>经絮凝+沉淀处理达标后</w:t>
                  </w:r>
                  <w:r>
                    <w:rPr>
                      <w:rFonts w:ascii="Times New Roman" w:eastAsia="宋体" w:cs="Times New Roman" w:hAnsi="Times New Roman" w:hint="eastAsia"/>
                      <w:color w:val="000000"/>
                      <w:kern w:val="21"/>
                      <w:sz w:val="21"/>
                      <w:szCs w:val="21"/>
                      <w:u w:val="single"/>
                      <w:lang w:val="en-US" w:eastAsia="zh-CN"/>
                      <w:highlight w:val="none"/>
                    </w:rPr>
                    <w:t>外排至</w:t>
                  </w:r>
                  <w:r>
                    <w:rPr>
                      <w:rFonts w:ascii="Times New Roman" w:eastAsia="宋体" w:cs="Times New Roman" w:hAnsi="Times New Roman" w:hint="eastAsia"/>
                      <w:kern w:val="21"/>
                      <w:sz w:val="21"/>
                      <w:szCs w:val="21"/>
                      <w:u w:val="single"/>
                      <w:lang w:val="en-US" w:eastAsia="zh-CN"/>
                      <w:highlight w:val="none"/>
                    </w:rPr>
                    <w:t>泄洪沟（经管道引至太青水库泄洪沟，排放口未在保护区范围内）</w:t>
                  </w:r>
                </w:p>
              </w:tc>
              <w:tc>
                <w:tcPr>
                  <w:tcW w:w="429" w:type="pct"/>
                  <w:tcBorders>
                    <w:tl2br w:val="nil"/>
                    <w:tr2bl w:val="nil"/>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ind w:left="0" w:right="0" w:firstLine="0"/>
                    <w:jc w:val="center"/>
                    <w:textAlignment w:val="baseline"/>
                    <w:rPr>
                      <w:rFonts w:ascii="Times New Roman" w:eastAsia="宋体" w:hAnsi="Times New Roman" w:hint="eastAsia"/>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262" w:type="pct"/>
                  <w:vMerge/>
                  <w:tcBorders>
                    <w:tl2br w:val="nil"/>
                    <w:tr2bl w:val="nil"/>
                  </w:tcBorders>
                  <w:vAlign w:val="center"/>
                </w:tcPr>
                <w:p/>
              </w:tc>
              <w:tc>
                <w:tcPr>
                  <w:tcW w:w="606"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color w:val="000000"/>
                      <w:kern w:val="21"/>
                      <w:sz w:val="21"/>
                      <w:szCs w:val="21"/>
                      <w:u w:val="single"/>
                      <w:highlight w:val="none"/>
                    </w:rPr>
                    <w:t>噪声</w:t>
                  </w:r>
                </w:p>
              </w:tc>
              <w:tc>
                <w:tcPr>
                  <w:tcW w:w="3458" w:type="pct"/>
                  <w:gridSpan w:val="2"/>
                  <w:tcBorders>
                    <w:tl2br w:val="nil"/>
                    <w:tr2bl w:val="nil"/>
                  </w:tcBorders>
                  <w:shd w:val="clear" w:color="auto" w:fill="auto"/>
                  <w:vAlign w:val="center"/>
                </w:tcPr>
                <w:p>
                  <w:pPr>
                    <w:pStyle w:val="47"/>
                    <w:ind w:left="0" w:right="0" w:firstLine="0"/>
                    <w:jc w:val="center"/>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highlight w:val="none"/>
                    </w:rPr>
                    <w:t>设置移动隔声屏障；选取低噪声设备、合理安排作业时间等。</w:t>
                  </w:r>
                </w:p>
              </w:tc>
              <w:tc>
                <w:tcPr>
                  <w:tcW w:w="429" w:type="pct"/>
                  <w:tcBorders>
                    <w:tl2br w:val="nil"/>
                    <w:tr2bl w:val="nil"/>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line="240" w:lineRule="auto"/>
                    <w:ind w:left="0" w:right="0" w:firstLine="0"/>
                    <w:textAlignment w:val="baseline"/>
                    <w:rPr>
                      <w:rFonts w:ascii="Times New Roman" w:eastAsia="宋体" w:hAnsi="Times New Roman" w:hint="eastAsia"/>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262" w:type="pct"/>
                  <w:vMerge/>
                  <w:tcBorders>
                    <w:tl2br w:val="nil"/>
                    <w:tr2bl w:val="nil"/>
                  </w:tcBorders>
                  <w:vAlign w:val="center"/>
                </w:tcPr>
                <w:p/>
              </w:tc>
              <w:tc>
                <w:tcPr>
                  <w:tcW w:w="606"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固废</w:t>
                  </w:r>
                </w:p>
              </w:tc>
              <w:tc>
                <w:tcPr>
                  <w:tcW w:w="3458" w:type="pct"/>
                  <w:gridSpan w:val="2"/>
                  <w:tcBorders>
                    <w:tl2br w:val="nil"/>
                    <w:tr2bl w:val="nil"/>
                  </w:tcBorders>
                  <w:shd w:val="clear" w:color="auto" w:fill="auto"/>
                  <w:vAlign w:val="center"/>
                </w:tcPr>
                <w:p>
                  <w:pPr>
                    <w:pStyle w:val="47"/>
                    <w:ind w:left="0" w:right="0" w:firstLine="0"/>
                    <w:jc w:val="center"/>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highlight w:val="none"/>
                    </w:rPr>
                    <w:t>设置垃圾桶，生活垃圾收集后交由环卫部门统一处理。开挖土石方临时堆放在施工场地内，采用截排水沟，覆盖等方式进行处置，后期回用。水厂施工过程中产生的弃土</w:t>
                  </w:r>
                  <w:r>
                    <w:rPr>
                      <w:rFonts w:ascii="Times New Roman" w:eastAsia="宋体" w:hAnsi="Times New Roman" w:hint="eastAsia"/>
                      <w:kern w:val="21"/>
                      <w:sz w:val="21"/>
                      <w:szCs w:val="21"/>
                      <w:u w:val="single"/>
                      <w:lang w:val="en-US" w:eastAsia="zh-CN"/>
                      <w:highlight w:val="none"/>
                    </w:rPr>
                    <w:t>全部</w:t>
                  </w:r>
                  <w:r>
                    <w:rPr>
                      <w:rFonts w:ascii="Times New Roman" w:eastAsia="宋体" w:hAnsi="Times New Roman" w:hint="eastAsia"/>
                      <w:kern w:val="21"/>
                      <w:sz w:val="21"/>
                      <w:szCs w:val="21"/>
                      <w:u w:val="single"/>
                      <w:highlight w:val="none"/>
                    </w:rPr>
                    <w:t>用于工程的填方和周边土地平整填方，</w:t>
                  </w:r>
                  <w:r>
                    <w:rPr>
                      <w:rFonts w:ascii="Times New Roman" w:eastAsia="宋体" w:hAnsi="Times New Roman" w:hint="eastAsia"/>
                      <w:kern w:val="21"/>
                      <w:sz w:val="21"/>
                      <w:szCs w:val="21"/>
                      <w:u w:val="single"/>
                      <w:lang w:val="en-US" w:eastAsia="zh-CN"/>
                      <w:highlight w:val="none"/>
                    </w:rPr>
                    <w:t>建筑垃圾</w:t>
                  </w:r>
                  <w:r>
                    <w:rPr>
                      <w:rFonts w:ascii="Times New Roman" w:eastAsia="宋体" w:hAnsi="Times New Roman" w:hint="eastAsia"/>
                      <w:kern w:val="21"/>
                      <w:sz w:val="21"/>
                      <w:szCs w:val="21"/>
                      <w:u w:val="single"/>
                      <w:highlight w:val="none"/>
                    </w:rPr>
                    <w:t>运至有关部门指定的地方堆存。</w:t>
                  </w:r>
                </w:p>
              </w:tc>
              <w:tc>
                <w:tcPr>
                  <w:tcW w:w="429" w:type="pct"/>
                  <w:tcBorders>
                    <w:tl2br w:val="nil"/>
                    <w:tr2bl w:val="nil"/>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ind w:left="0" w:right="0" w:firstLine="0"/>
                    <w:jc w:val="center"/>
                    <w:textAlignment w:val="baseline"/>
                    <w:rPr>
                      <w:rFonts w:ascii="Times New Roman" w:eastAsia="宋体" w:hAnsi="Times New Roman" w:hint="eastAsia"/>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262" w:type="pct"/>
                  <w:vMerge/>
                  <w:tcBorders>
                    <w:tl2br w:val="nil"/>
                    <w:tr2bl w:val="nil"/>
                  </w:tcBorders>
                  <w:vAlign w:val="center"/>
                </w:tcPr>
                <w:p/>
              </w:tc>
              <w:tc>
                <w:tcPr>
                  <w:tcW w:w="606"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highlight w:val="none"/>
                    </w:rPr>
                    <w:t>生态</w:t>
                  </w:r>
                </w:p>
              </w:tc>
              <w:tc>
                <w:tcPr>
                  <w:tcW w:w="3458" w:type="pct"/>
                  <w:gridSpan w:val="2"/>
                  <w:tcBorders>
                    <w:tl2br w:val="nil"/>
                    <w:tr2bl w:val="nil"/>
                  </w:tcBorders>
                  <w:shd w:val="clear" w:color="auto" w:fill="auto"/>
                  <w:vAlign w:val="center"/>
                </w:tcPr>
                <w:p>
                  <w:pPr>
                    <w:pStyle w:val="47"/>
                    <w:ind w:left="0" w:right="0" w:firstLine="0"/>
                    <w:jc w:val="center"/>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highlight w:val="none"/>
                    </w:rPr>
                    <w:t>控制施工范围，尽可能保留项目用地范围内可利用的植物；避免深挖深填，避开雨季施工；分段开挖，分段敷设，分段恢复，及时进行植被恢复；多余的土方运至有关部门指定的地方堆存，开挖的地表覆土覆绿等。</w:t>
                  </w:r>
                </w:p>
              </w:tc>
              <w:tc>
                <w:tcPr>
                  <w:tcW w:w="429" w:type="pct"/>
                  <w:tcBorders>
                    <w:tl2br w:val="nil"/>
                    <w:tr2bl w:val="nil"/>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before="10" w:afterLines="0" w:after="10"/>
                    <w:ind w:left="0" w:right="0" w:firstLine="0"/>
                    <w:jc w:val="center"/>
                    <w:textAlignment w:val="baseline"/>
                    <w:rPr>
                      <w:rFonts w:ascii="Times New Roman" w:eastAsia="宋体" w:hAnsi="Times New Roman" w:hint="eastAsia"/>
                      <w:kern w:val="21"/>
                      <w:sz w:val="21"/>
                      <w:szCs w:val="21"/>
                      <w:u w:val="single"/>
                      <w:highlight w:val="none"/>
                    </w:rPr>
                  </w:pPr>
                  <w:r>
                    <w:rPr>
                      <w:rFonts w:ascii="Times New Roman" w:eastAsia="宋体" w:hAnsi="Times New Roman" w:hint="eastAsia"/>
                      <w:color w:val="000000"/>
                      <w:kern w:val="21"/>
                      <w:sz w:val="21"/>
                      <w:szCs w:val="21"/>
                      <w:u w:val="single"/>
                      <w:lang w:val="en-US" w:eastAsia="zh-CN"/>
                      <w:highlight w:val="none"/>
                    </w:rPr>
                    <w:t>/</w:t>
                  </w:r>
                </w:p>
              </w:tc>
            </w:tr>
            <w:tr>
              <w:trPr>
                <w:trHeight w:val="340"/>
              </w:trPr>
              <w:tc>
                <w:tcPr>
                  <w:tcW w:w="243" w:type="pct"/>
                  <w:vMerge/>
                  <w:tcBorders>
                    <w:tl2br w:val="nil"/>
                    <w:tr2bl w:val="nil"/>
                  </w:tcBorders>
                  <w:vAlign w:val="center"/>
                </w:tcPr>
                <w:p/>
              </w:tc>
              <w:tc>
                <w:tcPr>
                  <w:tcW w:w="262" w:type="pct"/>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highlight w:val="none"/>
                    </w:rPr>
                    <w:t>营运期</w:t>
                  </w:r>
                </w:p>
              </w:tc>
              <w:tc>
                <w:tcPr>
                  <w:tcW w:w="606"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废气</w:t>
                  </w:r>
                </w:p>
              </w:tc>
              <w:tc>
                <w:tcPr>
                  <w:tcW w:w="3458" w:type="pct"/>
                  <w:gridSpan w:val="2"/>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本项目在运行过程</w:t>
                  </w:r>
                  <w:r>
                    <w:rPr>
                      <w:rFonts w:ascii="Times New Roman" w:eastAsia="宋体" w:hAnsi="Times New Roman" w:hint="eastAsia"/>
                      <w:kern w:val="21"/>
                      <w:sz w:val="21"/>
                      <w:szCs w:val="21"/>
                      <w:u w:val="single"/>
                      <w:highlight w:val="none"/>
                    </w:rPr>
                    <w:t>中污泥将产生少量异味，通过加强通风和厂区绿化等措施降低废气影响。</w:t>
                  </w:r>
                </w:p>
              </w:tc>
              <w:tc>
                <w:tcPr>
                  <w:tcW w:w="429"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hint="eastAsia"/>
                      <w:kern w:val="21"/>
                      <w:sz w:val="21"/>
                      <w:szCs w:val="21"/>
                      <w:u w:val="single"/>
                      <w:lang w:val="en-US" w:eastAsia="zh-CN"/>
                      <w:highlight w:val="none"/>
                    </w:rPr>
                  </w:pPr>
                  <w:r>
                    <w:rPr>
                      <w:rFonts w:ascii="Times New Roman" w:eastAsia="宋体" w:hAnsi="Times New Roman" w:hint="eastAsia"/>
                      <w:kern w:val="21"/>
                      <w:sz w:val="21"/>
                      <w:szCs w:val="21"/>
                      <w:u w:val="single"/>
                      <w:lang w:val="en-US" w:eastAsia="zh-CN"/>
                      <w:highlight w:val="none"/>
                    </w:rPr>
                    <w:t>未建</w:t>
                  </w:r>
                </w:p>
              </w:tc>
            </w:tr>
            <w:tr>
              <w:trPr>
                <w:trHeight w:val="340"/>
              </w:trPr>
              <w:tc>
                <w:tcPr>
                  <w:tcW w:w="243" w:type="pct"/>
                  <w:vMerge/>
                  <w:tcBorders>
                    <w:tl2br w:val="nil"/>
                    <w:tr2bl w:val="nil"/>
                  </w:tcBorders>
                  <w:vAlign w:val="center"/>
                </w:tcPr>
                <w:p/>
              </w:tc>
              <w:tc>
                <w:tcPr>
                  <w:tcW w:w="262" w:type="pct"/>
                  <w:vMerge/>
                  <w:tcBorders>
                    <w:tl2br w:val="nil"/>
                    <w:tr2bl w:val="nil"/>
                  </w:tcBorders>
                  <w:vAlign w:val="center"/>
                </w:tcPr>
                <w:p/>
              </w:tc>
              <w:tc>
                <w:tcPr>
                  <w:tcW w:w="606" w:type="pct"/>
                  <w:gridSpan w:val="2"/>
                  <w:vMerge w:val="restar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废水</w:t>
                  </w:r>
                </w:p>
              </w:tc>
              <w:tc>
                <w:tcPr>
                  <w:tcW w:w="3458" w:type="pct"/>
                  <w:gridSpan w:val="2"/>
                  <w:tcBorders>
                    <w:tl2br w:val="nil"/>
                    <w:tr2bl w:val="nil"/>
                  </w:tcBorders>
                  <w:shd w:val="clear" w:color="auto" w:fill="auto"/>
                  <w:vAlign w:val="center"/>
                </w:tcPr>
                <w:p>
                  <w:pPr>
                    <w:pStyle w:val="47"/>
                    <w:spacing w:line="240" w:lineRule="auto"/>
                    <w:ind w:left="0" w:right="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生活污水经化粪池处理后，</w:t>
                  </w:r>
                  <w:r>
                    <w:rPr>
                      <w:rFonts w:ascii="Times New Roman" w:eastAsia="宋体" w:hAnsi="Times New Roman" w:hint="eastAsia"/>
                      <w:kern w:val="21"/>
                      <w:sz w:val="21"/>
                      <w:szCs w:val="21"/>
                      <w:u w:val="single"/>
                      <w:lang w:val="en-US" w:eastAsia="zh-CN"/>
                      <w:highlight w:val="none"/>
                    </w:rPr>
                    <w:t>用于周边农肥</w:t>
                  </w:r>
                  <w:r>
                    <w:rPr>
                      <w:rFonts w:ascii="Times New Roman" w:eastAsia="宋体" w:hAnsi="Times New Roman" w:hint="eastAsia"/>
                      <w:kern w:val="21"/>
                      <w:sz w:val="21"/>
                      <w:szCs w:val="21"/>
                      <w:u w:val="single"/>
                      <w:highlight w:val="none"/>
                    </w:rPr>
                    <w:t>。</w:t>
                  </w:r>
                </w:p>
              </w:tc>
              <w:tc>
                <w:tcPr>
                  <w:tcW w:w="429" w:type="pct"/>
                  <w:tcBorders>
                    <w:tl2br w:val="nil"/>
                    <w:tr2bl w:val="nil"/>
                  </w:tcBorders>
                  <w:shd w:val="clear" w:color="auto" w:fill="auto"/>
                  <w:vAlign w:val="center"/>
                </w:tcPr>
                <w:p>
                  <w:pPr>
                    <w:pStyle w:val="47"/>
                    <w:spacing w:line="240" w:lineRule="auto"/>
                    <w:ind w:left="0" w:right="0" w:firstLine="0"/>
                    <w:jc w:val="center"/>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lang w:val="en-US" w:eastAsia="zh-CN"/>
                      <w:highlight w:val="none"/>
                    </w:rPr>
                    <w:t>未建</w:t>
                  </w:r>
                </w:p>
              </w:tc>
            </w:tr>
            <w:tr>
              <w:trPr>
                <w:trHeight w:val="340"/>
              </w:trPr>
              <w:tc>
                <w:tcPr>
                  <w:tcW w:w="243" w:type="pct"/>
                  <w:vMerge/>
                  <w:tcBorders>
                    <w:tl2br w:val="nil"/>
                    <w:tr2bl w:val="nil"/>
                  </w:tcBorders>
                  <w:vAlign w:val="center"/>
                </w:tcPr>
                <w:p/>
              </w:tc>
              <w:tc>
                <w:tcPr>
                  <w:tcW w:w="262" w:type="pct"/>
                  <w:vMerge/>
                  <w:tcBorders>
                    <w:tl2br w:val="nil"/>
                    <w:tr2bl w:val="nil"/>
                  </w:tcBorders>
                  <w:vAlign w:val="center"/>
                </w:tcPr>
                <w:p/>
              </w:tc>
              <w:tc>
                <w:tcPr>
                  <w:tcW w:w="606" w:type="pct"/>
                  <w:gridSpan w:val="2"/>
                  <w:vMerge/>
                  <w:tcBorders>
                    <w:tl2br w:val="nil"/>
                    <w:tr2bl w:val="nil"/>
                  </w:tcBorders>
                  <w:vAlign w:val="center"/>
                </w:tcPr>
                <w:p/>
              </w:tc>
              <w:tc>
                <w:tcPr>
                  <w:tcW w:w="3458"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kern w:val="21"/>
                      <w:sz w:val="21"/>
                      <w:szCs w:val="21"/>
                      <w:u w:val="single"/>
                      <w:highlight w:val="none"/>
                    </w:rPr>
                    <w:t>滤池反冲洗水收集至回用水池后回用于原水利用，不外排</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lang w:val="en-US" w:eastAsia="zh-CN"/>
                      <w:highlight w:val="none"/>
                    </w:rPr>
                    <w:t>未建</w:t>
                  </w:r>
                </w:p>
              </w:tc>
            </w:tr>
            <w:tr>
              <w:trPr>
                <w:trHeight w:val="340"/>
              </w:trPr>
              <w:tc>
                <w:tcPr>
                  <w:tcW w:w="243" w:type="pct"/>
                  <w:vMerge/>
                  <w:tcBorders>
                    <w:tl2br w:val="nil"/>
                    <w:tr2bl w:val="nil"/>
                  </w:tcBorders>
                  <w:vAlign w:val="center"/>
                </w:tcPr>
                <w:p/>
              </w:tc>
              <w:tc>
                <w:tcPr>
                  <w:tcW w:w="262" w:type="pct"/>
                  <w:vMerge/>
                  <w:tcBorders>
                    <w:tl2br w:val="nil"/>
                    <w:tr2bl w:val="nil"/>
                  </w:tcBorders>
                  <w:vAlign w:val="center"/>
                </w:tcPr>
                <w:p/>
              </w:tc>
              <w:tc>
                <w:tcPr>
                  <w:tcW w:w="606" w:type="pct"/>
                  <w:gridSpan w:val="2"/>
                  <w:vMerge/>
                  <w:tcBorders>
                    <w:tl2br w:val="nil"/>
                    <w:tr2bl w:val="nil"/>
                  </w:tcBorders>
                  <w:vAlign w:val="center"/>
                </w:tcPr>
                <w:p/>
              </w:tc>
              <w:tc>
                <w:tcPr>
                  <w:tcW w:w="3458"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kern w:val="21"/>
                      <w:sz w:val="21"/>
                      <w:szCs w:val="21"/>
                      <w:u w:val="single"/>
                      <w:highlight w:val="none"/>
                    </w:rPr>
                  </w:pPr>
                  <w:r>
                    <w:rPr>
                      <w:rFonts w:ascii="Times New Roman" w:eastAsia="宋体" w:hAnsi="Times New Roman" w:hint="eastAsia"/>
                      <w:kern w:val="21"/>
                      <w:sz w:val="21"/>
                      <w:szCs w:val="21"/>
                      <w:u w:val="single"/>
                      <w:lang w:val="en-US" w:eastAsia="zh-CN"/>
                      <w:highlight w:val="none"/>
                    </w:rPr>
                    <w:t>沉淀池排泥</w:t>
                  </w:r>
                  <w:r>
                    <w:rPr>
                      <w:rFonts w:ascii="Times New Roman" w:eastAsia="宋体" w:hAnsi="Times New Roman" w:hint="eastAsia"/>
                      <w:kern w:val="21"/>
                      <w:sz w:val="21"/>
                      <w:szCs w:val="21"/>
                      <w:u w:val="single"/>
                      <w:highlight w:val="none"/>
                    </w:rPr>
                    <w:t>污水排入</w:t>
                  </w:r>
                  <w:r>
                    <w:rPr>
                      <w:rFonts w:ascii="Times New Roman" w:eastAsia="宋体" w:cs="Times New Roman" w:hAnsi="Times New Roman" w:hint="eastAsia"/>
                      <w:kern w:val="21"/>
                      <w:sz w:val="21"/>
                      <w:szCs w:val="21"/>
                      <w:u w:val="single"/>
                      <w:lang w:val="zh-CN" w:eastAsia="zh-CN"/>
                      <w:highlight w:val="none"/>
                    </w:rPr>
                    <w:t>回用水池及排泥调节池</w:t>
                  </w:r>
                  <w:r>
                    <w:rPr>
                      <w:rFonts w:ascii="Times New Roman" w:eastAsia="宋体" w:cs="Times New Roman" w:hAnsi="Times New Roman" w:hint="eastAsia"/>
                      <w:kern w:val="21"/>
                      <w:sz w:val="21"/>
                      <w:szCs w:val="21"/>
                      <w:u w:val="single"/>
                      <w:lang w:val="en-US" w:eastAsia="zh-CN"/>
                      <w:highlight w:val="none"/>
                    </w:rPr>
                    <w:t>后</w:t>
                  </w:r>
                  <w:r>
                    <w:rPr>
                      <w:rFonts w:ascii="Times New Roman" w:eastAsia="宋体" w:hAnsi="Times New Roman" w:hint="eastAsia"/>
                      <w:kern w:val="21"/>
                      <w:sz w:val="21"/>
                      <w:szCs w:val="21"/>
                      <w:u w:val="single"/>
                      <w:lang w:val="en-US" w:eastAsia="zh-CN"/>
                      <w:highlight w:val="none"/>
                    </w:rPr>
                    <w:t>回用</w:t>
                  </w:r>
                  <w:r>
                    <w:rPr>
                      <w:rFonts w:ascii="Times New Roman" w:eastAsia="宋体" w:hAnsi="Times New Roman"/>
                      <w:kern w:val="21"/>
                      <w:sz w:val="21"/>
                      <w:szCs w:val="21"/>
                      <w:u w:val="single"/>
                      <w:highlight w:val="none"/>
                    </w:rPr>
                    <w:t>，不外排</w:t>
                  </w:r>
                </w:p>
              </w:tc>
              <w:tc>
                <w:tcPr>
                  <w:tcW w:w="429" w:type="pct"/>
                  <w:tcBorders>
                    <w:tl2br w:val="nil"/>
                    <w:tr2bl w:val="nil"/>
                  </w:tcBorders>
                  <w:vAlign w:val="center"/>
                </w:tcPr>
                <w:p>
                  <w:pPr>
                    <w:pStyle w:val="47"/>
                    <w:spacing w:beforeLines="0" w:before="10" w:afterLines="0" w:after="10" w:line="240" w:lineRule="auto"/>
                    <w:ind w:left="0" w:right="0" w:firstLine="0"/>
                    <w:jc w:val="center"/>
                    <w:rPr>
                      <w:rFonts w:ascii="Times New Roman" w:eastAsia="宋体" w:hAnsi="Times New Roman" w:hint="eastAsia"/>
                      <w:kern w:val="21"/>
                      <w:sz w:val="21"/>
                      <w:szCs w:val="21"/>
                      <w:u w:val="single"/>
                      <w:lang w:val="en-US" w:eastAsia="zh-CN"/>
                      <w:highlight w:val="none"/>
                    </w:rPr>
                  </w:pPr>
                  <w:r>
                    <w:rPr>
                      <w:rFonts w:ascii="Times New Roman" w:eastAsia="宋体" w:hAnsi="Times New Roman" w:hint="eastAsia"/>
                      <w:kern w:val="21"/>
                      <w:sz w:val="21"/>
                      <w:szCs w:val="21"/>
                      <w:u w:val="single"/>
                      <w:lang w:val="en-US" w:eastAsia="zh-CN"/>
                      <w:highlight w:val="none"/>
                    </w:rPr>
                    <w:t>未建</w:t>
                  </w:r>
                </w:p>
              </w:tc>
            </w:tr>
            <w:tr>
              <w:trPr>
                <w:trHeight w:val="340"/>
              </w:trPr>
              <w:tc>
                <w:tcPr>
                  <w:tcW w:w="243" w:type="pct"/>
                  <w:vMerge/>
                  <w:tcBorders>
                    <w:tl2br w:val="nil"/>
                    <w:tr2bl w:val="nil"/>
                  </w:tcBorders>
                  <w:vAlign w:val="center"/>
                </w:tcPr>
                <w:p/>
              </w:tc>
              <w:tc>
                <w:tcPr>
                  <w:tcW w:w="262" w:type="pct"/>
                  <w:vMerge/>
                  <w:tcBorders>
                    <w:tl2br w:val="nil"/>
                    <w:tr2bl w:val="nil"/>
                  </w:tcBorders>
                  <w:vAlign w:val="center"/>
                </w:tcPr>
                <w:p/>
              </w:tc>
              <w:tc>
                <w:tcPr>
                  <w:tcW w:w="606"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噪声</w:t>
                  </w:r>
                </w:p>
              </w:tc>
              <w:tc>
                <w:tcPr>
                  <w:tcW w:w="3458" w:type="pct"/>
                  <w:gridSpan w:val="2"/>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color w:val="000000"/>
                      <w:sz w:val="21"/>
                      <w:szCs w:val="21"/>
                      <w:u w:val="single"/>
                      <w:highlight w:val="none"/>
                    </w:rPr>
                  </w:pPr>
                  <w:r>
                    <w:rPr>
                      <w:rFonts w:ascii="Times New Roman" w:eastAsia="宋体" w:hAnsi="Times New Roman"/>
                      <w:sz w:val="21"/>
                      <w:szCs w:val="21"/>
                      <w:u w:val="single"/>
                      <w:highlight w:val="none"/>
                    </w:rPr>
                    <w:t>选用低噪声设备、基础减震、建筑隔声、合理布局</w:t>
                  </w:r>
                </w:p>
              </w:tc>
              <w:tc>
                <w:tcPr>
                  <w:tcW w:w="429" w:type="pct"/>
                  <w:tcBorders>
                    <w:tl2br w:val="nil"/>
                    <w:tr2bl w:val="nil"/>
                  </w:tcBorders>
                  <w:vAlign w:val="center"/>
                </w:tcPr>
                <w:p>
                  <w:pPr>
                    <w:pStyle w:val="47"/>
                    <w:spacing w:beforeLines="0" w:before="10" w:afterLines="0" w:after="10" w:line="240" w:lineRule="auto"/>
                    <w:ind w:left="0" w:right="0" w:firstLine="0"/>
                    <w:rPr>
                      <w:rFonts w:ascii="Times New Roman" w:eastAsia="宋体" w:hAnsi="Times New Roman"/>
                      <w:sz w:val="21"/>
                      <w:szCs w:val="21"/>
                      <w:u w:val="single"/>
                      <w:highlight w:val="none"/>
                    </w:rPr>
                  </w:pPr>
                  <w:r>
                    <w:rPr>
                      <w:rFonts w:ascii="Times New Roman" w:eastAsia="宋体" w:hAnsi="Times New Roman" w:hint="eastAsia"/>
                      <w:kern w:val="21"/>
                      <w:sz w:val="21"/>
                      <w:szCs w:val="21"/>
                      <w:u w:val="single"/>
                      <w:lang w:val="en-US" w:eastAsia="zh-CN"/>
                      <w:highlight w:val="none"/>
                    </w:rPr>
                    <w:t>未建</w:t>
                  </w:r>
                </w:p>
              </w:tc>
            </w:tr>
            <w:tr>
              <w:trPr>
                <w:trHeight w:val="340"/>
              </w:trPr>
              <w:tc>
                <w:tcPr>
                  <w:tcW w:w="243" w:type="pct"/>
                  <w:vMerge/>
                  <w:tcBorders>
                    <w:tl2br w:val="nil"/>
                    <w:tr2bl w:val="nil"/>
                  </w:tcBorders>
                  <w:vAlign w:val="center"/>
                </w:tcPr>
                <w:p/>
              </w:tc>
              <w:tc>
                <w:tcPr>
                  <w:tcW w:w="262" w:type="pct"/>
                  <w:vMerge/>
                  <w:tcBorders>
                    <w:tl2br w:val="nil"/>
                    <w:tr2bl w:val="nil"/>
                  </w:tcBorders>
                  <w:shd w:val="clear" w:color="auto" w:fill="auto"/>
                  <w:vAlign w:val="center"/>
                </w:tcPr>
                <w:p/>
              </w:tc>
              <w:tc>
                <w:tcPr>
                  <w:tcW w:w="606" w:type="pct"/>
                  <w:gridSpan w:val="2"/>
                  <w:vMerge w:val="restar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color w:val="000000"/>
                      <w:kern w:val="21"/>
                      <w:sz w:val="21"/>
                      <w:szCs w:val="21"/>
                      <w:u w:val="single"/>
                      <w:highlight w:val="none"/>
                    </w:rPr>
                  </w:pPr>
                  <w:r>
                    <w:rPr>
                      <w:rFonts w:ascii="Times New Roman" w:eastAsia="宋体" w:hAnsi="Times New Roman"/>
                      <w:color w:val="000000"/>
                      <w:kern w:val="21"/>
                      <w:sz w:val="21"/>
                      <w:szCs w:val="21"/>
                      <w:u w:val="single"/>
                      <w:highlight w:val="none"/>
                    </w:rPr>
                    <w:t>固废</w:t>
                  </w:r>
                </w:p>
              </w:tc>
              <w:tc>
                <w:tcPr>
                  <w:tcW w:w="412"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color w:val="000000"/>
                      <w:sz w:val="21"/>
                      <w:szCs w:val="21"/>
                      <w:u w:val="single"/>
                      <w:highlight w:val="none"/>
                    </w:rPr>
                  </w:pPr>
                  <w:r>
                    <w:rPr>
                      <w:rFonts w:ascii="Times New Roman" w:eastAsia="宋体" w:hAnsi="Times New Roman"/>
                      <w:color w:val="000000"/>
                      <w:sz w:val="21"/>
                      <w:szCs w:val="21"/>
                      <w:u w:val="single"/>
                      <w:highlight w:val="none"/>
                    </w:rPr>
                    <w:t>生活垃圾</w:t>
                  </w:r>
                </w:p>
              </w:tc>
              <w:tc>
                <w:tcPr>
                  <w:tcW w:w="3046"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color w:val="000000"/>
                      <w:sz w:val="21"/>
                      <w:szCs w:val="21"/>
                      <w:u w:val="single"/>
                      <w:highlight w:val="none"/>
                    </w:rPr>
                  </w:pPr>
                  <w:r>
                    <w:rPr>
                      <w:rFonts w:ascii="Times New Roman" w:eastAsia="宋体" w:hAnsi="Times New Roman"/>
                      <w:color w:val="000000"/>
                      <w:sz w:val="21"/>
                      <w:szCs w:val="21"/>
                      <w:u w:val="single"/>
                      <w:highlight w:val="none"/>
                    </w:rPr>
                    <w:t>收集后委托环卫部门统一处理</w:t>
                  </w:r>
                </w:p>
              </w:tc>
              <w:tc>
                <w:tcPr>
                  <w:tcW w:w="429"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color w:val="000000"/>
                      <w:sz w:val="21"/>
                      <w:szCs w:val="21"/>
                      <w:u w:val="single"/>
                      <w:highlight w:val="none"/>
                    </w:rPr>
                  </w:pPr>
                  <w:r>
                    <w:rPr>
                      <w:rFonts w:ascii="Times New Roman" w:eastAsia="宋体" w:hAnsi="Times New Roman" w:hint="eastAsia"/>
                      <w:kern w:val="21"/>
                      <w:sz w:val="21"/>
                      <w:szCs w:val="21"/>
                      <w:u w:val="single"/>
                      <w:lang w:val="en-US" w:eastAsia="zh-CN"/>
                      <w:highlight w:val="none"/>
                    </w:rPr>
                    <w:t>未建</w:t>
                  </w:r>
                </w:p>
              </w:tc>
            </w:tr>
            <w:tr>
              <w:trPr>
                <w:trHeight w:val="340"/>
              </w:trPr>
              <w:tc>
                <w:tcPr>
                  <w:tcW w:w="243" w:type="pct"/>
                  <w:vMerge/>
                  <w:tcBorders>
                    <w:tl2br w:val="nil"/>
                    <w:tr2bl w:val="nil"/>
                  </w:tcBorders>
                  <w:vAlign w:val="center"/>
                </w:tcPr>
                <w:p/>
              </w:tc>
              <w:tc>
                <w:tcPr>
                  <w:tcW w:w="262" w:type="pct"/>
                  <w:vMerge/>
                  <w:tcBorders>
                    <w:tl2br w:val="nil"/>
                    <w:tr2bl w:val="nil"/>
                  </w:tcBorders>
                  <w:shd w:val="clear" w:color="auto" w:fill="auto"/>
                  <w:vAlign w:val="center"/>
                </w:tcPr>
                <w:p/>
              </w:tc>
              <w:tc>
                <w:tcPr>
                  <w:tcW w:w="606" w:type="pct"/>
                  <w:gridSpan w:val="2"/>
                  <w:vMerge/>
                  <w:tcBorders>
                    <w:tl2br w:val="nil"/>
                    <w:tr2bl w:val="nil"/>
                  </w:tcBorders>
                  <w:shd w:val="clear" w:color="auto" w:fill="auto"/>
                  <w:vAlign w:val="center"/>
                </w:tcPr>
                <w:p/>
              </w:tc>
              <w:tc>
                <w:tcPr>
                  <w:tcW w:w="412"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color w:val="000000"/>
                      <w:sz w:val="21"/>
                      <w:szCs w:val="21"/>
                      <w:u w:val="single"/>
                      <w:highlight w:val="none"/>
                    </w:rPr>
                  </w:pPr>
                  <w:r>
                    <w:rPr>
                      <w:rFonts w:ascii="Times New Roman" w:eastAsia="宋体" w:hAnsi="Times New Roman"/>
                      <w:color w:val="000000"/>
                      <w:sz w:val="21"/>
                      <w:szCs w:val="21"/>
                      <w:u w:val="single"/>
                      <w:highlight w:val="none"/>
                    </w:rPr>
                    <w:t>一般固废</w:t>
                  </w:r>
                </w:p>
              </w:tc>
              <w:tc>
                <w:tcPr>
                  <w:tcW w:w="3046"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color w:val="000000"/>
                      <w:sz w:val="21"/>
                      <w:szCs w:val="21"/>
                      <w:u w:val="single"/>
                      <w:highlight w:val="none"/>
                    </w:rPr>
                  </w:pPr>
                  <w:r>
                    <w:rPr>
                      <w:rFonts w:ascii="Times New Roman" w:eastAsia="宋体" w:hAnsi="Times New Roman"/>
                      <w:color w:val="000000"/>
                      <w:sz w:val="21"/>
                      <w:szCs w:val="21"/>
                      <w:u w:val="single"/>
                      <w:highlight w:val="none"/>
                    </w:rPr>
                    <w:t>沉淀池污泥脱水后</w:t>
                  </w:r>
                  <w:r>
                    <w:rPr>
                      <w:rFonts w:ascii="Times New Roman" w:eastAsia="宋体" w:hAnsi="Times New Roman" w:hint="eastAsia"/>
                      <w:color w:val="000000"/>
                      <w:sz w:val="21"/>
                      <w:szCs w:val="21"/>
                      <w:u w:val="single"/>
                      <w:lang w:val="en-US" w:eastAsia="zh-CN"/>
                      <w:highlight w:val="none"/>
                    </w:rPr>
                    <w:t>外运至周边环保砖厂综合利用</w:t>
                  </w:r>
                </w:p>
              </w:tc>
              <w:tc>
                <w:tcPr>
                  <w:tcW w:w="429"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color w:val="000000"/>
                      <w:sz w:val="21"/>
                      <w:szCs w:val="21"/>
                      <w:u w:val="single"/>
                      <w:highlight w:val="none"/>
                    </w:rPr>
                  </w:pPr>
                  <w:r>
                    <w:rPr>
                      <w:rFonts w:ascii="Times New Roman" w:eastAsia="宋体" w:hAnsi="Times New Roman" w:hint="eastAsia"/>
                      <w:kern w:val="21"/>
                      <w:sz w:val="21"/>
                      <w:szCs w:val="21"/>
                      <w:u w:val="single"/>
                      <w:lang w:val="en-US" w:eastAsia="zh-CN"/>
                      <w:highlight w:val="none"/>
                    </w:rPr>
                    <w:t>未建</w:t>
                  </w:r>
                </w:p>
              </w:tc>
            </w:tr>
            <w:tr>
              <w:trPr>
                <w:trHeight w:val="340"/>
              </w:trPr>
              <w:tc>
                <w:tcPr>
                  <w:tcW w:w="243" w:type="pct"/>
                  <w:vMerge/>
                  <w:tcBorders>
                    <w:tl2br w:val="nil"/>
                    <w:tr2bl w:val="nil"/>
                  </w:tcBorders>
                  <w:vAlign w:val="center"/>
                </w:tcPr>
                <w:p/>
              </w:tc>
              <w:tc>
                <w:tcPr>
                  <w:tcW w:w="262" w:type="pct"/>
                  <w:vMerge/>
                  <w:tcBorders>
                    <w:tl2br w:val="nil"/>
                    <w:tr2bl w:val="nil"/>
                  </w:tcBorders>
                  <w:shd w:val="clear" w:color="auto" w:fill="auto"/>
                  <w:vAlign w:val="center"/>
                </w:tcPr>
                <w:p/>
              </w:tc>
              <w:tc>
                <w:tcPr>
                  <w:tcW w:w="606" w:type="pct"/>
                  <w:gridSpan w:val="2"/>
                  <w:vMerge/>
                  <w:tcBorders>
                    <w:tl2br w:val="nil"/>
                    <w:tr2bl w:val="nil"/>
                  </w:tcBorders>
                  <w:shd w:val="clear" w:color="auto" w:fill="auto"/>
                  <w:vAlign w:val="center"/>
                </w:tcPr>
                <w:p/>
              </w:tc>
              <w:tc>
                <w:tcPr>
                  <w:tcW w:w="412"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color w:val="000000"/>
                      <w:sz w:val="21"/>
                      <w:szCs w:val="21"/>
                      <w:u w:val="single"/>
                      <w:highlight w:val="none"/>
                    </w:rPr>
                  </w:pPr>
                  <w:r>
                    <w:rPr>
                      <w:rFonts w:ascii="Times New Roman" w:eastAsia="宋体" w:hAnsi="Times New Roman" w:hint="eastAsia"/>
                      <w:color w:val="000000"/>
                      <w:sz w:val="21"/>
                      <w:szCs w:val="21"/>
                      <w:u w:val="single"/>
                      <w:highlight w:val="none"/>
                    </w:rPr>
                    <w:t>危险废物</w:t>
                  </w:r>
                </w:p>
              </w:tc>
              <w:tc>
                <w:tcPr>
                  <w:tcW w:w="3046"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color w:val="000000"/>
                      <w:sz w:val="21"/>
                      <w:szCs w:val="21"/>
                      <w:u w:val="single"/>
                      <w:highlight w:val="none"/>
                    </w:rPr>
                  </w:pPr>
                  <w:r>
                    <w:rPr>
                      <w:rFonts w:ascii="Times New Roman" w:eastAsia="宋体" w:hAnsi="Times New Roman" w:hint="eastAsia"/>
                      <w:color w:val="000000"/>
                      <w:sz w:val="21"/>
                      <w:szCs w:val="21"/>
                      <w:u w:val="single"/>
                      <w:highlight w:val="none"/>
                    </w:rPr>
                    <w:t>废润滑油、废含油抹布、废润滑油桶分类收集暂存至危废暂存间，定期交有资质单位处理</w:t>
                  </w:r>
                </w:p>
              </w:tc>
              <w:tc>
                <w:tcPr>
                  <w:tcW w:w="429" w:type="pct"/>
                  <w:tcBorders>
                    <w:tl2br w:val="nil"/>
                    <w:tr2bl w:val="nil"/>
                  </w:tcBorders>
                  <w:shd w:val="clear" w:color="auto" w:fill="auto"/>
                  <w:vAlign w:val="center"/>
                </w:tcPr>
                <w:p>
                  <w:pPr>
                    <w:pStyle w:val="47"/>
                    <w:spacing w:beforeLines="0" w:before="10" w:afterLines="0" w:after="10" w:line="240" w:lineRule="auto"/>
                    <w:ind w:left="0" w:right="0" w:firstLine="0"/>
                    <w:rPr>
                      <w:rFonts w:ascii="Times New Roman" w:eastAsia="宋体" w:hAnsi="Times New Roman" w:hint="eastAsia"/>
                      <w:color w:val="000000"/>
                      <w:sz w:val="21"/>
                      <w:szCs w:val="21"/>
                      <w:u w:val="single"/>
                      <w:highlight w:val="none"/>
                    </w:rPr>
                  </w:pPr>
                  <w:r>
                    <w:rPr>
                      <w:rFonts w:ascii="Times New Roman" w:eastAsia="宋体" w:hAnsi="Times New Roman" w:hint="eastAsia"/>
                      <w:kern w:val="21"/>
                      <w:sz w:val="21"/>
                      <w:szCs w:val="21"/>
                      <w:u w:val="single"/>
                      <w:lang w:val="en-US" w:eastAsia="zh-CN"/>
                      <w:highlight w:val="none"/>
                    </w:rPr>
                    <w:t>未建</w:t>
                  </w:r>
                </w:p>
              </w:tc>
            </w:tr>
          </w:tbl>
          <w:p>
            <w:pPr>
              <w:jc w:val="center"/>
              <w:rPr>
                <w:rFonts w:ascii="Times New Roman" w:eastAsia="宋体" w:cs="Times New Roman" w:hAnsi="Times New Roman"/>
                <w:b/>
                <w:szCs w:val="21"/>
                <w:u w:val="none"/>
                <w:highlight w:val="none"/>
              </w:rPr>
            </w:pPr>
            <w:bookmarkStart w:id="10" w:name="_Hlk137199048"/>
          </w:p>
          <w:p>
            <w:pPr>
              <w:jc w:val="center"/>
              <w:rPr>
                <w:rFonts w:ascii="Times New Roman" w:eastAsia="宋体" w:cs="Times New Roman" w:hAnsi="Times New Roman"/>
                <w:b/>
                <w:szCs w:val="21"/>
                <w:u w:val="none"/>
                <w:highlight w:val="none"/>
              </w:rPr>
            </w:pPr>
            <w:r>
              <w:rPr>
                <w:rFonts w:ascii="Times New Roman" w:eastAsia="宋体" w:cs="Times New Roman" w:hAnsi="Times New Roman"/>
                <w:b/>
                <w:szCs w:val="21"/>
                <w:u w:val="none"/>
                <w:highlight w:val="none"/>
              </w:rPr>
              <w:t>表</w:t>
            </w:r>
            <w:r>
              <w:rPr>
                <w:rFonts w:ascii="Times New Roman" w:eastAsia="宋体" w:cs="Times New Roman" w:hAnsi="Times New Roman" w:hint="eastAsia"/>
                <w:b/>
                <w:szCs w:val="21"/>
                <w:u w:val="none"/>
                <w:lang w:val="en-US" w:eastAsia="zh-CN"/>
                <w:highlight w:val="none"/>
              </w:rPr>
              <w:t xml:space="preserve">2-3   </w:t>
            </w:r>
            <w:r>
              <w:rPr>
                <w:rFonts w:ascii="Times New Roman" w:eastAsia="宋体" w:cs="Times New Roman" w:hAnsi="Times New Roman"/>
                <w:b/>
                <w:szCs w:val="21"/>
                <w:u w:val="none"/>
                <w:highlight w:val="none"/>
              </w:rPr>
              <w:t>厂区主要用地技术经济指标一览表</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10" w:type="dxa"/>
                <w:bottom w:w="0" w:type="dxa"/>
                <w:right w:w="10" w:type="dxa"/>
              </w:tblCellMar>
              <w:tblLook w:val="0600" w:firstRow="0" w:lastRow="0" w:firstColumn="0" w:lastColumn="0" w:noHBand="1" w:noVBand="1"/>
            </w:tblPr>
            <w:tblGrid>
              <w:gridCol w:w="804"/>
              <w:gridCol w:w="10"/>
              <w:gridCol w:w="4012"/>
              <w:gridCol w:w="5"/>
              <w:gridCol w:w="930"/>
              <w:gridCol w:w="5"/>
              <w:gridCol w:w="2415"/>
              <w:gridCol w:w="3"/>
            </w:tblGrid>
            <w:tr>
              <w:trPr>
                <w:trHeight w:val="340"/>
                <w:gridAfter w:val="1"/>
                <w:wAfter w:w="3" w:type="dxa"/>
              </w:trPr>
              <w:tc>
                <w:tcPr>
                  <w:tcW w:w="497" w:type="pct"/>
                  <w:gridSpan w:val="2"/>
                  <w:tcBorders>
                    <w:tl2br w:val="nil"/>
                    <w:tr2bl w:val="nil"/>
                  </w:tcBorders>
                  <w:shd w:val="clear" w:color="auto" w:fill="FFFFFF"/>
                  <w:vAlign w:val="center"/>
                </w:tcPr>
                <w:p>
                  <w:pPr>
                    <w:jc w:val="center"/>
                    <w:rPr>
                      <w:rFonts w:ascii="Times New Roman" w:eastAsia="宋体" w:cs="Times New Roman" w:hAnsi="Times New Roman"/>
                      <w:b/>
                      <w:bCs/>
                      <w:color w:val="auto"/>
                      <w:szCs w:val="21"/>
                      <w:u w:val="none"/>
                      <w:highlight w:val="none"/>
                    </w:rPr>
                  </w:pPr>
                  <w:r>
                    <w:rPr>
                      <w:rFonts w:ascii="Times New Roman" w:eastAsia="宋体" w:cs="Times New Roman" w:hAnsi="Times New Roman"/>
                      <w:b/>
                      <w:bCs/>
                      <w:color w:val="auto"/>
                      <w:szCs w:val="21"/>
                      <w:u w:val="none"/>
                      <w:lang w:val="zh-TW" w:eastAsia="zh-TW"/>
                      <w:highlight w:val="none"/>
                    </w:rPr>
                    <w:t>序号</w:t>
                  </w:r>
                </w:p>
              </w:tc>
              <w:tc>
                <w:tcPr>
                  <w:tcW w:w="2453" w:type="pct"/>
                  <w:gridSpan w:val="2"/>
                  <w:tcBorders>
                    <w:tl2br w:val="nil"/>
                    <w:tr2bl w:val="nil"/>
                  </w:tcBorders>
                  <w:shd w:val="clear" w:color="auto" w:fill="FFFFFF"/>
                  <w:vAlign w:val="center"/>
                </w:tcPr>
                <w:p>
                  <w:pPr>
                    <w:jc w:val="center"/>
                    <w:rPr>
                      <w:rFonts w:ascii="Times New Roman" w:eastAsia="宋体" w:cs="Times New Roman" w:hAnsi="Times New Roman"/>
                      <w:b/>
                      <w:bCs/>
                      <w:color w:val="auto"/>
                      <w:szCs w:val="21"/>
                      <w:u w:val="none"/>
                      <w:highlight w:val="none"/>
                    </w:rPr>
                  </w:pPr>
                  <w:r>
                    <w:rPr>
                      <w:rFonts w:ascii="Times New Roman" w:eastAsia="宋体" w:cs="Times New Roman" w:hAnsi="Times New Roman"/>
                      <w:b/>
                      <w:bCs/>
                      <w:color w:val="auto"/>
                      <w:szCs w:val="21"/>
                      <w:u w:val="none"/>
                      <w:lang w:val="zh-TW" w:eastAsia="zh-TW"/>
                      <w:highlight w:val="none"/>
                    </w:rPr>
                    <w:t>名称</w:t>
                  </w:r>
                </w:p>
              </w:tc>
              <w:tc>
                <w:tcPr>
                  <w:tcW w:w="568" w:type="pct"/>
                  <w:tcBorders>
                    <w:tl2br w:val="nil"/>
                    <w:tr2bl w:val="nil"/>
                  </w:tcBorders>
                  <w:shd w:val="clear" w:color="auto" w:fill="FFFFFF"/>
                  <w:vAlign w:val="center"/>
                </w:tcPr>
                <w:p>
                  <w:pPr>
                    <w:jc w:val="center"/>
                    <w:rPr>
                      <w:rFonts w:ascii="Times New Roman" w:eastAsia="宋体" w:cs="Times New Roman" w:hAnsi="Times New Roman"/>
                      <w:b/>
                      <w:bCs/>
                      <w:color w:val="auto"/>
                      <w:szCs w:val="21"/>
                      <w:u w:val="none"/>
                      <w:highlight w:val="none"/>
                    </w:rPr>
                  </w:pPr>
                  <w:r>
                    <w:rPr>
                      <w:rFonts w:ascii="Times New Roman" w:eastAsia="宋体" w:cs="Times New Roman" w:hAnsi="Times New Roman"/>
                      <w:b/>
                      <w:bCs/>
                      <w:color w:val="auto"/>
                      <w:szCs w:val="21"/>
                      <w:u w:val="none"/>
                      <w:lang w:val="zh-TW" w:eastAsia="zh-TW"/>
                      <w:highlight w:val="none"/>
                    </w:rPr>
                    <w:t>单位</w:t>
                  </w:r>
                </w:p>
              </w:tc>
              <w:tc>
                <w:tcPr>
                  <w:tcW w:w="1478" w:type="pct"/>
                  <w:gridSpan w:val="2"/>
                  <w:tcBorders>
                    <w:tl2br w:val="nil"/>
                    <w:tr2bl w:val="nil"/>
                  </w:tcBorders>
                  <w:shd w:val="clear" w:color="auto" w:fill="FFFFFF"/>
                  <w:vAlign w:val="center"/>
                </w:tcPr>
                <w:p>
                  <w:pPr>
                    <w:jc w:val="center"/>
                    <w:rPr>
                      <w:rFonts w:ascii="Times New Roman" w:eastAsia="宋体" w:cs="Times New Roman" w:hAnsi="Times New Roman"/>
                      <w:b/>
                      <w:bCs/>
                      <w:color w:val="auto"/>
                      <w:szCs w:val="21"/>
                      <w:u w:val="none"/>
                      <w:highlight w:val="none"/>
                    </w:rPr>
                  </w:pPr>
                  <w:r>
                    <w:rPr>
                      <w:rFonts w:ascii="Times New Roman" w:eastAsia="宋体" w:cs="Times New Roman" w:hAnsi="Times New Roman"/>
                      <w:b/>
                      <w:bCs/>
                      <w:color w:val="auto"/>
                      <w:szCs w:val="21"/>
                      <w:u w:val="none"/>
                      <w:lang w:val="zh-TW" w:eastAsia="zh-TW"/>
                      <w:highlight w:val="none"/>
                    </w:rPr>
                    <w:t>数量</w:t>
                  </w:r>
                </w:p>
              </w:tc>
            </w:tr>
            <w:tr>
              <w:trPr>
                <w:trHeight w:val="340"/>
                <w:gridAfter w:val="1"/>
                <w:wAfter w:w="3" w:type="dxa"/>
              </w:trPr>
              <w:tc>
                <w:tcPr>
                  <w:tcW w:w="497"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highlight w:val="none"/>
                    </w:rPr>
                  </w:pPr>
                  <w:r>
                    <w:rPr>
                      <w:rFonts w:ascii="Times New Roman" w:eastAsia="宋体" w:cs="Times New Roman" w:hAnsi="Times New Roman"/>
                      <w:color w:val="auto"/>
                      <w:szCs w:val="21"/>
                      <w:u w:val="none"/>
                      <w:lang w:val="zh-TW" w:eastAsia="zh-TW"/>
                      <w:highlight w:val="none"/>
                    </w:rPr>
                    <w:t>1</w:t>
                  </w:r>
                </w:p>
              </w:tc>
              <w:tc>
                <w:tcPr>
                  <w:tcW w:w="2453"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highlight w:val="none"/>
                    </w:rPr>
                  </w:pPr>
                  <w:r>
                    <w:rPr>
                      <w:rFonts w:ascii="Times New Roman" w:eastAsia="宋体" w:cs="Times New Roman" w:hAnsi="Times New Roman"/>
                      <w:color w:val="auto"/>
                      <w:szCs w:val="21"/>
                      <w:u w:val="none"/>
                      <w:lang w:val="zh-TW" w:eastAsia="zh-TW"/>
                      <w:highlight w:val="none"/>
                    </w:rPr>
                    <w:t>总</w:t>
                  </w:r>
                  <w:r>
                    <w:rPr>
                      <w:rFonts w:ascii="Times New Roman" w:eastAsia="宋体" w:cs="Times New Roman" w:hAnsi="Times New Roman" w:hint="eastAsia"/>
                      <w:color w:val="auto"/>
                      <w:szCs w:val="21"/>
                      <w:u w:val="none"/>
                      <w:lang w:val="en-US" w:eastAsia="zh-CN"/>
                      <w:highlight w:val="none"/>
                    </w:rPr>
                    <w:t>用地</w:t>
                  </w:r>
                  <w:r>
                    <w:rPr>
                      <w:rFonts w:ascii="Times New Roman" w:eastAsia="宋体" w:cs="Times New Roman" w:hAnsi="Times New Roman"/>
                      <w:color w:val="auto"/>
                      <w:szCs w:val="21"/>
                      <w:u w:val="none"/>
                      <w:lang w:val="zh-TW" w:eastAsia="zh-TW"/>
                      <w:highlight w:val="none"/>
                    </w:rPr>
                    <w:t>面积</w:t>
                  </w:r>
                </w:p>
              </w:tc>
              <w:tc>
                <w:tcPr>
                  <w:tcW w:w="568" w:type="pct"/>
                  <w:tcBorders>
                    <w:tl2br w:val="nil"/>
                    <w:tr2bl w:val="nil"/>
                  </w:tcBorders>
                  <w:shd w:val="clear" w:color="auto" w:fill="FFFFFF"/>
                  <w:vAlign w:val="center"/>
                </w:tcPr>
                <w:p>
                  <w:pPr>
                    <w:jc w:val="center"/>
                    <w:rPr>
                      <w:rFonts w:ascii="Times New Roman" w:eastAsia="宋体" w:cs="Times New Roman" w:hAnsi="Times New Roman"/>
                      <w:color w:val="auto"/>
                      <w:szCs w:val="21"/>
                      <w:u w:val="none"/>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8"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3734.5</w:t>
                  </w:r>
                </w:p>
              </w:tc>
            </w:tr>
            <w:tr>
              <w:trPr>
                <w:trHeight w:val="340"/>
              </w:trPr>
              <w:tc>
                <w:tcPr>
                  <w:tcW w:w="491" w:type="pct"/>
                  <w:tcBorders>
                    <w:tl2br w:val="nil"/>
                    <w:tr2bl w:val="nil"/>
                  </w:tcBorders>
                  <w:shd w:val="clear" w:color="auto" w:fill="FFFFFF"/>
                  <w:vAlign w:val="center"/>
                </w:tcPr>
                <w:p>
                  <w:pPr>
                    <w:jc w:val="center"/>
                    <w:rPr>
                      <w:rFonts w:ascii="Times New Roman" w:eastAsia="宋体" w:cs="Times New Roman" w:hAnsi="Times New Roman" w:hint="eastAsia"/>
                      <w:color w:val="auto"/>
                      <w:szCs w:val="21"/>
                      <w:u w:val="none"/>
                      <w:lang w:eastAsia="zh-CN"/>
                      <w:highlight w:val="none"/>
                    </w:rPr>
                  </w:pPr>
                  <w:r>
                    <w:rPr>
                      <w:rFonts w:ascii="Times New Roman" w:eastAsia="宋体" w:cs="Times New Roman" w:hAnsi="Times New Roman" w:hint="eastAsia"/>
                      <w:color w:val="auto"/>
                      <w:szCs w:val="21"/>
                      <w:u w:val="none"/>
                      <w:lang w:val="en-US" w:eastAsia="zh-CN"/>
                      <w:highlight w:val="none"/>
                    </w:rPr>
                    <w:t>2</w:t>
                  </w:r>
                </w:p>
              </w:tc>
              <w:tc>
                <w:tcPr>
                  <w:tcW w:w="2456"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highlight w:val="none"/>
                    </w:rPr>
                  </w:pPr>
                  <w:r>
                    <w:rPr>
                      <w:rFonts w:ascii="Times New Roman" w:eastAsia="宋体" w:cs="Times New Roman" w:hAnsi="Times New Roman"/>
                      <w:color w:val="auto"/>
                      <w:szCs w:val="21"/>
                      <w:u w:val="none"/>
                      <w:lang w:val="zh-TW" w:eastAsia="zh-TW"/>
                      <w:highlight w:val="none"/>
                    </w:rPr>
                    <w:t>建构筑物占地面积</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color w:val="auto"/>
                      <w:szCs w:val="21"/>
                      <w:u w:val="none"/>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7"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cs="Times New Roman" w:hAnsi="Times New Roman" w:hint="eastAsia"/>
                      <w:color w:val="auto"/>
                      <w:szCs w:val="21"/>
                      <w:u w:val="none"/>
                      <w:lang w:val="en-US" w:eastAsia="zh-CN"/>
                      <w:highlight w:val="none"/>
                    </w:rPr>
                    <w:t>1</w:t>
                  </w:r>
                  <w:r>
                    <w:rPr>
                      <w:rFonts w:cs="Times New Roman" w:hint="eastAsia"/>
                      <w:color w:val="auto"/>
                      <w:szCs w:val="21"/>
                      <w:u w:val="none"/>
                      <w:lang w:val="en-US" w:eastAsia="zh-CN"/>
                      <w:highlight w:val="none"/>
                    </w:rPr>
                    <w:t>148.31</w:t>
                  </w:r>
                </w:p>
              </w:tc>
            </w:tr>
            <w:tr>
              <w:trPr>
                <w:trHeight w:val="340"/>
              </w:trPr>
              <w:tc>
                <w:tcPr>
                  <w:tcW w:w="491" w:type="pct"/>
                  <w:tcBorders>
                    <w:tl2br w:val="nil"/>
                    <w:tr2bl w:val="nil"/>
                  </w:tcBorders>
                  <w:shd w:val="clear" w:color="auto" w:fill="FFFFFF"/>
                  <w:vAlign w:val="center"/>
                </w:tcPr>
                <w:p>
                  <w:pPr>
                    <w:jc w:val="center"/>
                    <w:rPr>
                      <w:rFonts w:ascii="Times New Roman" w:eastAsia="宋体" w:cs="Times New Roman" w:hAnsi="Times New Roman" w:hint="eastAsia"/>
                      <w:color w:val="auto"/>
                      <w:szCs w:val="21"/>
                      <w:u w:val="none"/>
                      <w:lang w:eastAsia="zh-CN"/>
                      <w:highlight w:val="none"/>
                    </w:rPr>
                  </w:pPr>
                  <w:r>
                    <w:rPr>
                      <w:rFonts w:ascii="Times New Roman" w:eastAsia="宋体" w:cs="Times New Roman" w:hAnsi="Times New Roman" w:hint="eastAsia"/>
                      <w:color w:val="auto"/>
                      <w:szCs w:val="21"/>
                      <w:u w:val="none"/>
                      <w:lang w:val="en-US" w:eastAsia="zh-CN"/>
                      <w:highlight w:val="none"/>
                    </w:rPr>
                    <w:t>3</w:t>
                  </w:r>
                </w:p>
              </w:tc>
              <w:tc>
                <w:tcPr>
                  <w:tcW w:w="2456"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highlight w:val="none"/>
                    </w:rPr>
                  </w:pPr>
                  <w:r>
                    <w:rPr>
                      <w:rFonts w:ascii="Times New Roman" w:eastAsia="宋体" w:cs="Times New Roman" w:hAnsi="Times New Roman"/>
                      <w:color w:val="auto"/>
                      <w:szCs w:val="21"/>
                      <w:u w:val="none"/>
                      <w:lang w:val="zh-TW" w:eastAsia="zh-TW"/>
                      <w:highlight w:val="none"/>
                    </w:rPr>
                    <w:t>建筑面积</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color w:val="auto"/>
                      <w:szCs w:val="21"/>
                      <w:u w:val="none"/>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7"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365.48</w:t>
                  </w:r>
                </w:p>
              </w:tc>
            </w:tr>
            <w:tr>
              <w:trPr>
                <w:trHeight w:val="340"/>
              </w:trPr>
              <w:tc>
                <w:tcPr>
                  <w:tcW w:w="491" w:type="pct"/>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eastAsia="宋体" w:cs="Times New Roman" w:hAnsi="Times New Roman" w:hint="eastAsia"/>
                      <w:color w:val="auto"/>
                      <w:szCs w:val="21"/>
                      <w:u w:val="none"/>
                      <w:lang w:val="en-US" w:eastAsia="zh-CN"/>
                      <w:highlight w:val="none"/>
                    </w:rPr>
                    <w:t>3.1</w:t>
                  </w:r>
                </w:p>
              </w:tc>
              <w:tc>
                <w:tcPr>
                  <w:tcW w:w="2456"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eastAsia="宋体" w:cs="Times New Roman" w:hAnsi="Times New Roman" w:hint="eastAsia"/>
                      <w:color w:val="auto"/>
                      <w:szCs w:val="21"/>
                      <w:u w:val="none"/>
                      <w:lang w:val="en-US" w:eastAsia="zh-CN"/>
                      <w:highlight w:val="none"/>
                    </w:rPr>
                    <w:t>送水泵房建筑面积</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7"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204.20</w:t>
                  </w:r>
                </w:p>
              </w:tc>
            </w:tr>
            <w:tr>
              <w:trPr>
                <w:trHeight w:val="340"/>
              </w:trPr>
              <w:tc>
                <w:tcPr>
                  <w:tcW w:w="491" w:type="pct"/>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eastAsia="宋体" w:cs="Times New Roman" w:hAnsi="Times New Roman" w:hint="eastAsia"/>
                      <w:color w:val="auto"/>
                      <w:szCs w:val="21"/>
                      <w:u w:val="none"/>
                      <w:lang w:val="en-US" w:eastAsia="zh-CN"/>
                      <w:highlight w:val="none"/>
                    </w:rPr>
                    <w:t>3.2</w:t>
                  </w:r>
                </w:p>
              </w:tc>
              <w:tc>
                <w:tcPr>
                  <w:tcW w:w="2456"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eastAsia="宋体" w:cs="Times New Roman" w:hAnsi="Times New Roman" w:hint="eastAsia"/>
                      <w:color w:val="auto"/>
                      <w:szCs w:val="21"/>
                      <w:u w:val="none"/>
                      <w:lang w:val="en-US" w:eastAsia="zh-CN"/>
                      <w:highlight w:val="none"/>
                    </w:rPr>
                    <w:t>净水</w:t>
                  </w:r>
                  <w:r>
                    <w:rPr>
                      <w:rFonts w:ascii="Times New Roman" w:cs="Times New Roman" w:hAnsi="Times New Roman" w:hint="eastAsia"/>
                      <w:color w:val="auto"/>
                      <w:szCs w:val="21"/>
                      <w:u w:val="none"/>
                      <w:lang w:val="en-US" w:eastAsia="zh-CN"/>
                      <w:highlight w:val="none"/>
                    </w:rPr>
                    <w:t>辅助</w:t>
                  </w:r>
                  <w:r>
                    <w:rPr>
                      <w:rFonts w:ascii="Times New Roman" w:eastAsia="宋体" w:cs="Times New Roman" w:hAnsi="Times New Roman" w:hint="eastAsia"/>
                      <w:color w:val="auto"/>
                      <w:szCs w:val="21"/>
                      <w:u w:val="none"/>
                      <w:lang w:val="en-US" w:eastAsia="zh-CN"/>
                      <w:highlight w:val="none"/>
                    </w:rPr>
                    <w:t>间建筑面积</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7"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cs="Times New Roman" w:hAnsi="Times New Roman" w:hint="eastAsia"/>
                      <w:color w:val="auto"/>
                      <w:szCs w:val="21"/>
                      <w:u w:val="none"/>
                      <w:lang w:val="en-US" w:eastAsia="zh-CN"/>
                      <w:highlight w:val="none"/>
                    </w:rPr>
                    <w:t>10</w:t>
                  </w:r>
                  <w:r>
                    <w:rPr>
                      <w:rFonts w:cs="Times New Roman" w:hint="eastAsia"/>
                      <w:color w:val="auto"/>
                      <w:szCs w:val="21"/>
                      <w:u w:val="none"/>
                      <w:lang w:val="en-US" w:eastAsia="zh-CN"/>
                      <w:highlight w:val="none"/>
                    </w:rPr>
                    <w:t>6.08</w:t>
                  </w:r>
                </w:p>
              </w:tc>
            </w:tr>
            <w:tr>
              <w:trPr>
                <w:trHeight w:val="340"/>
              </w:trPr>
              <w:tc>
                <w:tcPr>
                  <w:tcW w:w="491" w:type="pct"/>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eastAsia="宋体" w:cs="Times New Roman" w:hAnsi="Times New Roman" w:hint="eastAsia"/>
                      <w:color w:val="auto"/>
                      <w:szCs w:val="21"/>
                      <w:u w:val="none"/>
                      <w:lang w:val="en-US" w:eastAsia="zh-CN"/>
                      <w:highlight w:val="none"/>
                    </w:rPr>
                    <w:t>3.3</w:t>
                  </w:r>
                </w:p>
              </w:tc>
              <w:tc>
                <w:tcPr>
                  <w:tcW w:w="2456"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管理</w:t>
                  </w:r>
                  <w:r>
                    <w:rPr>
                      <w:rFonts w:ascii="Times New Roman" w:eastAsia="宋体" w:cs="Times New Roman" w:hAnsi="Times New Roman" w:hint="eastAsia"/>
                      <w:color w:val="auto"/>
                      <w:szCs w:val="21"/>
                      <w:u w:val="none"/>
                      <w:lang w:val="en-US" w:eastAsia="zh-CN"/>
                      <w:highlight w:val="none"/>
                    </w:rPr>
                    <w:t>房建筑面积</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7"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55.20</w:t>
                  </w:r>
                </w:p>
              </w:tc>
            </w:tr>
            <w:tr>
              <w:trPr>
                <w:trHeight w:val="340"/>
              </w:trPr>
              <w:tc>
                <w:tcPr>
                  <w:tcW w:w="491" w:type="pct"/>
                  <w:tcBorders>
                    <w:tl2br w:val="nil"/>
                    <w:tr2bl w:val="nil"/>
                  </w:tcBorders>
                  <w:shd w:val="clear" w:color="auto" w:fill="FFFFFF"/>
                  <w:vAlign w:val="center"/>
                </w:tcPr>
                <w:p>
                  <w:pPr>
                    <w:jc w:val="center"/>
                    <w:rPr>
                      <w:rFonts w:ascii="Times New Roman" w:eastAsia="宋体" w:cs="Times New Roman" w:hAnsi="Times New Roman" w:hint="eastAsia"/>
                      <w:color w:val="auto"/>
                      <w:szCs w:val="21"/>
                      <w:u w:val="none"/>
                      <w:lang w:eastAsia="zh-CN"/>
                      <w:highlight w:val="none"/>
                    </w:rPr>
                  </w:pPr>
                  <w:r>
                    <w:rPr>
                      <w:rFonts w:ascii="Times New Roman" w:eastAsia="宋体" w:cs="Times New Roman" w:hAnsi="Times New Roman" w:hint="eastAsia"/>
                      <w:color w:val="auto"/>
                      <w:szCs w:val="21"/>
                      <w:u w:val="none"/>
                      <w:lang w:val="en-US" w:eastAsia="zh-CN"/>
                      <w:highlight w:val="none"/>
                    </w:rPr>
                    <w:t>4</w:t>
                  </w:r>
                </w:p>
              </w:tc>
              <w:tc>
                <w:tcPr>
                  <w:tcW w:w="2456"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highlight w:val="none"/>
                    </w:rPr>
                  </w:pPr>
                  <w:r>
                    <w:rPr>
                      <w:rFonts w:ascii="Times New Roman" w:eastAsia="宋体" w:cs="Times New Roman" w:hAnsi="Times New Roman"/>
                      <w:color w:val="auto"/>
                      <w:szCs w:val="21"/>
                      <w:u w:val="none"/>
                      <w:lang w:val="zh-TW" w:eastAsia="zh-TW"/>
                      <w:highlight w:val="none"/>
                    </w:rPr>
                    <w:t>容积率</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hint="eastAsia"/>
                      <w:color w:val="auto"/>
                      <w:szCs w:val="21"/>
                      <w:u w:val="none"/>
                      <w:lang w:val="en-US" w:eastAsia="zh-CN"/>
                      <w:highlight w:val="none"/>
                    </w:rPr>
                  </w:pPr>
                  <w:r>
                    <w:rPr>
                      <w:rFonts w:ascii="Times New Roman" w:eastAsia="宋体" w:cs="Times New Roman" w:hAnsi="Times New Roman" w:hint="eastAsia"/>
                      <w:color w:val="auto"/>
                      <w:szCs w:val="21"/>
                      <w:u w:val="none"/>
                      <w:lang w:val="en-US" w:eastAsia="zh-CN"/>
                      <w:highlight w:val="none"/>
                    </w:rPr>
                    <w:t>/</w:t>
                  </w:r>
                </w:p>
              </w:tc>
              <w:tc>
                <w:tcPr>
                  <w:tcW w:w="1477"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cs="Times New Roman" w:hAnsi="Times New Roman" w:hint="eastAsia"/>
                      <w:color w:val="auto"/>
                      <w:szCs w:val="21"/>
                      <w:u w:val="none"/>
                      <w:lang w:val="en-US" w:eastAsia="zh-CN"/>
                      <w:highlight w:val="none"/>
                    </w:rPr>
                    <w:t>0.</w:t>
                  </w:r>
                  <w:r>
                    <w:rPr>
                      <w:rFonts w:cs="Times New Roman" w:hint="eastAsia"/>
                      <w:color w:val="auto"/>
                      <w:szCs w:val="21"/>
                      <w:u w:val="none"/>
                      <w:lang w:val="en-US" w:eastAsia="zh-CN"/>
                      <w:highlight w:val="none"/>
                    </w:rPr>
                    <w:t>098</w:t>
                  </w:r>
                </w:p>
              </w:tc>
            </w:tr>
            <w:tr>
              <w:trPr>
                <w:trHeight w:val="340"/>
              </w:trPr>
              <w:tc>
                <w:tcPr>
                  <w:tcW w:w="491" w:type="pct"/>
                  <w:tcBorders>
                    <w:tl2br w:val="nil"/>
                    <w:tr2bl w:val="nil"/>
                  </w:tcBorders>
                  <w:shd w:val="clear" w:color="auto" w:fill="FFFFFF"/>
                  <w:vAlign w:val="center"/>
                </w:tcPr>
                <w:p>
                  <w:pPr>
                    <w:jc w:val="center"/>
                    <w:rPr>
                      <w:rFonts w:ascii="Times New Roman" w:eastAsia="宋体" w:cs="Times New Roman" w:hAnsi="Times New Roman" w:hint="eastAsia"/>
                      <w:color w:val="auto"/>
                      <w:szCs w:val="21"/>
                      <w:u w:val="none"/>
                      <w:lang w:val="en-US" w:eastAsia="zh-CN"/>
                      <w:highlight w:val="none"/>
                    </w:rPr>
                  </w:pPr>
                  <w:r>
                    <w:rPr>
                      <w:rFonts w:ascii="Times New Roman" w:eastAsia="宋体" w:cs="Times New Roman" w:hAnsi="Times New Roman" w:hint="eastAsia"/>
                      <w:color w:val="auto"/>
                      <w:szCs w:val="21"/>
                      <w:u w:val="none"/>
                      <w:lang w:val="en-US" w:eastAsia="zh-CN"/>
                      <w:highlight w:val="none"/>
                    </w:rPr>
                    <w:t>5</w:t>
                  </w:r>
                </w:p>
              </w:tc>
              <w:tc>
                <w:tcPr>
                  <w:tcW w:w="2456"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eastAsia="宋体" w:cs="Times New Roman" w:hAnsi="Times New Roman" w:hint="eastAsia"/>
                      <w:color w:val="auto"/>
                      <w:szCs w:val="21"/>
                      <w:u w:val="none"/>
                      <w:lang w:val="en-US" w:eastAsia="zh-CN"/>
                      <w:highlight w:val="none"/>
                    </w:rPr>
                    <w:t>建筑密度</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hint="eastAsia"/>
                      <w:color w:val="auto"/>
                      <w:szCs w:val="21"/>
                      <w:u w:val="none"/>
                      <w:lang w:val="en-US" w:eastAsia="zh-CN"/>
                      <w:highlight w:val="none"/>
                    </w:rPr>
                  </w:pPr>
                  <w:r>
                    <w:rPr>
                      <w:rFonts w:ascii="Times New Roman" w:eastAsia="宋体" w:cs="Times New Roman" w:hAnsi="Times New Roman"/>
                      <w:color w:val="auto"/>
                      <w:szCs w:val="21"/>
                      <w:u w:val="none"/>
                      <w:lang w:val="zh-CN" w:eastAsia="zh-CN"/>
                      <w:highlight w:val="none"/>
                    </w:rPr>
                    <w:t>%</w:t>
                  </w:r>
                </w:p>
              </w:tc>
              <w:tc>
                <w:tcPr>
                  <w:tcW w:w="1477" w:type="pct"/>
                  <w:gridSpan w:val="2"/>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cs="Times New Roman" w:hAnsi="Times New Roman" w:hint="eastAsia"/>
                      <w:color w:val="auto"/>
                      <w:szCs w:val="21"/>
                      <w:u w:val="none"/>
                      <w:lang w:val="en-US" w:eastAsia="zh-CN"/>
                      <w:highlight w:val="none"/>
                    </w:rPr>
                    <w:t>0.</w:t>
                  </w:r>
                  <w:r>
                    <w:rPr>
                      <w:rFonts w:cs="Times New Roman" w:hint="eastAsia"/>
                      <w:color w:val="auto"/>
                      <w:szCs w:val="21"/>
                      <w:u w:val="none"/>
                      <w:lang w:val="en-US" w:eastAsia="zh-CN"/>
                      <w:highlight w:val="none"/>
                    </w:rPr>
                    <w:t>307</w:t>
                  </w:r>
                </w:p>
              </w:tc>
            </w:tr>
            <w:tr>
              <w:trPr>
                <w:trHeight w:val="340"/>
              </w:trPr>
              <w:tc>
                <w:tcPr>
                  <w:tcW w:w="491" w:type="pct"/>
                  <w:tcBorders>
                    <w:tl2br w:val="nil"/>
                    <w:tr2bl w:val="nil"/>
                  </w:tcBorders>
                  <w:shd w:val="clear" w:color="auto" w:fill="FFFFFF"/>
                  <w:vAlign w:val="center"/>
                </w:tcPr>
                <w:p>
                  <w:pPr>
                    <w:jc w:val="center"/>
                    <w:rPr>
                      <w:rFonts w:ascii="Times New Roman" w:eastAsia="宋体" w:cs="Times New Roman" w:hAnsi="Times New Roman" w:hint="eastAsia"/>
                      <w:color w:val="auto"/>
                      <w:szCs w:val="21"/>
                      <w:u w:val="none"/>
                      <w:lang w:eastAsia="zh-CN"/>
                      <w:highlight w:val="none"/>
                    </w:rPr>
                  </w:pPr>
                  <w:r>
                    <w:rPr>
                      <w:rFonts w:ascii="Times New Roman" w:eastAsia="宋体" w:cs="Times New Roman" w:hAnsi="Times New Roman" w:hint="eastAsia"/>
                      <w:color w:val="auto"/>
                      <w:szCs w:val="21"/>
                      <w:u w:val="none"/>
                      <w:lang w:val="en-US" w:eastAsia="zh-CN"/>
                      <w:highlight w:val="none"/>
                    </w:rPr>
                    <w:t>6</w:t>
                  </w:r>
                </w:p>
              </w:tc>
              <w:tc>
                <w:tcPr>
                  <w:tcW w:w="2456" w:type="pct"/>
                  <w:gridSpan w:val="2"/>
                  <w:tcBorders>
                    <w:tl2br w:val="nil"/>
                    <w:tr2bl w:val="nil"/>
                  </w:tcBorders>
                  <w:shd w:val="clear" w:color="auto" w:fill="FFFFFF"/>
                  <w:vAlign w:val="center"/>
                </w:tcPr>
                <w:p>
                  <w:pPr>
                    <w:jc w:val="center"/>
                    <w:rPr>
                      <w:rFonts w:ascii="Times New Roman" w:eastAsia="宋体" w:cs="Times New Roman" w:hAnsi="Times New Roman" w:hint="eastAsia"/>
                      <w:color w:val="auto"/>
                      <w:szCs w:val="21"/>
                      <w:u w:val="none"/>
                      <w:lang w:eastAsia="zh-CN"/>
                      <w:highlight w:val="none"/>
                    </w:rPr>
                  </w:pPr>
                  <w:r>
                    <w:rPr>
                      <w:rFonts w:ascii="Times New Roman" w:cs="Times New Roman" w:hAnsi="Times New Roman" w:hint="eastAsia"/>
                      <w:color w:val="auto"/>
                      <w:szCs w:val="21"/>
                      <w:u w:val="none"/>
                      <w:lang w:val="en-US" w:eastAsia="zh-CN"/>
                      <w:highlight w:val="none"/>
                    </w:rPr>
                    <w:t>停车位</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color w:val="auto"/>
                      <w:szCs w:val="21"/>
                      <w:u w:val="none"/>
                      <w:highlight w:val="none"/>
                    </w:rPr>
                  </w:pPr>
                  <w:r>
                    <w:rPr>
                      <w:rFonts w:ascii="Times New Roman" w:cs="Times New Roman" w:hAnsi="Times New Roman" w:hint="eastAsia"/>
                      <w:color w:val="auto"/>
                      <w:szCs w:val="21"/>
                      <w:u w:val="none"/>
                      <w:lang w:val="en-US" w:eastAsia="zh-CN"/>
                      <w:highlight w:val="none"/>
                    </w:rPr>
                    <w:t>个</w:t>
                  </w:r>
                </w:p>
              </w:tc>
              <w:tc>
                <w:tcPr>
                  <w:tcW w:w="1477" w:type="pct"/>
                  <w:gridSpan w:val="2"/>
                  <w:tcBorders>
                    <w:tl2br w:val="nil"/>
                    <w:tr2bl w:val="nil"/>
                  </w:tcBorders>
                  <w:shd w:val="clear" w:color="auto" w:fill="FFFFFF"/>
                  <w:vAlign w:val="center"/>
                </w:tcPr>
                <w:p>
                  <w:pPr>
                    <w:jc w:val="center"/>
                    <w:rPr>
                      <w:rFonts w:ascii="Times New Roman" w:eastAsia="宋体" w:cs="Times New Roman" w:hAnsi="Times New Roman" w:hint="eastAsia"/>
                      <w:color w:val="auto"/>
                      <w:szCs w:val="21"/>
                      <w:u w:val="none"/>
                      <w:lang w:val="en-US" w:eastAsia="zh-CN"/>
                      <w:highlight w:val="none"/>
                    </w:rPr>
                  </w:pPr>
                  <w:r>
                    <w:rPr>
                      <w:rFonts w:cs="Times New Roman" w:hint="eastAsia"/>
                      <w:color w:val="auto"/>
                      <w:szCs w:val="21"/>
                      <w:u w:val="none"/>
                      <w:lang w:val="en-US" w:eastAsia="zh-CN"/>
                      <w:highlight w:val="none"/>
                    </w:rPr>
                    <w:t>4</w:t>
                  </w:r>
                </w:p>
              </w:tc>
            </w:tr>
            <w:tr>
              <w:trPr>
                <w:trHeight w:val="340"/>
              </w:trPr>
              <w:tc>
                <w:tcPr>
                  <w:tcW w:w="491" w:type="pct"/>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eastAsia="zh-CN"/>
                      <w:highlight w:val="none"/>
                    </w:rPr>
                  </w:pPr>
                  <w:r>
                    <w:rPr>
                      <w:rFonts w:ascii="Times New Roman" w:cs="Times New Roman" w:hAnsi="Times New Roman" w:hint="eastAsia"/>
                      <w:color w:val="auto"/>
                      <w:szCs w:val="21"/>
                      <w:u w:val="none"/>
                      <w:lang w:val="en-US" w:eastAsia="zh-CN"/>
                      <w:highlight w:val="none"/>
                    </w:rPr>
                    <w:t>7</w:t>
                  </w:r>
                </w:p>
              </w:tc>
              <w:tc>
                <w:tcPr>
                  <w:tcW w:w="2456" w:type="pct"/>
                  <w:gridSpan w:val="2"/>
                  <w:tcBorders>
                    <w:tl2br w:val="nil"/>
                    <w:tr2bl w:val="nil"/>
                  </w:tcBorders>
                  <w:shd w:val="clear" w:color="auto" w:fill="FFFFFF"/>
                  <w:vAlign w:val="center"/>
                </w:tcPr>
                <w:p>
                  <w:pPr>
                    <w:jc w:val="center"/>
                    <w:rPr>
                      <w:rFonts w:ascii="Times New Roman"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模块化净水设备</w:t>
                  </w:r>
                  <w:r>
                    <w:rPr>
                      <w:rFonts w:ascii="Times New Roman" w:cs="Times New Roman" w:hAnsi="Times New Roman" w:hint="eastAsia"/>
                      <w:color w:val="auto"/>
                      <w:szCs w:val="21"/>
                      <w:u w:val="none"/>
                      <w:lang w:val="en-US" w:eastAsia="zh-CN"/>
                      <w:highlight w:val="none"/>
                    </w:rPr>
                    <w:t>面积</w:t>
                  </w:r>
                </w:p>
              </w:tc>
              <w:tc>
                <w:tcPr>
                  <w:tcW w:w="574" w:type="pct"/>
                  <w:gridSpan w:val="3"/>
                  <w:tcBorders>
                    <w:tl2br w:val="nil"/>
                    <w:tr2bl w:val="nil"/>
                  </w:tcBorders>
                  <w:shd w:val="clear" w:color="auto" w:fill="FFFFFF"/>
                  <w:vAlign w:val="center"/>
                </w:tcPr>
                <w:p>
                  <w:pPr>
                    <w:jc w:val="center"/>
                    <w:rPr>
                      <w:rFonts w:ascii="Times New Roman" w:cs="Times New Roman" w:hAnsi="Times New Roman" w:hint="eastAsia"/>
                      <w:color w:val="auto"/>
                      <w:szCs w:val="21"/>
                      <w:u w:val="none"/>
                      <w:lang w:val="en-US" w:eastAsia="zh-CN"/>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7" w:type="pct"/>
                  <w:gridSpan w:val="2"/>
                  <w:tcBorders>
                    <w:tl2br w:val="nil"/>
                    <w:tr2bl w:val="nil"/>
                  </w:tcBorders>
                  <w:shd w:val="clear" w:color="auto" w:fill="FFFFFF"/>
                  <w:vAlign w:val="center"/>
                </w:tcPr>
                <w:p>
                  <w:pPr>
                    <w:jc w:val="center"/>
                    <w:rPr>
                      <w:rFonts w:ascii="Times New Roman"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225.70</w:t>
                  </w:r>
                </w:p>
              </w:tc>
            </w:tr>
            <w:tr>
              <w:trPr>
                <w:trHeight w:val="340"/>
              </w:trPr>
              <w:tc>
                <w:tcPr>
                  <w:tcW w:w="491" w:type="pct"/>
                  <w:tcBorders>
                    <w:tl2br w:val="nil"/>
                    <w:tr2bl w:val="nil"/>
                  </w:tcBorders>
                  <w:shd w:val="clear" w:color="auto" w:fill="FFFFFF"/>
                  <w:vAlign w:val="center"/>
                </w:tcPr>
                <w:p>
                  <w:pPr>
                    <w:jc w:val="center"/>
                    <w:rPr>
                      <w:rFonts w:ascii="Times New Roman"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8</w:t>
                  </w:r>
                </w:p>
              </w:tc>
              <w:tc>
                <w:tcPr>
                  <w:tcW w:w="2456" w:type="pct"/>
                  <w:gridSpan w:val="2"/>
                  <w:tcBorders>
                    <w:tl2br w:val="nil"/>
                    <w:tr2bl w:val="nil"/>
                  </w:tcBorders>
                  <w:shd w:val="clear" w:color="auto" w:fill="FFFFFF"/>
                  <w:vAlign w:val="center"/>
                </w:tcPr>
                <w:p>
                  <w:pPr>
                    <w:jc w:val="center"/>
                    <w:rPr>
                      <w:rFonts w:ascii="Times New Roman"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清水池占地面积</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7" w:type="pct"/>
                  <w:gridSpan w:val="2"/>
                  <w:tcBorders>
                    <w:tl2br w:val="nil"/>
                    <w:tr2bl w:val="nil"/>
                  </w:tcBorders>
                  <w:shd w:val="clear" w:color="auto" w:fill="FFFFFF"/>
                  <w:vAlign w:val="center"/>
                </w:tcPr>
                <w:p>
                  <w:pPr>
                    <w:jc w:val="center"/>
                    <w:rPr>
                      <w:rFonts w:ascii="Times New Roman"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414.80</w:t>
                  </w:r>
                </w:p>
              </w:tc>
            </w:tr>
            <w:tr>
              <w:trPr>
                <w:trHeight w:val="340"/>
              </w:trPr>
              <w:tc>
                <w:tcPr>
                  <w:tcW w:w="491" w:type="pct"/>
                  <w:tcBorders>
                    <w:tl2br w:val="nil"/>
                    <w:tr2bl w:val="nil"/>
                  </w:tcBorders>
                  <w:shd w:val="clear" w:color="auto" w:fill="FFFFFF"/>
                  <w:vAlign w:val="center"/>
                </w:tcPr>
                <w:p>
                  <w:pPr>
                    <w:jc w:val="center"/>
                    <w:rPr>
                      <w:rFonts w:ascii="Times New Roman"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9</w:t>
                  </w:r>
                </w:p>
              </w:tc>
              <w:tc>
                <w:tcPr>
                  <w:tcW w:w="2456" w:type="pct"/>
                  <w:gridSpan w:val="2"/>
                  <w:tcBorders>
                    <w:tl2br w:val="nil"/>
                    <w:tr2bl w:val="nil"/>
                  </w:tcBorders>
                  <w:shd w:val="clear" w:color="auto" w:fill="FFFFFF"/>
                  <w:vAlign w:val="center"/>
                </w:tcPr>
                <w:p>
                  <w:pPr>
                    <w:jc w:val="center"/>
                    <w:rPr>
                      <w:rFonts w:ascii="Times New Roman" w:cs="Times New Roman" w:hAnsi="Times New Roman" w:hint="eastAsia"/>
                      <w:color w:val="auto"/>
                      <w:szCs w:val="21"/>
                      <w:u w:val="none"/>
                      <w:lang w:val="en-US" w:eastAsia="zh-CN"/>
                      <w:highlight w:val="none"/>
                    </w:rPr>
                  </w:pPr>
                  <w:r>
                    <w:rPr>
                      <w:rFonts w:ascii="Times New Roman" w:eastAsia="宋体" w:cs="Times New Roman" w:hAnsi="Times New Roman" w:hint="eastAsia"/>
                      <w:kern w:val="21"/>
                      <w:sz w:val="21"/>
                      <w:szCs w:val="21"/>
                      <w:u w:val="none"/>
                      <w:lang w:val="zh-CN" w:eastAsia="zh-CN"/>
                      <w:highlight w:val="none"/>
                    </w:rPr>
                    <w:t>回用水池及排泥调节池</w:t>
                  </w:r>
                  <w:r>
                    <w:rPr>
                      <w:rFonts w:cs="Times New Roman" w:hint="eastAsia"/>
                      <w:color w:val="auto"/>
                      <w:szCs w:val="21"/>
                      <w:u w:val="none"/>
                      <w:lang w:val="en-US" w:eastAsia="zh-CN"/>
                      <w:highlight w:val="none"/>
                    </w:rPr>
                    <w:t>占地面积</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7" w:type="pct"/>
                  <w:gridSpan w:val="2"/>
                  <w:tcBorders>
                    <w:tl2br w:val="nil"/>
                    <w:tr2bl w:val="nil"/>
                  </w:tcBorders>
                  <w:shd w:val="clear" w:color="auto" w:fill="FFFFFF"/>
                  <w:vAlign w:val="center"/>
                </w:tcPr>
                <w:p>
                  <w:pPr>
                    <w:jc w:val="center"/>
                    <w:rPr>
                      <w:rFonts w:ascii="Times New Roman"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73.33</w:t>
                  </w:r>
                </w:p>
              </w:tc>
            </w:tr>
            <w:tr>
              <w:trPr>
                <w:trHeight w:val="340"/>
              </w:trPr>
              <w:tc>
                <w:tcPr>
                  <w:tcW w:w="491" w:type="pct"/>
                  <w:tcBorders>
                    <w:tl2br w:val="nil"/>
                    <w:tr2bl w:val="nil"/>
                  </w:tcBorders>
                  <w:shd w:val="clear" w:color="auto" w:fill="FFFFFF"/>
                  <w:vAlign w:val="center"/>
                </w:tcPr>
                <w:p>
                  <w:pPr>
                    <w:jc w:val="center"/>
                    <w:rPr>
                      <w:rFonts w:ascii="Times New Roman"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10</w:t>
                  </w:r>
                </w:p>
              </w:tc>
              <w:tc>
                <w:tcPr>
                  <w:tcW w:w="2456" w:type="pct"/>
                  <w:gridSpan w:val="2"/>
                  <w:tcBorders>
                    <w:tl2br w:val="nil"/>
                    <w:tr2bl w:val="nil"/>
                  </w:tcBorders>
                  <w:shd w:val="clear" w:color="auto" w:fill="FFFFFF"/>
                  <w:vAlign w:val="center"/>
                </w:tcPr>
                <w:p>
                  <w:pPr>
                    <w:jc w:val="center"/>
                    <w:rPr>
                      <w:rFonts w:ascii="Times New Roman" w:cs="Times New Roman" w:hAnsi="Times New Roman" w:hint="eastAsia"/>
                      <w:color w:val="auto"/>
                      <w:szCs w:val="21"/>
                      <w:u w:val="none"/>
                      <w:lang w:val="en-US" w:eastAsia="zh-CN"/>
                      <w:highlight w:val="none"/>
                    </w:rPr>
                  </w:pPr>
                  <w:r>
                    <w:rPr>
                      <w:rFonts w:cs="Times New Roman" w:hint="eastAsia"/>
                      <w:color w:val="auto"/>
                      <w:szCs w:val="21"/>
                      <w:u w:val="none"/>
                      <w:lang w:val="en-US" w:eastAsia="zh-CN"/>
                      <w:highlight w:val="none"/>
                    </w:rPr>
                    <w:t>吸水井占地面积</w:t>
                  </w:r>
                </w:p>
              </w:tc>
              <w:tc>
                <w:tcPr>
                  <w:tcW w:w="574" w:type="pct"/>
                  <w:gridSpan w:val="3"/>
                  <w:tcBorders>
                    <w:tl2br w:val="nil"/>
                    <w:tr2bl w:val="nil"/>
                  </w:tcBorders>
                  <w:shd w:val="clear" w:color="auto" w:fill="FFFFFF"/>
                  <w:vAlign w:val="center"/>
                </w:tcPr>
                <w:p>
                  <w:pPr>
                    <w:jc w:val="center"/>
                    <w:rPr>
                      <w:rFonts w:ascii="Times New Roman" w:eastAsia="宋体" w:cs="Times New Roman" w:hAnsi="Times New Roman"/>
                      <w:color w:val="auto"/>
                      <w:szCs w:val="21"/>
                      <w:u w:val="none"/>
                      <w:lang w:val="en-US"/>
                      <w:highlight w:val="none"/>
                    </w:rPr>
                  </w:pPr>
                  <w:r>
                    <w:rPr>
                      <w:rFonts w:ascii="Times New Roman" w:eastAsia="宋体" w:cs="Times New Roman" w:hAnsi="Times New Roman"/>
                      <w:color w:val="auto"/>
                      <w:szCs w:val="21"/>
                      <w:u w:val="none"/>
                      <w:lang w:val="en-US"/>
                      <w:highlight w:val="none"/>
                    </w:rPr>
                    <w:t>m</w:t>
                  </w:r>
                  <w:r>
                    <w:rPr>
                      <w:rFonts w:ascii="Times New Roman" w:eastAsia="宋体" w:cs="Times New Roman" w:hAnsi="Times New Roman"/>
                      <w:color w:val="auto"/>
                      <w:szCs w:val="21"/>
                      <w:u w:val="none"/>
                      <w:vertAlign w:val="superscript"/>
                      <w:lang w:val="en-US"/>
                      <w:highlight w:val="none"/>
                    </w:rPr>
                    <w:t>2</w:t>
                  </w:r>
                </w:p>
              </w:tc>
              <w:tc>
                <w:tcPr>
                  <w:tcW w:w="1477" w:type="pct"/>
                  <w:gridSpan w:val="2"/>
                  <w:tcBorders>
                    <w:tl2br w:val="nil"/>
                    <w:tr2bl w:val="nil"/>
                  </w:tcBorders>
                  <w:shd w:val="clear" w:color="auto" w:fill="FFFFFF"/>
                  <w:vAlign w:val="center"/>
                </w:tcPr>
                <w:p>
                  <w:pPr>
                    <w:jc w:val="center"/>
                    <w:rPr>
                      <w:rFonts w:ascii="Times New Roman" w:cs="Times New Roman" w:hAnsi="Times New Roman"/>
                      <w:color w:val="auto"/>
                      <w:szCs w:val="21"/>
                      <w:u w:val="none"/>
                      <w:lang w:val="en-US" w:eastAsia="zh-CN"/>
                      <w:highlight w:val="none"/>
                    </w:rPr>
                  </w:pPr>
                  <w:r>
                    <w:rPr>
                      <w:rFonts w:cs="Times New Roman" w:hint="eastAsia"/>
                      <w:color w:val="auto"/>
                      <w:szCs w:val="21"/>
                      <w:u w:val="none"/>
                      <w:lang w:val="en-US" w:eastAsia="zh-CN"/>
                      <w:highlight w:val="none"/>
                    </w:rPr>
                    <w:t>69.00</w:t>
                  </w:r>
                </w:p>
              </w:tc>
            </w:tr>
          </w:tbl>
          <w:p>
            <w:pPr>
              <w:tabs>
                <w:tab w:val="left" w:pos="360"/>
              </w:tabs>
              <w:spacing w:line="360" w:lineRule="auto"/>
              <w:rPr>
                <w:b/>
                <w:snapToGrid w:val="0"/>
                <w:sz w:val="24"/>
                <w:u w:val="none"/>
                <w:highlight w:val="none"/>
              </w:rPr>
            </w:pPr>
            <w:r>
              <w:rPr>
                <w:rFonts w:hint="eastAsia"/>
                <w:b/>
                <w:snapToGrid w:val="0"/>
                <w:sz w:val="24"/>
                <w:u w:val="none"/>
                <w:lang w:val="en-US" w:eastAsia="zh-CN"/>
                <w:highlight w:val="none"/>
              </w:rPr>
              <w:t>4</w:t>
            </w:r>
            <w:r>
              <w:rPr>
                <w:b/>
                <w:snapToGrid w:val="0"/>
                <w:sz w:val="24"/>
                <w:u w:val="none"/>
                <w:highlight w:val="none"/>
              </w:rPr>
              <w:t>、</w:t>
            </w:r>
            <w:r>
              <w:rPr>
                <w:rFonts w:hint="eastAsia"/>
                <w:b/>
                <w:snapToGrid w:val="0"/>
                <w:sz w:val="24"/>
                <w:u w:val="none"/>
                <w:highlight w:val="none"/>
              </w:rPr>
              <w:t>供水规模及范围</w:t>
            </w:r>
          </w:p>
          <w:p>
            <w:pPr>
              <w:spacing w:line="360" w:lineRule="auto"/>
              <w:ind w:firstLineChars="200" w:firstLine="480"/>
              <w:rPr>
                <w:bCs/>
                <w:sz w:val="24"/>
                <w:highlight w:val="none"/>
              </w:rPr>
            </w:pPr>
            <w:r>
              <w:rPr>
                <w:rFonts w:hint="eastAsia"/>
                <w:bCs/>
                <w:sz w:val="24"/>
                <w:highlight w:val="none"/>
              </w:rPr>
              <w:t>（1）供水规模</w:t>
            </w:r>
          </w:p>
          <w:p>
            <w:pPr>
              <w:spacing w:line="360" w:lineRule="auto"/>
              <w:ind w:firstLineChars="200" w:firstLine="480"/>
              <w:rPr>
                <w:bCs/>
                <w:sz w:val="24"/>
                <w:highlight w:val="none"/>
              </w:rPr>
            </w:pPr>
            <w:r>
              <w:rPr>
                <w:bCs/>
                <w:sz w:val="24"/>
                <w:highlight w:val="none"/>
              </w:rPr>
              <w:t>项目</w:t>
            </w:r>
            <w:r>
              <w:rPr>
                <w:rFonts w:hint="eastAsia"/>
                <w:bCs/>
                <w:sz w:val="24"/>
                <w:highlight w:val="none"/>
              </w:rPr>
              <w:t>供水规模详见</w:t>
            </w:r>
            <w:r>
              <w:rPr>
                <w:bCs/>
                <w:sz w:val="24"/>
                <w:highlight w:val="none"/>
              </w:rPr>
              <w:t>见表2-</w:t>
            </w:r>
            <w:r>
              <w:rPr>
                <w:rFonts w:hint="eastAsia"/>
                <w:bCs/>
                <w:sz w:val="24"/>
                <w:highlight w:val="none"/>
              </w:rPr>
              <w:t>5</w:t>
            </w:r>
            <w:r>
              <w:rPr>
                <w:bCs/>
                <w:sz w:val="24"/>
                <w:highlight w:val="none"/>
              </w:rPr>
              <w:t>。</w:t>
            </w:r>
          </w:p>
          <w:p>
            <w:pPr>
              <w:jc w:val="center"/>
              <w:rPr>
                <w:b/>
                <w:szCs w:val="21"/>
                <w:highlight w:val="none"/>
              </w:rPr>
            </w:pPr>
            <w:r>
              <w:rPr>
                <w:b/>
                <w:szCs w:val="21"/>
                <w:highlight w:val="none"/>
              </w:rPr>
              <w:t>表2-</w:t>
            </w:r>
            <w:r>
              <w:rPr>
                <w:rFonts w:hint="eastAsia"/>
                <w:b/>
                <w:szCs w:val="21"/>
                <w:highlight w:val="none"/>
              </w:rPr>
              <w:t>5</w:t>
            </w:r>
            <w:r>
              <w:rPr>
                <w:b/>
                <w:szCs w:val="21"/>
                <w:highlight w:val="none"/>
              </w:rPr>
              <w:t xml:space="preserve">  </w:t>
            </w:r>
            <w:r>
              <w:rPr>
                <w:rFonts w:hint="eastAsia"/>
                <w:b/>
                <w:szCs w:val="21"/>
                <w:highlight w:val="none"/>
              </w:rPr>
              <w:t>项目供水规模</w:t>
            </w:r>
            <w:r>
              <w:rPr>
                <w:b/>
                <w:szCs w:val="21"/>
                <w:highlight w:val="none"/>
              </w:rPr>
              <w:t>一览表</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877"/>
              <w:gridCol w:w="1781"/>
              <w:gridCol w:w="2760"/>
              <w:gridCol w:w="2762"/>
            </w:tblGrid>
            <w:tr>
              <w:trPr>
                <w:trHeight w:val="340"/>
              </w:trPr>
              <w:tc>
                <w:tcPr>
                  <w:tcW w:w="536" w:type="pct"/>
                  <w:tcBorders>
                    <w:tl2br w:val="nil"/>
                    <w:tr2bl w:val="nil"/>
                  </w:tcBorders>
                  <w:vAlign w:val="center"/>
                </w:tcPr>
                <w:p>
                  <w:pPr>
                    <w:jc w:val="center"/>
                    <w:rPr>
                      <w:b/>
                      <w:bCs/>
                      <w:szCs w:val="21"/>
                      <w:highlight w:val="none"/>
                    </w:rPr>
                  </w:pPr>
                  <w:r>
                    <w:rPr>
                      <w:b/>
                      <w:bCs/>
                      <w:szCs w:val="21"/>
                      <w:highlight w:val="none"/>
                    </w:rPr>
                    <w:t>序号</w:t>
                  </w:r>
                </w:p>
              </w:tc>
              <w:tc>
                <w:tcPr>
                  <w:tcW w:w="1088" w:type="pct"/>
                  <w:tcBorders>
                    <w:tl2br w:val="nil"/>
                    <w:tr2bl w:val="nil"/>
                  </w:tcBorders>
                  <w:vAlign w:val="center"/>
                </w:tcPr>
                <w:p>
                  <w:pPr>
                    <w:jc w:val="center"/>
                    <w:rPr>
                      <w:b/>
                      <w:bCs/>
                      <w:szCs w:val="21"/>
                      <w:highlight w:val="none"/>
                    </w:rPr>
                  </w:pPr>
                  <w:r>
                    <w:rPr>
                      <w:b/>
                      <w:bCs/>
                      <w:szCs w:val="21"/>
                      <w:highlight w:val="none"/>
                    </w:rPr>
                    <w:t>名称</w:t>
                  </w:r>
                </w:p>
              </w:tc>
              <w:tc>
                <w:tcPr>
                  <w:tcW w:w="1686" w:type="pct"/>
                  <w:tcBorders>
                    <w:tl2br w:val="nil"/>
                    <w:tr2bl w:val="nil"/>
                  </w:tcBorders>
                  <w:vAlign w:val="center"/>
                </w:tcPr>
                <w:p>
                  <w:pPr>
                    <w:jc w:val="center"/>
                    <w:rPr>
                      <w:b/>
                      <w:bCs/>
                      <w:szCs w:val="21"/>
                      <w:highlight w:val="none"/>
                    </w:rPr>
                  </w:pPr>
                  <w:r>
                    <w:rPr>
                      <w:rFonts w:hint="eastAsia"/>
                      <w:b/>
                      <w:bCs/>
                      <w:szCs w:val="21"/>
                      <w:highlight w:val="none"/>
                    </w:rPr>
                    <w:t>供水规模</w:t>
                  </w:r>
                </w:p>
              </w:tc>
              <w:tc>
                <w:tcPr>
                  <w:tcW w:w="1687" w:type="pct"/>
                  <w:tcBorders>
                    <w:tl2br w:val="nil"/>
                    <w:tr2bl w:val="nil"/>
                  </w:tcBorders>
                  <w:vAlign w:val="center"/>
                </w:tcPr>
                <w:p>
                  <w:pPr>
                    <w:jc w:val="center"/>
                    <w:rPr>
                      <w:b/>
                      <w:bCs/>
                      <w:szCs w:val="21"/>
                      <w:highlight w:val="none"/>
                    </w:rPr>
                  </w:pPr>
                  <w:r>
                    <w:rPr>
                      <w:rFonts w:hint="eastAsia"/>
                      <w:b/>
                      <w:bCs/>
                      <w:szCs w:val="21"/>
                      <w:highlight w:val="none"/>
                    </w:rPr>
                    <w:t>备注</w:t>
                  </w:r>
                </w:p>
              </w:tc>
            </w:tr>
            <w:tr>
              <w:trPr>
                <w:trHeight w:val="340"/>
              </w:trPr>
              <w:tc>
                <w:tcPr>
                  <w:tcW w:w="536" w:type="pct"/>
                  <w:tcBorders>
                    <w:tl2br w:val="nil"/>
                    <w:tr2bl w:val="nil"/>
                  </w:tcBorders>
                  <w:vAlign w:val="center"/>
                </w:tcPr>
                <w:p>
                  <w:pPr>
                    <w:jc w:val="center"/>
                    <w:rPr>
                      <w:rFonts w:eastAsia="宋体" w:hint="eastAsia"/>
                      <w:szCs w:val="21"/>
                      <w:lang w:eastAsia="zh-CN"/>
                      <w:highlight w:val="none"/>
                    </w:rPr>
                  </w:pPr>
                  <w:r>
                    <w:rPr>
                      <w:rFonts w:hint="eastAsia"/>
                      <w:szCs w:val="21"/>
                      <w:lang w:val="en-US" w:eastAsia="zh-CN"/>
                      <w:highlight w:val="none"/>
                    </w:rPr>
                    <w:t>1</w:t>
                  </w:r>
                </w:p>
              </w:tc>
              <w:tc>
                <w:tcPr>
                  <w:tcW w:w="1088" w:type="pct"/>
                  <w:tcBorders>
                    <w:tl2br w:val="nil"/>
                    <w:tr2bl w:val="nil"/>
                  </w:tcBorders>
                  <w:vAlign w:val="center"/>
                </w:tcPr>
                <w:p>
                  <w:pPr>
                    <w:jc w:val="center"/>
                    <w:rPr>
                      <w:rFonts w:eastAsia="宋体" w:hint="eastAsia"/>
                      <w:kern w:val="0"/>
                      <w:szCs w:val="21"/>
                      <w:lang w:eastAsia="zh-CN"/>
                      <w:highlight w:val="none"/>
                    </w:rPr>
                  </w:pPr>
                  <w:r>
                    <w:rPr>
                      <w:rFonts w:hint="eastAsia"/>
                      <w:kern w:val="0"/>
                      <w:szCs w:val="21"/>
                      <w:lang w:eastAsia="zh-CN"/>
                      <w:highlight w:val="none"/>
                    </w:rPr>
                    <w:t>太青水厂</w:t>
                  </w:r>
                </w:p>
              </w:tc>
              <w:tc>
                <w:tcPr>
                  <w:tcW w:w="1686" w:type="pct"/>
                  <w:tcBorders>
                    <w:tl2br w:val="nil"/>
                    <w:tr2bl w:val="nil"/>
                  </w:tcBorders>
                  <w:vAlign w:val="center"/>
                </w:tcPr>
                <w:p>
                  <w:pPr>
                    <w:jc w:val="center"/>
                    <w:rPr>
                      <w:highlight w:val="none"/>
                    </w:rPr>
                  </w:pPr>
                  <w:r>
                    <w:rPr>
                      <w:rFonts w:hint="eastAsia"/>
                      <w:lang w:val="en-US" w:eastAsia="zh-CN"/>
                      <w:highlight w:val="none"/>
                    </w:rPr>
                    <w:t>10000</w:t>
                  </w:r>
                  <w:r>
                    <w:rPr>
                      <w:rFonts w:hint="eastAsia"/>
                      <w:highlight w:val="none"/>
                    </w:rPr>
                    <w:t>m</w:t>
                  </w:r>
                  <w:r>
                    <w:rPr>
                      <w:rFonts w:hint="eastAsia"/>
                      <w:vertAlign w:val="superscript"/>
                      <w:highlight w:val="none"/>
                    </w:rPr>
                    <w:t>3</w:t>
                  </w:r>
                  <w:r>
                    <w:rPr>
                      <w:rFonts w:hint="eastAsia"/>
                      <w:highlight w:val="none"/>
                    </w:rPr>
                    <w:t>/d</w:t>
                  </w:r>
                </w:p>
              </w:tc>
              <w:tc>
                <w:tcPr>
                  <w:tcW w:w="1687" w:type="pct"/>
                  <w:tcBorders>
                    <w:tl2br w:val="nil"/>
                    <w:tr2bl w:val="nil"/>
                  </w:tcBorders>
                  <w:vAlign w:val="center"/>
                </w:tcPr>
                <w:p>
                  <w:pPr>
                    <w:jc w:val="center"/>
                    <w:rPr>
                      <w:lang w:val="en-US"/>
                      <w:highlight w:val="none"/>
                    </w:rPr>
                  </w:pPr>
                  <w:r>
                    <w:rPr>
                      <w:rFonts w:hint="eastAsia"/>
                      <w:lang w:val="en-US" w:eastAsia="zh-CN"/>
                      <w:highlight w:val="none"/>
                    </w:rPr>
                    <w:t>新建太青水厂</w:t>
                  </w:r>
                </w:p>
              </w:tc>
            </w:tr>
          </w:tbl>
          <w:p>
            <w:pPr>
              <w:spacing w:line="360" w:lineRule="auto"/>
              <w:ind w:firstLineChars="200" w:firstLine="480"/>
              <w:rPr>
                <w:bCs/>
                <w:sz w:val="24"/>
                <w:highlight w:val="none"/>
              </w:rPr>
            </w:pPr>
            <w:r>
              <w:rPr>
                <w:rFonts w:hint="eastAsia"/>
                <w:bCs/>
                <w:sz w:val="24"/>
                <w:highlight w:val="none"/>
              </w:rPr>
              <w:t>（2）供水范围</w:t>
            </w:r>
          </w:p>
          <w:p>
            <w:pPr>
              <w:spacing w:line="360" w:lineRule="auto"/>
              <w:ind w:firstLineChars="200" w:firstLine="480"/>
              <w:rPr>
                <w:rFonts w:ascii="Times New Roman" w:eastAsia="宋体" w:cs="Times New Roman" w:hAnsi="Times New Roman" w:hint="eastAsia"/>
                <w:bCs/>
                <w:color w:val="auto"/>
                <w:sz w:val="24"/>
                <w:lang w:val="en-US" w:eastAsia="zh-CN"/>
                <w:highlight w:val="none"/>
              </w:rPr>
            </w:pPr>
            <w:r>
              <w:rPr>
                <w:rFonts w:hint="eastAsia"/>
                <w:bCs/>
                <w:sz w:val="24"/>
                <w:lang w:val="en-US" w:eastAsia="zh-CN"/>
                <w:highlight w:val="none"/>
              </w:rPr>
              <w:t>本项目建设完成后</w:t>
            </w:r>
            <w:r>
              <w:rPr>
                <w:rFonts w:ascii="Times New Roman" w:eastAsia="宋体" w:cs="Times New Roman" w:hAnsi="Times New Roman" w:hint="eastAsia"/>
                <w:bCs/>
                <w:color w:val="auto"/>
                <w:sz w:val="24"/>
                <w:lang w:val="en-US" w:eastAsia="zh-CN"/>
                <w:highlight w:val="none"/>
              </w:rPr>
              <w:t>供水范围覆盖澧县甘溪滩镇全域以及火连坡镇的金山村、澧淞村、楠木村等6个行政村，共2个乡镇，22个行政村，总户数12656户，总人口50996人。</w:t>
            </w:r>
          </w:p>
          <w:p>
            <w:pPr>
              <w:spacing w:line="360" w:lineRule="auto"/>
              <w:rPr>
                <w:b/>
                <w:sz w:val="24"/>
                <w:highlight w:val="none"/>
              </w:rPr>
            </w:pPr>
            <w:r>
              <w:rPr>
                <w:rFonts w:hint="eastAsia"/>
                <w:b/>
                <w:sz w:val="24"/>
                <w:lang w:val="en-US" w:eastAsia="zh-CN"/>
                <w:highlight w:val="none"/>
              </w:rPr>
              <w:t>5</w:t>
            </w:r>
            <w:r>
              <w:rPr>
                <w:b/>
                <w:sz w:val="24"/>
                <w:highlight w:val="none"/>
              </w:rPr>
              <w:t>、主要原辅材料</w:t>
            </w:r>
          </w:p>
          <w:p>
            <w:pPr>
              <w:adjustRightInd w:val="0"/>
              <w:snapToGrid w:val="0"/>
              <w:spacing w:line="360" w:lineRule="auto"/>
              <w:ind w:firstLineChars="200" w:firstLine="480"/>
              <w:rPr>
                <w:bCs/>
                <w:sz w:val="24"/>
                <w:highlight w:val="none"/>
              </w:rPr>
            </w:pPr>
            <w:r>
              <w:rPr>
                <w:bCs/>
                <w:sz w:val="24"/>
                <w:highlight w:val="none"/>
              </w:rPr>
              <w:t>主要原辅材料用量见表2-</w:t>
            </w:r>
            <w:r>
              <w:rPr>
                <w:rFonts w:hint="eastAsia"/>
                <w:bCs/>
                <w:sz w:val="24"/>
                <w:highlight w:val="none"/>
              </w:rPr>
              <w:t>6</w:t>
            </w:r>
            <w:r>
              <w:rPr>
                <w:bCs/>
                <w:sz w:val="24"/>
                <w:highlight w:val="none"/>
              </w:rPr>
              <w:t>。</w:t>
            </w:r>
          </w:p>
          <w:p>
            <w:pPr>
              <w:jc w:val="center"/>
              <w:rPr>
                <w:b/>
                <w:szCs w:val="21"/>
                <w:highlight w:val="none"/>
              </w:rPr>
            </w:pPr>
          </w:p>
          <w:p>
            <w:pPr>
              <w:jc w:val="center"/>
              <w:rPr>
                <w:b/>
                <w:szCs w:val="21"/>
                <w:highlight w:val="none"/>
              </w:rPr>
            </w:pPr>
          </w:p>
          <w:p>
            <w:pPr>
              <w:jc w:val="center"/>
              <w:rPr>
                <w:b/>
                <w:szCs w:val="21"/>
                <w:highlight w:val="none"/>
              </w:rPr>
            </w:pPr>
            <w:r>
              <w:rPr>
                <w:b/>
                <w:szCs w:val="21"/>
                <w:highlight w:val="none"/>
              </w:rPr>
              <w:t>表2-</w:t>
            </w:r>
            <w:r>
              <w:rPr>
                <w:rFonts w:hint="eastAsia"/>
                <w:b/>
                <w:szCs w:val="21"/>
                <w:highlight w:val="none"/>
              </w:rPr>
              <w:t>6</w:t>
            </w:r>
            <w:r>
              <w:rPr>
                <w:b/>
                <w:szCs w:val="21"/>
                <w:highlight w:val="none"/>
              </w:rPr>
              <w:t xml:space="preserve">  主要原辅材料用量</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653"/>
              <w:gridCol w:w="1544"/>
              <w:gridCol w:w="1190"/>
              <w:gridCol w:w="1346"/>
              <w:gridCol w:w="1306"/>
              <w:gridCol w:w="2141"/>
            </w:tblGrid>
            <w:tr>
              <w:trPr>
                <w:trHeight w:val="340"/>
                <w:tblHeader/>
              </w:trPr>
              <w:tc>
                <w:tcPr>
                  <w:tcW w:w="399" w:type="pct"/>
                  <w:tcBorders>
                    <w:tl2br w:val="nil"/>
                    <w:tr2bl w:val="nil"/>
                  </w:tcBorders>
                  <w:vAlign w:val="center"/>
                </w:tcPr>
                <w:p>
                  <w:pPr>
                    <w:jc w:val="center"/>
                    <w:rPr>
                      <w:b/>
                      <w:bCs/>
                      <w:szCs w:val="21"/>
                      <w:highlight w:val="none"/>
                    </w:rPr>
                  </w:pPr>
                  <w:r>
                    <w:rPr>
                      <w:b/>
                      <w:bCs/>
                      <w:szCs w:val="21"/>
                      <w:highlight w:val="none"/>
                    </w:rPr>
                    <w:t>序号</w:t>
                  </w:r>
                </w:p>
              </w:tc>
              <w:tc>
                <w:tcPr>
                  <w:tcW w:w="943" w:type="pct"/>
                  <w:tcBorders>
                    <w:tl2br w:val="nil"/>
                    <w:tr2bl w:val="nil"/>
                  </w:tcBorders>
                  <w:vAlign w:val="center"/>
                </w:tcPr>
                <w:p>
                  <w:pPr>
                    <w:jc w:val="center"/>
                    <w:rPr>
                      <w:b/>
                      <w:bCs/>
                      <w:szCs w:val="21"/>
                      <w:highlight w:val="none"/>
                    </w:rPr>
                  </w:pPr>
                  <w:r>
                    <w:rPr>
                      <w:b/>
                      <w:bCs/>
                      <w:szCs w:val="21"/>
                      <w:highlight w:val="none"/>
                    </w:rPr>
                    <w:t>材料名称</w:t>
                  </w:r>
                </w:p>
              </w:tc>
              <w:tc>
                <w:tcPr>
                  <w:tcW w:w="727" w:type="pct"/>
                  <w:tcBorders>
                    <w:tl2br w:val="nil"/>
                    <w:tr2bl w:val="nil"/>
                  </w:tcBorders>
                  <w:vAlign w:val="center"/>
                </w:tcPr>
                <w:p>
                  <w:pPr>
                    <w:jc w:val="center"/>
                    <w:rPr>
                      <w:b/>
                      <w:bCs/>
                      <w:szCs w:val="21"/>
                      <w:highlight w:val="none"/>
                    </w:rPr>
                  </w:pPr>
                  <w:r>
                    <w:rPr>
                      <w:b/>
                      <w:bCs/>
                      <w:szCs w:val="21"/>
                      <w:highlight w:val="none"/>
                    </w:rPr>
                    <w:t>年消耗量</w:t>
                  </w:r>
                </w:p>
              </w:tc>
              <w:tc>
                <w:tcPr>
                  <w:tcW w:w="822" w:type="pct"/>
                  <w:tcBorders>
                    <w:tl2br w:val="nil"/>
                    <w:tr2bl w:val="nil"/>
                  </w:tcBorders>
                  <w:vAlign w:val="center"/>
                </w:tcPr>
                <w:p>
                  <w:pPr>
                    <w:jc w:val="center"/>
                    <w:rPr>
                      <w:szCs w:val="21"/>
                      <w:highlight w:val="none"/>
                    </w:rPr>
                  </w:pPr>
                  <w:r>
                    <w:rPr>
                      <w:rStyle w:val="89"/>
                      <w:b/>
                      <w:bCs/>
                      <w:kern w:val="0"/>
                      <w:szCs w:val="21"/>
                      <w:highlight w:val="none"/>
                    </w:rPr>
                    <w:t>最大储存量</w:t>
                  </w:r>
                </w:p>
              </w:tc>
              <w:tc>
                <w:tcPr>
                  <w:tcW w:w="798" w:type="pct"/>
                  <w:tcBorders>
                    <w:tl2br w:val="nil"/>
                    <w:tr2bl w:val="nil"/>
                  </w:tcBorders>
                  <w:vAlign w:val="center"/>
                </w:tcPr>
                <w:p>
                  <w:pPr>
                    <w:jc w:val="center"/>
                    <w:rPr>
                      <w:szCs w:val="21"/>
                      <w:highlight w:val="none"/>
                    </w:rPr>
                  </w:pPr>
                  <w:r>
                    <w:rPr>
                      <w:rStyle w:val="89"/>
                      <w:b/>
                      <w:bCs/>
                      <w:szCs w:val="21"/>
                      <w:highlight w:val="none"/>
                    </w:rPr>
                    <w:t>包装规格</w:t>
                  </w:r>
                </w:p>
              </w:tc>
              <w:tc>
                <w:tcPr>
                  <w:tcW w:w="1308" w:type="pct"/>
                  <w:tcBorders>
                    <w:tl2br w:val="nil"/>
                    <w:tr2bl w:val="nil"/>
                  </w:tcBorders>
                  <w:vAlign w:val="center"/>
                </w:tcPr>
                <w:p>
                  <w:pPr>
                    <w:jc w:val="center"/>
                    <w:rPr>
                      <w:szCs w:val="21"/>
                      <w:highlight w:val="none"/>
                    </w:rPr>
                  </w:pPr>
                  <w:r>
                    <w:rPr>
                      <w:rStyle w:val="89"/>
                      <w:rFonts w:hint="eastAsia"/>
                      <w:b/>
                      <w:bCs/>
                      <w:szCs w:val="21"/>
                      <w:highlight w:val="none"/>
                    </w:rPr>
                    <w:t>备注</w:t>
                  </w:r>
                </w:p>
              </w:tc>
            </w:tr>
            <w:tr>
              <w:trPr>
                <w:trHeight w:val="340"/>
              </w:trPr>
              <w:tc>
                <w:tcPr>
                  <w:tcW w:w="399" w:type="pct"/>
                  <w:tcBorders>
                    <w:tl2br w:val="nil"/>
                    <w:tr2bl w:val="nil"/>
                  </w:tcBorders>
                  <w:shd w:val="clear" w:color="auto" w:fill="auto"/>
                  <w:vAlign w:val="center"/>
                </w:tcPr>
                <w:p>
                  <w:pPr>
                    <w:jc w:val="center"/>
                    <w:rPr>
                      <w:rStyle w:val="89"/>
                      <w:szCs w:val="21"/>
                      <w:highlight w:val="none"/>
                    </w:rPr>
                  </w:pPr>
                  <w:r>
                    <w:rPr>
                      <w:rStyle w:val="89"/>
                      <w:rFonts w:hint="eastAsia"/>
                      <w:szCs w:val="21"/>
                      <w:highlight w:val="none"/>
                    </w:rPr>
                    <w:t>1</w:t>
                  </w:r>
                </w:p>
              </w:tc>
              <w:tc>
                <w:tcPr>
                  <w:tcW w:w="943" w:type="pct"/>
                  <w:tcBorders>
                    <w:tl2br w:val="nil"/>
                    <w:tr2bl w:val="nil"/>
                  </w:tcBorders>
                  <w:shd w:val="clear" w:color="auto" w:fill="auto"/>
                  <w:vAlign w:val="center"/>
                </w:tcPr>
                <w:p>
                  <w:pPr>
                    <w:jc w:val="center"/>
                    <w:rPr>
                      <w:rStyle w:val="89"/>
                      <w:kern w:val="0"/>
                      <w:szCs w:val="21"/>
                      <w:highlight w:val="none"/>
                    </w:rPr>
                  </w:pPr>
                  <w:r>
                    <w:rPr>
                      <w:rFonts w:ascii="宋体" w:cs="宋体" w:hAnsi="等线" w:hint="eastAsia"/>
                      <w:szCs w:val="21"/>
                      <w:highlight w:val="none"/>
                    </w:rPr>
                    <w:t>聚合氯化铝（</w:t>
                  </w:r>
                  <w:r>
                    <w:rPr>
                      <w:rStyle w:val="89"/>
                      <w:kern w:val="0"/>
                      <w:szCs w:val="21"/>
                      <w:highlight w:val="none"/>
                    </w:rPr>
                    <w:t>PAC</w:t>
                  </w:r>
                  <w:r>
                    <w:rPr>
                      <w:rFonts w:ascii="宋体" w:cs="宋体" w:hAnsi="等线" w:hint="eastAsia"/>
                      <w:szCs w:val="21"/>
                      <w:highlight w:val="none"/>
                    </w:rPr>
                    <w:t>）</w:t>
                  </w:r>
                </w:p>
              </w:tc>
              <w:tc>
                <w:tcPr>
                  <w:tcW w:w="727" w:type="pct"/>
                  <w:tcBorders>
                    <w:tl2br w:val="nil"/>
                    <w:tr2bl w:val="nil"/>
                  </w:tcBorders>
                  <w:shd w:val="clear" w:color="auto" w:fill="auto"/>
                  <w:vAlign w:val="center"/>
                </w:tcPr>
                <w:p>
                  <w:pPr>
                    <w:jc w:val="center"/>
                    <w:rPr>
                      <w:rStyle w:val="89"/>
                      <w:kern w:val="0"/>
                      <w:szCs w:val="21"/>
                      <w:highlight w:val="none"/>
                    </w:rPr>
                  </w:pPr>
                  <w:r>
                    <w:rPr>
                      <w:rStyle w:val="89"/>
                      <w:rFonts w:hint="eastAsia"/>
                      <w:kern w:val="0"/>
                      <w:szCs w:val="21"/>
                      <w:lang w:val="en-US" w:eastAsia="zh-CN"/>
                      <w:highlight w:val="none"/>
                    </w:rPr>
                    <w:t>75</w:t>
                  </w:r>
                  <w:r>
                    <w:rPr>
                      <w:rStyle w:val="89"/>
                      <w:rFonts w:hint="eastAsia"/>
                      <w:szCs w:val="21"/>
                      <w:highlight w:val="none"/>
                    </w:rPr>
                    <w:t>t</w:t>
                  </w:r>
                </w:p>
              </w:tc>
              <w:tc>
                <w:tcPr>
                  <w:tcW w:w="822" w:type="pct"/>
                  <w:tcBorders>
                    <w:tl2br w:val="nil"/>
                    <w:tr2bl w:val="nil"/>
                  </w:tcBorders>
                  <w:vAlign w:val="center"/>
                </w:tcPr>
                <w:p>
                  <w:pPr>
                    <w:jc w:val="center"/>
                    <w:rPr>
                      <w:rStyle w:val="89"/>
                      <w:kern w:val="0"/>
                      <w:szCs w:val="21"/>
                      <w:highlight w:val="none"/>
                    </w:rPr>
                  </w:pPr>
                  <w:r>
                    <w:rPr>
                      <w:rStyle w:val="89"/>
                      <w:rFonts w:hint="eastAsia"/>
                      <w:kern w:val="0"/>
                      <w:szCs w:val="21"/>
                      <w:highlight w:val="none"/>
                    </w:rPr>
                    <w:t>5</w:t>
                  </w:r>
                  <w:r>
                    <w:rPr>
                      <w:rStyle w:val="89"/>
                      <w:rFonts w:hint="eastAsia"/>
                      <w:szCs w:val="21"/>
                      <w:highlight w:val="none"/>
                    </w:rPr>
                    <w:t>t</w:t>
                  </w:r>
                </w:p>
              </w:tc>
              <w:tc>
                <w:tcPr>
                  <w:tcW w:w="798" w:type="pct"/>
                  <w:tcBorders>
                    <w:tl2br w:val="nil"/>
                    <w:tr2bl w:val="nil"/>
                  </w:tcBorders>
                  <w:vAlign w:val="center"/>
                </w:tcPr>
                <w:p>
                  <w:pPr>
                    <w:jc w:val="center"/>
                    <w:rPr>
                      <w:rStyle w:val="89"/>
                      <w:kern w:val="0"/>
                      <w:szCs w:val="21"/>
                      <w:highlight w:val="none"/>
                    </w:rPr>
                  </w:pPr>
                  <w:r>
                    <w:rPr>
                      <w:rFonts w:hint="eastAsia"/>
                      <w:szCs w:val="21"/>
                      <w:highlight w:val="none"/>
                    </w:rPr>
                    <w:t>桶</w:t>
                  </w:r>
                  <w:r>
                    <w:rPr>
                      <w:szCs w:val="21"/>
                      <w:highlight w:val="none"/>
                    </w:rPr>
                    <w:t>装，</w:t>
                  </w:r>
                  <w:r>
                    <w:rPr>
                      <w:rFonts w:hint="eastAsia"/>
                      <w:szCs w:val="21"/>
                      <w:highlight w:val="none"/>
                    </w:rPr>
                    <w:t>液态</w:t>
                  </w:r>
                </w:p>
              </w:tc>
              <w:tc>
                <w:tcPr>
                  <w:tcW w:w="1308" w:type="pct"/>
                  <w:tcBorders>
                    <w:tl2br w:val="nil"/>
                    <w:tr2bl w:val="nil"/>
                  </w:tcBorders>
                  <w:shd w:val="clear" w:color="auto" w:fill="auto"/>
                  <w:vAlign w:val="center"/>
                </w:tcPr>
                <w:p>
                  <w:pPr>
                    <w:jc w:val="center"/>
                    <w:rPr>
                      <w:rStyle w:val="89"/>
                      <w:kern w:val="0"/>
                      <w:szCs w:val="21"/>
                      <w:highlight w:val="none"/>
                    </w:rPr>
                  </w:pPr>
                  <w:r>
                    <w:rPr>
                      <w:rStyle w:val="89"/>
                      <w:rFonts w:hint="eastAsia"/>
                      <w:kern w:val="0"/>
                      <w:szCs w:val="21"/>
                      <w:highlight w:val="none"/>
                    </w:rPr>
                    <w:t>絮凝工艺</w:t>
                  </w:r>
                </w:p>
              </w:tc>
            </w:tr>
            <w:tr>
              <w:trPr>
                <w:trHeight w:val="340"/>
              </w:trPr>
              <w:tc>
                <w:tcPr>
                  <w:tcW w:w="399" w:type="pct"/>
                  <w:tcBorders>
                    <w:tl2br w:val="nil"/>
                    <w:tr2bl w:val="nil"/>
                  </w:tcBorders>
                  <w:shd w:val="clear" w:color="auto" w:fill="auto"/>
                  <w:vAlign w:val="center"/>
                </w:tcPr>
                <w:p>
                  <w:pPr>
                    <w:jc w:val="center"/>
                    <w:rPr>
                      <w:rStyle w:val="89"/>
                      <w:rFonts w:eastAsia="宋体" w:hint="eastAsia"/>
                      <w:szCs w:val="21"/>
                      <w:lang w:val="en-US" w:eastAsia="zh-CN"/>
                      <w:highlight w:val="none"/>
                    </w:rPr>
                  </w:pPr>
                  <w:r>
                    <w:rPr>
                      <w:rStyle w:val="89"/>
                      <w:rFonts w:hint="eastAsia"/>
                      <w:szCs w:val="21"/>
                      <w:lang w:val="en-US" w:eastAsia="zh-CN"/>
                      <w:highlight w:val="none"/>
                    </w:rPr>
                    <w:t>2</w:t>
                  </w:r>
                </w:p>
              </w:tc>
              <w:tc>
                <w:tcPr>
                  <w:tcW w:w="943" w:type="pct"/>
                  <w:tcBorders>
                    <w:tl2br w:val="nil"/>
                    <w:tr2bl w:val="nil"/>
                  </w:tcBorders>
                  <w:shd w:val="clear" w:color="auto" w:fill="auto"/>
                  <w:vAlign w:val="center"/>
                </w:tcPr>
                <w:p>
                  <w:pPr>
                    <w:jc w:val="center"/>
                    <w:rPr>
                      <w:rFonts w:ascii="宋体" w:eastAsia="宋体" w:cs="宋体" w:hAnsi="等线" w:hint="eastAsia"/>
                      <w:szCs w:val="21"/>
                      <w:u w:val="single"/>
                      <w:lang w:val="en-US" w:eastAsia="zh-CN"/>
                      <w:highlight w:val="none"/>
                    </w:rPr>
                  </w:pPr>
                  <w:r>
                    <w:rPr>
                      <w:rFonts w:ascii="宋体" w:cs="宋体" w:hAnsi="等线" w:hint="eastAsia"/>
                      <w:szCs w:val="21"/>
                      <w:u w:val="single"/>
                      <w:lang w:val="en-US" w:eastAsia="zh-CN"/>
                      <w:highlight w:val="none"/>
                    </w:rPr>
                    <w:t>精制盐</w:t>
                  </w:r>
                </w:p>
              </w:tc>
              <w:tc>
                <w:tcPr>
                  <w:tcW w:w="727" w:type="pct"/>
                  <w:tcBorders>
                    <w:tl2br w:val="nil"/>
                    <w:tr2bl w:val="nil"/>
                  </w:tcBorders>
                  <w:shd w:val="clear" w:color="auto" w:fill="auto"/>
                  <w:vAlign w:val="center"/>
                </w:tcPr>
                <w:p>
                  <w:pPr>
                    <w:jc w:val="center"/>
                    <w:rPr>
                      <w:rStyle w:val="89"/>
                      <w:rFonts w:hint="eastAsia"/>
                      <w:kern w:val="0"/>
                      <w:szCs w:val="21"/>
                      <w:u w:val="single"/>
                      <w:highlight w:val="none"/>
                    </w:rPr>
                  </w:pPr>
                  <w:r>
                    <w:rPr>
                      <w:rStyle w:val="89"/>
                      <w:rFonts w:hint="eastAsia"/>
                      <w:kern w:val="0"/>
                      <w:u w:val="single"/>
                      <w:lang w:val="en-US" w:eastAsia="zh-CN"/>
                      <w:highlight w:val="none"/>
                    </w:rPr>
                    <w:t>32.7</w:t>
                  </w:r>
                  <w:r>
                    <w:rPr>
                      <w:rStyle w:val="89"/>
                      <w:rFonts w:hint="eastAsia"/>
                      <w:szCs w:val="21"/>
                      <w:u w:val="single"/>
                      <w:highlight w:val="none"/>
                    </w:rPr>
                    <w:t>t</w:t>
                  </w:r>
                </w:p>
              </w:tc>
              <w:tc>
                <w:tcPr>
                  <w:tcW w:w="822" w:type="pct"/>
                  <w:tcBorders>
                    <w:tl2br w:val="nil"/>
                    <w:tr2bl w:val="nil"/>
                  </w:tcBorders>
                  <w:vAlign w:val="center"/>
                </w:tcPr>
                <w:p>
                  <w:pPr>
                    <w:jc w:val="center"/>
                    <w:rPr>
                      <w:rStyle w:val="89"/>
                      <w:rFonts w:eastAsia="宋体"/>
                      <w:kern w:val="0"/>
                      <w:szCs w:val="21"/>
                      <w:u w:val="single"/>
                      <w:lang w:val="en-US" w:eastAsia="zh-CN"/>
                      <w:highlight w:val="none"/>
                    </w:rPr>
                  </w:pPr>
                  <w:r>
                    <w:rPr>
                      <w:rStyle w:val="89"/>
                      <w:rFonts w:hint="eastAsia"/>
                      <w:kern w:val="0"/>
                      <w:szCs w:val="21"/>
                      <w:u w:val="single"/>
                      <w:lang w:val="en-US" w:eastAsia="zh-CN"/>
                      <w:highlight w:val="none"/>
                    </w:rPr>
                    <w:t>3t</w:t>
                  </w:r>
                </w:p>
              </w:tc>
              <w:tc>
                <w:tcPr>
                  <w:tcW w:w="798" w:type="pct"/>
                  <w:tcBorders>
                    <w:tl2br w:val="nil"/>
                    <w:tr2bl w:val="nil"/>
                  </w:tcBorders>
                  <w:vAlign w:val="center"/>
                </w:tcPr>
                <w:p>
                  <w:pPr>
                    <w:jc w:val="center"/>
                    <w:rPr>
                      <w:rFonts w:eastAsia="宋体"/>
                      <w:szCs w:val="21"/>
                      <w:u w:val="single"/>
                      <w:lang w:val="en-US" w:eastAsia="zh-CN"/>
                      <w:highlight w:val="none"/>
                    </w:rPr>
                  </w:pPr>
                  <w:r>
                    <w:rPr>
                      <w:rFonts w:hint="eastAsia"/>
                      <w:szCs w:val="21"/>
                      <w:u w:val="single"/>
                      <w:lang w:val="en-US" w:eastAsia="zh-CN"/>
                      <w:highlight w:val="none"/>
                    </w:rPr>
                    <w:t>袋装，固态</w:t>
                  </w:r>
                </w:p>
              </w:tc>
              <w:tc>
                <w:tcPr>
                  <w:tcW w:w="1308" w:type="pct"/>
                  <w:tcBorders>
                    <w:tl2br w:val="nil"/>
                    <w:tr2bl w:val="nil"/>
                  </w:tcBorders>
                  <w:shd w:val="clear" w:color="auto" w:fill="auto"/>
                  <w:vAlign w:val="center"/>
                </w:tcPr>
                <w:p>
                  <w:pPr>
                    <w:jc w:val="center"/>
                    <w:rPr>
                      <w:rStyle w:val="89"/>
                      <w:rFonts w:hint="eastAsia"/>
                      <w:kern w:val="0"/>
                      <w:szCs w:val="21"/>
                      <w:u w:val="single"/>
                      <w:highlight w:val="none"/>
                    </w:rPr>
                  </w:pPr>
                  <w:r>
                    <w:rPr>
                      <w:rFonts w:hint="eastAsia"/>
                      <w:szCs w:val="21"/>
                      <w:u w:val="single"/>
                      <w:highlight w:val="none"/>
                    </w:rPr>
                    <w:t>消毒工艺，</w:t>
                  </w:r>
                  <w:r>
                    <w:rPr>
                      <w:rFonts w:ascii="Times New Roman" w:eastAsia="宋体" w:cs="Times New Roman" w:hAnsi="Times New Roman" w:hint="eastAsia"/>
                      <w:szCs w:val="21"/>
                      <w:u w:val="single"/>
                      <w:lang w:val="en-US" w:eastAsia="zh-CN"/>
                      <w:highlight w:val="none"/>
                    </w:rPr>
                    <w:t>用来制取次氯酸钠</w:t>
                  </w:r>
                  <w:r>
                    <w:rPr>
                      <w:rFonts w:cs="Times New Roman" w:hint="eastAsia"/>
                      <w:szCs w:val="21"/>
                      <w:u w:val="single"/>
                      <w:lang w:val="en-US" w:eastAsia="zh-CN"/>
                      <w:highlight w:val="none"/>
                    </w:rPr>
                    <w:t>，</w:t>
                  </w:r>
                  <w:r>
                    <w:rPr>
                      <w:rFonts w:ascii="Times New Roman" w:eastAsia="宋体" w:cs="Times New Roman" w:hAnsi="Times New Roman" w:hint="eastAsia"/>
                      <w:szCs w:val="21"/>
                      <w:u w:val="single"/>
                      <w:lang w:val="en-US" w:eastAsia="zh-CN"/>
                      <w:highlight w:val="none"/>
                    </w:rPr>
                    <w:t>厂区设1个次氯酸钠溶液储罐，容积为10m</w:t>
                  </w:r>
                  <w:r>
                    <w:rPr>
                      <w:rFonts w:ascii="Times New Roman" w:eastAsia="宋体" w:cs="Times New Roman" w:hAnsi="Times New Roman" w:hint="eastAsia"/>
                      <w:szCs w:val="21"/>
                      <w:u w:val="single"/>
                      <w:vertAlign w:val="superscript"/>
                      <w:lang w:val="en-US" w:eastAsia="zh-CN"/>
                      <w:highlight w:val="none"/>
                    </w:rPr>
                    <w:t>3</w:t>
                  </w:r>
                </w:p>
              </w:tc>
            </w:tr>
            <w:tr>
              <w:trPr>
                <w:trHeight w:val="340"/>
              </w:trPr>
              <w:tc>
                <w:tcPr>
                  <w:tcW w:w="399" w:type="pct"/>
                  <w:tcBorders>
                    <w:tl2br w:val="nil"/>
                    <w:tr2bl w:val="nil"/>
                  </w:tcBorders>
                  <w:shd w:val="clear" w:color="auto" w:fill="FFFFFF"/>
                  <w:vAlign w:val="center"/>
                </w:tcPr>
                <w:p>
                  <w:pPr>
                    <w:jc w:val="center"/>
                    <w:rPr>
                      <w:rStyle w:val="89"/>
                      <w:rFonts w:eastAsia="宋体" w:hint="eastAsia"/>
                      <w:szCs w:val="21"/>
                      <w:lang w:eastAsia="zh-CN"/>
                      <w:highlight w:val="none"/>
                    </w:rPr>
                  </w:pPr>
                  <w:r>
                    <w:rPr>
                      <w:rStyle w:val="89"/>
                      <w:rFonts w:hint="eastAsia"/>
                      <w:szCs w:val="21"/>
                      <w:lang w:val="en-US" w:eastAsia="zh-CN"/>
                      <w:highlight w:val="none"/>
                    </w:rPr>
                    <w:t>3</w:t>
                  </w:r>
                </w:p>
              </w:tc>
              <w:tc>
                <w:tcPr>
                  <w:tcW w:w="943" w:type="pct"/>
                  <w:tcBorders>
                    <w:tl2br w:val="nil"/>
                    <w:tr2bl w:val="nil"/>
                  </w:tcBorders>
                  <w:shd w:val="clear" w:color="auto" w:fill="FFFFFF"/>
                  <w:vAlign w:val="center"/>
                </w:tcPr>
                <w:p>
                  <w:pPr>
                    <w:jc w:val="center"/>
                    <w:rPr>
                      <w:rStyle w:val="89"/>
                      <w:kern w:val="0"/>
                      <w:highlight w:val="none"/>
                    </w:rPr>
                  </w:pPr>
                  <w:r>
                    <w:rPr>
                      <w:rStyle w:val="89"/>
                      <w:rFonts w:hint="eastAsia"/>
                      <w:kern w:val="0"/>
                      <w:highlight w:val="none"/>
                    </w:rPr>
                    <w:t>原水</w:t>
                  </w:r>
                </w:p>
              </w:tc>
              <w:tc>
                <w:tcPr>
                  <w:tcW w:w="727" w:type="pct"/>
                  <w:tcBorders>
                    <w:tl2br w:val="nil"/>
                    <w:tr2bl w:val="nil"/>
                  </w:tcBorders>
                  <w:shd w:val="clear" w:color="auto" w:fill="FFFFFF"/>
                  <w:vAlign w:val="center"/>
                </w:tcPr>
                <w:p>
                  <w:pPr>
                    <w:jc w:val="center"/>
                    <w:rPr>
                      <w:rStyle w:val="89"/>
                      <w:kern w:val="0"/>
                      <w:highlight w:val="none"/>
                    </w:rPr>
                  </w:pPr>
                  <w:r>
                    <w:rPr>
                      <w:rStyle w:val="89"/>
                      <w:rFonts w:hint="eastAsia"/>
                      <w:kern w:val="0"/>
                      <w:lang w:val="en-US" w:eastAsia="zh-CN"/>
                      <w:highlight w:val="none"/>
                    </w:rPr>
                    <w:t>1.0</w:t>
                  </w:r>
                  <w:r>
                    <w:rPr>
                      <w:rStyle w:val="89"/>
                      <w:rFonts w:hint="eastAsia"/>
                      <w:kern w:val="0"/>
                      <w:highlight w:val="none"/>
                    </w:rPr>
                    <w:t>万m</w:t>
                  </w:r>
                  <w:r>
                    <w:rPr>
                      <w:rStyle w:val="89"/>
                      <w:rFonts w:hint="eastAsia"/>
                      <w:kern w:val="0"/>
                      <w:vertAlign w:val="superscript"/>
                      <w:highlight w:val="none"/>
                    </w:rPr>
                    <w:t>3</w:t>
                  </w:r>
                </w:p>
              </w:tc>
              <w:tc>
                <w:tcPr>
                  <w:tcW w:w="822" w:type="pct"/>
                  <w:tcBorders>
                    <w:tl2br w:val="nil"/>
                    <w:tr2bl w:val="nil"/>
                  </w:tcBorders>
                  <w:shd w:val="clear" w:color="auto" w:fill="FFFFFF"/>
                  <w:vAlign w:val="center"/>
                </w:tcPr>
                <w:p>
                  <w:pPr>
                    <w:jc w:val="center"/>
                    <w:rPr>
                      <w:szCs w:val="21"/>
                      <w:highlight w:val="none"/>
                    </w:rPr>
                  </w:pPr>
                  <w:r>
                    <w:rPr>
                      <w:rFonts w:hint="eastAsia"/>
                      <w:szCs w:val="21"/>
                      <w:highlight w:val="none"/>
                    </w:rPr>
                    <w:t>/</w:t>
                  </w:r>
                </w:p>
              </w:tc>
              <w:tc>
                <w:tcPr>
                  <w:tcW w:w="798" w:type="pct"/>
                  <w:tcBorders>
                    <w:tl2br w:val="nil"/>
                    <w:tr2bl w:val="nil"/>
                  </w:tcBorders>
                  <w:shd w:val="clear" w:color="auto" w:fill="FFFFFF"/>
                  <w:vAlign w:val="center"/>
                </w:tcPr>
                <w:p>
                  <w:pPr>
                    <w:jc w:val="center"/>
                    <w:rPr>
                      <w:szCs w:val="21"/>
                      <w:highlight w:val="none"/>
                    </w:rPr>
                  </w:pPr>
                  <w:r>
                    <w:rPr>
                      <w:rFonts w:hint="eastAsia"/>
                      <w:szCs w:val="21"/>
                      <w:highlight w:val="none"/>
                    </w:rPr>
                    <w:t>管道输送</w:t>
                  </w:r>
                </w:p>
              </w:tc>
              <w:tc>
                <w:tcPr>
                  <w:tcW w:w="1308" w:type="pct"/>
                  <w:tcBorders>
                    <w:tl2br w:val="nil"/>
                    <w:tr2bl w:val="nil"/>
                  </w:tcBorders>
                  <w:shd w:val="clear" w:color="auto" w:fill="FFFFFF"/>
                  <w:vAlign w:val="center"/>
                </w:tcPr>
                <w:p>
                  <w:pPr>
                    <w:jc w:val="center"/>
                    <w:rPr>
                      <w:rFonts w:eastAsia="宋体" w:hint="eastAsia"/>
                      <w:szCs w:val="21"/>
                      <w:lang w:eastAsia="zh-CN"/>
                      <w:highlight w:val="none"/>
                    </w:rPr>
                  </w:pPr>
                  <w:r>
                    <w:rPr>
                      <w:rFonts w:hint="eastAsia"/>
                      <w:szCs w:val="21"/>
                      <w:highlight w:val="none"/>
                    </w:rPr>
                    <w:t>用于</w:t>
                  </w:r>
                  <w:r>
                    <w:rPr>
                      <w:rFonts w:hint="eastAsia"/>
                      <w:szCs w:val="21"/>
                      <w:lang w:eastAsia="zh-CN"/>
                      <w:highlight w:val="none"/>
                    </w:rPr>
                    <w:t>太青水厂</w:t>
                  </w:r>
                </w:p>
              </w:tc>
            </w:tr>
          </w:tbl>
          <w:p>
            <w:pPr>
              <w:spacing w:line="360" w:lineRule="auto"/>
              <w:ind w:firstLineChars="200" w:firstLine="480"/>
              <w:jc w:val="left"/>
              <w:rPr>
                <w:sz w:val="24"/>
                <w:highlight w:val="none"/>
              </w:rPr>
            </w:pPr>
            <w:bookmarkEnd w:id="10"/>
            <w:r>
              <w:rPr>
                <w:rFonts w:hint="eastAsia"/>
                <w:sz w:val="24"/>
                <w:highlight w:val="none"/>
              </w:rPr>
              <w:t>聚合氯化铝</w:t>
            </w:r>
            <w:r>
              <w:rPr>
                <w:sz w:val="24"/>
                <w:highlight w:val="none"/>
              </w:rPr>
              <w:t>：本项目絮凝剂主要使用聚合氯化铝，简称PAC，是一种无机高分子混凝剂，是介于氯化铝和氢氧化铝之间的化合物，通过羟基架桥而聚合，为黄色固体粉末，且易溶于水，絮凝体成型快，活性好，过滤性好，不需要加碱性助剂，如遇潮解，其效果不变。在水解过程中伴随电化学、凝聚、吸附和沉淀等物理化学变化，最终生成沉淀，从而达到净化目的，适应pH值宽，适应性强，用途广泛，处理过的水中盐分少，能除去重金属及放射性物质对水的污染。</w:t>
            </w:r>
          </w:p>
          <w:p>
            <w:pPr>
              <w:adjustRightInd w:val="0"/>
              <w:snapToGrid w:val="0"/>
              <w:spacing w:line="360" w:lineRule="auto"/>
              <w:ind w:firstLineChars="200" w:firstLine="480"/>
              <w:rPr>
                <w:rFonts w:hint="eastAsia"/>
                <w:sz w:val="24"/>
                <w:highlight w:val="none"/>
              </w:rPr>
            </w:pPr>
            <w:r>
              <w:rPr>
                <w:rFonts w:ascii="Times New Roman" w:eastAsia="宋体" w:cs="Times New Roman" w:hAnsi="Times New Roman" w:hint="eastAsia"/>
                <w:color w:val="auto"/>
                <w:sz w:val="24"/>
                <w:szCs w:val="24"/>
                <w:u w:val="none"/>
                <w:lang w:val="en-US" w:eastAsia="zh-CN"/>
                <w:highlight w:val="none"/>
              </w:rPr>
              <w:t>精制</w:t>
            </w:r>
            <w:r>
              <w:rPr>
                <w:rFonts w:ascii="Times New Roman" w:eastAsia="宋体" w:cs="Times New Roman" w:hAnsi="Times New Roman" w:hint="eastAsia"/>
                <w:color w:val="auto"/>
                <w:sz w:val="24"/>
                <w:szCs w:val="24"/>
                <w:u w:val="none"/>
                <w:highlight w:val="none"/>
              </w:rPr>
              <w:t>盐：分子式：NaCl；分子量：58.5；密度：2. 165；熔点：801℃；沸点：1442℃。味咸，含杂质时易潮解；溶于水或甘油，难溶于乙醇，不溶于盐酸，水溶液中性并且导电。固态的氯化钠不导电，但熔融态的氯化钠导电。在水中的溶解度随着温度的升高略有增大。当温度低于0.15℃时可获得二水合物 NaCl·2H</w:t>
            </w:r>
            <w:r>
              <w:rPr>
                <w:rFonts w:ascii="Times New Roman" w:eastAsia="宋体" w:cs="Times New Roman" w:hAnsi="Times New Roman" w:hint="eastAsia"/>
                <w:color w:val="auto"/>
                <w:sz w:val="24"/>
                <w:szCs w:val="24"/>
                <w:u w:val="none"/>
                <w:vertAlign w:val="subscript"/>
                <w:highlight w:val="none"/>
              </w:rPr>
              <w:t>2</w:t>
            </w:r>
            <w:r>
              <w:rPr>
                <w:rFonts w:ascii="Times New Roman" w:eastAsia="宋体" w:cs="Times New Roman" w:hAnsi="Times New Roman" w:hint="eastAsia"/>
                <w:color w:val="auto"/>
                <w:sz w:val="24"/>
                <w:szCs w:val="24"/>
                <w:u w:val="none"/>
                <w:highlight w:val="none"/>
              </w:rPr>
              <w:t>O。氯化钠大量存在于海水和天然盐湖中，可用来制取氯气、氢气、盐酸、氢氧化钠、氯酸盐、次氯酸盐、漂白粉及金属钠等，是重要的化工原料；经高度精制的氯化钠可用来制生理食盐水，用于临床治疗和生理实验，如失钠、失水、失血等情况。可通过浓缩结晶海水或天然的盐湖或盐井水来制取氯化钠。本项目采用食盐电解制备净水厂消毒剂次氯酸钠。</w:t>
            </w:r>
          </w:p>
          <w:p>
            <w:pPr>
              <w:adjustRightInd w:val="0"/>
              <w:snapToGrid w:val="0"/>
              <w:spacing w:line="360" w:lineRule="auto"/>
              <w:ind w:firstLineChars="200" w:firstLine="480"/>
              <w:rPr>
                <w:sz w:val="24"/>
                <w:highlight w:val="none"/>
              </w:rPr>
            </w:pPr>
            <w:r>
              <w:rPr>
                <w:rFonts w:hint="eastAsia"/>
                <w:sz w:val="24"/>
                <w:highlight w:val="none"/>
              </w:rPr>
              <w:t>次氯酸钠</w:t>
            </w:r>
            <w:r>
              <w:rPr>
                <w:sz w:val="24"/>
                <w:highlight w:val="none"/>
              </w:rPr>
              <w:t>：</w:t>
            </w:r>
            <w:r>
              <w:rPr>
                <w:rFonts w:hint="eastAsia"/>
                <w:sz w:val="24"/>
                <w:highlight w:val="none"/>
              </w:rPr>
              <w:t>微黄色溶液，有似氯气的气味。受高热分解产生有毒的腐蚀性烟气。具有腐蚀性。具有强氧化性，可氧化Fe</w:t>
            </w:r>
            <w:r>
              <w:rPr>
                <w:rFonts w:hint="eastAsia"/>
                <w:sz w:val="24"/>
                <w:vertAlign w:val="superscript"/>
                <w:highlight w:val="none"/>
              </w:rPr>
              <w:t>2+</w:t>
            </w:r>
            <w:r>
              <w:rPr>
                <w:rFonts w:hint="eastAsia"/>
                <w:sz w:val="24"/>
                <w:highlight w:val="none"/>
              </w:rPr>
              <w:t>、CN-等离子。沸点(℃)：102.2，熔点(℃)：-6，相对密度（水=1）：1.21。本品不燃，具腐蚀性，可致人体灼伤，具致敏性。</w:t>
            </w:r>
          </w:p>
          <w:p>
            <w:pPr>
              <w:spacing w:line="360" w:lineRule="auto"/>
              <w:rPr>
                <w:b/>
                <w:bCs/>
                <w:sz w:val="24"/>
                <w:highlight w:val="none"/>
              </w:rPr>
            </w:pPr>
            <w:r>
              <w:rPr>
                <w:rFonts w:hint="eastAsia"/>
                <w:b/>
                <w:bCs/>
                <w:sz w:val="24"/>
                <w:lang w:val="en-US" w:eastAsia="zh-CN"/>
                <w:highlight w:val="none"/>
              </w:rPr>
              <w:t>6</w:t>
            </w:r>
            <w:r>
              <w:rPr>
                <w:b/>
                <w:bCs/>
                <w:sz w:val="24"/>
                <w:highlight w:val="none"/>
              </w:rPr>
              <w:t>、主要设备</w:t>
            </w:r>
          </w:p>
          <w:p>
            <w:pPr>
              <w:pStyle w:val="31"/>
              <w:adjustRightInd w:val="0"/>
              <w:snapToGrid w:val="0"/>
              <w:spacing w:after="0" w:line="360" w:lineRule="auto"/>
              <w:ind w:leftChars="0" w:left="0" w:firstLineChars="196" w:firstLine="470"/>
              <w:rPr>
                <w:sz w:val="24"/>
                <w:szCs w:val="24"/>
                <w:highlight w:val="none"/>
              </w:rPr>
            </w:pPr>
            <w:r>
              <w:rPr>
                <w:sz w:val="24"/>
                <w:szCs w:val="24"/>
                <w:highlight w:val="none"/>
              </w:rPr>
              <w:t>项目</w:t>
            </w:r>
            <w:r>
              <w:rPr>
                <w:rFonts w:hint="eastAsia"/>
                <w:sz w:val="24"/>
                <w:szCs w:val="24"/>
                <w:highlight w:val="none"/>
              </w:rPr>
              <w:t>水厂</w:t>
            </w:r>
            <w:r>
              <w:rPr>
                <w:sz w:val="24"/>
                <w:szCs w:val="24"/>
                <w:highlight w:val="none"/>
              </w:rPr>
              <w:t>主要生产设备见表2-</w:t>
            </w:r>
            <w:r>
              <w:rPr>
                <w:rFonts w:hint="eastAsia"/>
                <w:sz w:val="24"/>
                <w:szCs w:val="24"/>
                <w:highlight w:val="none"/>
              </w:rPr>
              <w:t>7</w:t>
            </w:r>
            <w:r>
              <w:rPr>
                <w:sz w:val="24"/>
                <w:szCs w:val="24"/>
                <w:highlight w:val="none"/>
              </w:rPr>
              <w:t>。</w:t>
            </w:r>
          </w:p>
          <w:p>
            <w:pPr>
              <w:jc w:val="center"/>
              <w:rPr>
                <w:b/>
                <w:szCs w:val="21"/>
                <w:highlight w:val="none"/>
              </w:rPr>
            </w:pPr>
          </w:p>
          <w:p>
            <w:pPr>
              <w:jc w:val="center"/>
              <w:rPr>
                <w:b/>
                <w:szCs w:val="21"/>
                <w:highlight w:val="none"/>
              </w:rPr>
            </w:pPr>
          </w:p>
          <w:p>
            <w:pPr>
              <w:jc w:val="center"/>
              <w:rPr>
                <w:b/>
                <w:szCs w:val="21"/>
                <w:highlight w:val="none"/>
              </w:rPr>
            </w:pPr>
          </w:p>
          <w:p>
            <w:pPr>
              <w:jc w:val="center"/>
              <w:rPr>
                <w:b/>
                <w:szCs w:val="21"/>
                <w:highlight w:val="none"/>
              </w:rPr>
            </w:pPr>
            <w:r>
              <w:rPr>
                <w:b/>
                <w:szCs w:val="21"/>
                <w:highlight w:val="none"/>
              </w:rPr>
              <w:t>表2-</w:t>
            </w:r>
            <w:r>
              <w:rPr>
                <w:rFonts w:hint="eastAsia"/>
                <w:b/>
                <w:szCs w:val="21"/>
                <w:highlight w:val="none"/>
              </w:rPr>
              <w:t>7</w:t>
            </w:r>
            <w:r>
              <w:rPr>
                <w:b/>
                <w:szCs w:val="21"/>
                <w:highlight w:val="none"/>
              </w:rPr>
              <w:t xml:space="preserve">  </w:t>
            </w:r>
            <w:r>
              <w:rPr>
                <w:rFonts w:hint="eastAsia"/>
                <w:b/>
                <w:szCs w:val="21"/>
                <w:highlight w:val="none"/>
              </w:rPr>
              <w:t>水厂</w:t>
            </w:r>
            <w:r>
              <w:rPr>
                <w:b/>
                <w:szCs w:val="21"/>
                <w:highlight w:val="none"/>
              </w:rPr>
              <w:t>主要生产设备清单</w:t>
            </w:r>
          </w:p>
          <w:tbl>
            <w:tblPr>
              <w:jc w:val="center"/>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CellMar>
                <w:top w:w="0" w:type="dxa"/>
                <w:left w:w="108" w:type="dxa"/>
                <w:bottom w:w="0" w:type="dxa"/>
                <w:right w:w="108" w:type="dxa"/>
              </w:tblCellMar>
              <w:tblLook w:val="0600" w:firstRow="0" w:lastRow="0" w:firstColumn="0" w:lastColumn="0" w:noHBand="1" w:noVBand="1"/>
            </w:tblPr>
            <w:tblGrid>
              <w:gridCol w:w="601"/>
              <w:gridCol w:w="1742"/>
              <w:gridCol w:w="625"/>
              <w:gridCol w:w="4376"/>
              <w:gridCol w:w="840"/>
            </w:tblGrid>
            <w:tr>
              <w:trPr>
                <w:trHeight w:val="340"/>
              </w:trPr>
              <w:tc>
                <w:tcPr>
                  <w:tcW w:w="367" w:type="pct"/>
                  <w:vAlign w:val="center"/>
                </w:tcPr>
                <w:p>
                  <w:pPr>
                    <w:adjustRightInd w:val="0"/>
                    <w:snapToGrid w:val="0"/>
                    <w:jc w:val="center"/>
                    <w:rPr>
                      <w:b/>
                      <w:kern w:val="0"/>
                      <w:szCs w:val="21"/>
                      <w:highlight w:val="none"/>
                    </w:rPr>
                  </w:pPr>
                  <w:r>
                    <w:rPr>
                      <w:b/>
                      <w:kern w:val="0"/>
                      <w:szCs w:val="21"/>
                      <w:highlight w:val="none"/>
                    </w:rPr>
                    <w:t>序号</w:t>
                  </w:r>
                </w:p>
              </w:tc>
              <w:tc>
                <w:tcPr>
                  <w:tcW w:w="1064" w:type="pct"/>
                  <w:vAlign w:val="center"/>
                </w:tcPr>
                <w:p>
                  <w:pPr>
                    <w:adjustRightInd w:val="0"/>
                    <w:snapToGrid w:val="0"/>
                    <w:jc w:val="center"/>
                    <w:rPr>
                      <w:b/>
                      <w:kern w:val="0"/>
                      <w:szCs w:val="21"/>
                      <w:highlight w:val="none"/>
                    </w:rPr>
                  </w:pPr>
                  <w:r>
                    <w:rPr>
                      <w:b/>
                      <w:kern w:val="0"/>
                      <w:szCs w:val="21"/>
                      <w:highlight w:val="none"/>
                    </w:rPr>
                    <w:t>名称</w:t>
                  </w:r>
                </w:p>
              </w:tc>
              <w:tc>
                <w:tcPr>
                  <w:tcW w:w="382" w:type="pct"/>
                  <w:tcBorders>
                    <w:right w:val="single" w:sz="4" w:space="0" w:color="auto"/>
                  </w:tcBorders>
                  <w:vAlign w:val="center"/>
                </w:tcPr>
                <w:p>
                  <w:pPr>
                    <w:adjustRightInd w:val="0"/>
                    <w:snapToGrid w:val="0"/>
                    <w:jc w:val="center"/>
                    <w:rPr>
                      <w:b/>
                      <w:kern w:val="0"/>
                      <w:szCs w:val="21"/>
                      <w:highlight w:val="none"/>
                    </w:rPr>
                  </w:pPr>
                  <w:r>
                    <w:rPr>
                      <w:b/>
                      <w:kern w:val="0"/>
                      <w:szCs w:val="21"/>
                      <w:highlight w:val="none"/>
                    </w:rPr>
                    <w:t>数量</w:t>
                  </w:r>
                </w:p>
              </w:tc>
              <w:tc>
                <w:tcPr>
                  <w:tcW w:w="2673" w:type="pct"/>
                  <w:vAlign w:val="center"/>
                </w:tcPr>
                <w:p>
                  <w:pPr>
                    <w:adjustRightInd w:val="0"/>
                    <w:snapToGrid w:val="0"/>
                    <w:jc w:val="center"/>
                    <w:rPr>
                      <w:b/>
                      <w:kern w:val="0"/>
                      <w:szCs w:val="21"/>
                      <w:highlight w:val="none"/>
                    </w:rPr>
                  </w:pPr>
                  <w:r>
                    <w:rPr>
                      <w:b/>
                      <w:kern w:val="0"/>
                      <w:szCs w:val="21"/>
                      <w:highlight w:val="none"/>
                    </w:rPr>
                    <w:t>型号/规格</w:t>
                  </w:r>
                </w:p>
              </w:tc>
              <w:tc>
                <w:tcPr>
                  <w:tcW w:w="511" w:type="pct"/>
                  <w:vAlign w:val="center"/>
                </w:tcPr>
                <w:p>
                  <w:pPr>
                    <w:adjustRightInd w:val="0"/>
                    <w:snapToGrid w:val="0"/>
                    <w:jc w:val="center"/>
                    <w:rPr>
                      <w:b/>
                      <w:kern w:val="0"/>
                      <w:szCs w:val="21"/>
                      <w:highlight w:val="none"/>
                    </w:rPr>
                  </w:pPr>
                  <w:r>
                    <w:rPr>
                      <w:b/>
                      <w:kern w:val="0"/>
                      <w:szCs w:val="21"/>
                      <w:highlight w:val="none"/>
                    </w:rPr>
                    <w:t>备注</w:t>
                  </w:r>
                </w:p>
              </w:tc>
            </w:tr>
            <w:tr>
              <w:trPr>
                <w:trHeight w:val="340"/>
              </w:trPr>
              <w:tc>
                <w:tcPr>
                  <w:tcW w:w="367" w:type="pct"/>
                  <w:vAlign w:val="center"/>
                </w:tcPr>
                <w:p>
                  <w:pPr>
                    <w:adjustRightInd w:val="0"/>
                    <w:snapToGrid w:val="0"/>
                    <w:jc w:val="center"/>
                    <w:rPr>
                      <w:b/>
                      <w:bCs/>
                      <w:szCs w:val="21"/>
                      <w:highlight w:val="none"/>
                    </w:rPr>
                  </w:pPr>
                  <w:r>
                    <w:rPr>
                      <w:rFonts w:hint="eastAsia"/>
                      <w:b/>
                      <w:bCs/>
                      <w:szCs w:val="21"/>
                      <w:highlight w:val="none"/>
                    </w:rPr>
                    <w:t>一</w:t>
                  </w:r>
                </w:p>
              </w:tc>
              <w:tc>
                <w:tcPr>
                  <w:tcW w:w="4632" w:type="pct"/>
                  <w:gridSpan w:val="4"/>
                  <w:vAlign w:val="center"/>
                </w:tcPr>
                <w:p>
                  <w:pPr>
                    <w:adjustRightInd w:val="0"/>
                    <w:snapToGrid w:val="0"/>
                    <w:jc w:val="center"/>
                    <w:rPr>
                      <w:rFonts w:eastAsia="宋体" w:hint="eastAsia"/>
                      <w:b/>
                      <w:bCs/>
                      <w:szCs w:val="21"/>
                      <w:lang w:eastAsia="zh-CN"/>
                      <w:highlight w:val="none"/>
                    </w:rPr>
                  </w:pPr>
                  <w:r>
                    <w:rPr>
                      <w:rFonts w:hint="eastAsia"/>
                      <w:b/>
                      <w:bCs/>
                      <w:szCs w:val="21"/>
                      <w:lang w:val="en-US" w:eastAsia="zh-CN"/>
                      <w:highlight w:val="none"/>
                    </w:rPr>
                    <w:t>吸水井</w:t>
                  </w:r>
                </w:p>
              </w:tc>
            </w:tr>
            <w:tr>
              <w:trPr>
                <w:trHeight w:val="340"/>
              </w:trPr>
              <w:tc>
                <w:tcPr>
                  <w:tcW w:w="367" w:type="pct"/>
                  <w:vAlign w:val="center"/>
                </w:tcPr>
                <w:p>
                  <w:pPr>
                    <w:adjustRightInd w:val="0"/>
                    <w:snapToGrid w:val="0"/>
                    <w:jc w:val="center"/>
                    <w:rPr>
                      <w:kern w:val="0"/>
                      <w:szCs w:val="21"/>
                      <w:highlight w:val="none"/>
                    </w:rPr>
                  </w:pPr>
                  <w:r>
                    <w:rPr>
                      <w:rFonts w:hint="eastAsia"/>
                      <w:kern w:val="0"/>
                      <w:szCs w:val="21"/>
                      <w:highlight w:val="none"/>
                    </w:rPr>
                    <w:t>1</w:t>
                  </w:r>
                </w:p>
              </w:tc>
              <w:tc>
                <w:tcPr>
                  <w:tcW w:w="1064" w:type="pct"/>
                  <w:vAlign w:val="center"/>
                </w:tcPr>
                <w:p>
                  <w:pPr>
                    <w:adjustRightInd w:val="0"/>
                    <w:snapToGrid w:val="0"/>
                    <w:jc w:val="center"/>
                    <w:rPr>
                      <w:szCs w:val="21"/>
                      <w:highlight w:val="none"/>
                    </w:rPr>
                  </w:pPr>
                  <w:r>
                    <w:rPr>
                      <w:rFonts w:hint="eastAsia"/>
                      <w:szCs w:val="21"/>
                      <w:highlight w:val="none"/>
                    </w:rPr>
                    <w:t>浊度仪</w:t>
                  </w:r>
                </w:p>
              </w:tc>
              <w:tc>
                <w:tcPr>
                  <w:tcW w:w="382" w:type="pct"/>
                  <w:tcBorders>
                    <w:right w:val="single" w:sz="4" w:space="0" w:color="auto"/>
                  </w:tcBorders>
                  <w:vAlign w:val="center"/>
                </w:tcPr>
                <w:p>
                  <w:pPr>
                    <w:adjustRightInd w:val="0"/>
                    <w:snapToGrid w:val="0"/>
                    <w:jc w:val="center"/>
                    <w:rPr>
                      <w:szCs w:val="21"/>
                      <w:highlight w:val="none"/>
                    </w:rPr>
                  </w:pPr>
                  <w:r>
                    <w:rPr>
                      <w:rFonts w:hint="eastAsia"/>
                      <w:szCs w:val="21"/>
                      <w:lang w:val="en-US" w:eastAsia="zh-CN"/>
                      <w:highlight w:val="none"/>
                    </w:rPr>
                    <w:t>2</w:t>
                  </w:r>
                  <w:r>
                    <w:rPr>
                      <w:szCs w:val="21"/>
                      <w:highlight w:val="none"/>
                    </w:rPr>
                    <w:t>台</w:t>
                  </w:r>
                </w:p>
              </w:tc>
              <w:tc>
                <w:tcPr>
                  <w:tcW w:w="2673" w:type="pct"/>
                  <w:vAlign w:val="center"/>
                </w:tcPr>
                <w:p>
                  <w:pPr>
                    <w:adjustRightInd w:val="0"/>
                    <w:snapToGrid w:val="0"/>
                    <w:jc w:val="center"/>
                    <w:rPr>
                      <w:szCs w:val="21"/>
                      <w:highlight w:val="none"/>
                    </w:rPr>
                  </w:pPr>
                  <w:r>
                    <w:rPr>
                      <w:szCs w:val="21"/>
                      <w:highlight w:val="none"/>
                    </w:rPr>
                    <w:t>PM8202T+Bsens580</w:t>
                  </w:r>
                  <w:r>
                    <w:rPr>
                      <w:rFonts w:hint="eastAsia"/>
                      <w:szCs w:val="21"/>
                      <w:highlight w:val="none"/>
                    </w:rPr>
                    <w:t>；量程：</w:t>
                  </w:r>
                  <w:r>
                    <w:rPr>
                      <w:szCs w:val="21"/>
                      <w:highlight w:val="none"/>
                    </w:rPr>
                    <w:t>0~4000NTU</w:t>
                  </w:r>
                  <w:r>
                    <w:rPr>
                      <w:rFonts w:hint="eastAsia"/>
                      <w:szCs w:val="21"/>
                      <w:highlight w:val="none"/>
                    </w:rPr>
                    <w:t>， 精度：</w:t>
                  </w:r>
                  <w:r>
                    <w:rPr>
                      <w:szCs w:val="21"/>
                      <w:highlight w:val="none"/>
                    </w:rPr>
                    <w:t>±2F.S.</w:t>
                  </w:r>
                  <w:r>
                    <w:rPr>
                      <w:rFonts w:hint="eastAsia"/>
                      <w:szCs w:val="21"/>
                      <w:highlight w:val="none"/>
                    </w:rPr>
                    <w:t>电极材质：</w:t>
                  </w:r>
                  <w:r>
                    <w:rPr>
                      <w:szCs w:val="21"/>
                      <w:highlight w:val="none"/>
                    </w:rPr>
                    <w:t>PVC</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hint="eastAsia"/>
                      <w:kern w:val="0"/>
                      <w:szCs w:val="21"/>
                      <w:lang w:val="en-US" w:eastAsia="zh-CN"/>
                      <w:highlight w:val="none"/>
                    </w:rPr>
                  </w:pPr>
                  <w:r>
                    <w:rPr>
                      <w:rFonts w:hint="eastAsia"/>
                      <w:kern w:val="0"/>
                      <w:szCs w:val="21"/>
                      <w:lang w:val="en-US" w:eastAsia="zh-CN"/>
                      <w:highlight w:val="none"/>
                    </w:rPr>
                    <w:t>2</w:t>
                  </w:r>
                </w:p>
              </w:tc>
              <w:tc>
                <w:tcPr>
                  <w:tcW w:w="1064" w:type="pct"/>
                  <w:vAlign w:val="center"/>
                </w:tcPr>
                <w:p>
                  <w:pPr>
                    <w:adjustRightInd w:val="0"/>
                    <w:snapToGrid w:val="0"/>
                    <w:jc w:val="center"/>
                    <w:rPr>
                      <w:rFonts w:hint="eastAsia"/>
                      <w:szCs w:val="21"/>
                      <w:highlight w:val="none"/>
                    </w:rPr>
                  </w:pPr>
                  <w:r>
                    <w:rPr>
                      <w:szCs w:val="21"/>
                      <w:highlight w:val="none"/>
                    </w:rPr>
                    <w:t xml:space="preserve">PH/T </w:t>
                  </w:r>
                  <w:r>
                    <w:rPr>
                      <w:rFonts w:hint="eastAsia"/>
                      <w:szCs w:val="21"/>
                      <w:highlight w:val="none"/>
                    </w:rPr>
                    <w:t>检测仪</w:t>
                  </w:r>
                </w:p>
              </w:tc>
              <w:tc>
                <w:tcPr>
                  <w:tcW w:w="382" w:type="pct"/>
                  <w:tcBorders>
                    <w:right w:val="single" w:sz="4" w:space="0" w:color="auto"/>
                  </w:tcBorders>
                  <w:vAlign w:val="center"/>
                </w:tcPr>
                <w:p>
                  <w:pPr>
                    <w:adjustRightInd w:val="0"/>
                    <w:snapToGrid w:val="0"/>
                    <w:jc w:val="center"/>
                    <w:rPr>
                      <w:rFonts w:eastAsia="宋体"/>
                      <w:szCs w:val="21"/>
                      <w:lang w:val="en-US" w:eastAsia="zh-CN"/>
                      <w:highlight w:val="none"/>
                    </w:rPr>
                  </w:pPr>
                  <w:r>
                    <w:rPr>
                      <w:rFonts w:hint="eastAsia"/>
                      <w:szCs w:val="21"/>
                      <w:lang w:val="en-US" w:eastAsia="zh-CN"/>
                      <w:highlight w:val="none"/>
                    </w:rPr>
                    <w:t>1台</w:t>
                  </w:r>
                </w:p>
              </w:tc>
              <w:tc>
                <w:tcPr>
                  <w:tcW w:w="2673" w:type="pct"/>
                  <w:vAlign w:val="center"/>
                </w:tcPr>
                <w:p>
                  <w:pPr>
                    <w:adjustRightInd w:val="0"/>
                    <w:snapToGrid w:val="0"/>
                    <w:jc w:val="center"/>
                    <w:rPr>
                      <w:szCs w:val="21"/>
                      <w:highlight w:val="none"/>
                    </w:rPr>
                  </w:pPr>
                  <w:r>
                    <w:rPr>
                      <w:szCs w:val="21"/>
                      <w:highlight w:val="none"/>
                    </w:rPr>
                    <w:t>PM8202P+Bsens120T</w:t>
                  </w:r>
                  <w:r>
                    <w:rPr>
                      <w:rFonts w:hint="eastAsia"/>
                      <w:szCs w:val="21"/>
                      <w:highlight w:val="none"/>
                    </w:rPr>
                    <w:t>；量程：</w:t>
                  </w:r>
                  <w:r>
                    <w:rPr>
                      <w:szCs w:val="21"/>
                      <w:highlight w:val="none"/>
                    </w:rPr>
                    <w:t>0~14/-5~100</w:t>
                  </w:r>
                  <w:r>
                    <w:rPr>
                      <w:rFonts w:hint="eastAsia"/>
                      <w:szCs w:val="21"/>
                      <w:highlight w:val="none"/>
                    </w:rPr>
                    <w:t>℃</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hint="eastAsia"/>
                      <w:kern w:val="0"/>
                      <w:szCs w:val="21"/>
                      <w:lang w:val="en-US" w:eastAsia="zh-CN"/>
                      <w:highlight w:val="none"/>
                    </w:rPr>
                  </w:pPr>
                  <w:r>
                    <w:rPr>
                      <w:rFonts w:hint="eastAsia"/>
                      <w:kern w:val="0"/>
                      <w:szCs w:val="21"/>
                      <w:lang w:val="en-US" w:eastAsia="zh-CN"/>
                      <w:highlight w:val="none"/>
                    </w:rPr>
                    <w:t>3</w:t>
                  </w:r>
                </w:p>
              </w:tc>
              <w:tc>
                <w:tcPr>
                  <w:tcW w:w="1064" w:type="pct"/>
                  <w:vAlign w:val="center"/>
                </w:tcPr>
                <w:p>
                  <w:pPr>
                    <w:adjustRightInd w:val="0"/>
                    <w:snapToGrid w:val="0"/>
                    <w:jc w:val="center"/>
                    <w:rPr>
                      <w:rFonts w:hint="eastAsia"/>
                      <w:szCs w:val="21"/>
                      <w:highlight w:val="none"/>
                    </w:rPr>
                  </w:pPr>
                  <w:r>
                    <w:rPr>
                      <w:rFonts w:hint="eastAsia"/>
                      <w:szCs w:val="21"/>
                      <w:highlight w:val="none"/>
                    </w:rPr>
                    <w:t>一体式超声波液位计</w:t>
                  </w:r>
                </w:p>
              </w:tc>
              <w:tc>
                <w:tcPr>
                  <w:tcW w:w="382" w:type="pct"/>
                  <w:tcBorders>
                    <w:right w:val="single" w:sz="4" w:space="0" w:color="auto"/>
                  </w:tcBorders>
                  <w:vAlign w:val="center"/>
                </w:tcPr>
                <w:p>
                  <w:pPr>
                    <w:adjustRightInd w:val="0"/>
                    <w:snapToGrid w:val="0"/>
                    <w:jc w:val="center"/>
                    <w:rPr>
                      <w:szCs w:val="21"/>
                      <w:highlight w:val="none"/>
                    </w:rPr>
                  </w:pPr>
                  <w:r>
                    <w:rPr>
                      <w:rFonts w:hint="eastAsia"/>
                      <w:szCs w:val="21"/>
                      <w:lang w:val="en-US" w:eastAsia="zh-CN"/>
                      <w:highlight w:val="none"/>
                    </w:rPr>
                    <w:t>1台</w:t>
                  </w:r>
                </w:p>
              </w:tc>
              <w:tc>
                <w:tcPr>
                  <w:tcW w:w="2673" w:type="pct"/>
                  <w:vAlign w:val="center"/>
                </w:tcPr>
                <w:p>
                  <w:pPr>
                    <w:adjustRightInd w:val="0"/>
                    <w:snapToGrid w:val="0"/>
                    <w:jc w:val="center"/>
                    <w:rPr>
                      <w:szCs w:val="21"/>
                      <w:highlight w:val="none"/>
                    </w:rPr>
                  </w:pPr>
                  <w:r>
                    <w:rPr>
                      <w:szCs w:val="21"/>
                      <w:highlight w:val="none"/>
                    </w:rPr>
                    <w:t>PROLEV200-2plus</w:t>
                  </w:r>
                  <w:r>
                    <w:rPr>
                      <w:rFonts w:hint="eastAsia"/>
                      <w:szCs w:val="21"/>
                      <w:highlight w:val="none"/>
                    </w:rPr>
                    <w:t>，量程</w:t>
                  </w:r>
                  <w:r>
                    <w:rPr>
                      <w:rFonts w:hint="eastAsia"/>
                      <w:szCs w:val="21"/>
                      <w:lang w:eastAsia="zh-CN"/>
                      <w:highlight w:val="none"/>
                    </w:rPr>
                    <w:t>：</w:t>
                  </w:r>
                  <w:r>
                    <w:rPr>
                      <w:szCs w:val="21"/>
                      <w:highlight w:val="none"/>
                    </w:rPr>
                    <w:t>0~10m</w:t>
                  </w:r>
                  <w:r>
                    <w:rPr>
                      <w:rFonts w:hint="eastAsia"/>
                      <w:szCs w:val="21"/>
                      <w:highlight w:val="none"/>
                    </w:rPr>
                    <w:t xml:space="preserve">，电源 </w:t>
                  </w:r>
                  <w:r>
                    <w:rPr>
                      <w:szCs w:val="21"/>
                      <w:highlight w:val="none"/>
                    </w:rPr>
                    <w:t>24V DC</w:t>
                  </w:r>
                  <w:r>
                    <w:rPr>
                      <w:rFonts w:hint="eastAsia"/>
                      <w:szCs w:val="21"/>
                      <w:highlight w:val="none"/>
                    </w:rPr>
                    <w:t>，精确度：</w:t>
                  </w:r>
                  <w:r>
                    <w:rPr>
                      <w:szCs w:val="21"/>
                      <w:highlight w:val="none"/>
                    </w:rPr>
                    <w:t>±0.2F.S.</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hint="eastAsia"/>
                      <w:kern w:val="0"/>
                      <w:szCs w:val="21"/>
                      <w:lang w:val="en-US" w:eastAsia="zh-CN"/>
                      <w:highlight w:val="none"/>
                    </w:rPr>
                  </w:pPr>
                  <w:r>
                    <w:rPr>
                      <w:rFonts w:hint="eastAsia"/>
                      <w:kern w:val="0"/>
                      <w:szCs w:val="21"/>
                      <w:lang w:val="en-US" w:eastAsia="zh-CN"/>
                      <w:highlight w:val="none"/>
                    </w:rPr>
                    <w:t>4</w:t>
                  </w:r>
                </w:p>
              </w:tc>
              <w:tc>
                <w:tcPr>
                  <w:tcW w:w="1064" w:type="pct"/>
                  <w:vAlign w:val="center"/>
                </w:tcPr>
                <w:p>
                  <w:pPr>
                    <w:adjustRightInd w:val="0"/>
                    <w:snapToGrid w:val="0"/>
                    <w:jc w:val="center"/>
                    <w:rPr>
                      <w:rFonts w:hint="eastAsia"/>
                      <w:szCs w:val="21"/>
                      <w:highlight w:val="none"/>
                    </w:rPr>
                  </w:pPr>
                  <w:r>
                    <w:rPr>
                      <w:rFonts w:hint="eastAsia"/>
                      <w:szCs w:val="21"/>
                      <w:highlight w:val="none"/>
                    </w:rPr>
                    <w:t>电导率仪</w:t>
                  </w:r>
                </w:p>
              </w:tc>
              <w:tc>
                <w:tcPr>
                  <w:tcW w:w="382" w:type="pct"/>
                  <w:tcBorders>
                    <w:right w:val="single" w:sz="4" w:space="0" w:color="auto"/>
                  </w:tcBorders>
                  <w:vAlign w:val="center"/>
                </w:tcPr>
                <w:p>
                  <w:pPr>
                    <w:adjustRightInd w:val="0"/>
                    <w:snapToGrid w:val="0"/>
                    <w:jc w:val="center"/>
                    <w:rPr>
                      <w:szCs w:val="21"/>
                      <w:highlight w:val="none"/>
                    </w:rPr>
                  </w:pPr>
                  <w:r>
                    <w:rPr>
                      <w:rFonts w:hint="eastAsia"/>
                      <w:szCs w:val="21"/>
                      <w:lang w:val="en-US" w:eastAsia="zh-CN"/>
                      <w:highlight w:val="none"/>
                    </w:rPr>
                    <w:t>1台</w:t>
                  </w:r>
                </w:p>
              </w:tc>
              <w:tc>
                <w:tcPr>
                  <w:tcW w:w="2673" w:type="pct"/>
                  <w:vAlign w:val="center"/>
                </w:tcPr>
                <w:p>
                  <w:pPr>
                    <w:adjustRightInd w:val="0"/>
                    <w:snapToGrid w:val="0"/>
                    <w:jc w:val="center"/>
                    <w:rPr>
                      <w:szCs w:val="21"/>
                      <w:highlight w:val="none"/>
                    </w:rPr>
                  </w:pPr>
                  <w:r>
                    <w:rPr>
                      <w:szCs w:val="21"/>
                      <w:highlight w:val="none"/>
                    </w:rPr>
                    <w:t>PM8202C+Bsens340</w:t>
                  </w:r>
                  <w:r>
                    <w:rPr>
                      <w:rFonts w:hint="eastAsia"/>
                      <w:szCs w:val="21"/>
                      <w:highlight w:val="none"/>
                    </w:rPr>
                    <w:t>，</w:t>
                  </w:r>
                  <w:r>
                    <w:rPr>
                      <w:szCs w:val="21"/>
                      <w:highlight w:val="none"/>
                    </w:rPr>
                    <w:t>0.00~200mS/cm</w:t>
                  </w:r>
                  <w:r>
                    <w:rPr>
                      <w:rFonts w:hint="eastAsia"/>
                      <w:szCs w:val="21"/>
                      <w:highlight w:val="none"/>
                    </w:rPr>
                    <w:t>， 精度：</w:t>
                  </w:r>
                  <w:r>
                    <w:rPr>
                      <w:szCs w:val="21"/>
                      <w:highlight w:val="none"/>
                    </w:rPr>
                    <w:t>±1F.S</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hint="eastAsia"/>
                      <w:kern w:val="0"/>
                      <w:szCs w:val="21"/>
                      <w:lang w:val="en-US" w:eastAsia="zh-CN"/>
                      <w:highlight w:val="none"/>
                    </w:rPr>
                  </w:pPr>
                  <w:r>
                    <w:rPr>
                      <w:rFonts w:hint="eastAsia"/>
                      <w:kern w:val="0"/>
                      <w:szCs w:val="21"/>
                      <w:lang w:val="en-US" w:eastAsia="zh-CN"/>
                      <w:highlight w:val="none"/>
                    </w:rPr>
                    <w:t>5</w:t>
                  </w:r>
                </w:p>
              </w:tc>
              <w:tc>
                <w:tcPr>
                  <w:tcW w:w="1064" w:type="pct"/>
                  <w:vAlign w:val="center"/>
                </w:tcPr>
                <w:p>
                  <w:pPr>
                    <w:adjustRightInd w:val="0"/>
                    <w:snapToGrid w:val="0"/>
                    <w:jc w:val="center"/>
                    <w:rPr>
                      <w:rFonts w:hint="eastAsia"/>
                      <w:szCs w:val="21"/>
                      <w:highlight w:val="none"/>
                    </w:rPr>
                  </w:pPr>
                  <w:r>
                    <w:rPr>
                      <w:rFonts w:hint="eastAsia"/>
                      <w:szCs w:val="21"/>
                      <w:highlight w:val="none"/>
                    </w:rPr>
                    <w:t>仪表箱</w:t>
                  </w:r>
                </w:p>
              </w:tc>
              <w:tc>
                <w:tcPr>
                  <w:tcW w:w="382" w:type="pct"/>
                  <w:tcBorders>
                    <w:right w:val="single" w:sz="4" w:space="0" w:color="auto"/>
                  </w:tcBorders>
                  <w:vAlign w:val="center"/>
                </w:tcPr>
                <w:p>
                  <w:pPr>
                    <w:adjustRightInd w:val="0"/>
                    <w:snapToGrid w:val="0"/>
                    <w:jc w:val="center"/>
                    <w:rPr>
                      <w:szCs w:val="21"/>
                      <w:highlight w:val="none"/>
                    </w:rPr>
                  </w:pPr>
                  <w:r>
                    <w:rPr>
                      <w:rFonts w:hint="eastAsia"/>
                      <w:szCs w:val="21"/>
                      <w:lang w:val="en-US" w:eastAsia="zh-CN"/>
                      <w:highlight w:val="none"/>
                    </w:rPr>
                    <w:t>1台</w:t>
                  </w:r>
                </w:p>
              </w:tc>
              <w:tc>
                <w:tcPr>
                  <w:tcW w:w="2673" w:type="pct"/>
                  <w:vAlign w:val="center"/>
                </w:tcPr>
                <w:p>
                  <w:pPr>
                    <w:adjustRightInd w:val="0"/>
                    <w:snapToGrid w:val="0"/>
                    <w:jc w:val="center"/>
                    <w:rPr>
                      <w:szCs w:val="21"/>
                      <w:highlight w:val="none"/>
                    </w:rPr>
                  </w:pPr>
                  <w:r>
                    <w:rPr>
                      <w:szCs w:val="21"/>
                      <w:highlight w:val="none"/>
                    </w:rPr>
                    <w:t>WXHXD=600X600X300mm</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hint="eastAsia"/>
                      <w:kern w:val="0"/>
                      <w:szCs w:val="21"/>
                      <w:lang w:val="en-US" w:eastAsia="zh-CN"/>
                      <w:highlight w:val="none"/>
                    </w:rPr>
                  </w:pPr>
                  <w:r>
                    <w:rPr>
                      <w:rFonts w:hint="eastAsia"/>
                      <w:kern w:val="0"/>
                      <w:szCs w:val="21"/>
                      <w:lang w:val="en-US" w:eastAsia="zh-CN"/>
                      <w:highlight w:val="none"/>
                    </w:rPr>
                    <w:t>6</w:t>
                  </w:r>
                </w:p>
              </w:tc>
              <w:tc>
                <w:tcPr>
                  <w:tcW w:w="1064" w:type="pct"/>
                  <w:vAlign w:val="center"/>
                </w:tcPr>
                <w:p>
                  <w:pPr>
                    <w:adjustRightInd w:val="0"/>
                    <w:snapToGrid w:val="0"/>
                    <w:jc w:val="center"/>
                    <w:rPr>
                      <w:rFonts w:hint="eastAsia"/>
                      <w:szCs w:val="21"/>
                      <w:highlight w:val="none"/>
                    </w:rPr>
                  </w:pPr>
                  <w:r>
                    <w:rPr>
                      <w:rFonts w:hint="eastAsia"/>
                      <w:szCs w:val="21"/>
                      <w:highlight w:val="none"/>
                    </w:rPr>
                    <w:t>氨氮监测仪</w:t>
                  </w:r>
                </w:p>
              </w:tc>
              <w:tc>
                <w:tcPr>
                  <w:tcW w:w="382" w:type="pct"/>
                  <w:tcBorders>
                    <w:right w:val="single" w:sz="4" w:space="0" w:color="auto"/>
                  </w:tcBorders>
                  <w:vAlign w:val="center"/>
                </w:tcPr>
                <w:p>
                  <w:pPr>
                    <w:adjustRightInd w:val="0"/>
                    <w:snapToGrid w:val="0"/>
                    <w:jc w:val="center"/>
                    <w:rPr>
                      <w:szCs w:val="21"/>
                      <w:highlight w:val="none"/>
                    </w:rPr>
                  </w:pPr>
                  <w:r>
                    <w:rPr>
                      <w:rFonts w:hint="eastAsia"/>
                      <w:szCs w:val="21"/>
                      <w:lang w:val="en-US" w:eastAsia="zh-CN"/>
                      <w:highlight w:val="none"/>
                    </w:rPr>
                    <w:t>1台</w:t>
                  </w:r>
                </w:p>
              </w:tc>
              <w:tc>
                <w:tcPr>
                  <w:tcW w:w="2673" w:type="pct"/>
                  <w:vAlign w:val="center"/>
                </w:tcPr>
                <w:p>
                  <w:pPr>
                    <w:adjustRightInd w:val="0"/>
                    <w:snapToGrid w:val="0"/>
                    <w:jc w:val="center"/>
                    <w:rPr>
                      <w:szCs w:val="21"/>
                      <w:highlight w:val="none"/>
                    </w:rPr>
                  </w:pPr>
                  <w:r>
                    <w:rPr>
                      <w:szCs w:val="21"/>
                      <w:highlight w:val="none"/>
                    </w:rPr>
                    <w:t>PM8202I+Bsens730</w:t>
                  </w:r>
                  <w:r>
                    <w:rPr>
                      <w:rFonts w:hint="eastAsia"/>
                      <w:szCs w:val="21"/>
                      <w:highlight w:val="none"/>
                    </w:rPr>
                    <w:t>，量程：</w:t>
                  </w:r>
                  <w:r>
                    <w:rPr>
                      <w:szCs w:val="21"/>
                      <w:highlight w:val="none"/>
                    </w:rPr>
                    <w:t>0~2.0mg/L</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hint="eastAsia"/>
                      <w:kern w:val="0"/>
                      <w:szCs w:val="21"/>
                      <w:lang w:val="en-US" w:eastAsia="zh-CN"/>
                      <w:highlight w:val="none"/>
                    </w:rPr>
                  </w:pPr>
                  <w:r>
                    <w:rPr>
                      <w:rFonts w:hint="eastAsia"/>
                      <w:b/>
                      <w:bCs/>
                      <w:kern w:val="0"/>
                      <w:szCs w:val="21"/>
                      <w:highlight w:val="none"/>
                    </w:rPr>
                    <w:t>二</w:t>
                  </w:r>
                </w:p>
              </w:tc>
              <w:tc>
                <w:tcPr>
                  <w:tcW w:w="4632" w:type="pct"/>
                  <w:gridSpan w:val="4"/>
                  <w:vAlign w:val="center"/>
                </w:tcPr>
                <w:p>
                  <w:pPr>
                    <w:adjustRightInd w:val="0"/>
                    <w:snapToGrid w:val="0"/>
                    <w:jc w:val="center"/>
                    <w:rPr>
                      <w:rFonts w:hint="eastAsia"/>
                      <w:szCs w:val="21"/>
                      <w:highlight w:val="none"/>
                    </w:rPr>
                  </w:pPr>
                  <w:r>
                    <w:rPr>
                      <w:rFonts w:hint="eastAsia"/>
                      <w:b/>
                      <w:bCs/>
                      <w:szCs w:val="21"/>
                      <w:highlight w:val="none"/>
                    </w:rPr>
                    <w:t>管式静态混合器</w:t>
                  </w:r>
                </w:p>
              </w:tc>
            </w:tr>
            <w:tr>
              <w:trPr>
                <w:trHeight w:val="340"/>
              </w:trPr>
              <w:tc>
                <w:tcPr>
                  <w:tcW w:w="367" w:type="pct"/>
                  <w:vAlign w:val="center"/>
                </w:tcPr>
                <w:p>
                  <w:pPr>
                    <w:adjustRightInd w:val="0"/>
                    <w:snapToGrid w:val="0"/>
                    <w:jc w:val="center"/>
                    <w:rPr>
                      <w:kern w:val="0"/>
                      <w:szCs w:val="21"/>
                      <w:lang w:val="en-US" w:eastAsia="zh-CN"/>
                      <w:highlight w:val="none"/>
                    </w:rPr>
                  </w:pPr>
                  <w:r>
                    <w:rPr>
                      <w:rFonts w:hint="eastAsia"/>
                      <w:kern w:val="0"/>
                      <w:szCs w:val="21"/>
                      <w:lang w:val="en-US" w:eastAsia="zh-CN"/>
                      <w:highlight w:val="none"/>
                    </w:rPr>
                    <w:t>7</w:t>
                  </w:r>
                </w:p>
              </w:tc>
              <w:tc>
                <w:tcPr>
                  <w:tcW w:w="1064" w:type="pct"/>
                  <w:vAlign w:val="center"/>
                </w:tcPr>
                <w:p>
                  <w:pPr>
                    <w:adjustRightInd w:val="0"/>
                    <w:snapToGrid w:val="0"/>
                    <w:jc w:val="center"/>
                    <w:rPr>
                      <w:rFonts w:ascii="仿宋_GB2312" w:eastAsia="仿宋_GB2312" w:hAnsi="仿宋_GB2312" w:hint="eastAsia"/>
                      <w:sz w:val="21"/>
                      <w:szCs w:val="24"/>
                      <w:highlight w:val="none"/>
                    </w:rPr>
                  </w:pPr>
                  <w:r>
                    <w:rPr>
                      <w:rFonts w:hint="eastAsia"/>
                      <w:szCs w:val="21"/>
                      <w:highlight w:val="none"/>
                    </w:rPr>
                    <w:t>管式静态混合器</w:t>
                  </w:r>
                </w:p>
              </w:tc>
              <w:tc>
                <w:tcPr>
                  <w:tcW w:w="382" w:type="pct"/>
                  <w:tcBorders>
                    <w:right w:val="single" w:sz="4" w:space="0" w:color="auto"/>
                  </w:tcBorders>
                  <w:vAlign w:val="center"/>
                </w:tcPr>
                <w:p>
                  <w:pPr>
                    <w:adjustRightInd w:val="0"/>
                    <w:snapToGrid w:val="0"/>
                    <w:jc w:val="center"/>
                    <w:rPr>
                      <w:rFonts w:hint="eastAsia"/>
                      <w:szCs w:val="21"/>
                      <w:lang w:val="en-US" w:eastAsia="zh-CN"/>
                      <w:highlight w:val="none"/>
                    </w:rPr>
                  </w:pPr>
                  <w:r>
                    <w:rPr>
                      <w:szCs w:val="21"/>
                      <w:highlight w:val="none"/>
                    </w:rPr>
                    <w:t>1台</w:t>
                  </w:r>
                </w:p>
              </w:tc>
              <w:tc>
                <w:tcPr>
                  <w:tcW w:w="2673" w:type="pct"/>
                  <w:vAlign w:val="center"/>
                </w:tcPr>
                <w:p>
                  <w:pPr>
                    <w:adjustRightInd w:val="0"/>
                    <w:snapToGrid w:val="0"/>
                    <w:jc w:val="center"/>
                    <w:rPr>
                      <w:sz w:val="21"/>
                      <w:szCs w:val="24"/>
                      <w:highlight w:val="none"/>
                    </w:rPr>
                  </w:pPr>
                  <w:r>
                    <w:rPr>
                      <w:szCs w:val="21"/>
                      <w:highlight w:val="none"/>
                    </w:rPr>
                    <w:t>DN</w:t>
                  </w:r>
                  <w:r>
                    <w:rPr>
                      <w:rFonts w:hint="eastAsia"/>
                      <w:szCs w:val="21"/>
                      <w:lang w:val="en-US" w:eastAsia="zh-CN"/>
                      <w:highlight w:val="none"/>
                    </w:rPr>
                    <w:t>4</w:t>
                  </w:r>
                  <w:r>
                    <w:rPr>
                      <w:szCs w:val="21"/>
                      <w:highlight w:val="none"/>
                    </w:rPr>
                    <w:t>00</w:t>
                  </w:r>
                  <w:r>
                    <w:rPr>
                      <w:rFonts w:hint="eastAsia"/>
                      <w:szCs w:val="21"/>
                      <w:highlight w:val="none"/>
                    </w:rPr>
                    <w:t>管式静态混合器</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hint="eastAsia"/>
                      <w:b/>
                      <w:bCs/>
                      <w:kern w:val="0"/>
                      <w:szCs w:val="21"/>
                      <w:lang w:eastAsia="zh-CN"/>
                      <w:highlight w:val="none"/>
                    </w:rPr>
                  </w:pPr>
                  <w:r>
                    <w:rPr>
                      <w:rFonts w:hint="eastAsia"/>
                      <w:b/>
                      <w:bCs/>
                      <w:kern w:val="0"/>
                      <w:szCs w:val="21"/>
                      <w:lang w:val="en-US" w:eastAsia="zh-CN"/>
                      <w:highlight w:val="none"/>
                    </w:rPr>
                    <w:t>三</w:t>
                  </w:r>
                </w:p>
              </w:tc>
              <w:tc>
                <w:tcPr>
                  <w:tcW w:w="4632" w:type="pct"/>
                  <w:gridSpan w:val="4"/>
                  <w:vAlign w:val="center"/>
                </w:tcPr>
                <w:p>
                  <w:pPr>
                    <w:adjustRightInd w:val="0"/>
                    <w:snapToGrid w:val="0"/>
                    <w:jc w:val="center"/>
                    <w:rPr>
                      <w:b/>
                      <w:bCs/>
                      <w:szCs w:val="21"/>
                      <w:highlight w:val="none"/>
                    </w:rPr>
                  </w:pPr>
                  <w:r>
                    <w:rPr>
                      <w:rFonts w:hint="eastAsia"/>
                      <w:b/>
                      <w:bCs/>
                      <w:szCs w:val="21"/>
                      <w:highlight w:val="none"/>
                    </w:rPr>
                    <w:t>网格絮凝池</w:t>
                  </w:r>
                </w:p>
              </w:tc>
            </w:tr>
            <w:tr>
              <w:trPr>
                <w:trHeight w:val="340"/>
              </w:trPr>
              <w:tc>
                <w:tcPr>
                  <w:tcW w:w="367" w:type="pct"/>
                  <w:vAlign w:val="center"/>
                </w:tcPr>
                <w:p>
                  <w:pPr>
                    <w:adjustRightInd w:val="0"/>
                    <w:snapToGrid w:val="0"/>
                    <w:jc w:val="center"/>
                    <w:rPr>
                      <w:rFonts w:eastAsia="宋体" w:hint="eastAsia"/>
                      <w:kern w:val="0"/>
                      <w:szCs w:val="21"/>
                      <w:lang w:eastAsia="zh-CN"/>
                      <w:highlight w:val="none"/>
                    </w:rPr>
                  </w:pPr>
                  <w:r>
                    <w:rPr>
                      <w:rFonts w:hint="eastAsia"/>
                      <w:kern w:val="0"/>
                      <w:szCs w:val="21"/>
                      <w:lang w:val="en-US" w:eastAsia="zh-CN"/>
                      <w:highlight w:val="none"/>
                    </w:rPr>
                    <w:t>8</w:t>
                  </w:r>
                </w:p>
              </w:tc>
              <w:tc>
                <w:tcPr>
                  <w:tcW w:w="1064" w:type="pct"/>
                  <w:vAlign w:val="center"/>
                </w:tcPr>
                <w:p>
                  <w:pPr>
                    <w:adjustRightInd w:val="0"/>
                    <w:snapToGrid w:val="0"/>
                    <w:jc w:val="center"/>
                    <w:rPr>
                      <w:kern w:val="0"/>
                      <w:szCs w:val="21"/>
                      <w:highlight w:val="none"/>
                    </w:rPr>
                  </w:pPr>
                  <w:r>
                    <w:rPr>
                      <w:kern w:val="0"/>
                      <w:szCs w:val="21"/>
                      <w:highlight w:val="none"/>
                    </w:rPr>
                    <w:t>机械混合絮凝池</w:t>
                  </w:r>
                </w:p>
              </w:tc>
              <w:tc>
                <w:tcPr>
                  <w:tcW w:w="382" w:type="pct"/>
                  <w:tcBorders>
                    <w:right w:val="single" w:sz="4" w:space="0" w:color="auto"/>
                  </w:tcBorders>
                  <w:vAlign w:val="center"/>
                </w:tcPr>
                <w:p>
                  <w:pPr>
                    <w:adjustRightInd w:val="0"/>
                    <w:snapToGrid w:val="0"/>
                    <w:jc w:val="center"/>
                    <w:rPr>
                      <w:kern w:val="0"/>
                      <w:szCs w:val="21"/>
                      <w:highlight w:val="none"/>
                    </w:rPr>
                  </w:pPr>
                  <w:r>
                    <w:rPr>
                      <w:rFonts w:hint="eastAsia"/>
                      <w:szCs w:val="21"/>
                      <w:lang w:val="en-US" w:eastAsia="zh-CN"/>
                      <w:highlight w:val="none"/>
                    </w:rPr>
                    <w:t>1</w:t>
                  </w:r>
                  <w:r>
                    <w:rPr>
                      <w:szCs w:val="21"/>
                      <w:highlight w:val="none"/>
                    </w:rPr>
                    <w:t>座</w:t>
                  </w:r>
                </w:p>
              </w:tc>
              <w:tc>
                <w:tcPr>
                  <w:tcW w:w="2673" w:type="pct"/>
                  <w:vAlign w:val="center"/>
                </w:tcPr>
                <w:p>
                  <w:pPr>
                    <w:adjustRightInd w:val="0"/>
                    <w:snapToGrid w:val="0"/>
                    <w:jc w:val="center"/>
                    <w:rPr>
                      <w:kern w:val="0"/>
                      <w:szCs w:val="21"/>
                      <w:highlight w:val="none"/>
                    </w:rPr>
                  </w:pPr>
                  <w:r>
                    <w:rPr>
                      <w:rFonts w:hint="eastAsia"/>
                      <w:kern w:val="0"/>
                      <w:szCs w:val="21"/>
                      <w:lang w:val="en-US" w:eastAsia="zh-CN"/>
                      <w:highlight w:val="none"/>
                    </w:rPr>
                    <w:t>一座分2组，</w:t>
                  </w:r>
                  <w:r>
                    <w:rPr>
                      <w:kern w:val="0"/>
                      <w:szCs w:val="21"/>
                      <w:highlight w:val="none"/>
                    </w:rPr>
                    <w:t>规模为</w:t>
                  </w:r>
                  <w:r>
                    <w:rPr>
                      <w:rFonts w:hint="eastAsia"/>
                      <w:kern w:val="0"/>
                      <w:szCs w:val="21"/>
                      <w:lang w:val="en-US" w:eastAsia="zh-CN"/>
                      <w:highlight w:val="none"/>
                    </w:rPr>
                    <w:t>1.0</w:t>
                  </w:r>
                  <w:r>
                    <w:rPr>
                      <w:kern w:val="0"/>
                      <w:szCs w:val="21"/>
                      <w:highlight w:val="none"/>
                    </w:rPr>
                    <w:t>万m</w:t>
                  </w:r>
                  <w:r>
                    <w:rPr>
                      <w:kern w:val="0"/>
                      <w:szCs w:val="21"/>
                      <w:vertAlign w:val="superscript"/>
                      <w:highlight w:val="none"/>
                    </w:rPr>
                    <w:t>3</w:t>
                  </w:r>
                  <w:r>
                    <w:rPr>
                      <w:kern w:val="0"/>
                      <w:szCs w:val="21"/>
                      <w:highlight w:val="none"/>
                    </w:rPr>
                    <w:t>/d，</w:t>
                  </w:r>
                  <w:r>
                    <w:rPr>
                      <w:rFonts w:hint="eastAsia"/>
                      <w:kern w:val="0"/>
                      <w:szCs w:val="21"/>
                      <w:lang w:val="en-US" w:eastAsia="zh-CN"/>
                      <w:highlight w:val="none"/>
                    </w:rPr>
                    <w:t>单组</w:t>
                  </w:r>
                  <w:r>
                    <w:rPr>
                      <w:kern w:val="0"/>
                      <w:szCs w:val="21"/>
                      <w:highlight w:val="none"/>
                    </w:rPr>
                    <w:t>絮凝池</w:t>
                  </w:r>
                  <w:r>
                    <w:rPr>
                      <w:rFonts w:hint="eastAsia"/>
                      <w:kern w:val="0"/>
                      <w:szCs w:val="21"/>
                      <w:lang w:val="en-US" w:eastAsia="zh-CN"/>
                      <w:highlight w:val="none"/>
                    </w:rPr>
                    <w:t>尺寸为5.8</w:t>
                  </w:r>
                  <w:r>
                    <w:rPr>
                      <w:kern w:val="0"/>
                      <w:szCs w:val="21"/>
                      <w:highlight w:val="none"/>
                    </w:rPr>
                    <w:t>×</w:t>
                  </w:r>
                  <w:r>
                    <w:rPr>
                      <w:rFonts w:hint="eastAsia"/>
                      <w:kern w:val="0"/>
                      <w:szCs w:val="21"/>
                      <w:lang w:val="en-US" w:eastAsia="zh-CN"/>
                      <w:highlight w:val="none"/>
                    </w:rPr>
                    <w:t>2.5</w:t>
                  </w:r>
                  <w:r>
                    <w:rPr>
                      <w:kern w:val="0"/>
                      <w:szCs w:val="21"/>
                      <w:highlight w:val="none"/>
                    </w:rPr>
                    <w:t>×</w:t>
                  </w:r>
                  <w:r>
                    <w:rPr>
                      <w:rFonts w:hint="eastAsia"/>
                      <w:kern w:val="0"/>
                      <w:szCs w:val="21"/>
                      <w:lang w:val="en-US" w:eastAsia="zh-CN"/>
                      <w:highlight w:val="none"/>
                    </w:rPr>
                    <w:t>4.8m（水深4.5m），</w:t>
                  </w:r>
                  <w:r>
                    <w:rPr>
                      <w:kern w:val="0"/>
                      <w:szCs w:val="21"/>
                      <w:highlight w:val="none"/>
                    </w:rPr>
                    <w:t>每</w:t>
                  </w:r>
                  <w:r>
                    <w:rPr>
                      <w:rFonts w:hint="eastAsia"/>
                      <w:kern w:val="0"/>
                      <w:szCs w:val="21"/>
                      <w:lang w:val="en-US" w:eastAsia="zh-CN"/>
                      <w:highlight w:val="none"/>
                    </w:rPr>
                    <w:t>组</w:t>
                  </w:r>
                  <w:r>
                    <w:rPr>
                      <w:kern w:val="0"/>
                      <w:szCs w:val="21"/>
                      <w:highlight w:val="none"/>
                    </w:rPr>
                    <w:t>采用24格竖井</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kern w:val="0"/>
                      <w:szCs w:val="21"/>
                      <w:lang w:val="en-US" w:eastAsia="zh-CN"/>
                      <w:highlight w:val="none"/>
                    </w:rPr>
                  </w:pPr>
                  <w:r>
                    <w:rPr>
                      <w:rFonts w:hint="eastAsia"/>
                      <w:kern w:val="0"/>
                      <w:szCs w:val="21"/>
                      <w:lang w:val="en-US" w:eastAsia="zh-CN"/>
                      <w:highlight w:val="none"/>
                    </w:rPr>
                    <w:t>四</w:t>
                  </w:r>
                </w:p>
              </w:tc>
              <w:tc>
                <w:tcPr>
                  <w:tcW w:w="4632" w:type="pct"/>
                  <w:gridSpan w:val="4"/>
                  <w:vAlign w:val="center"/>
                </w:tcPr>
                <w:p>
                  <w:pPr>
                    <w:adjustRightInd w:val="0"/>
                    <w:snapToGrid w:val="0"/>
                    <w:jc w:val="center"/>
                    <w:rPr>
                      <w:rFonts w:hint="eastAsia"/>
                      <w:szCs w:val="21"/>
                      <w:highlight w:val="none"/>
                    </w:rPr>
                  </w:pPr>
                  <w:r>
                    <w:rPr>
                      <w:rFonts w:hint="eastAsia"/>
                      <w:b/>
                      <w:bCs/>
                      <w:szCs w:val="21"/>
                      <w:highlight w:val="none"/>
                    </w:rPr>
                    <w:t>斜管沉淀池</w:t>
                  </w:r>
                </w:p>
              </w:tc>
            </w:tr>
            <w:tr>
              <w:trPr>
                <w:trHeight w:val="340"/>
              </w:trPr>
              <w:tc>
                <w:tcPr>
                  <w:tcW w:w="367" w:type="pct"/>
                  <w:vAlign w:val="center"/>
                </w:tcPr>
                <w:p>
                  <w:pPr>
                    <w:adjustRightInd w:val="0"/>
                    <w:snapToGrid w:val="0"/>
                    <w:jc w:val="center"/>
                    <w:rPr>
                      <w:kern w:val="0"/>
                      <w:szCs w:val="21"/>
                      <w:lang w:val="en-US" w:eastAsia="zh-CN"/>
                      <w:highlight w:val="none"/>
                    </w:rPr>
                  </w:pPr>
                  <w:r>
                    <w:rPr>
                      <w:rFonts w:hint="eastAsia"/>
                      <w:kern w:val="0"/>
                      <w:szCs w:val="21"/>
                      <w:lang w:val="en-US" w:eastAsia="zh-CN"/>
                      <w:highlight w:val="none"/>
                    </w:rPr>
                    <w:t>9</w:t>
                  </w:r>
                </w:p>
              </w:tc>
              <w:tc>
                <w:tcPr>
                  <w:tcW w:w="1064" w:type="pct"/>
                  <w:vAlign w:val="center"/>
                </w:tcPr>
                <w:p>
                  <w:pPr>
                    <w:adjustRightInd w:val="0"/>
                    <w:snapToGrid w:val="0"/>
                    <w:jc w:val="center"/>
                    <w:rPr>
                      <w:rFonts w:hint="eastAsia"/>
                      <w:kern w:val="0"/>
                      <w:szCs w:val="21"/>
                      <w:highlight w:val="none"/>
                    </w:rPr>
                  </w:pPr>
                  <w:r>
                    <w:rPr>
                      <w:rFonts w:hint="eastAsia"/>
                      <w:kern w:val="0"/>
                      <w:szCs w:val="21"/>
                      <w:highlight w:val="none"/>
                    </w:rPr>
                    <w:t>斜管沉淀池</w:t>
                  </w:r>
                </w:p>
              </w:tc>
              <w:tc>
                <w:tcPr>
                  <w:tcW w:w="382" w:type="pct"/>
                  <w:tcBorders>
                    <w:right w:val="single" w:sz="4" w:space="0" w:color="auto"/>
                  </w:tcBorders>
                  <w:vAlign w:val="center"/>
                </w:tcPr>
                <w:p>
                  <w:pPr>
                    <w:adjustRightInd w:val="0"/>
                    <w:snapToGrid w:val="0"/>
                    <w:jc w:val="center"/>
                    <w:rPr>
                      <w:rFonts w:hint="eastAsia"/>
                      <w:kern w:val="0"/>
                      <w:szCs w:val="21"/>
                      <w:highlight w:val="none"/>
                    </w:rPr>
                  </w:pPr>
                  <w:r>
                    <w:rPr>
                      <w:rFonts w:hint="eastAsia"/>
                      <w:szCs w:val="21"/>
                      <w:lang w:val="en-US" w:eastAsia="zh-CN"/>
                      <w:highlight w:val="none"/>
                    </w:rPr>
                    <w:t>1</w:t>
                  </w:r>
                  <w:r>
                    <w:rPr>
                      <w:szCs w:val="21"/>
                      <w:highlight w:val="none"/>
                    </w:rPr>
                    <w:t>座</w:t>
                  </w:r>
                </w:p>
              </w:tc>
              <w:tc>
                <w:tcPr>
                  <w:tcW w:w="2673"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一座分2组，</w:t>
                  </w:r>
                  <w:r>
                    <w:rPr>
                      <w:kern w:val="0"/>
                      <w:szCs w:val="21"/>
                      <w:highlight w:val="none"/>
                    </w:rPr>
                    <w:t>规模为</w:t>
                  </w:r>
                  <w:r>
                    <w:rPr>
                      <w:rFonts w:hint="eastAsia"/>
                      <w:kern w:val="0"/>
                      <w:szCs w:val="21"/>
                      <w:lang w:val="en-US" w:eastAsia="zh-CN"/>
                      <w:highlight w:val="none"/>
                    </w:rPr>
                    <w:t>1.0</w:t>
                  </w:r>
                  <w:r>
                    <w:rPr>
                      <w:kern w:val="0"/>
                      <w:szCs w:val="21"/>
                      <w:highlight w:val="none"/>
                    </w:rPr>
                    <w:t>万m</w:t>
                  </w:r>
                  <w:r>
                    <w:rPr>
                      <w:kern w:val="0"/>
                      <w:szCs w:val="21"/>
                      <w:vertAlign w:val="superscript"/>
                      <w:highlight w:val="none"/>
                    </w:rPr>
                    <w:t>3</w:t>
                  </w:r>
                  <w:r>
                    <w:rPr>
                      <w:kern w:val="0"/>
                      <w:szCs w:val="21"/>
                      <w:highlight w:val="none"/>
                    </w:rPr>
                    <w:t>/d，</w:t>
                  </w:r>
                  <w:r>
                    <w:rPr>
                      <w:rFonts w:hint="eastAsia"/>
                      <w:kern w:val="0"/>
                      <w:szCs w:val="21"/>
                      <w:lang w:val="en-US" w:eastAsia="zh-CN"/>
                      <w:highlight w:val="none"/>
                    </w:rPr>
                    <w:t>自用水系数K=1.05，单组沉淀</w:t>
                  </w:r>
                  <w:r>
                    <w:rPr>
                      <w:kern w:val="0"/>
                      <w:szCs w:val="21"/>
                      <w:highlight w:val="none"/>
                    </w:rPr>
                    <w:t>池</w:t>
                  </w:r>
                  <w:r>
                    <w:rPr>
                      <w:rFonts w:hint="eastAsia"/>
                      <w:kern w:val="0"/>
                      <w:szCs w:val="21"/>
                      <w:lang w:val="en-US" w:eastAsia="zh-CN"/>
                      <w:highlight w:val="none"/>
                    </w:rPr>
                    <w:t>尺寸为6.8</w:t>
                  </w:r>
                  <w:r>
                    <w:rPr>
                      <w:kern w:val="0"/>
                      <w:szCs w:val="21"/>
                      <w:highlight w:val="none"/>
                    </w:rPr>
                    <w:t>×</w:t>
                  </w:r>
                  <w:r>
                    <w:rPr>
                      <w:rFonts w:hint="eastAsia"/>
                      <w:kern w:val="0"/>
                      <w:szCs w:val="21"/>
                      <w:lang w:val="en-US" w:eastAsia="zh-CN"/>
                      <w:highlight w:val="none"/>
                    </w:rPr>
                    <w:t>5.8</w:t>
                  </w:r>
                  <w:r>
                    <w:rPr>
                      <w:kern w:val="0"/>
                      <w:szCs w:val="21"/>
                      <w:highlight w:val="none"/>
                    </w:rPr>
                    <w:t>×</w:t>
                  </w:r>
                  <w:r>
                    <w:rPr>
                      <w:rFonts w:hint="eastAsia"/>
                      <w:kern w:val="0"/>
                      <w:szCs w:val="21"/>
                      <w:lang w:val="en-US" w:eastAsia="zh-CN"/>
                      <w:highlight w:val="none"/>
                    </w:rPr>
                    <w:t>4.5m，沉淀负荷为5.99m</w:t>
                  </w:r>
                  <w:r>
                    <w:rPr>
                      <w:rFonts w:hint="eastAsia"/>
                      <w:kern w:val="0"/>
                      <w:szCs w:val="21"/>
                      <w:vertAlign w:val="superscript"/>
                      <w:lang w:val="en-US" w:eastAsia="zh-CN"/>
                      <w:highlight w:val="none"/>
                    </w:rPr>
                    <w:t>3</w:t>
                  </w:r>
                  <w:r>
                    <w:rPr>
                      <w:rFonts w:hint="eastAsia"/>
                      <w:kern w:val="0"/>
                      <w:szCs w:val="21"/>
                      <w:lang w:val="en-US" w:eastAsia="zh-CN"/>
                      <w:highlight w:val="none"/>
                    </w:rPr>
                    <w:t>/（m</w:t>
                  </w:r>
                  <w:r>
                    <w:rPr>
                      <w:rFonts w:hint="eastAsia"/>
                      <w:kern w:val="0"/>
                      <w:szCs w:val="21"/>
                      <w:vertAlign w:val="superscript"/>
                      <w:lang w:val="en-US" w:eastAsia="zh-CN"/>
                      <w:highlight w:val="none"/>
                    </w:rPr>
                    <w:t>2</w:t>
                  </w:r>
                  <w:r>
                    <w:rPr>
                      <w:rFonts w:hint="eastAsia"/>
                      <w:kern w:val="0"/>
                      <w:szCs w:val="21"/>
                      <w:lang w:val="en-US" w:eastAsia="zh-CN"/>
                      <w:highlight w:val="none"/>
                    </w:rPr>
                    <w:t>.h）</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shd w:val="clear" w:color="auto" w:fill="auto"/>
                  <w:vAlign w:val="center"/>
                </w:tcPr>
                <w:p>
                  <w:pPr>
                    <w:adjustRightInd w:val="0"/>
                    <w:snapToGrid w:val="0"/>
                    <w:jc w:val="center"/>
                    <w:rPr>
                      <w:rFonts w:eastAsia="宋体" w:hint="eastAsia"/>
                      <w:b/>
                      <w:bCs/>
                      <w:kern w:val="0"/>
                      <w:szCs w:val="21"/>
                      <w:lang w:eastAsia="zh-CN"/>
                      <w:highlight w:val="none"/>
                    </w:rPr>
                  </w:pPr>
                  <w:r>
                    <w:rPr>
                      <w:rFonts w:hint="eastAsia"/>
                      <w:b/>
                      <w:bCs/>
                      <w:kern w:val="0"/>
                      <w:szCs w:val="21"/>
                      <w:lang w:val="en-US" w:eastAsia="zh-CN"/>
                      <w:highlight w:val="none"/>
                    </w:rPr>
                    <w:t>五</w:t>
                  </w:r>
                </w:p>
              </w:tc>
              <w:tc>
                <w:tcPr>
                  <w:tcW w:w="4632" w:type="pct"/>
                  <w:gridSpan w:val="4"/>
                  <w:shd w:val="clear" w:color="auto" w:fill="auto"/>
                  <w:vAlign w:val="center"/>
                </w:tcPr>
                <w:p>
                  <w:pPr>
                    <w:adjustRightInd w:val="0"/>
                    <w:snapToGrid w:val="0"/>
                    <w:jc w:val="center"/>
                    <w:rPr>
                      <w:b/>
                      <w:bCs/>
                      <w:szCs w:val="21"/>
                      <w:highlight w:val="none"/>
                    </w:rPr>
                  </w:pPr>
                  <w:r>
                    <w:rPr>
                      <w:rFonts w:hint="eastAsia"/>
                      <w:b/>
                      <w:bCs/>
                      <w:szCs w:val="21"/>
                      <w:highlight w:val="none"/>
                    </w:rPr>
                    <w:t>滤池</w:t>
                  </w:r>
                  <w:r>
                    <w:rPr>
                      <w:rFonts w:hint="eastAsia"/>
                      <w:b/>
                      <w:bCs/>
                      <w:szCs w:val="21"/>
                      <w:lang w:eastAsia="zh-CN"/>
                      <w:highlight w:val="none"/>
                    </w:rPr>
                    <w:t>、</w:t>
                  </w:r>
                  <w:r>
                    <w:rPr>
                      <w:rFonts w:hint="eastAsia"/>
                      <w:b/>
                      <w:bCs/>
                      <w:szCs w:val="21"/>
                      <w:highlight w:val="none"/>
                    </w:rPr>
                    <w:t>反冲洗泵房及</w:t>
                  </w:r>
                  <w:r>
                    <w:rPr>
                      <w:b/>
                      <w:bCs/>
                      <w:szCs w:val="21"/>
                      <w:highlight w:val="none"/>
                    </w:rPr>
                    <w:t>送水泵房</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10</w:t>
                  </w:r>
                </w:p>
              </w:tc>
              <w:tc>
                <w:tcPr>
                  <w:tcW w:w="1064" w:type="pct"/>
                  <w:vAlign w:val="center"/>
                </w:tcPr>
                <w:p>
                  <w:pPr>
                    <w:adjustRightInd w:val="0"/>
                    <w:snapToGrid w:val="0"/>
                    <w:jc w:val="center"/>
                    <w:rPr>
                      <w:kern w:val="0"/>
                      <w:szCs w:val="21"/>
                      <w:highlight w:val="none"/>
                    </w:rPr>
                  </w:pPr>
                  <w:r>
                    <w:rPr>
                      <w:rFonts w:hint="eastAsia"/>
                      <w:szCs w:val="21"/>
                      <w:lang w:val="en-US" w:eastAsia="zh-CN"/>
                      <w:highlight w:val="none"/>
                    </w:rPr>
                    <w:t>滤砖</w:t>
                  </w:r>
                  <w:r>
                    <w:rPr>
                      <w:szCs w:val="21"/>
                      <w:highlight w:val="none"/>
                    </w:rPr>
                    <w:t>滤池</w:t>
                  </w:r>
                </w:p>
              </w:tc>
              <w:tc>
                <w:tcPr>
                  <w:tcW w:w="382" w:type="pct"/>
                  <w:tcBorders>
                    <w:right w:val="single" w:sz="4" w:space="0" w:color="auto"/>
                  </w:tcBorders>
                  <w:vAlign w:val="center"/>
                </w:tcPr>
                <w:p>
                  <w:pPr>
                    <w:adjustRightInd w:val="0"/>
                    <w:snapToGrid w:val="0"/>
                    <w:jc w:val="center"/>
                    <w:rPr>
                      <w:kern w:val="0"/>
                      <w:szCs w:val="21"/>
                      <w:highlight w:val="none"/>
                    </w:rPr>
                  </w:pPr>
                  <w:r>
                    <w:rPr>
                      <w:kern w:val="0"/>
                      <w:szCs w:val="21"/>
                      <w:highlight w:val="none"/>
                    </w:rPr>
                    <w:t>1</w:t>
                  </w:r>
                  <w:r>
                    <w:rPr>
                      <w:szCs w:val="21"/>
                      <w:highlight w:val="none"/>
                    </w:rPr>
                    <w:t>座</w:t>
                  </w:r>
                </w:p>
              </w:tc>
              <w:tc>
                <w:tcPr>
                  <w:tcW w:w="2673" w:type="pct"/>
                  <w:vAlign w:val="center"/>
                </w:tcPr>
                <w:p>
                  <w:pPr>
                    <w:adjustRightInd w:val="0"/>
                    <w:snapToGrid w:val="0"/>
                    <w:jc w:val="center"/>
                    <w:rPr>
                      <w:kern w:val="0"/>
                      <w:szCs w:val="21"/>
                      <w:highlight w:val="none"/>
                    </w:rPr>
                  </w:pPr>
                  <w:r>
                    <w:rPr>
                      <w:kern w:val="0"/>
                      <w:szCs w:val="21"/>
                      <w:highlight w:val="none"/>
                    </w:rPr>
                    <w:t>采用均粒滤料气水反冲滤池。滤池共</w:t>
                  </w:r>
                  <w:r>
                    <w:rPr>
                      <w:rFonts w:hint="eastAsia"/>
                      <w:kern w:val="0"/>
                      <w:szCs w:val="21"/>
                      <w:highlight w:val="none"/>
                    </w:rPr>
                    <w:t>4</w:t>
                  </w:r>
                  <w:r>
                    <w:rPr>
                      <w:kern w:val="0"/>
                      <w:szCs w:val="21"/>
                      <w:highlight w:val="none"/>
                    </w:rPr>
                    <w:t>格滤池，单排布置。每格滤池</w:t>
                  </w:r>
                  <w:r>
                    <w:rPr>
                      <w:rFonts w:hint="eastAsia"/>
                      <w:kern w:val="0"/>
                      <w:szCs w:val="21"/>
                      <w:lang w:val="en-US" w:eastAsia="zh-CN"/>
                      <w:highlight w:val="none"/>
                    </w:rPr>
                    <w:t>尺寸</w:t>
                  </w:r>
                  <w:r>
                    <w:rPr>
                      <w:kern w:val="0"/>
                      <w:szCs w:val="21"/>
                      <w:highlight w:val="none"/>
                    </w:rPr>
                    <w:t>为</w:t>
                  </w:r>
                  <w:r>
                    <w:rPr>
                      <w:rFonts w:ascii="Times New Roman" w:eastAsia="宋体" w:cs="Times New Roman" w:hAnsi="Times New Roman" w:hint="eastAsia"/>
                      <w:kern w:val="0"/>
                      <w:szCs w:val="21"/>
                      <w:highlight w:val="none"/>
                    </w:rPr>
                    <w:t>4.8m</w:t>
                  </w:r>
                  <w:r>
                    <w:rPr>
                      <w:rFonts w:ascii="Times New Roman" w:eastAsia="宋体" w:cs="Times New Roman" w:hAnsi="Times New Roman"/>
                      <w:kern w:val="0"/>
                      <w:szCs w:val="21"/>
                      <w:highlight w:val="none"/>
                    </w:rPr>
                    <w:t>×</w:t>
                  </w:r>
                  <w:r>
                    <w:rPr>
                      <w:rFonts w:ascii="Times New Roman" w:eastAsia="宋体" w:cs="Times New Roman" w:hAnsi="Times New Roman" w:hint="eastAsia"/>
                      <w:kern w:val="0"/>
                      <w:szCs w:val="21"/>
                      <w:highlight w:val="none"/>
                    </w:rPr>
                    <w:t>2.9</w:t>
                  </w:r>
                  <w:r>
                    <w:rPr>
                      <w:rFonts w:ascii="Times New Roman" w:eastAsia="宋体" w:cs="Times New Roman" w:hAnsi="Times New Roman"/>
                      <w:kern w:val="0"/>
                      <w:szCs w:val="21"/>
                      <w:highlight w:val="none"/>
                    </w:rPr>
                    <w:t>×</w:t>
                  </w:r>
                  <w:r>
                    <w:rPr>
                      <w:rFonts w:ascii="Times New Roman" w:eastAsia="宋体" w:cs="Times New Roman" w:hAnsi="Times New Roman" w:hint="eastAsia"/>
                      <w:kern w:val="0"/>
                      <w:szCs w:val="21"/>
                      <w:highlight w:val="none"/>
                    </w:rPr>
                    <w:t>4.5m</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11</w:t>
                  </w:r>
                </w:p>
              </w:tc>
              <w:tc>
                <w:tcPr>
                  <w:tcW w:w="1064" w:type="pct"/>
                  <w:vAlign w:val="center"/>
                </w:tcPr>
                <w:p>
                  <w:pPr>
                    <w:adjustRightInd w:val="0"/>
                    <w:snapToGrid w:val="0"/>
                    <w:jc w:val="center"/>
                    <w:rPr>
                      <w:szCs w:val="21"/>
                      <w:highlight w:val="none"/>
                    </w:rPr>
                  </w:pPr>
                  <w:r>
                    <w:rPr>
                      <w:rFonts w:hint="eastAsia"/>
                      <w:szCs w:val="21"/>
                      <w:lang w:val="en-US" w:eastAsia="zh-CN"/>
                      <w:highlight w:val="none"/>
                    </w:rPr>
                    <w:t>卧式离心泵</w:t>
                  </w:r>
                </w:p>
              </w:tc>
              <w:tc>
                <w:tcPr>
                  <w:tcW w:w="382" w:type="pct"/>
                  <w:tcBorders>
                    <w:right w:val="single" w:sz="4" w:space="0" w:color="auto"/>
                  </w:tcBorders>
                  <w:vAlign w:val="center"/>
                </w:tcPr>
                <w:p>
                  <w:pPr>
                    <w:adjustRightInd w:val="0"/>
                    <w:snapToGrid w:val="0"/>
                    <w:jc w:val="center"/>
                    <w:rPr>
                      <w:kern w:val="0"/>
                      <w:szCs w:val="21"/>
                      <w:highlight w:val="none"/>
                    </w:rPr>
                  </w:pPr>
                  <w:r>
                    <w:rPr>
                      <w:szCs w:val="21"/>
                      <w:highlight w:val="none"/>
                    </w:rPr>
                    <w:t>3台</w:t>
                  </w:r>
                </w:p>
              </w:tc>
              <w:tc>
                <w:tcPr>
                  <w:tcW w:w="2673" w:type="pct"/>
                  <w:vAlign w:val="center"/>
                </w:tcPr>
                <w:p>
                  <w:pPr>
                    <w:adjustRightInd w:val="0"/>
                    <w:snapToGrid w:val="0"/>
                    <w:jc w:val="center"/>
                    <w:rPr>
                      <w:szCs w:val="21"/>
                      <w:highlight w:val="none"/>
                    </w:rPr>
                  </w:pPr>
                  <w:r>
                    <w:rPr>
                      <w:kern w:val="0"/>
                      <w:szCs w:val="21"/>
                      <w:highlight w:val="none"/>
                    </w:rPr>
                    <w:t>H=12m Q=240m³/h</w:t>
                  </w:r>
                  <w:r>
                    <w:rPr>
                      <w:rFonts w:hint="eastAsia"/>
                      <w:kern w:val="0"/>
                      <w:szCs w:val="21"/>
                      <w:highlight w:val="none"/>
                    </w:rPr>
                    <w:t>，含电机</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12</w:t>
                  </w:r>
                </w:p>
              </w:tc>
              <w:tc>
                <w:tcPr>
                  <w:tcW w:w="1064" w:type="pct"/>
                  <w:vAlign w:val="center"/>
                </w:tcPr>
                <w:p>
                  <w:pPr>
                    <w:adjustRightInd w:val="0"/>
                    <w:snapToGrid w:val="0"/>
                    <w:jc w:val="center"/>
                    <w:rPr>
                      <w:rFonts w:hint="eastAsia"/>
                      <w:szCs w:val="21"/>
                      <w:highlight w:val="none"/>
                    </w:rPr>
                  </w:pPr>
                  <w:r>
                    <w:rPr>
                      <w:rFonts w:hint="eastAsia"/>
                      <w:szCs w:val="21"/>
                      <w:highlight w:val="none"/>
                    </w:rPr>
                    <w:t>鼓风机</w:t>
                  </w:r>
                </w:p>
              </w:tc>
              <w:tc>
                <w:tcPr>
                  <w:tcW w:w="382" w:type="pct"/>
                  <w:tcBorders>
                    <w:right w:val="single" w:sz="4" w:space="0" w:color="auto"/>
                  </w:tcBorders>
                  <w:vAlign w:val="center"/>
                </w:tcPr>
                <w:p>
                  <w:pPr>
                    <w:adjustRightInd w:val="0"/>
                    <w:snapToGrid w:val="0"/>
                    <w:jc w:val="center"/>
                    <w:rPr>
                      <w:kern w:val="0"/>
                      <w:szCs w:val="21"/>
                      <w:highlight w:val="none"/>
                    </w:rPr>
                  </w:pPr>
                  <w:r>
                    <w:rPr>
                      <w:szCs w:val="21"/>
                      <w:highlight w:val="none"/>
                    </w:rPr>
                    <w:t>3台</w:t>
                  </w:r>
                </w:p>
              </w:tc>
              <w:tc>
                <w:tcPr>
                  <w:tcW w:w="2673" w:type="pct"/>
                  <w:vAlign w:val="center"/>
                </w:tcPr>
                <w:p>
                  <w:pPr>
                    <w:adjustRightInd w:val="0"/>
                    <w:snapToGrid w:val="0"/>
                    <w:jc w:val="center"/>
                    <w:rPr>
                      <w:szCs w:val="21"/>
                      <w:highlight w:val="none"/>
                    </w:rPr>
                  </w:pPr>
                  <w:r>
                    <w:rPr>
                      <w:szCs w:val="21"/>
                      <w:highlight w:val="none"/>
                    </w:rPr>
                    <w:t>Q=8.5m³/min H=60KPa</w:t>
                  </w:r>
                  <w:r>
                    <w:rPr>
                      <w:rFonts w:hint="eastAsia"/>
                      <w:szCs w:val="21"/>
                      <w:highlight w:val="none"/>
                    </w:rPr>
                    <w:t>，含隔音罩及配套电机</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13</w:t>
                  </w:r>
                </w:p>
              </w:tc>
              <w:tc>
                <w:tcPr>
                  <w:tcW w:w="1064" w:type="pct"/>
                  <w:vAlign w:val="center"/>
                </w:tcPr>
                <w:p>
                  <w:pPr>
                    <w:adjustRightInd w:val="0"/>
                    <w:snapToGrid w:val="0"/>
                    <w:jc w:val="center"/>
                    <w:rPr>
                      <w:rFonts w:hint="eastAsia"/>
                      <w:szCs w:val="21"/>
                      <w:highlight w:val="none"/>
                    </w:rPr>
                  </w:pPr>
                  <w:r>
                    <w:rPr>
                      <w:rFonts w:hint="eastAsia"/>
                      <w:szCs w:val="21"/>
                      <w:highlight w:val="none"/>
                    </w:rPr>
                    <w:t>排污泵</w:t>
                  </w:r>
                </w:p>
              </w:tc>
              <w:tc>
                <w:tcPr>
                  <w:tcW w:w="382" w:type="pct"/>
                  <w:tcBorders>
                    <w:right w:val="single" w:sz="4" w:space="0" w:color="auto"/>
                  </w:tcBorders>
                  <w:vAlign w:val="center"/>
                </w:tcPr>
                <w:p>
                  <w:pPr>
                    <w:adjustRightInd w:val="0"/>
                    <w:snapToGrid w:val="0"/>
                    <w:jc w:val="center"/>
                    <w:rPr>
                      <w:kern w:val="0"/>
                      <w:szCs w:val="21"/>
                      <w:highlight w:val="none"/>
                    </w:rPr>
                  </w:pPr>
                  <w:r>
                    <w:rPr>
                      <w:rFonts w:hint="eastAsia"/>
                      <w:szCs w:val="21"/>
                      <w:highlight w:val="none"/>
                    </w:rPr>
                    <w:t>2</w:t>
                  </w:r>
                  <w:r>
                    <w:rPr>
                      <w:szCs w:val="21"/>
                      <w:highlight w:val="none"/>
                    </w:rPr>
                    <w:t>台</w:t>
                  </w:r>
                </w:p>
              </w:tc>
              <w:tc>
                <w:tcPr>
                  <w:tcW w:w="2673" w:type="pct"/>
                  <w:vAlign w:val="center"/>
                </w:tcPr>
                <w:p>
                  <w:pPr>
                    <w:adjustRightInd w:val="0"/>
                    <w:snapToGrid w:val="0"/>
                    <w:jc w:val="center"/>
                    <w:rPr>
                      <w:szCs w:val="21"/>
                      <w:highlight w:val="none"/>
                    </w:rPr>
                  </w:pPr>
                  <w:r>
                    <w:rPr>
                      <w:szCs w:val="21"/>
                      <w:highlight w:val="none"/>
                    </w:rPr>
                    <w:t>Q=10m³/h,H=15m N=0.75kw</w:t>
                  </w:r>
                  <w:r>
                    <w:rPr>
                      <w:rFonts w:hint="eastAsia"/>
                      <w:szCs w:val="21"/>
                      <w:highlight w:val="none"/>
                    </w:rPr>
                    <w:t>，配浮球液位开关</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14</w:t>
                  </w:r>
                </w:p>
              </w:tc>
              <w:tc>
                <w:tcPr>
                  <w:tcW w:w="1064" w:type="pct"/>
                  <w:vAlign w:val="center"/>
                </w:tcPr>
                <w:p>
                  <w:pPr>
                    <w:adjustRightInd w:val="0"/>
                    <w:snapToGrid w:val="0"/>
                    <w:jc w:val="center"/>
                    <w:rPr>
                      <w:rFonts w:hint="eastAsia"/>
                      <w:szCs w:val="21"/>
                      <w:highlight w:val="none"/>
                    </w:rPr>
                  </w:pPr>
                  <w:r>
                    <w:rPr>
                      <w:rFonts w:hint="eastAsia"/>
                      <w:szCs w:val="21"/>
                      <w:highlight w:val="none"/>
                    </w:rPr>
                    <w:t>电磁流量计</w:t>
                  </w:r>
                </w:p>
              </w:tc>
              <w:tc>
                <w:tcPr>
                  <w:tcW w:w="382" w:type="pct"/>
                  <w:tcBorders>
                    <w:right w:val="single" w:sz="4" w:space="0" w:color="auto"/>
                  </w:tcBorders>
                  <w:vAlign w:val="center"/>
                </w:tcPr>
                <w:p>
                  <w:pPr>
                    <w:adjustRightInd w:val="0"/>
                    <w:snapToGrid w:val="0"/>
                    <w:jc w:val="center"/>
                    <w:rPr>
                      <w:kern w:val="0"/>
                      <w:szCs w:val="21"/>
                      <w:highlight w:val="none"/>
                    </w:rPr>
                  </w:pPr>
                  <w:r>
                    <w:rPr>
                      <w:szCs w:val="21"/>
                      <w:highlight w:val="none"/>
                    </w:rPr>
                    <w:t>1台</w:t>
                  </w:r>
                </w:p>
              </w:tc>
              <w:tc>
                <w:tcPr>
                  <w:tcW w:w="2673" w:type="pct"/>
                  <w:vAlign w:val="center"/>
                </w:tcPr>
                <w:p>
                  <w:pPr>
                    <w:adjustRightInd w:val="0"/>
                    <w:snapToGrid w:val="0"/>
                    <w:jc w:val="center"/>
                    <w:rPr>
                      <w:szCs w:val="21"/>
                      <w:highlight w:val="none"/>
                    </w:rPr>
                  </w:pPr>
                  <w:r>
                    <w:rPr>
                      <w:szCs w:val="21"/>
                      <w:highlight w:val="none"/>
                    </w:rPr>
                    <w:t>DN400</w:t>
                  </w:r>
                  <w:r>
                    <w:rPr>
                      <w:rFonts w:hint="eastAsia"/>
                      <w:szCs w:val="21"/>
                      <w:lang w:eastAsia="zh-CN"/>
                      <w:highlight w:val="none"/>
                    </w:rPr>
                    <w:t>，</w:t>
                  </w:r>
                  <w:r>
                    <w:rPr>
                      <w:rFonts w:hint="eastAsia"/>
                      <w:szCs w:val="21"/>
                      <w:highlight w:val="none"/>
                    </w:rPr>
                    <w:t>计入自控</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15</w:t>
                  </w:r>
                </w:p>
              </w:tc>
              <w:tc>
                <w:tcPr>
                  <w:tcW w:w="1064" w:type="pct"/>
                  <w:vAlign w:val="center"/>
                </w:tcPr>
                <w:p>
                  <w:pPr>
                    <w:adjustRightInd w:val="0"/>
                    <w:snapToGrid w:val="0"/>
                    <w:jc w:val="center"/>
                    <w:rPr>
                      <w:rFonts w:hint="eastAsia"/>
                      <w:szCs w:val="21"/>
                      <w:highlight w:val="none"/>
                    </w:rPr>
                  </w:pPr>
                  <w:r>
                    <w:rPr>
                      <w:rFonts w:hint="eastAsia"/>
                      <w:szCs w:val="21"/>
                      <w:highlight w:val="none"/>
                    </w:rPr>
                    <w:t>浊度仪</w:t>
                  </w:r>
                </w:p>
              </w:tc>
              <w:tc>
                <w:tcPr>
                  <w:tcW w:w="382" w:type="pct"/>
                  <w:tcBorders>
                    <w:right w:val="single" w:sz="4" w:space="0" w:color="auto"/>
                  </w:tcBorders>
                  <w:vAlign w:val="center"/>
                </w:tcPr>
                <w:p>
                  <w:pPr>
                    <w:adjustRightInd w:val="0"/>
                    <w:snapToGrid w:val="0"/>
                    <w:jc w:val="center"/>
                    <w:rPr>
                      <w:szCs w:val="21"/>
                      <w:highlight w:val="none"/>
                    </w:rPr>
                  </w:pPr>
                  <w:r>
                    <w:rPr>
                      <w:szCs w:val="21"/>
                      <w:highlight w:val="none"/>
                    </w:rPr>
                    <w:t>1台</w:t>
                  </w:r>
                </w:p>
              </w:tc>
              <w:tc>
                <w:tcPr>
                  <w:tcW w:w="2673" w:type="pct"/>
                  <w:vAlign w:val="center"/>
                </w:tcPr>
                <w:p>
                  <w:pPr>
                    <w:adjustRightInd w:val="0"/>
                    <w:snapToGrid w:val="0"/>
                    <w:jc w:val="center"/>
                    <w:rPr>
                      <w:rFonts w:hint="eastAsia"/>
                      <w:szCs w:val="21"/>
                      <w:highlight w:val="none"/>
                    </w:rPr>
                  </w:pPr>
                  <w:r>
                    <w:rPr>
                      <w:rFonts w:hint="eastAsia"/>
                      <w:szCs w:val="21"/>
                      <w:highlight w:val="none"/>
                    </w:rPr>
                    <w:t>量程：</w:t>
                  </w:r>
                  <w:r>
                    <w:rPr>
                      <w:szCs w:val="21"/>
                      <w:highlight w:val="none"/>
                    </w:rPr>
                    <w:t>0~100NTU</w:t>
                  </w:r>
                  <w:r>
                    <w:rPr>
                      <w:rFonts w:hint="eastAsia"/>
                      <w:szCs w:val="21"/>
                      <w:highlight w:val="none"/>
                    </w:rPr>
                    <w:t>，精度：</w:t>
                  </w:r>
                  <w:r>
                    <w:rPr>
                      <w:szCs w:val="21"/>
                      <w:highlight w:val="none"/>
                    </w:rPr>
                    <w:t>±2F.S.</w:t>
                  </w:r>
                  <w:r>
                    <w:rPr>
                      <w:rFonts w:hint="eastAsia"/>
                      <w:szCs w:val="21"/>
                      <w:highlight w:val="none"/>
                    </w:rPr>
                    <w:t>电极材质：</w:t>
                  </w:r>
                </w:p>
                <w:p>
                  <w:pPr>
                    <w:adjustRightInd w:val="0"/>
                    <w:snapToGrid w:val="0"/>
                    <w:jc w:val="center"/>
                    <w:rPr>
                      <w:szCs w:val="21"/>
                      <w:highlight w:val="none"/>
                    </w:rPr>
                  </w:pPr>
                  <w:r>
                    <w:rPr>
                      <w:szCs w:val="21"/>
                      <w:highlight w:val="none"/>
                    </w:rPr>
                    <w:t>316L</w:t>
                  </w:r>
                  <w:r>
                    <w:rPr>
                      <w:rFonts w:hint="eastAsia"/>
                      <w:szCs w:val="21"/>
                      <w:lang w:eastAsia="zh-CN"/>
                      <w:highlight w:val="none"/>
                    </w:rPr>
                    <w:t>，</w:t>
                  </w:r>
                  <w:r>
                    <w:rPr>
                      <w:rFonts w:hint="eastAsia"/>
                      <w:szCs w:val="21"/>
                      <w:highlight w:val="none"/>
                    </w:rPr>
                    <w:t>流通式安装，就地显式及带远传功能</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16</w:t>
                  </w:r>
                </w:p>
              </w:tc>
              <w:tc>
                <w:tcPr>
                  <w:tcW w:w="1064" w:type="pct"/>
                  <w:vAlign w:val="center"/>
                </w:tcPr>
                <w:p>
                  <w:pPr>
                    <w:adjustRightInd w:val="0"/>
                    <w:snapToGrid w:val="0"/>
                    <w:jc w:val="center"/>
                    <w:rPr>
                      <w:rFonts w:hint="eastAsia"/>
                      <w:szCs w:val="21"/>
                      <w:highlight w:val="none"/>
                    </w:rPr>
                  </w:pPr>
                  <w:r>
                    <w:rPr>
                      <w:rFonts w:hint="eastAsia"/>
                      <w:szCs w:val="21"/>
                      <w:highlight w:val="none"/>
                    </w:rPr>
                    <w:t>余氯检测仪</w:t>
                  </w:r>
                </w:p>
              </w:tc>
              <w:tc>
                <w:tcPr>
                  <w:tcW w:w="382" w:type="pct"/>
                  <w:tcBorders>
                    <w:right w:val="single" w:sz="4" w:space="0" w:color="auto"/>
                  </w:tcBorders>
                  <w:vAlign w:val="center"/>
                </w:tcPr>
                <w:p>
                  <w:pPr>
                    <w:adjustRightInd w:val="0"/>
                    <w:snapToGrid w:val="0"/>
                    <w:jc w:val="center"/>
                    <w:rPr>
                      <w:szCs w:val="21"/>
                      <w:highlight w:val="none"/>
                    </w:rPr>
                  </w:pPr>
                  <w:r>
                    <w:rPr>
                      <w:szCs w:val="21"/>
                      <w:highlight w:val="none"/>
                    </w:rPr>
                    <w:t>1台</w:t>
                  </w:r>
                </w:p>
              </w:tc>
              <w:tc>
                <w:tcPr>
                  <w:tcW w:w="2673" w:type="pct"/>
                  <w:vAlign w:val="center"/>
                </w:tcPr>
                <w:p>
                  <w:pPr>
                    <w:adjustRightInd w:val="0"/>
                    <w:snapToGrid w:val="0"/>
                    <w:jc w:val="center"/>
                    <w:rPr>
                      <w:szCs w:val="21"/>
                      <w:highlight w:val="none"/>
                    </w:rPr>
                  </w:pPr>
                  <w:r>
                    <w:rPr>
                      <w:szCs w:val="21"/>
                      <w:highlight w:val="none"/>
                    </w:rPr>
                    <w:t>0-2ppm/0-20ppm</w:t>
                  </w:r>
                  <w:r>
                    <w:rPr>
                      <w:rFonts w:hint="eastAsia"/>
                      <w:szCs w:val="21"/>
                      <w:highlight w:val="none"/>
                    </w:rPr>
                    <w:t>，</w:t>
                  </w:r>
                  <w:r>
                    <w:rPr>
                      <w:szCs w:val="21"/>
                      <w:highlight w:val="none"/>
                    </w:rPr>
                    <w:t>-5-100</w:t>
                  </w:r>
                  <w:r>
                    <w:rPr>
                      <w:rFonts w:hint="eastAsia"/>
                      <w:szCs w:val="21"/>
                      <w:highlight w:val="none"/>
                    </w:rPr>
                    <w:t>℃</w:t>
                  </w:r>
                  <w:r>
                    <w:rPr>
                      <w:szCs w:val="21"/>
                      <w:highlight w:val="none"/>
                    </w:rPr>
                    <w:t xml:space="preserve">,LCD </w:t>
                  </w:r>
                  <w:r>
                    <w:rPr>
                      <w:rFonts w:hint="eastAsia"/>
                      <w:szCs w:val="21"/>
                      <w:highlight w:val="none"/>
                    </w:rPr>
                    <w:t>显示，</w:t>
                  </w:r>
                  <w:r>
                    <w:rPr>
                      <w:szCs w:val="21"/>
                      <w:highlight w:val="none"/>
                    </w:rPr>
                    <w:t xml:space="preserve">220VAC </w:t>
                  </w:r>
                  <w:r>
                    <w:rPr>
                      <w:rFonts w:hint="eastAsia"/>
                      <w:szCs w:val="21"/>
                      <w:highlight w:val="none"/>
                    </w:rPr>
                    <w:t xml:space="preserve">或 </w:t>
                  </w:r>
                  <w:r>
                    <w:rPr>
                      <w:szCs w:val="21"/>
                      <w:highlight w:val="none"/>
                    </w:rPr>
                    <w:t>24V</w:t>
                  </w:r>
                  <w:r>
                    <w:rPr>
                      <w:rFonts w:hint="eastAsia"/>
                      <w:szCs w:val="21"/>
                      <w:highlight w:val="none"/>
                    </w:rPr>
                    <w:t>，</w:t>
                  </w:r>
                  <w:r>
                    <w:rPr>
                      <w:szCs w:val="21"/>
                      <w:highlight w:val="none"/>
                    </w:rPr>
                    <w:t>4-20mA/RS485</w:t>
                  </w:r>
                  <w:r>
                    <w:rPr>
                      <w:rFonts w:hint="eastAsia"/>
                      <w:szCs w:val="21"/>
                      <w:highlight w:val="none"/>
                    </w:rPr>
                    <w:t>，</w:t>
                  </w:r>
                  <w:r>
                    <w:rPr>
                      <w:szCs w:val="21"/>
                      <w:highlight w:val="none"/>
                    </w:rPr>
                    <w:t>IP65</w:t>
                  </w:r>
                </w:p>
              </w:tc>
              <w:tc>
                <w:tcPr>
                  <w:tcW w:w="511" w:type="pct"/>
                  <w:vAlign w:val="center"/>
                </w:tcPr>
                <w:p>
                  <w:pPr>
                    <w:adjustRightInd w:val="0"/>
                    <w:snapToGrid w:val="0"/>
                    <w:jc w:val="center"/>
                    <w:rPr>
                      <w:rFonts w:hint="eastAsia"/>
                      <w:szCs w:val="21"/>
                      <w:highlight w:val="none"/>
                    </w:rPr>
                  </w:pP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17</w:t>
                  </w:r>
                </w:p>
              </w:tc>
              <w:tc>
                <w:tcPr>
                  <w:tcW w:w="1064" w:type="pct"/>
                  <w:vAlign w:val="center"/>
                </w:tcPr>
                <w:p>
                  <w:pPr>
                    <w:adjustRightInd w:val="0"/>
                    <w:snapToGrid w:val="0"/>
                    <w:jc w:val="center"/>
                    <w:rPr>
                      <w:rFonts w:hint="eastAsia"/>
                      <w:szCs w:val="21"/>
                      <w:highlight w:val="none"/>
                    </w:rPr>
                  </w:pPr>
                  <w:r>
                    <w:rPr>
                      <w:rFonts w:hint="eastAsia"/>
                      <w:szCs w:val="21"/>
                      <w:highlight w:val="none"/>
                    </w:rPr>
                    <w:t>电导率仪</w:t>
                  </w:r>
                </w:p>
              </w:tc>
              <w:tc>
                <w:tcPr>
                  <w:tcW w:w="382" w:type="pct"/>
                  <w:tcBorders>
                    <w:right w:val="single" w:sz="4" w:space="0" w:color="auto"/>
                  </w:tcBorders>
                  <w:vAlign w:val="center"/>
                </w:tcPr>
                <w:p>
                  <w:pPr>
                    <w:adjustRightInd w:val="0"/>
                    <w:snapToGrid w:val="0"/>
                    <w:jc w:val="center"/>
                    <w:rPr>
                      <w:szCs w:val="21"/>
                      <w:highlight w:val="none"/>
                    </w:rPr>
                  </w:pPr>
                  <w:r>
                    <w:rPr>
                      <w:szCs w:val="21"/>
                      <w:highlight w:val="none"/>
                    </w:rPr>
                    <w:t>1台</w:t>
                  </w:r>
                </w:p>
              </w:tc>
              <w:tc>
                <w:tcPr>
                  <w:tcW w:w="2673" w:type="pct"/>
                  <w:vAlign w:val="center"/>
                </w:tcPr>
                <w:p>
                  <w:pPr>
                    <w:adjustRightInd w:val="0"/>
                    <w:snapToGrid w:val="0"/>
                    <w:jc w:val="center"/>
                    <w:rPr>
                      <w:szCs w:val="21"/>
                      <w:highlight w:val="none"/>
                    </w:rPr>
                  </w:pPr>
                  <w:r>
                    <w:rPr>
                      <w:szCs w:val="21"/>
                      <w:highlight w:val="none"/>
                    </w:rPr>
                    <w:t>0.00~200mS/cm</w:t>
                  </w:r>
                  <w:r>
                    <w:rPr>
                      <w:rFonts w:hint="eastAsia"/>
                      <w:szCs w:val="21"/>
                      <w:highlight w:val="none"/>
                    </w:rPr>
                    <w:t>，精度：</w:t>
                  </w:r>
                  <w:r>
                    <w:rPr>
                      <w:szCs w:val="21"/>
                      <w:highlight w:val="none"/>
                    </w:rPr>
                    <w:t>±1F.S,</w:t>
                  </w:r>
                  <w:r>
                    <w:rPr>
                      <w:rFonts w:hint="eastAsia"/>
                      <w:szCs w:val="21"/>
                      <w:highlight w:val="none"/>
                    </w:rPr>
                    <w:t>浸没式安 装，带远传功能</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18</w:t>
                  </w:r>
                </w:p>
              </w:tc>
              <w:tc>
                <w:tcPr>
                  <w:tcW w:w="1064" w:type="pct"/>
                  <w:vAlign w:val="center"/>
                </w:tcPr>
                <w:p>
                  <w:pPr>
                    <w:adjustRightInd w:val="0"/>
                    <w:snapToGrid w:val="0"/>
                    <w:jc w:val="center"/>
                    <w:rPr>
                      <w:rFonts w:hint="eastAsia"/>
                      <w:szCs w:val="21"/>
                      <w:highlight w:val="none"/>
                    </w:rPr>
                  </w:pPr>
                  <w:r>
                    <w:rPr>
                      <w:rFonts w:hint="eastAsia"/>
                      <w:szCs w:val="21"/>
                      <w:highlight w:val="none"/>
                    </w:rPr>
                    <w:t>立式离心水泵</w:t>
                  </w:r>
                </w:p>
              </w:tc>
              <w:tc>
                <w:tcPr>
                  <w:tcW w:w="382" w:type="pct"/>
                  <w:tcBorders>
                    <w:right w:val="single" w:sz="4" w:space="0" w:color="auto"/>
                  </w:tcBorders>
                  <w:vAlign w:val="center"/>
                </w:tcPr>
                <w:p>
                  <w:pPr>
                    <w:adjustRightInd w:val="0"/>
                    <w:snapToGrid w:val="0"/>
                    <w:jc w:val="center"/>
                    <w:rPr>
                      <w:szCs w:val="21"/>
                      <w:highlight w:val="none"/>
                    </w:rPr>
                  </w:pPr>
                  <w:r>
                    <w:rPr>
                      <w:rFonts w:hint="eastAsia"/>
                      <w:szCs w:val="21"/>
                      <w:highlight w:val="none"/>
                    </w:rPr>
                    <w:t>2</w:t>
                  </w:r>
                  <w:r>
                    <w:rPr>
                      <w:szCs w:val="21"/>
                      <w:highlight w:val="none"/>
                    </w:rPr>
                    <w:t>台</w:t>
                  </w:r>
                </w:p>
              </w:tc>
              <w:tc>
                <w:tcPr>
                  <w:tcW w:w="2673" w:type="pct"/>
                  <w:vAlign w:val="center"/>
                </w:tcPr>
                <w:p>
                  <w:pPr>
                    <w:adjustRightInd w:val="0"/>
                    <w:snapToGrid w:val="0"/>
                    <w:jc w:val="center"/>
                    <w:rPr>
                      <w:szCs w:val="21"/>
                      <w:highlight w:val="none"/>
                    </w:rPr>
                  </w:pPr>
                  <w:r>
                    <w:rPr>
                      <w:szCs w:val="21"/>
                      <w:highlight w:val="none"/>
                    </w:rPr>
                    <w:t>Q=307m³/h</w:t>
                  </w:r>
                  <w:r>
                    <w:rPr>
                      <w:rFonts w:hint="eastAsia"/>
                      <w:szCs w:val="21"/>
                      <w:highlight w:val="none"/>
                    </w:rPr>
                    <w:t>，</w:t>
                  </w:r>
                  <w:r>
                    <w:rPr>
                      <w:szCs w:val="21"/>
                      <w:highlight w:val="none"/>
                    </w:rPr>
                    <w:t>H=71m</w:t>
                  </w:r>
                  <w:r>
                    <w:rPr>
                      <w:rFonts w:hint="eastAsia"/>
                      <w:szCs w:val="21"/>
                      <w:highlight w:val="none"/>
                    </w:rPr>
                    <w:t>，</w:t>
                  </w:r>
                  <w:r>
                    <w:rPr>
                      <w:szCs w:val="21"/>
                      <w:highlight w:val="none"/>
                    </w:rPr>
                    <w:t>N=110Kw</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19</w:t>
                  </w:r>
                </w:p>
              </w:tc>
              <w:tc>
                <w:tcPr>
                  <w:tcW w:w="1064" w:type="pct"/>
                  <w:vAlign w:val="center"/>
                </w:tcPr>
                <w:p>
                  <w:pPr>
                    <w:adjustRightInd w:val="0"/>
                    <w:snapToGrid w:val="0"/>
                    <w:jc w:val="center"/>
                    <w:rPr>
                      <w:rFonts w:hint="eastAsia"/>
                      <w:szCs w:val="21"/>
                      <w:highlight w:val="none"/>
                    </w:rPr>
                  </w:pPr>
                  <w:r>
                    <w:rPr>
                      <w:rFonts w:hint="eastAsia"/>
                      <w:szCs w:val="21"/>
                      <w:highlight w:val="none"/>
                    </w:rPr>
                    <w:t>立式离心水泵</w:t>
                  </w:r>
                </w:p>
              </w:tc>
              <w:tc>
                <w:tcPr>
                  <w:tcW w:w="382" w:type="pct"/>
                  <w:tcBorders>
                    <w:right w:val="single" w:sz="4" w:space="0" w:color="auto"/>
                  </w:tcBorders>
                  <w:vAlign w:val="center"/>
                </w:tcPr>
                <w:p>
                  <w:pPr>
                    <w:adjustRightInd w:val="0"/>
                    <w:snapToGrid w:val="0"/>
                    <w:jc w:val="center"/>
                    <w:rPr>
                      <w:szCs w:val="21"/>
                      <w:highlight w:val="none"/>
                    </w:rPr>
                  </w:pPr>
                  <w:r>
                    <w:rPr>
                      <w:szCs w:val="21"/>
                      <w:highlight w:val="none"/>
                    </w:rPr>
                    <w:t>1台</w:t>
                  </w:r>
                </w:p>
              </w:tc>
              <w:tc>
                <w:tcPr>
                  <w:tcW w:w="2673" w:type="pct"/>
                  <w:vAlign w:val="center"/>
                </w:tcPr>
                <w:p>
                  <w:pPr>
                    <w:adjustRightInd w:val="0"/>
                    <w:snapToGrid w:val="0"/>
                    <w:jc w:val="center"/>
                    <w:rPr>
                      <w:szCs w:val="21"/>
                      <w:highlight w:val="none"/>
                    </w:rPr>
                  </w:pPr>
                  <w:r>
                    <w:rPr>
                      <w:szCs w:val="21"/>
                      <w:highlight w:val="none"/>
                    </w:rPr>
                    <w:t>Q=488m³/h</w:t>
                  </w:r>
                  <w:r>
                    <w:rPr>
                      <w:rFonts w:hint="eastAsia"/>
                      <w:szCs w:val="21"/>
                      <w:highlight w:val="none"/>
                    </w:rPr>
                    <w:t>，</w:t>
                  </w:r>
                  <w:r>
                    <w:rPr>
                      <w:szCs w:val="21"/>
                      <w:highlight w:val="none"/>
                    </w:rPr>
                    <w:t>H=20m</w:t>
                  </w:r>
                  <w:r>
                    <w:rPr>
                      <w:rFonts w:hint="eastAsia"/>
                      <w:szCs w:val="21"/>
                      <w:highlight w:val="none"/>
                    </w:rPr>
                    <w:t>，</w:t>
                  </w:r>
                  <w:r>
                    <w:rPr>
                      <w:szCs w:val="21"/>
                      <w:highlight w:val="none"/>
                    </w:rPr>
                    <w:t>N=55Kw</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20</w:t>
                  </w:r>
                </w:p>
              </w:tc>
              <w:tc>
                <w:tcPr>
                  <w:tcW w:w="1064" w:type="pct"/>
                  <w:vAlign w:val="center"/>
                </w:tcPr>
                <w:p>
                  <w:pPr>
                    <w:adjustRightInd w:val="0"/>
                    <w:snapToGrid w:val="0"/>
                    <w:jc w:val="center"/>
                    <w:rPr>
                      <w:rFonts w:hint="eastAsia"/>
                      <w:szCs w:val="21"/>
                      <w:highlight w:val="none"/>
                    </w:rPr>
                  </w:pPr>
                  <w:r>
                    <w:rPr>
                      <w:rFonts w:hint="eastAsia"/>
                      <w:szCs w:val="21"/>
                      <w:highlight w:val="none"/>
                    </w:rPr>
                    <w:t>电动单梁悬挂式起重机</w:t>
                  </w:r>
                </w:p>
              </w:tc>
              <w:tc>
                <w:tcPr>
                  <w:tcW w:w="382" w:type="pct"/>
                  <w:tcBorders>
                    <w:right w:val="single" w:sz="4" w:space="0" w:color="auto"/>
                  </w:tcBorders>
                  <w:vAlign w:val="center"/>
                </w:tcPr>
                <w:p>
                  <w:pPr>
                    <w:adjustRightInd w:val="0"/>
                    <w:snapToGrid w:val="0"/>
                    <w:jc w:val="center"/>
                    <w:rPr>
                      <w:szCs w:val="21"/>
                      <w:highlight w:val="none"/>
                    </w:rPr>
                  </w:pPr>
                  <w:r>
                    <w:rPr>
                      <w:szCs w:val="21"/>
                      <w:highlight w:val="none"/>
                    </w:rPr>
                    <w:t>1台</w:t>
                  </w:r>
                </w:p>
              </w:tc>
              <w:tc>
                <w:tcPr>
                  <w:tcW w:w="2673" w:type="pct"/>
                  <w:vAlign w:val="center"/>
                </w:tcPr>
                <w:p>
                  <w:pPr>
                    <w:adjustRightInd w:val="0"/>
                    <w:snapToGrid w:val="0"/>
                    <w:jc w:val="center"/>
                    <w:rPr>
                      <w:szCs w:val="21"/>
                      <w:highlight w:val="none"/>
                    </w:rPr>
                  </w:pPr>
                  <w:r>
                    <w:rPr>
                      <w:szCs w:val="21"/>
                      <w:highlight w:val="none"/>
                    </w:rPr>
                    <w:t>L=6.0m</w:t>
                  </w:r>
                  <w:r>
                    <w:rPr>
                      <w:rFonts w:hint="eastAsia"/>
                      <w:szCs w:val="21"/>
                      <w:highlight w:val="none"/>
                    </w:rPr>
                    <w:t xml:space="preserve">，起高 </w:t>
                  </w:r>
                  <w:r>
                    <w:rPr>
                      <w:szCs w:val="21"/>
                      <w:highlight w:val="none"/>
                    </w:rPr>
                    <w:t>8m</w:t>
                  </w:r>
                  <w:r>
                    <w:rPr>
                      <w:rFonts w:hint="eastAsia"/>
                      <w:szCs w:val="21"/>
                      <w:highlight w:val="none"/>
                    </w:rPr>
                    <w:t>，起重</w:t>
                  </w:r>
                  <w:r>
                    <w:rPr>
                      <w:szCs w:val="21"/>
                      <w:highlight w:val="none"/>
                    </w:rPr>
                    <w:t>1t</w:t>
                  </w:r>
                  <w:r>
                    <w:rPr>
                      <w:rFonts w:hint="eastAsia"/>
                      <w:szCs w:val="21"/>
                      <w:highlight w:val="none"/>
                    </w:rPr>
                    <w:t xml:space="preserve">，起升功率 </w:t>
                  </w:r>
                  <w:r>
                    <w:rPr>
                      <w:szCs w:val="21"/>
                      <w:highlight w:val="none"/>
                    </w:rPr>
                    <w:t>1.5Kw</w:t>
                  </w:r>
                  <w:r>
                    <w:rPr>
                      <w:rFonts w:hint="eastAsia"/>
                      <w:szCs w:val="21"/>
                      <w:highlight w:val="none"/>
                    </w:rPr>
                    <w:t xml:space="preserve">，运行功率 </w:t>
                  </w:r>
                  <w:r>
                    <w:rPr>
                      <w:szCs w:val="21"/>
                      <w:highlight w:val="none"/>
                    </w:rPr>
                    <w:t>0.2Kw,</w:t>
                  </w:r>
                  <w:r>
                    <w:rPr>
                      <w:rFonts w:hint="eastAsia"/>
                      <w:szCs w:val="21"/>
                      <w:highlight w:val="none"/>
                    </w:rPr>
                    <w:t>配电动葫芦</w:t>
                  </w:r>
                </w:p>
              </w:tc>
              <w:tc>
                <w:tcPr>
                  <w:tcW w:w="511" w:type="pct"/>
                  <w:vAlign w:val="center"/>
                </w:tcPr>
                <w:p>
                  <w:pPr>
                    <w:adjustRightInd w:val="0"/>
                    <w:snapToGrid w:val="0"/>
                    <w:jc w:val="center"/>
                    <w:rPr>
                      <w:rFonts w:hint="eastAsia"/>
                      <w:szCs w:val="21"/>
                      <w:highlight w:val="none"/>
                    </w:rPr>
                  </w:pPr>
                  <w:r>
                    <w:rPr>
                      <w:rFonts w:hint="eastAsia"/>
                      <w:szCs w:val="21"/>
                      <w:highlight w:val="none"/>
                    </w:rPr>
                    <w:t>新建，反冲洗泵房内</w:t>
                  </w:r>
                </w:p>
              </w:tc>
            </w:tr>
            <w:tr>
              <w:trPr>
                <w:trHeight w:val="340"/>
              </w:trPr>
              <w:tc>
                <w:tcPr>
                  <w:tcW w:w="367" w:type="pct"/>
                  <w:vAlign w:val="center"/>
                </w:tcPr>
                <w:p>
                  <w:pPr>
                    <w:adjustRightInd w:val="0"/>
                    <w:snapToGrid w:val="0"/>
                    <w:jc w:val="center"/>
                    <w:rPr>
                      <w:rFonts w:eastAsia="宋体" w:hint="eastAsia"/>
                      <w:b/>
                      <w:bCs/>
                      <w:kern w:val="0"/>
                      <w:szCs w:val="21"/>
                      <w:lang w:eastAsia="zh-CN"/>
                      <w:highlight w:val="none"/>
                    </w:rPr>
                  </w:pPr>
                  <w:r>
                    <w:rPr>
                      <w:rFonts w:hint="eastAsia"/>
                      <w:b/>
                      <w:bCs/>
                      <w:kern w:val="0"/>
                      <w:szCs w:val="21"/>
                      <w:lang w:val="en-US" w:eastAsia="zh-CN"/>
                      <w:highlight w:val="none"/>
                    </w:rPr>
                    <w:t>六</w:t>
                  </w:r>
                </w:p>
              </w:tc>
              <w:tc>
                <w:tcPr>
                  <w:tcW w:w="4632" w:type="pct"/>
                  <w:gridSpan w:val="4"/>
                  <w:vAlign w:val="center"/>
                </w:tcPr>
                <w:p>
                  <w:pPr>
                    <w:adjustRightInd w:val="0"/>
                    <w:snapToGrid w:val="0"/>
                    <w:jc w:val="center"/>
                    <w:rPr>
                      <w:szCs w:val="21"/>
                      <w:highlight w:val="none"/>
                    </w:rPr>
                  </w:pPr>
                  <w:r>
                    <w:rPr>
                      <w:rFonts w:hint="eastAsia"/>
                      <w:b/>
                      <w:bCs/>
                      <w:szCs w:val="21"/>
                      <w:highlight w:val="none"/>
                    </w:rPr>
                    <w:t>加药间</w:t>
                  </w:r>
                </w:p>
              </w:tc>
            </w:tr>
            <w:tr>
              <w:trPr>
                <w:trHeight w:val="340"/>
              </w:trPr>
              <w:tc>
                <w:tcPr>
                  <w:tcW w:w="367" w:type="pct"/>
                  <w:vAlign w:val="center"/>
                </w:tcPr>
                <w:p>
                  <w:pPr>
                    <w:adjustRightInd w:val="0"/>
                    <w:snapToGrid w:val="0"/>
                    <w:jc w:val="center"/>
                    <w:rPr>
                      <w:rFonts w:eastAsia="宋体" w:hint="eastAsia"/>
                      <w:kern w:val="0"/>
                      <w:szCs w:val="21"/>
                      <w:lang w:eastAsia="zh-CN"/>
                      <w:highlight w:val="none"/>
                    </w:rPr>
                  </w:pPr>
                  <w:r>
                    <w:rPr>
                      <w:kern w:val="0"/>
                      <w:szCs w:val="21"/>
                      <w:highlight w:val="none"/>
                    </w:rPr>
                    <w:t>2</w:t>
                  </w:r>
                  <w:r>
                    <w:rPr>
                      <w:rFonts w:hint="eastAsia"/>
                      <w:kern w:val="0"/>
                      <w:szCs w:val="21"/>
                      <w:lang w:val="en-US" w:eastAsia="zh-CN"/>
                      <w:highlight w:val="none"/>
                    </w:rPr>
                    <w:t>1</w:t>
                  </w:r>
                </w:p>
              </w:tc>
              <w:tc>
                <w:tcPr>
                  <w:tcW w:w="1064" w:type="pct"/>
                  <w:vAlign w:val="center"/>
                </w:tcPr>
                <w:p>
                  <w:pPr>
                    <w:adjustRightInd w:val="0"/>
                    <w:snapToGrid w:val="0"/>
                    <w:jc w:val="center"/>
                    <w:rPr>
                      <w:rFonts w:hint="eastAsia"/>
                      <w:szCs w:val="21"/>
                      <w:highlight w:val="none"/>
                    </w:rPr>
                  </w:pPr>
                  <w:r>
                    <w:rPr>
                      <w:rFonts w:hint="eastAsia"/>
                      <w:szCs w:val="21"/>
                      <w:highlight w:val="none"/>
                    </w:rPr>
                    <w:t>轴流风机</w:t>
                  </w:r>
                </w:p>
              </w:tc>
              <w:tc>
                <w:tcPr>
                  <w:tcW w:w="382" w:type="pct"/>
                  <w:tcBorders>
                    <w:right w:val="single" w:sz="4" w:space="0" w:color="auto"/>
                  </w:tcBorders>
                  <w:vAlign w:val="center"/>
                </w:tcPr>
                <w:p>
                  <w:pPr>
                    <w:adjustRightInd w:val="0"/>
                    <w:snapToGrid w:val="0"/>
                    <w:jc w:val="center"/>
                    <w:rPr>
                      <w:rFonts w:eastAsia="宋体" w:hint="eastAsia"/>
                      <w:szCs w:val="21"/>
                      <w:lang w:eastAsia="zh-CN"/>
                      <w:highlight w:val="none"/>
                    </w:rPr>
                  </w:pPr>
                  <w:r>
                    <w:rPr>
                      <w:rFonts w:hint="eastAsia"/>
                      <w:szCs w:val="21"/>
                      <w:highlight w:val="none"/>
                    </w:rPr>
                    <w:t>2</w:t>
                  </w:r>
                  <w:r>
                    <w:rPr>
                      <w:rFonts w:hint="eastAsia"/>
                      <w:szCs w:val="21"/>
                      <w:lang w:val="en-US" w:eastAsia="zh-CN"/>
                      <w:highlight w:val="none"/>
                    </w:rPr>
                    <w:t>台</w:t>
                  </w:r>
                </w:p>
              </w:tc>
              <w:tc>
                <w:tcPr>
                  <w:tcW w:w="2673" w:type="pct"/>
                  <w:vAlign w:val="center"/>
                </w:tcPr>
                <w:p>
                  <w:pPr>
                    <w:adjustRightInd w:val="0"/>
                    <w:snapToGrid w:val="0"/>
                    <w:jc w:val="center"/>
                    <w:rPr>
                      <w:szCs w:val="21"/>
                      <w:highlight w:val="none"/>
                    </w:rPr>
                  </w:pPr>
                  <w:r>
                    <w:rPr>
                      <w:sz w:val="21"/>
                      <w:szCs w:val="24"/>
                      <w:highlight w:val="none"/>
                    </w:rPr>
                    <w:t>T35-II-2.8-15°</w:t>
                  </w:r>
                  <w:r>
                    <w:rPr>
                      <w:rFonts w:ascii="仿宋_GB2312" w:eastAsia="仿宋_GB2312" w:hAnsi="仿宋_GB2312" w:hint="eastAsia"/>
                      <w:sz w:val="21"/>
                      <w:szCs w:val="24"/>
                      <w:highlight w:val="none"/>
                    </w:rPr>
                    <w:t>，</w:t>
                  </w:r>
                  <w:r>
                    <w:rPr>
                      <w:sz w:val="21"/>
                      <w:szCs w:val="24"/>
                      <w:highlight w:val="none"/>
                    </w:rPr>
                    <w:t>0.18kW</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hint="eastAsia"/>
                      <w:kern w:val="0"/>
                      <w:szCs w:val="21"/>
                      <w:lang w:eastAsia="zh-CN"/>
                      <w:highlight w:val="none"/>
                    </w:rPr>
                  </w:pPr>
                  <w:r>
                    <w:rPr>
                      <w:rFonts w:hint="eastAsia"/>
                      <w:kern w:val="0"/>
                      <w:szCs w:val="21"/>
                      <w:highlight w:val="none"/>
                    </w:rPr>
                    <w:t>2</w:t>
                  </w:r>
                  <w:r>
                    <w:rPr>
                      <w:rFonts w:hint="eastAsia"/>
                      <w:kern w:val="0"/>
                      <w:szCs w:val="21"/>
                      <w:lang w:val="en-US" w:eastAsia="zh-CN"/>
                      <w:highlight w:val="none"/>
                    </w:rPr>
                    <w:t>2</w:t>
                  </w:r>
                </w:p>
              </w:tc>
              <w:tc>
                <w:tcPr>
                  <w:tcW w:w="1064" w:type="pct"/>
                  <w:vAlign w:val="center"/>
                </w:tcPr>
                <w:p>
                  <w:pPr>
                    <w:adjustRightInd w:val="0"/>
                    <w:snapToGrid w:val="0"/>
                    <w:jc w:val="center"/>
                    <w:rPr>
                      <w:rFonts w:hint="eastAsia"/>
                      <w:szCs w:val="21"/>
                      <w:highlight w:val="none"/>
                    </w:rPr>
                  </w:pPr>
                  <w:r>
                    <w:rPr>
                      <w:rFonts w:hint="eastAsia"/>
                      <w:szCs w:val="21"/>
                      <w:highlight w:val="none"/>
                    </w:rPr>
                    <w:t>加矾系统</w:t>
                  </w:r>
                </w:p>
              </w:tc>
              <w:tc>
                <w:tcPr>
                  <w:tcW w:w="382" w:type="pct"/>
                  <w:tcBorders>
                    <w:right w:val="single" w:sz="4" w:space="0" w:color="auto"/>
                  </w:tcBorders>
                  <w:vAlign w:val="center"/>
                </w:tcPr>
                <w:p>
                  <w:pPr>
                    <w:adjustRightInd w:val="0"/>
                    <w:snapToGrid w:val="0"/>
                    <w:jc w:val="center"/>
                    <w:rPr>
                      <w:rFonts w:eastAsia="宋体"/>
                      <w:szCs w:val="21"/>
                      <w:lang w:val="en-US" w:eastAsia="zh-CN"/>
                      <w:highlight w:val="none"/>
                    </w:rPr>
                  </w:pPr>
                  <w:r>
                    <w:rPr>
                      <w:rFonts w:hint="eastAsia"/>
                      <w:szCs w:val="21"/>
                      <w:lang w:val="en-US" w:eastAsia="zh-CN"/>
                      <w:highlight w:val="none"/>
                    </w:rPr>
                    <w:t>1套</w:t>
                  </w:r>
                </w:p>
              </w:tc>
              <w:tc>
                <w:tcPr>
                  <w:tcW w:w="2673" w:type="pct"/>
                  <w:vAlign w:val="center"/>
                </w:tcPr>
                <w:p>
                  <w:pPr>
                    <w:adjustRightInd w:val="0"/>
                    <w:snapToGrid w:val="0"/>
                    <w:jc w:val="center"/>
                    <w:rPr>
                      <w:szCs w:val="21"/>
                      <w:highlight w:val="none"/>
                    </w:rPr>
                  </w:pPr>
                  <w:r>
                    <w:rPr>
                      <w:rFonts w:hint="eastAsia"/>
                      <w:szCs w:val="21"/>
                      <w:highlight w:val="none"/>
                    </w:rPr>
                    <w:t xml:space="preserve">含隔膜式计量泵 </w:t>
                  </w:r>
                  <w:r>
                    <w:rPr>
                      <w:szCs w:val="21"/>
                      <w:highlight w:val="none"/>
                    </w:rPr>
                    <w:t xml:space="preserve">2 </w:t>
                  </w:r>
                  <w:r>
                    <w:rPr>
                      <w:rFonts w:hint="eastAsia"/>
                      <w:szCs w:val="21"/>
                      <w:highlight w:val="none"/>
                    </w:rPr>
                    <w:t>台，</w:t>
                  </w:r>
                  <w:r>
                    <w:rPr>
                      <w:szCs w:val="21"/>
                      <w:highlight w:val="none"/>
                    </w:rPr>
                    <w:t xml:space="preserve">1 </w:t>
                  </w:r>
                  <w:r>
                    <w:rPr>
                      <w:rFonts w:hint="eastAsia"/>
                      <w:szCs w:val="21"/>
                      <w:highlight w:val="none"/>
                    </w:rPr>
                    <w:t xml:space="preserve">用 </w:t>
                  </w:r>
                  <w:r>
                    <w:rPr>
                      <w:szCs w:val="21"/>
                      <w:highlight w:val="none"/>
                    </w:rPr>
                    <w:t xml:space="preserve">1 </w:t>
                  </w:r>
                  <w:r>
                    <w:rPr>
                      <w:rFonts w:hint="eastAsia"/>
                      <w:szCs w:val="21"/>
                      <w:highlight w:val="none"/>
                    </w:rPr>
                    <w:t xml:space="preserve">备，单泵加注能力 </w:t>
                  </w:r>
                  <w:r>
                    <w:rPr>
                      <w:szCs w:val="21"/>
                      <w:highlight w:val="none"/>
                    </w:rPr>
                    <w:t>Q=360L/h,</w:t>
                  </w:r>
                  <w:r>
                    <w:rPr>
                      <w:rFonts w:hint="eastAsia"/>
                      <w:szCs w:val="21"/>
                      <w:highlight w:val="none"/>
                    </w:rPr>
                    <w:t xml:space="preserve">加注压力 </w:t>
                  </w:r>
                  <w:r>
                    <w:rPr>
                      <w:szCs w:val="21"/>
                      <w:highlight w:val="none"/>
                    </w:rPr>
                    <w:t>4bar</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hint="eastAsia"/>
                      <w:kern w:val="0"/>
                      <w:szCs w:val="21"/>
                      <w:lang w:eastAsia="zh-CN"/>
                      <w:highlight w:val="none"/>
                    </w:rPr>
                  </w:pPr>
                  <w:r>
                    <w:rPr>
                      <w:rFonts w:hint="eastAsia"/>
                      <w:kern w:val="0"/>
                      <w:szCs w:val="21"/>
                      <w:highlight w:val="none"/>
                    </w:rPr>
                    <w:t>2</w:t>
                  </w:r>
                  <w:r>
                    <w:rPr>
                      <w:rFonts w:hint="eastAsia"/>
                      <w:kern w:val="0"/>
                      <w:szCs w:val="21"/>
                      <w:lang w:val="en-US" w:eastAsia="zh-CN"/>
                      <w:highlight w:val="none"/>
                    </w:rPr>
                    <w:t>3</w:t>
                  </w:r>
                </w:p>
              </w:tc>
              <w:tc>
                <w:tcPr>
                  <w:tcW w:w="1064" w:type="pct"/>
                  <w:vAlign w:val="center"/>
                </w:tcPr>
                <w:p>
                  <w:pPr>
                    <w:adjustRightInd w:val="0"/>
                    <w:snapToGrid w:val="0"/>
                    <w:jc w:val="center"/>
                    <w:rPr>
                      <w:szCs w:val="21"/>
                      <w:highlight w:val="none"/>
                    </w:rPr>
                  </w:pPr>
                  <w:r>
                    <w:rPr>
                      <w:rFonts w:hint="eastAsia"/>
                      <w:szCs w:val="21"/>
                      <w:highlight w:val="none"/>
                    </w:rPr>
                    <w:t>次氯酸钠制备投加系统</w:t>
                  </w:r>
                </w:p>
              </w:tc>
              <w:tc>
                <w:tcPr>
                  <w:tcW w:w="382" w:type="pct"/>
                  <w:tcBorders>
                    <w:right w:val="single" w:sz="4" w:space="0" w:color="auto"/>
                  </w:tcBorders>
                  <w:vAlign w:val="center"/>
                </w:tcPr>
                <w:p>
                  <w:pPr>
                    <w:adjustRightInd w:val="0"/>
                    <w:snapToGrid w:val="0"/>
                    <w:jc w:val="center"/>
                    <w:rPr>
                      <w:rFonts w:eastAsia="宋体"/>
                      <w:szCs w:val="21"/>
                      <w:lang w:val="en-US" w:eastAsia="zh-CN"/>
                      <w:highlight w:val="none"/>
                    </w:rPr>
                  </w:pPr>
                  <w:r>
                    <w:rPr>
                      <w:rFonts w:hint="eastAsia"/>
                      <w:szCs w:val="21"/>
                      <w:lang w:val="en-US" w:eastAsia="zh-CN"/>
                      <w:highlight w:val="none"/>
                    </w:rPr>
                    <w:t>1套</w:t>
                  </w:r>
                </w:p>
              </w:tc>
              <w:tc>
                <w:tcPr>
                  <w:tcW w:w="2673" w:type="pct"/>
                  <w:vAlign w:val="center"/>
                </w:tcPr>
                <w:p>
                  <w:pPr>
                    <w:adjustRightInd w:val="0"/>
                    <w:snapToGrid w:val="0"/>
                    <w:jc w:val="center"/>
                    <w:rPr>
                      <w:szCs w:val="21"/>
                      <w:highlight w:val="none"/>
                    </w:rPr>
                  </w:pPr>
                  <w:r>
                    <w:rPr>
                      <w:rFonts w:hint="eastAsia"/>
                      <w:szCs w:val="21"/>
                      <w:highlight w:val="none"/>
                    </w:rPr>
                    <w:t>含前加氯和后加氯，储液罐、智能投加装置及配套控制系统，三泵组，</w:t>
                  </w:r>
                  <w:r>
                    <w:rPr>
                      <w:szCs w:val="21"/>
                      <w:highlight w:val="none"/>
                    </w:rPr>
                    <w:t xml:space="preserve">2 </w:t>
                  </w:r>
                  <w:r>
                    <w:rPr>
                      <w:rFonts w:hint="eastAsia"/>
                      <w:szCs w:val="21"/>
                      <w:highlight w:val="none"/>
                    </w:rPr>
                    <w:t xml:space="preserve">用 </w:t>
                  </w:r>
                  <w:r>
                    <w:rPr>
                      <w:szCs w:val="21"/>
                      <w:highlight w:val="none"/>
                    </w:rPr>
                    <w:t xml:space="preserve">1 </w:t>
                  </w:r>
                  <w:r>
                    <w:rPr>
                      <w:rFonts w:hint="eastAsia"/>
                      <w:szCs w:val="21"/>
                      <w:highlight w:val="none"/>
                    </w:rPr>
                    <w:t>备</w:t>
                  </w:r>
                </w:p>
              </w:tc>
              <w:tc>
                <w:tcPr>
                  <w:tcW w:w="511" w:type="pct"/>
                  <w:vAlign w:val="center"/>
                </w:tcPr>
                <w:p>
                  <w:pPr>
                    <w:adjustRightInd w:val="0"/>
                    <w:snapToGrid w:val="0"/>
                    <w:jc w:val="center"/>
                    <w:rPr>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hint="eastAsia"/>
                      <w:b/>
                      <w:bCs/>
                      <w:kern w:val="0"/>
                      <w:szCs w:val="21"/>
                      <w:lang w:val="en-US" w:eastAsia="zh-CN"/>
                      <w:highlight w:val="none"/>
                    </w:rPr>
                  </w:pPr>
                  <w:r>
                    <w:rPr>
                      <w:rFonts w:hint="eastAsia"/>
                      <w:b/>
                      <w:bCs/>
                      <w:kern w:val="0"/>
                      <w:szCs w:val="21"/>
                      <w:lang w:val="en-US" w:eastAsia="zh-CN"/>
                      <w:highlight w:val="none"/>
                    </w:rPr>
                    <w:t>七</w:t>
                  </w:r>
                </w:p>
              </w:tc>
              <w:tc>
                <w:tcPr>
                  <w:tcW w:w="4632" w:type="pct"/>
                  <w:gridSpan w:val="4"/>
                  <w:vAlign w:val="center"/>
                </w:tcPr>
                <w:p>
                  <w:pPr>
                    <w:adjustRightInd w:val="0"/>
                    <w:snapToGrid w:val="0"/>
                    <w:jc w:val="center"/>
                    <w:rPr>
                      <w:b/>
                      <w:bCs/>
                      <w:kern w:val="0"/>
                      <w:szCs w:val="21"/>
                      <w:lang w:val="en-US" w:eastAsia="zh-CN"/>
                      <w:highlight w:val="none"/>
                    </w:rPr>
                  </w:pPr>
                  <w:r>
                    <w:rPr>
                      <w:rFonts w:hint="eastAsia"/>
                      <w:b/>
                      <w:bCs/>
                      <w:kern w:val="0"/>
                      <w:szCs w:val="21"/>
                      <w:lang w:val="en-US" w:eastAsia="zh-CN"/>
                      <w:highlight w:val="none"/>
                    </w:rPr>
                    <w:t>取水泵站</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24</w:t>
                  </w:r>
                </w:p>
              </w:tc>
              <w:tc>
                <w:tcPr>
                  <w:tcW w:w="1064" w:type="pct"/>
                  <w:vAlign w:val="center"/>
                </w:tcPr>
                <w:p>
                  <w:pPr>
                    <w:adjustRightInd w:val="0"/>
                    <w:snapToGrid w:val="0"/>
                    <w:jc w:val="center"/>
                    <w:rPr>
                      <w:rFonts w:hint="eastAsia"/>
                      <w:szCs w:val="21"/>
                      <w:highlight w:val="none"/>
                    </w:rPr>
                  </w:pPr>
                  <w:r>
                    <w:rPr>
                      <w:rFonts w:hint="eastAsia"/>
                      <w:szCs w:val="21"/>
                      <w:highlight w:val="none"/>
                    </w:rPr>
                    <w:t>一体化浮床式取水泵站</w:t>
                  </w:r>
                </w:p>
              </w:tc>
              <w:tc>
                <w:tcPr>
                  <w:tcW w:w="382" w:type="pct"/>
                  <w:tcBorders>
                    <w:right w:val="single" w:sz="4" w:space="0" w:color="auto"/>
                  </w:tcBorders>
                  <w:vAlign w:val="center"/>
                </w:tcPr>
                <w:p>
                  <w:pPr>
                    <w:adjustRightInd w:val="0"/>
                    <w:snapToGrid w:val="0"/>
                    <w:jc w:val="center"/>
                    <w:rPr>
                      <w:rFonts w:hint="eastAsia"/>
                      <w:szCs w:val="21"/>
                      <w:lang w:val="en-US" w:eastAsia="zh-CN"/>
                      <w:highlight w:val="none"/>
                    </w:rPr>
                  </w:pPr>
                  <w:r>
                    <w:rPr>
                      <w:rFonts w:hint="eastAsia"/>
                      <w:szCs w:val="21"/>
                      <w:lang w:val="en-US" w:eastAsia="zh-CN"/>
                      <w:highlight w:val="none"/>
                    </w:rPr>
                    <w:t>1套</w:t>
                  </w:r>
                </w:p>
              </w:tc>
              <w:tc>
                <w:tcPr>
                  <w:tcW w:w="2673" w:type="pct"/>
                  <w:vAlign w:val="center"/>
                </w:tcPr>
                <w:p>
                  <w:pPr>
                    <w:adjustRightInd w:val="0"/>
                    <w:snapToGrid w:val="0"/>
                    <w:jc w:val="center"/>
                    <w:rPr>
                      <w:rFonts w:hint="eastAsia"/>
                      <w:szCs w:val="21"/>
                      <w:highlight w:val="none"/>
                    </w:rPr>
                  </w:pPr>
                  <w:r>
                    <w:rPr>
                      <w:rFonts w:hint="eastAsia"/>
                      <w:szCs w:val="21"/>
                      <w:highlight w:val="none"/>
                    </w:rPr>
                    <w:t>含浮船，泵组，自控配 电系统，安装组件等</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b/>
                      <w:bCs/>
                      <w:kern w:val="0"/>
                      <w:szCs w:val="21"/>
                      <w:lang w:val="en-US" w:eastAsia="zh-CN"/>
                      <w:highlight w:val="none"/>
                    </w:rPr>
                  </w:pPr>
                  <w:r>
                    <w:rPr>
                      <w:rFonts w:hint="eastAsia"/>
                      <w:b/>
                      <w:bCs/>
                      <w:kern w:val="0"/>
                      <w:szCs w:val="21"/>
                      <w:lang w:val="en-US" w:eastAsia="zh-CN"/>
                      <w:highlight w:val="none"/>
                    </w:rPr>
                    <w:t>八</w:t>
                  </w:r>
                </w:p>
              </w:tc>
              <w:tc>
                <w:tcPr>
                  <w:tcW w:w="4632" w:type="pct"/>
                  <w:gridSpan w:val="4"/>
                  <w:vAlign w:val="center"/>
                </w:tcPr>
                <w:p>
                  <w:pPr>
                    <w:adjustRightInd w:val="0"/>
                    <w:snapToGrid w:val="0"/>
                    <w:jc w:val="center"/>
                    <w:rPr>
                      <w:b/>
                      <w:bCs/>
                      <w:kern w:val="0"/>
                      <w:szCs w:val="21"/>
                      <w:lang w:val="en-US" w:eastAsia="zh-CN"/>
                      <w:highlight w:val="none"/>
                    </w:rPr>
                  </w:pPr>
                  <w:r>
                    <w:rPr>
                      <w:rFonts w:hint="eastAsia"/>
                      <w:b/>
                      <w:bCs/>
                      <w:kern w:val="0"/>
                      <w:szCs w:val="21"/>
                      <w:lang w:val="en-US" w:eastAsia="zh-CN"/>
                      <w:highlight w:val="none"/>
                    </w:rPr>
                    <w:t>加压泵站</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25</w:t>
                  </w:r>
                </w:p>
              </w:tc>
              <w:tc>
                <w:tcPr>
                  <w:tcW w:w="1064" w:type="pct"/>
                  <w:vAlign w:val="center"/>
                </w:tcPr>
                <w:p>
                  <w:pPr>
                    <w:adjustRightInd w:val="0"/>
                    <w:snapToGrid w:val="0"/>
                    <w:jc w:val="center"/>
                    <w:rPr>
                      <w:rFonts w:ascii="Times New Roman" w:eastAsia="宋体" w:cs="Times New Roman" w:hAnsi="Times New Roman" w:hint="eastAsia"/>
                      <w:szCs w:val="21"/>
                      <w:lang w:val="en-US" w:eastAsia="zh-CN"/>
                      <w:highlight w:val="none"/>
                    </w:rPr>
                  </w:pPr>
                  <w:r>
                    <w:rPr>
                      <w:rFonts w:ascii="Times New Roman" w:eastAsia="宋体" w:cs="Times New Roman" w:hAnsi="Times New Roman" w:hint="eastAsia"/>
                      <w:szCs w:val="21"/>
                      <w:lang w:val="en-US" w:eastAsia="zh-CN"/>
                      <w:highlight w:val="none"/>
                    </w:rPr>
                    <w:t>干管D加压泵站</w:t>
                  </w:r>
                </w:p>
              </w:tc>
              <w:tc>
                <w:tcPr>
                  <w:tcW w:w="382" w:type="pct"/>
                  <w:tcBorders>
                    <w:right w:val="single" w:sz="4" w:space="0" w:color="auto"/>
                  </w:tcBorders>
                  <w:vAlign w:val="center"/>
                </w:tcPr>
                <w:p>
                  <w:pPr>
                    <w:adjustRightInd w:val="0"/>
                    <w:snapToGrid w:val="0"/>
                    <w:jc w:val="center"/>
                    <w:rPr>
                      <w:szCs w:val="21"/>
                      <w:lang w:val="en-US" w:eastAsia="zh-CN"/>
                      <w:highlight w:val="none"/>
                    </w:rPr>
                  </w:pPr>
                  <w:r>
                    <w:rPr>
                      <w:rFonts w:hint="eastAsia"/>
                      <w:szCs w:val="21"/>
                      <w:lang w:val="en-US" w:eastAsia="zh-CN"/>
                      <w:highlight w:val="none"/>
                    </w:rPr>
                    <w:t>1台</w:t>
                  </w:r>
                </w:p>
              </w:tc>
              <w:tc>
                <w:tcPr>
                  <w:tcW w:w="2673" w:type="pct"/>
                  <w:vAlign w:val="center"/>
                </w:tcPr>
                <w:p>
                  <w:pPr>
                    <w:adjustRightInd w:val="0"/>
                    <w:snapToGrid w:val="0"/>
                    <w:jc w:val="center"/>
                    <w:rPr>
                      <w:rFonts w:hint="eastAsia"/>
                      <w:szCs w:val="21"/>
                      <w:highlight w:val="none"/>
                    </w:rPr>
                  </w:pPr>
                  <w:r>
                    <w:rPr>
                      <w:rFonts w:hint="eastAsia"/>
                      <w:szCs w:val="21"/>
                      <w:highlight w:val="none"/>
                    </w:rPr>
                    <w:t xml:space="preserve">流量 </w:t>
                  </w:r>
                  <w:r>
                    <w:rPr>
                      <w:szCs w:val="21"/>
                      <w:highlight w:val="none"/>
                    </w:rPr>
                    <w:t>Q=</w:t>
                  </w:r>
                  <w:r>
                    <w:rPr>
                      <w:rFonts w:hint="eastAsia"/>
                      <w:szCs w:val="21"/>
                      <w:lang w:val="en-US" w:eastAsia="zh-CN"/>
                      <w:highlight w:val="none"/>
                    </w:rPr>
                    <w:t>67</w:t>
                  </w:r>
                  <w:r>
                    <w:rPr>
                      <w:szCs w:val="21"/>
                      <w:highlight w:val="none"/>
                    </w:rPr>
                    <w:t>m³/h</w:t>
                  </w:r>
                  <w:r>
                    <w:rPr>
                      <w:rFonts w:hint="eastAsia"/>
                      <w:szCs w:val="21"/>
                      <w:highlight w:val="none"/>
                    </w:rPr>
                    <w:t>，扬程</w:t>
                  </w:r>
                  <w:r>
                    <w:rPr>
                      <w:szCs w:val="21"/>
                      <w:highlight w:val="none"/>
                    </w:rPr>
                    <w:t>H=</w:t>
                  </w:r>
                  <w:r>
                    <w:rPr>
                      <w:rFonts w:hint="eastAsia"/>
                      <w:szCs w:val="21"/>
                      <w:lang w:val="en-US" w:eastAsia="zh-CN"/>
                      <w:highlight w:val="none"/>
                    </w:rPr>
                    <w:t>75</w:t>
                  </w:r>
                  <w:r>
                    <w:rPr>
                      <w:szCs w:val="21"/>
                      <w:highlight w:val="none"/>
                    </w:rPr>
                    <w:t>m</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rFonts w:eastAsia="宋体"/>
                      <w:kern w:val="0"/>
                      <w:szCs w:val="21"/>
                      <w:lang w:val="en-US" w:eastAsia="zh-CN"/>
                      <w:highlight w:val="none"/>
                    </w:rPr>
                  </w:pPr>
                  <w:r>
                    <w:rPr>
                      <w:rFonts w:hint="eastAsia"/>
                      <w:kern w:val="0"/>
                      <w:szCs w:val="21"/>
                      <w:lang w:val="en-US" w:eastAsia="zh-CN"/>
                      <w:highlight w:val="none"/>
                    </w:rPr>
                    <w:t>26</w:t>
                  </w:r>
                </w:p>
              </w:tc>
              <w:tc>
                <w:tcPr>
                  <w:tcW w:w="1064" w:type="pct"/>
                  <w:vAlign w:val="center"/>
                </w:tcPr>
                <w:p>
                  <w:pPr>
                    <w:adjustRightInd w:val="0"/>
                    <w:snapToGrid w:val="0"/>
                    <w:jc w:val="center"/>
                    <w:rPr>
                      <w:rFonts w:ascii="Times New Roman" w:eastAsia="宋体" w:cs="Times New Roman" w:hAnsi="Times New Roman" w:hint="eastAsia"/>
                      <w:szCs w:val="21"/>
                      <w:lang w:val="en-US" w:eastAsia="zh-CN"/>
                      <w:highlight w:val="none"/>
                    </w:rPr>
                  </w:pPr>
                  <w:r>
                    <w:rPr>
                      <w:rFonts w:ascii="Times New Roman" w:eastAsia="宋体" w:cs="Times New Roman" w:hAnsi="Times New Roman" w:hint="eastAsia"/>
                      <w:szCs w:val="21"/>
                      <w:lang w:val="en-US" w:eastAsia="zh-CN"/>
                      <w:highlight w:val="none"/>
                    </w:rPr>
                    <w:t>古台村加压泵站</w:t>
                  </w:r>
                </w:p>
              </w:tc>
              <w:tc>
                <w:tcPr>
                  <w:tcW w:w="382" w:type="pct"/>
                  <w:tcBorders>
                    <w:right w:val="single" w:sz="4" w:space="0" w:color="auto"/>
                  </w:tcBorders>
                  <w:vAlign w:val="center"/>
                </w:tcPr>
                <w:p>
                  <w:pPr>
                    <w:adjustRightInd w:val="0"/>
                    <w:snapToGrid w:val="0"/>
                    <w:jc w:val="center"/>
                    <w:rPr>
                      <w:szCs w:val="21"/>
                      <w:lang w:val="en-US" w:eastAsia="zh-CN"/>
                      <w:highlight w:val="none"/>
                    </w:rPr>
                  </w:pPr>
                  <w:r>
                    <w:rPr>
                      <w:rFonts w:hint="eastAsia"/>
                      <w:szCs w:val="21"/>
                      <w:lang w:val="en-US" w:eastAsia="zh-CN"/>
                      <w:highlight w:val="none"/>
                    </w:rPr>
                    <w:t>1台</w:t>
                  </w:r>
                </w:p>
              </w:tc>
              <w:tc>
                <w:tcPr>
                  <w:tcW w:w="2673" w:type="pct"/>
                  <w:vAlign w:val="center"/>
                </w:tcPr>
                <w:p>
                  <w:pPr>
                    <w:adjustRightInd w:val="0"/>
                    <w:snapToGrid w:val="0"/>
                    <w:jc w:val="center"/>
                    <w:rPr>
                      <w:rFonts w:hint="eastAsia"/>
                      <w:szCs w:val="21"/>
                      <w:highlight w:val="none"/>
                    </w:rPr>
                  </w:pPr>
                  <w:r>
                    <w:rPr>
                      <w:rFonts w:hint="eastAsia"/>
                      <w:szCs w:val="21"/>
                      <w:highlight w:val="none"/>
                    </w:rPr>
                    <w:t xml:space="preserve">流量 </w:t>
                  </w:r>
                  <w:r>
                    <w:rPr>
                      <w:szCs w:val="21"/>
                      <w:highlight w:val="none"/>
                    </w:rPr>
                    <w:t>Q=15m³/h</w:t>
                  </w:r>
                  <w:r>
                    <w:rPr>
                      <w:rFonts w:hint="eastAsia"/>
                      <w:szCs w:val="21"/>
                      <w:highlight w:val="none"/>
                    </w:rPr>
                    <w:t xml:space="preserve">，扬程 </w:t>
                  </w:r>
                  <w:r>
                    <w:rPr>
                      <w:szCs w:val="21"/>
                      <w:highlight w:val="none"/>
                    </w:rPr>
                    <w:t>H=</w:t>
                  </w:r>
                  <w:r>
                    <w:rPr>
                      <w:rFonts w:hint="eastAsia"/>
                      <w:szCs w:val="21"/>
                      <w:lang w:val="en-US" w:eastAsia="zh-CN"/>
                      <w:highlight w:val="none"/>
                    </w:rPr>
                    <w:t>40</w:t>
                  </w:r>
                  <w:r>
                    <w:rPr>
                      <w:szCs w:val="21"/>
                      <w:highlight w:val="none"/>
                    </w:rPr>
                    <w:t>m</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kern w:val="0"/>
                      <w:szCs w:val="21"/>
                      <w:lang w:val="en-US" w:eastAsia="zh-CN"/>
                      <w:highlight w:val="none"/>
                    </w:rPr>
                  </w:pPr>
                  <w:r>
                    <w:rPr>
                      <w:rFonts w:hint="eastAsia"/>
                      <w:kern w:val="0"/>
                      <w:szCs w:val="21"/>
                      <w:lang w:val="en-US" w:eastAsia="zh-CN"/>
                      <w:highlight w:val="none"/>
                    </w:rPr>
                    <w:t>27</w:t>
                  </w:r>
                </w:p>
              </w:tc>
              <w:tc>
                <w:tcPr>
                  <w:tcW w:w="1064" w:type="pct"/>
                  <w:vAlign w:val="center"/>
                </w:tcPr>
                <w:p>
                  <w:pPr>
                    <w:adjustRightInd w:val="0"/>
                    <w:snapToGrid w:val="0"/>
                    <w:jc w:val="center"/>
                    <w:rPr>
                      <w:rFonts w:ascii="Times New Roman" w:eastAsia="宋体" w:cs="Times New Roman" w:hAnsi="Times New Roman" w:hint="eastAsia"/>
                      <w:szCs w:val="21"/>
                      <w:lang w:val="en-US" w:eastAsia="zh-CN"/>
                      <w:highlight w:val="none"/>
                    </w:rPr>
                  </w:pPr>
                  <w:r>
                    <w:rPr>
                      <w:rFonts w:ascii="Times New Roman" w:eastAsia="宋体" w:cs="Times New Roman" w:hAnsi="Times New Roman" w:hint="eastAsia"/>
                      <w:szCs w:val="21"/>
                      <w:lang w:val="en-US" w:eastAsia="zh-CN"/>
                      <w:highlight w:val="none"/>
                    </w:rPr>
                    <w:t>东门村加压泵站</w:t>
                  </w:r>
                </w:p>
              </w:tc>
              <w:tc>
                <w:tcPr>
                  <w:tcW w:w="382" w:type="pct"/>
                  <w:tcBorders>
                    <w:right w:val="single" w:sz="4" w:space="0" w:color="auto"/>
                  </w:tcBorders>
                  <w:vAlign w:val="center"/>
                </w:tcPr>
                <w:p>
                  <w:pPr>
                    <w:adjustRightInd w:val="0"/>
                    <w:snapToGrid w:val="0"/>
                    <w:jc w:val="center"/>
                    <w:rPr>
                      <w:rFonts w:hint="eastAsia"/>
                      <w:szCs w:val="21"/>
                      <w:lang w:val="en-US" w:eastAsia="zh-CN"/>
                      <w:highlight w:val="none"/>
                    </w:rPr>
                  </w:pPr>
                  <w:r>
                    <w:rPr>
                      <w:rFonts w:hint="eastAsia"/>
                      <w:szCs w:val="21"/>
                      <w:lang w:val="en-US" w:eastAsia="zh-CN"/>
                      <w:highlight w:val="none"/>
                    </w:rPr>
                    <w:t>1台</w:t>
                  </w:r>
                </w:p>
              </w:tc>
              <w:tc>
                <w:tcPr>
                  <w:tcW w:w="2673" w:type="pct"/>
                  <w:vAlign w:val="center"/>
                </w:tcPr>
                <w:p>
                  <w:pPr>
                    <w:adjustRightInd w:val="0"/>
                    <w:snapToGrid w:val="0"/>
                    <w:jc w:val="center"/>
                    <w:rPr>
                      <w:rFonts w:hint="eastAsia"/>
                      <w:szCs w:val="21"/>
                      <w:highlight w:val="none"/>
                    </w:rPr>
                  </w:pPr>
                  <w:r>
                    <w:rPr>
                      <w:rFonts w:hint="eastAsia"/>
                      <w:szCs w:val="21"/>
                      <w:highlight w:val="none"/>
                    </w:rPr>
                    <w:t xml:space="preserve">流量 </w:t>
                  </w:r>
                  <w:r>
                    <w:rPr>
                      <w:szCs w:val="21"/>
                      <w:highlight w:val="none"/>
                    </w:rPr>
                    <w:t>Q=</w:t>
                  </w:r>
                  <w:r>
                    <w:rPr>
                      <w:rFonts w:hint="eastAsia"/>
                      <w:szCs w:val="21"/>
                      <w:lang w:val="en-US" w:eastAsia="zh-CN"/>
                      <w:highlight w:val="none"/>
                    </w:rPr>
                    <w:t>7.5</w:t>
                  </w:r>
                  <w:r>
                    <w:rPr>
                      <w:szCs w:val="21"/>
                      <w:highlight w:val="none"/>
                    </w:rPr>
                    <w:t>m³/h</w:t>
                  </w:r>
                  <w:r>
                    <w:rPr>
                      <w:rFonts w:hint="eastAsia"/>
                      <w:szCs w:val="21"/>
                      <w:highlight w:val="none"/>
                    </w:rPr>
                    <w:t xml:space="preserve">，扬程 </w:t>
                  </w:r>
                  <w:r>
                    <w:rPr>
                      <w:szCs w:val="21"/>
                      <w:highlight w:val="none"/>
                    </w:rPr>
                    <w:t>H=</w:t>
                  </w:r>
                  <w:r>
                    <w:rPr>
                      <w:rFonts w:hint="eastAsia"/>
                      <w:szCs w:val="21"/>
                      <w:lang w:val="en-US" w:eastAsia="zh-CN"/>
                      <w:highlight w:val="none"/>
                    </w:rPr>
                    <w:t>20</w:t>
                  </w:r>
                  <w:r>
                    <w:rPr>
                      <w:szCs w:val="21"/>
                      <w:highlight w:val="none"/>
                    </w:rPr>
                    <w:t>m</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kern w:val="0"/>
                      <w:szCs w:val="21"/>
                      <w:lang w:val="en-US" w:eastAsia="zh-CN"/>
                      <w:highlight w:val="none"/>
                    </w:rPr>
                  </w:pPr>
                  <w:r>
                    <w:rPr>
                      <w:rFonts w:hint="eastAsia"/>
                      <w:kern w:val="0"/>
                      <w:szCs w:val="21"/>
                      <w:lang w:val="en-US" w:eastAsia="zh-CN"/>
                      <w:highlight w:val="none"/>
                    </w:rPr>
                    <w:t>28</w:t>
                  </w:r>
                </w:p>
              </w:tc>
              <w:tc>
                <w:tcPr>
                  <w:tcW w:w="1064" w:type="pct"/>
                  <w:vAlign w:val="center"/>
                </w:tcPr>
                <w:p>
                  <w:pPr>
                    <w:adjustRightInd w:val="0"/>
                    <w:snapToGrid w:val="0"/>
                    <w:jc w:val="center"/>
                    <w:rPr>
                      <w:rFonts w:ascii="Times New Roman" w:eastAsia="宋体" w:cs="Times New Roman" w:hAnsi="Times New Roman" w:hint="eastAsia"/>
                      <w:szCs w:val="21"/>
                      <w:lang w:val="en-US" w:eastAsia="zh-CN"/>
                      <w:highlight w:val="none"/>
                    </w:rPr>
                  </w:pPr>
                  <w:r>
                    <w:rPr>
                      <w:rFonts w:ascii="Times New Roman" w:eastAsia="宋体" w:cs="Times New Roman" w:hAnsi="Times New Roman" w:hint="eastAsia"/>
                      <w:szCs w:val="21"/>
                      <w:lang w:val="en-US" w:eastAsia="zh-CN"/>
                      <w:highlight w:val="none"/>
                    </w:rPr>
                    <w:t>三岔湾加压泵站</w:t>
                  </w:r>
                </w:p>
              </w:tc>
              <w:tc>
                <w:tcPr>
                  <w:tcW w:w="382" w:type="pct"/>
                  <w:tcBorders>
                    <w:right w:val="single" w:sz="4" w:space="0" w:color="auto"/>
                  </w:tcBorders>
                  <w:vAlign w:val="center"/>
                </w:tcPr>
                <w:p>
                  <w:pPr>
                    <w:adjustRightInd w:val="0"/>
                    <w:snapToGrid w:val="0"/>
                    <w:jc w:val="center"/>
                    <w:rPr>
                      <w:rFonts w:hint="eastAsia"/>
                      <w:szCs w:val="21"/>
                      <w:lang w:val="en-US" w:eastAsia="zh-CN"/>
                      <w:highlight w:val="none"/>
                    </w:rPr>
                  </w:pPr>
                  <w:r>
                    <w:rPr>
                      <w:rFonts w:hint="eastAsia"/>
                      <w:szCs w:val="21"/>
                      <w:lang w:val="en-US" w:eastAsia="zh-CN"/>
                      <w:highlight w:val="none"/>
                    </w:rPr>
                    <w:t>1台</w:t>
                  </w:r>
                </w:p>
              </w:tc>
              <w:tc>
                <w:tcPr>
                  <w:tcW w:w="2673" w:type="pct"/>
                  <w:vAlign w:val="center"/>
                </w:tcPr>
                <w:p>
                  <w:pPr>
                    <w:adjustRightInd w:val="0"/>
                    <w:snapToGrid w:val="0"/>
                    <w:jc w:val="center"/>
                    <w:rPr>
                      <w:rFonts w:hint="eastAsia"/>
                      <w:szCs w:val="21"/>
                      <w:highlight w:val="none"/>
                    </w:rPr>
                  </w:pPr>
                  <w:r>
                    <w:rPr>
                      <w:rFonts w:hint="eastAsia"/>
                      <w:szCs w:val="21"/>
                      <w:highlight w:val="none"/>
                    </w:rPr>
                    <w:t xml:space="preserve">流量 </w:t>
                  </w:r>
                  <w:r>
                    <w:rPr>
                      <w:szCs w:val="21"/>
                      <w:highlight w:val="none"/>
                    </w:rPr>
                    <w:t>Q=</w:t>
                  </w:r>
                  <w:r>
                    <w:rPr>
                      <w:rFonts w:hint="eastAsia"/>
                      <w:szCs w:val="21"/>
                      <w:lang w:val="en-US" w:eastAsia="zh-CN"/>
                      <w:highlight w:val="none"/>
                    </w:rPr>
                    <w:t>5</w:t>
                  </w:r>
                  <w:r>
                    <w:rPr>
                      <w:szCs w:val="21"/>
                      <w:highlight w:val="none"/>
                    </w:rPr>
                    <w:t>m³/h</w:t>
                  </w:r>
                  <w:r>
                    <w:rPr>
                      <w:rFonts w:hint="eastAsia"/>
                      <w:szCs w:val="21"/>
                      <w:highlight w:val="none"/>
                    </w:rPr>
                    <w:t xml:space="preserve">，扬程 </w:t>
                  </w:r>
                  <w:r>
                    <w:rPr>
                      <w:szCs w:val="21"/>
                      <w:highlight w:val="none"/>
                    </w:rPr>
                    <w:t>H=3</w:t>
                  </w:r>
                  <w:r>
                    <w:rPr>
                      <w:rFonts w:hint="eastAsia"/>
                      <w:szCs w:val="21"/>
                      <w:lang w:val="en-US" w:eastAsia="zh-CN"/>
                      <w:highlight w:val="none"/>
                    </w:rPr>
                    <w:t>0</w:t>
                  </w:r>
                  <w:r>
                    <w:rPr>
                      <w:szCs w:val="21"/>
                      <w:highlight w:val="none"/>
                    </w:rPr>
                    <w:t>m</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kern w:val="0"/>
                      <w:szCs w:val="21"/>
                      <w:lang w:val="en-US" w:eastAsia="zh-CN"/>
                      <w:highlight w:val="none"/>
                    </w:rPr>
                  </w:pPr>
                  <w:r>
                    <w:rPr>
                      <w:rFonts w:hint="eastAsia"/>
                      <w:kern w:val="0"/>
                      <w:szCs w:val="21"/>
                      <w:lang w:val="en-US" w:eastAsia="zh-CN"/>
                      <w:highlight w:val="none"/>
                    </w:rPr>
                    <w:t>29</w:t>
                  </w:r>
                </w:p>
              </w:tc>
              <w:tc>
                <w:tcPr>
                  <w:tcW w:w="1064" w:type="pct"/>
                  <w:vAlign w:val="center"/>
                </w:tcPr>
                <w:p>
                  <w:pPr>
                    <w:adjustRightInd w:val="0"/>
                    <w:snapToGrid w:val="0"/>
                    <w:jc w:val="center"/>
                    <w:rPr>
                      <w:rFonts w:ascii="Times New Roman" w:eastAsia="宋体" w:cs="Times New Roman" w:hAnsi="Times New Roman" w:hint="eastAsia"/>
                      <w:szCs w:val="21"/>
                      <w:lang w:val="en-US" w:eastAsia="zh-CN"/>
                      <w:highlight w:val="none"/>
                    </w:rPr>
                  </w:pPr>
                  <w:r>
                    <w:rPr>
                      <w:rFonts w:ascii="Times New Roman" w:eastAsia="宋体" w:cs="Times New Roman" w:hAnsi="Times New Roman" w:hint="eastAsia"/>
                      <w:szCs w:val="21"/>
                      <w:lang w:val="en-US" w:eastAsia="zh-CN"/>
                      <w:highlight w:val="none"/>
                    </w:rPr>
                    <w:t>探裕～遇市村加压泵站</w:t>
                  </w:r>
                </w:p>
              </w:tc>
              <w:tc>
                <w:tcPr>
                  <w:tcW w:w="382" w:type="pct"/>
                  <w:tcBorders>
                    <w:right w:val="single" w:sz="4" w:space="0" w:color="auto"/>
                  </w:tcBorders>
                  <w:vAlign w:val="center"/>
                </w:tcPr>
                <w:p>
                  <w:pPr>
                    <w:adjustRightInd w:val="0"/>
                    <w:snapToGrid w:val="0"/>
                    <w:jc w:val="center"/>
                    <w:rPr>
                      <w:rFonts w:hint="eastAsia"/>
                      <w:szCs w:val="21"/>
                      <w:lang w:val="en-US" w:eastAsia="zh-CN"/>
                      <w:highlight w:val="none"/>
                    </w:rPr>
                  </w:pPr>
                  <w:r>
                    <w:rPr>
                      <w:rFonts w:hint="eastAsia"/>
                      <w:szCs w:val="21"/>
                      <w:lang w:val="en-US" w:eastAsia="zh-CN"/>
                      <w:highlight w:val="none"/>
                    </w:rPr>
                    <w:t>1台</w:t>
                  </w:r>
                </w:p>
              </w:tc>
              <w:tc>
                <w:tcPr>
                  <w:tcW w:w="2673" w:type="pct"/>
                  <w:vAlign w:val="center"/>
                </w:tcPr>
                <w:p>
                  <w:pPr>
                    <w:adjustRightInd w:val="0"/>
                    <w:snapToGrid w:val="0"/>
                    <w:jc w:val="center"/>
                    <w:rPr>
                      <w:rFonts w:hint="eastAsia"/>
                      <w:szCs w:val="21"/>
                      <w:highlight w:val="none"/>
                    </w:rPr>
                  </w:pPr>
                  <w:r>
                    <w:rPr>
                      <w:rFonts w:hint="eastAsia"/>
                      <w:szCs w:val="21"/>
                      <w:highlight w:val="none"/>
                    </w:rPr>
                    <w:t xml:space="preserve">流量 </w:t>
                  </w:r>
                  <w:r>
                    <w:rPr>
                      <w:szCs w:val="21"/>
                      <w:highlight w:val="none"/>
                    </w:rPr>
                    <w:t>Q=</w:t>
                  </w:r>
                  <w:r>
                    <w:rPr>
                      <w:rFonts w:hint="eastAsia"/>
                      <w:szCs w:val="21"/>
                      <w:lang w:val="en-US" w:eastAsia="zh-CN"/>
                      <w:highlight w:val="none"/>
                    </w:rPr>
                    <w:t>40</w:t>
                  </w:r>
                  <w:r>
                    <w:rPr>
                      <w:szCs w:val="21"/>
                      <w:highlight w:val="none"/>
                    </w:rPr>
                    <w:t>m³/h</w:t>
                  </w:r>
                  <w:r>
                    <w:rPr>
                      <w:rFonts w:hint="eastAsia"/>
                      <w:szCs w:val="21"/>
                      <w:highlight w:val="none"/>
                    </w:rPr>
                    <w:t xml:space="preserve">，扬程 </w:t>
                  </w:r>
                  <w:r>
                    <w:rPr>
                      <w:szCs w:val="21"/>
                      <w:highlight w:val="none"/>
                    </w:rPr>
                    <w:t>H=</w:t>
                  </w:r>
                  <w:r>
                    <w:rPr>
                      <w:rFonts w:hint="eastAsia"/>
                      <w:szCs w:val="21"/>
                      <w:lang w:val="en-US" w:eastAsia="zh-CN"/>
                      <w:highlight w:val="none"/>
                    </w:rPr>
                    <w:t>65</w:t>
                  </w:r>
                  <w:r>
                    <w:rPr>
                      <w:szCs w:val="21"/>
                      <w:highlight w:val="none"/>
                    </w:rPr>
                    <w:t>m</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r>
              <w:trPr>
                <w:trHeight w:val="340"/>
              </w:trPr>
              <w:tc>
                <w:tcPr>
                  <w:tcW w:w="367" w:type="pct"/>
                  <w:vAlign w:val="center"/>
                </w:tcPr>
                <w:p>
                  <w:pPr>
                    <w:adjustRightInd w:val="0"/>
                    <w:snapToGrid w:val="0"/>
                    <w:jc w:val="center"/>
                    <w:rPr>
                      <w:kern w:val="0"/>
                      <w:szCs w:val="21"/>
                      <w:lang w:val="en-US" w:eastAsia="zh-CN"/>
                      <w:highlight w:val="none"/>
                    </w:rPr>
                  </w:pPr>
                  <w:r>
                    <w:rPr>
                      <w:rFonts w:hint="eastAsia"/>
                      <w:kern w:val="0"/>
                      <w:szCs w:val="21"/>
                      <w:lang w:val="en-US" w:eastAsia="zh-CN"/>
                      <w:highlight w:val="none"/>
                    </w:rPr>
                    <w:t>30</w:t>
                  </w:r>
                </w:p>
              </w:tc>
              <w:tc>
                <w:tcPr>
                  <w:tcW w:w="1064" w:type="pct"/>
                  <w:vAlign w:val="center"/>
                </w:tcPr>
                <w:p>
                  <w:pPr>
                    <w:adjustRightInd w:val="0"/>
                    <w:snapToGrid w:val="0"/>
                    <w:jc w:val="center"/>
                    <w:rPr>
                      <w:rFonts w:ascii="Times New Roman" w:eastAsia="宋体" w:cs="Times New Roman" w:hAnsi="Times New Roman" w:hint="eastAsia"/>
                      <w:szCs w:val="21"/>
                      <w:lang w:val="en-US" w:eastAsia="zh-CN"/>
                      <w:highlight w:val="none"/>
                    </w:rPr>
                  </w:pPr>
                  <w:r>
                    <w:rPr>
                      <w:rFonts w:ascii="Times New Roman" w:eastAsia="宋体" w:cs="Times New Roman" w:hAnsi="Times New Roman" w:hint="eastAsia"/>
                      <w:szCs w:val="21"/>
                      <w:lang w:val="en-US" w:eastAsia="zh-CN"/>
                      <w:highlight w:val="none"/>
                    </w:rPr>
                    <w:t>楠木加压泵站</w:t>
                  </w:r>
                </w:p>
              </w:tc>
              <w:tc>
                <w:tcPr>
                  <w:tcW w:w="382" w:type="pct"/>
                  <w:tcBorders>
                    <w:right w:val="single" w:sz="4" w:space="0" w:color="auto"/>
                  </w:tcBorders>
                  <w:vAlign w:val="center"/>
                </w:tcPr>
                <w:p>
                  <w:pPr>
                    <w:adjustRightInd w:val="0"/>
                    <w:snapToGrid w:val="0"/>
                    <w:jc w:val="center"/>
                    <w:rPr>
                      <w:rFonts w:hint="eastAsia"/>
                      <w:szCs w:val="21"/>
                      <w:lang w:val="en-US" w:eastAsia="zh-CN"/>
                      <w:highlight w:val="none"/>
                    </w:rPr>
                  </w:pPr>
                  <w:r>
                    <w:rPr>
                      <w:rFonts w:hint="eastAsia"/>
                      <w:szCs w:val="21"/>
                      <w:lang w:val="en-US" w:eastAsia="zh-CN"/>
                      <w:highlight w:val="none"/>
                    </w:rPr>
                    <w:t>1台</w:t>
                  </w:r>
                </w:p>
              </w:tc>
              <w:tc>
                <w:tcPr>
                  <w:tcW w:w="2673" w:type="pct"/>
                  <w:vAlign w:val="center"/>
                </w:tcPr>
                <w:p>
                  <w:pPr>
                    <w:adjustRightInd w:val="0"/>
                    <w:snapToGrid w:val="0"/>
                    <w:jc w:val="center"/>
                    <w:rPr>
                      <w:rFonts w:hint="eastAsia"/>
                      <w:szCs w:val="21"/>
                      <w:highlight w:val="none"/>
                    </w:rPr>
                  </w:pPr>
                  <w:r>
                    <w:rPr>
                      <w:rFonts w:hint="eastAsia"/>
                      <w:szCs w:val="21"/>
                      <w:highlight w:val="none"/>
                    </w:rPr>
                    <w:t xml:space="preserve">流量 </w:t>
                  </w:r>
                  <w:r>
                    <w:rPr>
                      <w:szCs w:val="21"/>
                      <w:highlight w:val="none"/>
                    </w:rPr>
                    <w:t>Q=1</w:t>
                  </w:r>
                  <w:r>
                    <w:rPr>
                      <w:rFonts w:hint="eastAsia"/>
                      <w:szCs w:val="21"/>
                      <w:lang w:val="en-US" w:eastAsia="zh-CN"/>
                      <w:highlight w:val="none"/>
                    </w:rPr>
                    <w:t>60</w:t>
                  </w:r>
                  <w:r>
                    <w:rPr>
                      <w:szCs w:val="21"/>
                      <w:highlight w:val="none"/>
                    </w:rPr>
                    <w:t>m³/h</w:t>
                  </w:r>
                  <w:r>
                    <w:rPr>
                      <w:rFonts w:hint="eastAsia"/>
                      <w:szCs w:val="21"/>
                      <w:highlight w:val="none"/>
                    </w:rPr>
                    <w:t xml:space="preserve">，扬程 </w:t>
                  </w:r>
                  <w:r>
                    <w:rPr>
                      <w:szCs w:val="21"/>
                      <w:highlight w:val="none"/>
                    </w:rPr>
                    <w:t>H=</w:t>
                  </w:r>
                  <w:r>
                    <w:rPr>
                      <w:rFonts w:hint="eastAsia"/>
                      <w:szCs w:val="21"/>
                      <w:lang w:val="en-US" w:eastAsia="zh-CN"/>
                      <w:highlight w:val="none"/>
                    </w:rPr>
                    <w:t>50</w:t>
                  </w:r>
                  <w:r>
                    <w:rPr>
                      <w:szCs w:val="21"/>
                      <w:highlight w:val="none"/>
                    </w:rPr>
                    <w:t>m</w:t>
                  </w:r>
                </w:p>
              </w:tc>
              <w:tc>
                <w:tcPr>
                  <w:tcW w:w="511" w:type="pct"/>
                  <w:vAlign w:val="center"/>
                </w:tcPr>
                <w:p>
                  <w:pPr>
                    <w:adjustRightInd w:val="0"/>
                    <w:snapToGrid w:val="0"/>
                    <w:jc w:val="center"/>
                    <w:rPr>
                      <w:rFonts w:hint="eastAsia"/>
                      <w:szCs w:val="21"/>
                      <w:highlight w:val="none"/>
                    </w:rPr>
                  </w:pPr>
                  <w:r>
                    <w:rPr>
                      <w:rFonts w:hint="eastAsia"/>
                      <w:szCs w:val="21"/>
                      <w:highlight w:val="none"/>
                    </w:rPr>
                    <w:t>新建</w:t>
                  </w:r>
                </w:p>
              </w:tc>
            </w:tr>
          </w:tbl>
          <w:p>
            <w:pPr>
              <w:spacing w:line="360" w:lineRule="auto"/>
              <w:rPr>
                <w:b/>
                <w:sz w:val="24"/>
                <w:highlight w:val="none"/>
              </w:rPr>
            </w:pPr>
            <w:r>
              <w:rPr>
                <w:rFonts w:hint="eastAsia"/>
                <w:b/>
                <w:sz w:val="24"/>
                <w:lang w:val="en-US" w:eastAsia="zh-CN"/>
                <w:highlight w:val="none"/>
              </w:rPr>
              <w:t>7</w:t>
            </w:r>
            <w:r>
              <w:rPr>
                <w:b/>
                <w:sz w:val="24"/>
                <w:highlight w:val="none"/>
              </w:rPr>
              <w:t>、职工定员、工作制度</w:t>
            </w:r>
          </w:p>
          <w:p>
            <w:pPr>
              <w:pStyle w:val="17"/>
              <w:adjustRightInd w:val="0"/>
              <w:snapToGrid w:val="0"/>
              <w:spacing w:line="360" w:lineRule="auto"/>
              <w:ind w:firstLineChars="200" w:firstLine="480"/>
              <w:jc w:val="both"/>
              <w:rPr>
                <w:rFonts w:eastAsia="宋体"/>
                <w:sz w:val="24"/>
                <w:szCs w:val="24"/>
                <w:highlight w:val="none"/>
              </w:rPr>
            </w:pPr>
            <w:r>
              <w:rPr>
                <w:rFonts w:eastAsia="宋体" w:hint="eastAsia"/>
                <w:sz w:val="24"/>
                <w:szCs w:val="24"/>
                <w:lang w:eastAsia="zh-CN"/>
                <w:highlight w:val="none"/>
              </w:rPr>
              <w:t>太青水厂</w:t>
            </w:r>
            <w:r>
              <w:rPr>
                <w:rFonts w:eastAsia="宋体" w:hint="eastAsia"/>
                <w:sz w:val="24"/>
                <w:szCs w:val="24"/>
                <w:highlight w:val="none"/>
              </w:rPr>
              <w:t>工作人员</w:t>
            </w:r>
            <w:r>
              <w:rPr>
                <w:rFonts w:eastAsia="宋体" w:hint="eastAsia"/>
                <w:sz w:val="24"/>
                <w:szCs w:val="24"/>
                <w:lang w:val="en-US" w:eastAsia="zh-CN"/>
                <w:highlight w:val="none"/>
              </w:rPr>
              <w:t>15</w:t>
            </w:r>
            <w:r>
              <w:rPr>
                <w:rFonts w:eastAsia="宋体" w:hint="eastAsia"/>
                <w:sz w:val="24"/>
                <w:szCs w:val="24"/>
                <w:highlight w:val="none"/>
              </w:rPr>
              <w:t>人，</w:t>
            </w:r>
            <w:r>
              <w:rPr>
                <w:rFonts w:eastAsia="宋体"/>
                <w:sz w:val="24"/>
                <w:szCs w:val="24"/>
                <w:highlight w:val="none"/>
              </w:rPr>
              <w:t>厂内</w:t>
            </w:r>
            <w:r>
              <w:rPr>
                <w:rFonts w:eastAsia="宋体" w:hint="eastAsia"/>
                <w:sz w:val="24"/>
                <w:szCs w:val="24"/>
                <w:highlight w:val="none"/>
              </w:rPr>
              <w:t>不</w:t>
            </w:r>
            <w:r>
              <w:rPr>
                <w:rFonts w:eastAsia="宋体"/>
                <w:sz w:val="24"/>
                <w:szCs w:val="24"/>
                <w:highlight w:val="none"/>
              </w:rPr>
              <w:t>设置食宿，年运行365天</w:t>
            </w:r>
            <w:r>
              <w:rPr>
                <w:rFonts w:eastAsia="宋体" w:hint="eastAsia"/>
                <w:sz w:val="24"/>
                <w:szCs w:val="24"/>
                <w:highlight w:val="none"/>
              </w:rPr>
              <w:t>，三班制，每班8h</w:t>
            </w:r>
            <w:r>
              <w:rPr>
                <w:rFonts w:eastAsia="宋体"/>
                <w:sz w:val="24"/>
                <w:szCs w:val="24"/>
                <w:highlight w:val="none"/>
              </w:rPr>
              <w:t>。</w:t>
            </w:r>
          </w:p>
          <w:p>
            <w:pPr>
              <w:spacing w:line="360" w:lineRule="auto"/>
              <w:rPr>
                <w:b/>
                <w:sz w:val="24"/>
                <w:highlight w:val="none"/>
              </w:rPr>
            </w:pPr>
            <w:r>
              <w:rPr>
                <w:rFonts w:hint="eastAsia"/>
                <w:b/>
                <w:sz w:val="24"/>
                <w:lang w:val="en-US" w:eastAsia="zh-CN"/>
                <w:highlight w:val="none"/>
              </w:rPr>
              <w:t>8</w:t>
            </w:r>
            <w:r>
              <w:rPr>
                <w:b/>
                <w:sz w:val="24"/>
                <w:highlight w:val="none"/>
              </w:rPr>
              <w:t>、公用工程</w:t>
            </w:r>
          </w:p>
          <w:p>
            <w:pPr>
              <w:spacing w:line="360" w:lineRule="auto"/>
              <w:ind w:firstLineChars="200" w:firstLine="480"/>
              <w:rPr>
                <w:sz w:val="24"/>
                <w:highlight w:val="none"/>
              </w:rPr>
            </w:pPr>
            <w:r>
              <w:rPr>
                <w:sz w:val="24"/>
                <w:highlight w:val="none"/>
              </w:rPr>
              <w:t>（1）</w:t>
            </w:r>
            <w:r>
              <w:rPr>
                <w:rFonts w:hint="eastAsia"/>
                <w:sz w:val="24"/>
                <w:highlight w:val="none"/>
              </w:rPr>
              <w:t>给水</w:t>
            </w:r>
          </w:p>
          <w:p>
            <w:pPr>
              <w:pStyle w:val="17"/>
              <w:adjustRightInd w:val="0"/>
              <w:snapToGrid w:val="0"/>
              <w:spacing w:line="360" w:lineRule="auto"/>
              <w:ind w:firstLineChars="200" w:firstLine="480"/>
              <w:jc w:val="both"/>
              <w:rPr>
                <w:rFonts w:eastAsia="宋体"/>
                <w:sz w:val="24"/>
                <w:szCs w:val="24"/>
                <w:highlight w:val="none"/>
              </w:rPr>
            </w:pPr>
            <w:r>
              <w:rPr>
                <w:rFonts w:eastAsia="宋体" w:hint="eastAsia"/>
                <w:sz w:val="24"/>
                <w:szCs w:val="24"/>
                <w:highlight w:val="none"/>
              </w:rPr>
              <w:t>项目取水水源来自</w:t>
            </w:r>
            <w:r>
              <w:rPr>
                <w:rFonts w:eastAsia="宋体" w:hint="eastAsia"/>
                <w:sz w:val="24"/>
                <w:szCs w:val="24"/>
                <w:lang w:eastAsia="zh-CN"/>
                <w:highlight w:val="none"/>
              </w:rPr>
              <w:t>太青水库</w:t>
            </w:r>
            <w:r>
              <w:rPr>
                <w:rFonts w:eastAsia="宋体" w:hint="eastAsia"/>
                <w:sz w:val="24"/>
                <w:szCs w:val="24"/>
                <w:highlight w:val="none"/>
              </w:rPr>
              <w:t>，其中净水厂生活用水由本厂自用水系统供给，能够满足本项目用水需求。</w:t>
            </w:r>
          </w:p>
          <w:p>
            <w:pPr>
              <w:pStyle w:val="17"/>
              <w:adjustRightInd w:val="0"/>
              <w:snapToGrid w:val="0"/>
              <w:spacing w:line="360" w:lineRule="auto"/>
              <w:ind w:firstLineChars="200" w:firstLine="480"/>
              <w:jc w:val="both"/>
              <w:rPr>
                <w:rFonts w:eastAsia="宋体"/>
                <w:sz w:val="24"/>
                <w:szCs w:val="24"/>
                <w:highlight w:val="none"/>
              </w:rPr>
            </w:pPr>
            <w:r>
              <w:rPr>
                <w:rFonts w:eastAsia="宋体" w:hint="eastAsia"/>
                <w:sz w:val="24"/>
                <w:szCs w:val="24"/>
                <w:highlight w:val="none"/>
              </w:rPr>
              <w:t xml:space="preserve">（2）排水 </w:t>
            </w:r>
          </w:p>
          <w:p>
            <w:pPr>
              <w:pStyle w:val="74"/>
              <w:adjustRightInd w:val="0"/>
              <w:snapToGrid w:val="0"/>
              <w:spacing w:line="360" w:lineRule="auto"/>
              <w:rPr>
                <w:sz w:val="24"/>
                <w:highlight w:val="none"/>
              </w:rPr>
            </w:pPr>
            <w:r>
              <w:rPr>
                <w:rFonts w:hint="eastAsia"/>
                <w:sz w:val="24"/>
                <w:highlight w:val="none"/>
              </w:rPr>
              <w:t>1）</w:t>
            </w:r>
            <w:r>
              <w:rPr>
                <w:sz w:val="24"/>
                <w:highlight w:val="none"/>
              </w:rPr>
              <w:t>生活</w:t>
            </w:r>
            <w:r>
              <w:rPr>
                <w:rFonts w:hint="eastAsia"/>
                <w:sz w:val="24"/>
                <w:highlight w:val="none"/>
              </w:rPr>
              <w:t>污</w:t>
            </w:r>
            <w:r>
              <w:rPr>
                <w:sz w:val="24"/>
                <w:highlight w:val="none"/>
              </w:rPr>
              <w:t>水</w:t>
            </w:r>
          </w:p>
          <w:p>
            <w:pPr>
              <w:pStyle w:val="74"/>
              <w:adjustRightInd w:val="0"/>
              <w:snapToGrid w:val="0"/>
              <w:spacing w:line="360" w:lineRule="auto"/>
              <w:rPr>
                <w:sz w:val="24"/>
                <w:highlight w:val="none"/>
              </w:rPr>
            </w:pPr>
            <w:r>
              <w:rPr>
                <w:rFonts w:cs="Times New Roman"/>
                <w:color w:val="auto"/>
                <w:sz w:val="24"/>
                <w:szCs w:val="24"/>
                <w:u w:val="none"/>
                <w:highlight w:val="none"/>
              </w:rPr>
              <w:t>水厂劳动定员为</w:t>
            </w:r>
            <w:r>
              <w:rPr>
                <w:rFonts w:cs="Times New Roman" w:hint="eastAsia"/>
                <w:color w:val="auto"/>
                <w:sz w:val="24"/>
                <w:szCs w:val="24"/>
                <w:u w:val="none"/>
                <w:lang w:val="en-US" w:eastAsia="zh-CN"/>
                <w:highlight w:val="none"/>
              </w:rPr>
              <w:t>15</w:t>
            </w:r>
            <w:r>
              <w:rPr>
                <w:rFonts w:cs="Times New Roman"/>
                <w:color w:val="auto"/>
                <w:sz w:val="24"/>
                <w:szCs w:val="24"/>
                <w:u w:val="none"/>
                <w:highlight w:val="none"/>
              </w:rPr>
              <w:t>人，均</w:t>
            </w:r>
            <w:r>
              <w:rPr>
                <w:rFonts w:cs="Times New Roman" w:hint="eastAsia"/>
                <w:color w:val="auto"/>
                <w:sz w:val="24"/>
                <w:szCs w:val="24"/>
                <w:u w:val="none"/>
                <w:lang w:val="en-US" w:eastAsia="zh-CN"/>
                <w:highlight w:val="none"/>
              </w:rPr>
              <w:t>不</w:t>
            </w:r>
            <w:r>
              <w:rPr>
                <w:rFonts w:cs="Times New Roman"/>
                <w:color w:val="auto"/>
                <w:sz w:val="24"/>
                <w:szCs w:val="24"/>
                <w:u w:val="none"/>
                <w:highlight w:val="none"/>
              </w:rPr>
              <w:t>在厂区内食宿。根据《湖南省用水定额》（DB43/T 388-2020），居民生活用水按每人4</w:t>
            </w:r>
            <w:r>
              <w:rPr>
                <w:rFonts w:cs="Times New Roman" w:hint="eastAsia"/>
                <w:color w:val="auto"/>
                <w:sz w:val="24"/>
                <w:szCs w:val="24"/>
                <w:u w:val="none"/>
                <w:highlight w:val="none"/>
              </w:rPr>
              <w:t>0</w:t>
            </w:r>
            <w:r>
              <w:rPr>
                <w:rFonts w:cs="Times New Roman"/>
                <w:color w:val="auto"/>
                <w:sz w:val="24"/>
                <w:szCs w:val="24"/>
                <w:u w:val="none"/>
                <w:highlight w:val="none"/>
              </w:rPr>
              <w:t>L/d计，则水厂生活用水</w:t>
            </w:r>
            <w:r>
              <w:rPr>
                <w:rFonts w:cs="Times New Roman" w:hint="eastAsia"/>
                <w:color w:val="auto"/>
                <w:sz w:val="24"/>
                <w:szCs w:val="24"/>
                <w:u w:val="none"/>
                <w:lang w:val="en-US" w:eastAsia="zh-CN"/>
                <w:highlight w:val="none"/>
              </w:rPr>
              <w:t>0.6</w:t>
            </w:r>
            <w:r>
              <w:rPr>
                <w:rFonts w:cs="Times New Roman"/>
                <w:color w:val="auto"/>
                <w:sz w:val="24"/>
                <w:szCs w:val="24"/>
                <w:u w:val="none"/>
                <w:highlight w:val="none"/>
              </w:rPr>
              <w:t>m</w:t>
            </w:r>
            <w:r>
              <w:rPr>
                <w:rFonts w:cs="Times New Roman"/>
                <w:color w:val="auto"/>
                <w:sz w:val="24"/>
                <w:szCs w:val="24"/>
                <w:u w:val="none"/>
                <w:vertAlign w:val="superscript"/>
                <w:highlight w:val="none"/>
              </w:rPr>
              <w:t>3</w:t>
            </w:r>
            <w:r>
              <w:rPr>
                <w:rFonts w:cs="Times New Roman"/>
                <w:color w:val="auto"/>
                <w:sz w:val="24"/>
                <w:szCs w:val="24"/>
                <w:u w:val="none"/>
                <w:highlight w:val="none"/>
              </w:rPr>
              <w:t>/d（</w:t>
            </w:r>
            <w:r>
              <w:rPr>
                <w:rFonts w:cs="Times New Roman" w:hint="eastAsia"/>
                <w:color w:val="auto"/>
                <w:sz w:val="24"/>
                <w:szCs w:val="24"/>
                <w:u w:val="none"/>
                <w:lang w:val="en-US" w:eastAsia="zh-CN"/>
                <w:highlight w:val="none"/>
              </w:rPr>
              <w:t>219m</w:t>
            </w:r>
            <w:r>
              <w:rPr>
                <w:rFonts w:cs="Times New Roman"/>
                <w:color w:val="auto"/>
                <w:sz w:val="24"/>
                <w:szCs w:val="24"/>
                <w:u w:val="none"/>
                <w:vertAlign w:val="superscript"/>
                <w:highlight w:val="none"/>
              </w:rPr>
              <w:t>3</w:t>
            </w:r>
            <w:r>
              <w:rPr>
                <w:rFonts w:cs="Times New Roman"/>
                <w:color w:val="auto"/>
                <w:sz w:val="24"/>
                <w:szCs w:val="24"/>
                <w:u w:val="none"/>
                <w:highlight w:val="none"/>
              </w:rPr>
              <w:t>/a）。废水排放系数取0.8，废水排放量为</w:t>
            </w:r>
            <w:r>
              <w:rPr>
                <w:rFonts w:cs="Times New Roman" w:hint="eastAsia"/>
                <w:color w:val="auto"/>
                <w:sz w:val="24"/>
                <w:szCs w:val="24"/>
                <w:u w:val="none"/>
                <w:lang w:val="en-US" w:eastAsia="zh-CN"/>
                <w:highlight w:val="none"/>
              </w:rPr>
              <w:t>0.48</w:t>
            </w:r>
            <w:r>
              <w:rPr>
                <w:rFonts w:cs="Times New Roman"/>
                <w:color w:val="auto"/>
                <w:sz w:val="24"/>
                <w:szCs w:val="24"/>
                <w:u w:val="none"/>
                <w:highlight w:val="none"/>
              </w:rPr>
              <w:t>m</w:t>
            </w:r>
            <w:r>
              <w:rPr>
                <w:rFonts w:cs="Times New Roman"/>
                <w:color w:val="auto"/>
                <w:sz w:val="24"/>
                <w:szCs w:val="24"/>
                <w:u w:val="none"/>
                <w:vertAlign w:val="superscript"/>
                <w:highlight w:val="none"/>
              </w:rPr>
              <w:t>3</w:t>
            </w:r>
            <w:r>
              <w:rPr>
                <w:rFonts w:cs="Times New Roman"/>
                <w:color w:val="auto"/>
                <w:sz w:val="24"/>
                <w:szCs w:val="24"/>
                <w:u w:val="none"/>
                <w:highlight w:val="none"/>
              </w:rPr>
              <w:t>/d（</w:t>
            </w:r>
            <w:r>
              <w:rPr>
                <w:rFonts w:cs="Times New Roman" w:hint="eastAsia"/>
                <w:color w:val="auto"/>
                <w:sz w:val="24"/>
                <w:szCs w:val="24"/>
                <w:u w:val="none"/>
                <w:lang w:val="en-US" w:eastAsia="zh-CN"/>
                <w:highlight w:val="none"/>
              </w:rPr>
              <w:t>175.2</w:t>
            </w:r>
            <w:r>
              <w:rPr>
                <w:rFonts w:cs="Times New Roman"/>
                <w:color w:val="auto"/>
                <w:sz w:val="24"/>
                <w:szCs w:val="24"/>
                <w:u w:val="none"/>
                <w:highlight w:val="none"/>
              </w:rPr>
              <w:t>m</w:t>
            </w:r>
            <w:r>
              <w:rPr>
                <w:rFonts w:cs="Times New Roman"/>
                <w:color w:val="auto"/>
                <w:sz w:val="24"/>
                <w:szCs w:val="24"/>
                <w:u w:val="none"/>
                <w:vertAlign w:val="superscript"/>
                <w:highlight w:val="none"/>
              </w:rPr>
              <w:t>3</w:t>
            </w:r>
            <w:r>
              <w:rPr>
                <w:rFonts w:cs="Times New Roman"/>
                <w:color w:val="auto"/>
                <w:sz w:val="24"/>
                <w:szCs w:val="24"/>
                <w:u w:val="none"/>
                <w:highlight w:val="none"/>
              </w:rPr>
              <w:t>/a）</w:t>
            </w:r>
            <w:r>
              <w:rPr>
                <w:rFonts w:cs="Times New Roman" w:hint="eastAsia"/>
                <w:color w:val="auto"/>
                <w:sz w:val="24"/>
                <w:szCs w:val="24"/>
                <w:u w:val="none"/>
                <w:lang w:eastAsia="zh-CN"/>
                <w:highlight w:val="none"/>
              </w:rPr>
              <w:t>，</w:t>
            </w:r>
            <w:r>
              <w:rPr>
                <w:rFonts w:hint="eastAsia"/>
                <w:sz w:val="24"/>
                <w:lang w:val="en-US" w:eastAsia="zh-CN"/>
                <w:highlight w:val="none"/>
              </w:rPr>
              <w:t>生活污水经化粪池</w:t>
            </w:r>
            <w:r>
              <w:rPr>
                <w:rFonts w:hint="eastAsia"/>
                <w:bCs/>
                <w:snapToGrid w:val="0"/>
                <w:kern w:val="0"/>
                <w:sz w:val="24"/>
                <w:highlight w:val="none"/>
              </w:rPr>
              <w:t>处理</w:t>
            </w:r>
            <w:r>
              <w:rPr>
                <w:sz w:val="24"/>
                <w:highlight w:val="none"/>
              </w:rPr>
              <w:t>后</w:t>
            </w:r>
            <w:r>
              <w:rPr>
                <w:rFonts w:hint="eastAsia"/>
                <w:sz w:val="24"/>
                <w:lang w:val="en-US" w:eastAsia="zh-CN"/>
                <w:highlight w:val="none"/>
              </w:rPr>
              <w:t>用于周边农肥，不外排</w:t>
            </w:r>
            <w:r>
              <w:rPr>
                <w:sz w:val="24"/>
                <w:highlight w:val="none"/>
              </w:rPr>
              <w:t>。</w:t>
            </w:r>
          </w:p>
          <w:p>
            <w:pPr>
              <w:adjustRightInd w:val="0"/>
              <w:snapToGrid w:val="0"/>
              <w:spacing w:line="360" w:lineRule="auto"/>
              <w:ind w:firstLineChars="200" w:firstLine="480"/>
              <w:jc w:val="left"/>
              <w:rPr>
                <w:color w:val="000000"/>
                <w:sz w:val="24"/>
                <w:highlight w:val="none"/>
              </w:rPr>
            </w:pPr>
            <w:r>
              <w:rPr>
                <w:color w:val="000000"/>
                <w:sz w:val="24"/>
                <w:highlight w:val="none"/>
              </w:rPr>
              <w:t>2</w:t>
            </w:r>
            <w:r>
              <w:rPr>
                <w:rFonts w:hint="eastAsia"/>
                <w:color w:val="000000"/>
                <w:sz w:val="24"/>
                <w:highlight w:val="none"/>
              </w:rPr>
              <w:t>）</w:t>
            </w:r>
            <w:r>
              <w:rPr>
                <w:color w:val="000000"/>
                <w:sz w:val="24"/>
                <w:highlight w:val="none"/>
              </w:rPr>
              <w:t>生产废水</w:t>
            </w:r>
          </w:p>
          <w:p>
            <w:pPr>
              <w:snapToGrid w:val="0"/>
              <w:spacing w:line="360" w:lineRule="auto"/>
              <w:ind w:firstLineChars="200" w:firstLine="480"/>
              <w:contextualSpacing/>
              <w:rPr>
                <w:color w:val="000000"/>
                <w:sz w:val="24"/>
                <w:highlight w:val="none"/>
              </w:rPr>
            </w:pPr>
            <w:r>
              <w:rPr>
                <w:color w:val="000000"/>
                <w:sz w:val="24"/>
                <w:highlight w:val="none"/>
              </w:rPr>
              <w:t>本项目生产废水包括滤池反冲洗水</w:t>
            </w:r>
            <w:r>
              <w:rPr>
                <w:rFonts w:hint="eastAsia"/>
                <w:color w:val="000000"/>
                <w:sz w:val="24"/>
                <w:highlight w:val="none"/>
              </w:rPr>
              <w:t>、</w:t>
            </w:r>
            <w:r>
              <w:rPr>
                <w:color w:val="000000"/>
                <w:sz w:val="24"/>
                <w:highlight w:val="none"/>
              </w:rPr>
              <w:t>沉淀池排泥水。在滤池的过滤过程中，滤料层截留的杂质数量不断增加，因而滤料层阻力不断增加，滤池水头损失增大，水位也会随之升高，因而在过滤过程中需定时对滤池进行冲洗，</w:t>
            </w:r>
            <w:r>
              <w:rPr>
                <w:color w:val="000000"/>
                <w:sz w:val="24"/>
                <w:u w:val="none"/>
                <w:highlight w:val="none"/>
              </w:rPr>
              <w:t>冲洗完的废水主要污染物为SS，</w:t>
            </w:r>
            <w:r>
              <w:rPr>
                <w:rFonts w:hint="eastAsia"/>
                <w:color w:val="000000"/>
                <w:sz w:val="24"/>
                <w:u w:val="none"/>
                <w:highlight w:val="none"/>
              </w:rPr>
              <w:t>收集后回用于原水利用</w:t>
            </w:r>
            <w:r>
              <w:rPr>
                <w:color w:val="000000"/>
                <w:sz w:val="24"/>
                <w:u w:val="none"/>
                <w:highlight w:val="none"/>
              </w:rPr>
              <w:t>，不外排</w:t>
            </w:r>
            <w:r>
              <w:rPr>
                <w:rFonts w:hint="eastAsia"/>
                <w:color w:val="000000"/>
                <w:sz w:val="24"/>
                <w:u w:val="none"/>
                <w:highlight w:val="none"/>
              </w:rPr>
              <w:t>；</w:t>
            </w:r>
            <w:r>
              <w:rPr>
                <w:color w:val="000000"/>
                <w:sz w:val="24"/>
                <w:u w:val="none"/>
                <w:highlight w:val="none"/>
              </w:rPr>
              <w:t>沉淀池排泥水</w:t>
            </w:r>
            <w:r>
              <w:rPr>
                <w:rFonts w:hint="eastAsia"/>
                <w:color w:val="000000"/>
                <w:sz w:val="24"/>
                <w:u w:val="none"/>
                <w:lang w:val="en-US" w:eastAsia="zh-CN"/>
                <w:highlight w:val="none"/>
              </w:rPr>
              <w:t>进入</w:t>
            </w:r>
            <w:r>
              <w:rPr>
                <w:rFonts w:ascii="Times New Roman" w:eastAsia="宋体" w:cs="Times New Roman" w:hAnsi="Times New Roman" w:hint="eastAsia"/>
                <w:kern w:val="21"/>
                <w:sz w:val="24"/>
                <w:szCs w:val="24"/>
                <w:u w:val="none"/>
                <w:lang w:val="zh-CN" w:eastAsia="zh-CN"/>
                <w:highlight w:val="none"/>
              </w:rPr>
              <w:t>回用水池及排泥调节池</w:t>
            </w:r>
            <w:r>
              <w:rPr>
                <w:rFonts w:ascii="Times New Roman" w:eastAsia="宋体" w:cs="Times New Roman" w:hAnsi="Times New Roman" w:hint="eastAsia"/>
                <w:kern w:val="21"/>
                <w:sz w:val="24"/>
                <w:szCs w:val="24"/>
                <w:u w:val="none"/>
                <w:lang w:val="en-US" w:eastAsia="zh-CN"/>
                <w:highlight w:val="none"/>
              </w:rPr>
              <w:t>后</w:t>
            </w:r>
            <w:r>
              <w:rPr>
                <w:rFonts w:ascii="Times New Roman" w:eastAsia="宋体" w:hAnsi="Times New Roman" w:hint="eastAsia"/>
                <w:kern w:val="21"/>
                <w:sz w:val="24"/>
                <w:szCs w:val="24"/>
                <w:u w:val="none"/>
                <w:lang w:val="en-US" w:eastAsia="zh-CN"/>
                <w:highlight w:val="none"/>
              </w:rPr>
              <w:t>回用</w:t>
            </w:r>
            <w:r>
              <w:rPr>
                <w:rFonts w:ascii="Times New Roman" w:eastAsia="宋体" w:hAnsi="Times New Roman"/>
                <w:kern w:val="21"/>
                <w:sz w:val="24"/>
                <w:szCs w:val="24"/>
                <w:u w:val="none"/>
                <w:highlight w:val="none"/>
              </w:rPr>
              <w:t>，不外排</w:t>
            </w:r>
            <w:r>
              <w:rPr>
                <w:rFonts w:hint="eastAsia"/>
                <w:color w:val="000000"/>
                <w:sz w:val="24"/>
                <w:u w:val="none"/>
                <w:highlight w:val="none"/>
              </w:rPr>
              <w:t>。</w:t>
            </w:r>
          </w:p>
          <w:p>
            <w:pPr>
              <w:spacing w:line="360" w:lineRule="auto"/>
              <w:jc w:val="center"/>
              <w:rPr>
                <w:b/>
                <w:bCs/>
                <w:szCs w:val="21"/>
                <w:u w:val="none"/>
                <w:highlight w:val="none"/>
              </w:rPr>
            </w:pPr>
            <w:r>
              <w:rPr>
                <w:rFonts w:hint="eastAsia"/>
                <w:highlight w:val="none"/>
              </w:rPr>
              <w:object>
                <v:shapetype id="_x0000_t75" coordsize="21600,2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filled="f" style="width:425.75pt;height:168.95pt;" o:ole="">
                  <v:imagedata r:id="rId7" o:title="image10" cropbottom="6441f" cropleft="1216f" cropright="3613f"/>
                  <o:lock aspectratio="t"/>
                  <w10:anchorLock/>
                </v:shape>
                <o:OLEObject Type="Embed" ProgID="Visio.Drawing.11" ShapeID="_x0000_i1025" DrawAspect="Content" ObjectID="_1393063351" r:id="rId8"/>
              </w:object>
            </w:r>
            <w:r>
              <w:rPr>
                <w:b/>
                <w:bCs/>
                <w:szCs w:val="21"/>
                <w:u w:val="none"/>
                <w:highlight w:val="none"/>
              </w:rPr>
              <w:t>图2-</w:t>
            </w:r>
            <w:r>
              <w:rPr>
                <w:rFonts w:hint="eastAsia"/>
                <w:b/>
                <w:bCs/>
                <w:szCs w:val="21"/>
                <w:u w:val="none"/>
                <w:highlight w:val="none"/>
              </w:rPr>
              <w:t>1</w:t>
            </w:r>
            <w:r>
              <w:rPr>
                <w:b/>
                <w:bCs/>
                <w:szCs w:val="21"/>
                <w:u w:val="none"/>
                <w:highlight w:val="none"/>
              </w:rPr>
              <w:t xml:space="preserve">  </w:t>
            </w:r>
            <w:r>
              <w:rPr>
                <w:rFonts w:hint="eastAsia"/>
                <w:b/>
                <w:bCs/>
                <w:szCs w:val="21"/>
                <w:u w:val="none"/>
                <w:highlight w:val="none"/>
              </w:rPr>
              <w:t>项目水平衡图</w:t>
            </w:r>
          </w:p>
          <w:p>
            <w:pPr>
              <w:spacing w:line="360" w:lineRule="auto"/>
              <w:ind w:firstLineChars="200" w:firstLine="480"/>
              <w:rPr>
                <w:sz w:val="24"/>
                <w:highlight w:val="none"/>
              </w:rPr>
            </w:pPr>
            <w:r>
              <w:rPr>
                <w:sz w:val="24"/>
                <w:highlight w:val="none"/>
              </w:rPr>
              <w:t>（3）供配电</w:t>
            </w:r>
          </w:p>
          <w:p>
            <w:pPr>
              <w:pStyle w:val="92"/>
              <w:ind w:rightChars="0" w:right="-20"/>
              <w:jc w:val="both"/>
              <w:rPr>
                <w:color w:val="000000"/>
                <w:highlight w:val="none"/>
              </w:rPr>
            </w:pPr>
            <w:r>
              <w:rPr>
                <w:rFonts w:hint="eastAsia"/>
                <w:color w:val="000000"/>
                <w:highlight w:val="none"/>
              </w:rPr>
              <w:t>本水厂为二级供电负荷，采用10kV双电源供电，进线电源采用一用一备方式设计。</w:t>
            </w:r>
          </w:p>
          <w:p>
            <w:pPr>
              <w:pStyle w:val="59"/>
              <w:spacing w:line="360" w:lineRule="auto"/>
              <w:jc w:val="both"/>
              <w:rPr>
                <w:b/>
                <w:bCs/>
                <w:sz w:val="24"/>
                <w:highlight w:val="none"/>
              </w:rPr>
            </w:pPr>
            <w:r>
              <w:rPr>
                <w:rFonts w:hint="eastAsia"/>
                <w:b/>
                <w:bCs/>
                <w:sz w:val="24"/>
                <w:lang w:val="en-US" w:eastAsia="zh-CN"/>
                <w:highlight w:val="none"/>
              </w:rPr>
              <w:t>9</w:t>
            </w:r>
            <w:r>
              <w:rPr>
                <w:b/>
                <w:bCs/>
                <w:color w:val="auto"/>
                <w:sz w:val="24"/>
                <w:highlight w:val="none"/>
              </w:rPr>
              <w:t>、</w:t>
            </w:r>
            <w:r>
              <w:rPr>
                <w:rFonts w:hint="eastAsia"/>
                <w:b/>
                <w:bCs/>
                <w:color w:val="auto"/>
                <w:sz w:val="24"/>
                <w:lang w:val="en-US" w:eastAsia="zh-CN"/>
                <w:highlight w:val="none"/>
              </w:rPr>
              <w:t>输供水</w:t>
            </w:r>
            <w:r>
              <w:rPr>
                <w:rFonts w:hint="eastAsia"/>
                <w:b/>
                <w:bCs/>
                <w:color w:val="auto"/>
                <w:sz w:val="24"/>
                <w:highlight w:val="none"/>
              </w:rPr>
              <w:t>工程</w:t>
            </w:r>
          </w:p>
          <w:p>
            <w:pPr>
              <w:pStyle w:val="59"/>
              <w:spacing w:line="360" w:lineRule="auto"/>
              <w:ind w:firstLineChars="200" w:firstLine="480"/>
              <w:jc w:val="both"/>
              <w:rPr>
                <w:sz w:val="24"/>
                <w:u w:val="none"/>
                <w:highlight w:val="none"/>
              </w:rPr>
            </w:pPr>
            <w:r>
              <w:rPr>
                <w:rFonts w:eastAsia="宋体" w:cs="Times New Roman" w:hint="eastAsia"/>
                <w:color w:val="auto"/>
                <w:sz w:val="24"/>
                <w:szCs w:val="24"/>
                <w:u w:val="none"/>
                <w:lang w:val="en-US" w:eastAsia="zh-CN"/>
                <w:highlight w:val="none"/>
              </w:rPr>
              <w:t>本项目</w:t>
            </w:r>
            <w:r>
              <w:rPr>
                <w:rFonts w:ascii="Times New Roman" w:eastAsia="宋体" w:cs="Times New Roman" w:hAnsi="Times New Roman"/>
                <w:color w:val="auto"/>
                <w:sz w:val="24"/>
                <w:szCs w:val="24"/>
                <w:u w:val="none"/>
                <w:highlight w:val="none"/>
              </w:rPr>
              <w:t>新建输水干管工程，管网长度</w:t>
            </w:r>
            <w:r>
              <w:rPr>
                <w:rFonts w:cs="Times New Roman" w:hint="eastAsia"/>
                <w:color w:val="auto"/>
                <w:sz w:val="24"/>
                <w:szCs w:val="24"/>
                <w:u w:val="none"/>
                <w:lang w:val="en-US" w:eastAsia="zh-CN"/>
                <w:highlight w:val="none"/>
              </w:rPr>
              <w:t>800</w:t>
            </w:r>
            <w:r>
              <w:rPr>
                <w:rFonts w:ascii="Times New Roman" w:eastAsia="宋体" w:cs="Times New Roman" w:hAnsi="Times New Roman"/>
                <w:color w:val="auto"/>
                <w:sz w:val="24"/>
                <w:szCs w:val="24"/>
                <w:u w:val="none"/>
                <w:highlight w:val="none"/>
              </w:rPr>
              <w:t>m</w:t>
            </w:r>
            <w:r>
              <w:rPr>
                <w:rFonts w:cs="Times New Roman" w:hint="eastAsia"/>
                <w:color w:val="auto"/>
                <w:sz w:val="24"/>
                <w:szCs w:val="24"/>
                <w:u w:val="none"/>
                <w:lang w:eastAsia="zh-CN"/>
                <w:highlight w:val="none"/>
              </w:rPr>
              <w:t>，</w:t>
            </w:r>
            <w:r>
              <w:rPr>
                <w:rFonts w:ascii="Times New Roman" w:eastAsia="宋体" w:cs="Times New Roman" w:hAnsi="Times New Roman"/>
                <w:kern w:val="0"/>
                <w:sz w:val="24"/>
                <w:szCs w:val="24"/>
                <w:u w:val="none"/>
                <w:lang w:val="en-US" w:eastAsia="zh-CN" w:bidi="ar-SA"/>
                <w:highlight w:val="none"/>
              </w:rPr>
              <w:t>管径D</w:t>
            </w:r>
            <w:r>
              <w:rPr>
                <w:rFonts w:eastAsia="宋体" w:cs="Times New Roman" w:hint="eastAsia"/>
                <w:kern w:val="0"/>
                <w:sz w:val="24"/>
                <w:szCs w:val="24"/>
                <w:u w:val="none"/>
                <w:lang w:val="en-US" w:eastAsia="zh-CN" w:bidi="ar-SA"/>
                <w:highlight w:val="none"/>
              </w:rPr>
              <w:t>4</w:t>
            </w:r>
            <w:r>
              <w:rPr>
                <w:rFonts w:ascii="Times New Roman" w:eastAsia="宋体" w:cs="Times New Roman" w:hAnsi="Times New Roman" w:hint="eastAsia"/>
                <w:kern w:val="0"/>
                <w:sz w:val="24"/>
                <w:szCs w:val="24"/>
                <w:u w:val="none"/>
                <w:lang w:val="en-US" w:eastAsia="zh-CN" w:bidi="ar-SA"/>
                <w:highlight w:val="none"/>
              </w:rPr>
              <w:t>00</w:t>
            </w:r>
            <w:r>
              <w:rPr>
                <w:rFonts w:ascii="Times New Roman" w:eastAsia="宋体" w:cs="Times New Roman" w:hAnsi="Times New Roman"/>
                <w:kern w:val="0"/>
                <w:sz w:val="24"/>
                <w:szCs w:val="24"/>
                <w:u w:val="none"/>
                <w:lang w:val="en-US" w:eastAsia="zh-CN" w:bidi="ar-SA"/>
                <w:highlight w:val="none"/>
              </w:rPr>
              <w:t>，选用焊接钢管。管道采用开槽施工，管顶覆土均按0.75m设置。</w:t>
            </w:r>
            <w:r>
              <w:rPr>
                <w:rFonts w:ascii="Times New Roman" w:eastAsia="宋体" w:cs="Times New Roman" w:hAnsi="Times New Roman" w:hint="eastAsia"/>
                <w:kern w:val="0"/>
                <w:sz w:val="24"/>
                <w:szCs w:val="24"/>
                <w:u w:val="none"/>
                <w:lang w:val="en-US" w:eastAsia="zh-CN" w:bidi="ar-SA"/>
                <w:highlight w:val="none"/>
              </w:rPr>
              <w:t>原水</w:t>
            </w:r>
            <w:r>
              <w:rPr>
                <w:rFonts w:ascii="Times New Roman" w:eastAsia="宋体" w:cs="Times New Roman" w:hAnsi="Times New Roman"/>
                <w:kern w:val="0"/>
                <w:sz w:val="24"/>
                <w:szCs w:val="24"/>
                <w:u w:val="none"/>
                <w:lang w:val="en-US" w:eastAsia="zh-CN" w:bidi="ar-SA"/>
                <w:highlight w:val="none"/>
              </w:rPr>
              <w:t>经水厂净水处理达到《生活饮用水卫生标准》（</w:t>
            </w:r>
            <w:r>
              <w:rPr>
                <w:rFonts w:ascii="Times New Roman" w:cs="Times New Roman" w:hAnsi="Times New Roman" w:hint="eastAsia"/>
                <w:kern w:val="0"/>
                <w:sz w:val="24"/>
                <w:szCs w:val="24"/>
                <w:u w:val="none"/>
                <w:lang w:val="en-US" w:eastAsia="zh-CN" w:bidi="ar-SA"/>
                <w:highlight w:val="none"/>
              </w:rPr>
              <w:t>GB5749-2022</w:t>
            </w:r>
            <w:r>
              <w:rPr>
                <w:rFonts w:ascii="Times New Roman" w:eastAsia="宋体" w:cs="Times New Roman" w:hAnsi="Times New Roman"/>
                <w:kern w:val="0"/>
                <w:sz w:val="24"/>
                <w:szCs w:val="24"/>
                <w:u w:val="none"/>
                <w:lang w:val="en-US" w:eastAsia="zh-CN" w:bidi="ar-SA"/>
                <w:highlight w:val="none"/>
              </w:rPr>
              <w:t>）水质要求后，由</w:t>
            </w:r>
            <w:r>
              <w:rPr>
                <w:rFonts w:ascii="Times New Roman" w:eastAsia="宋体" w:cs="Times New Roman" w:hAnsi="Times New Roman" w:hint="eastAsia"/>
                <w:kern w:val="0"/>
                <w:sz w:val="24"/>
                <w:szCs w:val="24"/>
                <w:u w:val="none"/>
                <w:lang w:val="en-US" w:eastAsia="zh-CN" w:bidi="ar-SA"/>
                <w:highlight w:val="none"/>
              </w:rPr>
              <w:t>供</w:t>
            </w:r>
            <w:r>
              <w:rPr>
                <w:rFonts w:ascii="Times New Roman" w:eastAsia="宋体" w:cs="Times New Roman" w:hAnsi="Times New Roman"/>
                <w:kern w:val="0"/>
                <w:sz w:val="24"/>
                <w:szCs w:val="24"/>
                <w:u w:val="none"/>
                <w:lang w:val="en-US" w:eastAsia="zh-CN" w:bidi="ar-SA"/>
                <w:highlight w:val="none"/>
              </w:rPr>
              <w:t>水管网输送到水厂供水服务范围内各用水户。</w:t>
            </w:r>
            <w:r>
              <w:rPr>
                <w:rFonts w:ascii="Times New Roman" w:eastAsia="宋体" w:cs="Times New Roman" w:hAnsi="Times New Roman" w:hint="eastAsia"/>
                <w:kern w:val="0"/>
                <w:sz w:val="24"/>
                <w:szCs w:val="24"/>
                <w:u w:val="none"/>
                <w:lang w:val="en-US" w:eastAsia="zh-CN" w:bidi="ar-SA"/>
                <w:highlight w:val="none"/>
              </w:rPr>
              <w:t>供水管网沿路铺设，</w:t>
            </w:r>
            <w:r>
              <w:rPr>
                <w:rFonts w:ascii="Times New Roman" w:cs="Times New Roman" w:hAnsi="Times New Roman" w:hint="eastAsia"/>
                <w:kern w:val="0"/>
                <w:sz w:val="24"/>
                <w:szCs w:val="24"/>
                <w:u w:val="none"/>
                <w:lang w:val="en-US" w:eastAsia="zh-CN" w:bidi="ar-SA"/>
                <w:highlight w:val="none"/>
              </w:rPr>
              <w:t>管</w:t>
            </w:r>
            <w:r>
              <w:rPr>
                <w:rFonts w:ascii="Times New Roman" w:eastAsia="宋体" w:cs="Times New Roman" w:hAnsi="Times New Roman" w:hint="eastAsia"/>
                <w:kern w:val="0"/>
                <w:sz w:val="24"/>
                <w:szCs w:val="24"/>
                <w:u w:val="none"/>
                <w:lang w:val="en-US" w:eastAsia="zh-CN" w:bidi="ar-SA"/>
                <w:highlight w:val="none"/>
              </w:rPr>
              <w:t>径为</w:t>
            </w:r>
            <w:r>
              <w:rPr>
                <w:rFonts w:ascii="Times New Roman" w:eastAsia="宋体" w:cs="Times New Roman" w:hAnsi="Times New Roman"/>
                <w:kern w:val="0"/>
                <w:sz w:val="24"/>
                <w:szCs w:val="24"/>
                <w:u w:val="none"/>
                <w:lang w:val="en-US" w:eastAsia="zh-CN" w:bidi="ar-SA"/>
                <w:highlight w:val="none"/>
              </w:rPr>
              <w:t>DN</w:t>
            </w:r>
            <w:r>
              <w:rPr>
                <w:rFonts w:ascii="Times New Roman" w:eastAsia="宋体" w:cs="Times New Roman" w:hAnsi="Times New Roman" w:hint="eastAsia"/>
                <w:kern w:val="0"/>
                <w:sz w:val="24"/>
                <w:szCs w:val="24"/>
                <w:u w:val="none"/>
                <w:lang w:val="en-US" w:eastAsia="zh-CN" w:bidi="ar-SA"/>
                <w:highlight w:val="none"/>
              </w:rPr>
              <w:t>4</w:t>
            </w:r>
            <w:r>
              <w:rPr>
                <w:rFonts w:ascii="Times New Roman" w:eastAsia="宋体" w:cs="Times New Roman" w:hAnsi="Times New Roman"/>
                <w:kern w:val="0"/>
                <w:sz w:val="24"/>
                <w:szCs w:val="24"/>
                <w:u w:val="none"/>
                <w:lang w:val="en-US" w:eastAsia="zh-CN" w:bidi="ar-SA"/>
                <w:highlight w:val="none"/>
              </w:rPr>
              <w:t>00~DN50</w:t>
            </w:r>
            <w:r>
              <w:rPr>
                <w:rFonts w:ascii="Times New Roman" w:eastAsia="宋体" w:cs="Times New Roman" w:hAnsi="Times New Roman" w:hint="eastAsia"/>
                <w:kern w:val="0"/>
                <w:sz w:val="24"/>
                <w:szCs w:val="24"/>
                <w:u w:val="none"/>
                <w:lang w:val="en-US" w:eastAsia="zh-CN" w:bidi="ar-SA"/>
                <w:highlight w:val="none"/>
              </w:rPr>
              <w:t>。新建输供水管网总长约</w:t>
            </w:r>
            <w:r>
              <w:rPr>
                <w:rFonts w:ascii="Times New Roman" w:eastAsia="宋体" w:cs="Times New Roman" w:hAnsi="Times New Roman"/>
                <w:color w:val="auto"/>
                <w:sz w:val="24"/>
                <w:szCs w:val="24"/>
                <w:u w:val="none"/>
                <w:highlight w:val="none"/>
              </w:rPr>
              <w:t>189.43</w:t>
            </w:r>
            <w:r>
              <w:rPr>
                <w:rFonts w:ascii="Times New Roman" w:eastAsia="宋体" w:cs="Times New Roman" w:hAnsi="Times New Roman"/>
                <w:kern w:val="0"/>
                <w:sz w:val="24"/>
                <w:szCs w:val="24"/>
                <w:u w:val="none"/>
                <w:lang w:val="en-US" w:eastAsia="zh-CN" w:bidi="ar-SA"/>
                <w:highlight w:val="none"/>
              </w:rPr>
              <w:t>km</w:t>
            </w:r>
            <w:r>
              <w:rPr>
                <w:sz w:val="24"/>
                <w:u w:val="none"/>
                <w:highlight w:val="none"/>
              </w:rPr>
              <w:t>。</w:t>
            </w:r>
          </w:p>
          <w:p>
            <w:pPr>
              <w:pStyle w:val="59"/>
              <w:spacing w:line="360" w:lineRule="auto"/>
              <w:ind w:firstLineChars="200" w:firstLine="480"/>
              <w:jc w:val="both"/>
              <w:rPr>
                <w:b/>
                <w:szCs w:val="21"/>
                <w:u w:val="none"/>
                <w:highlight w:val="none"/>
              </w:rPr>
            </w:pPr>
            <w:r>
              <w:rPr>
                <w:rFonts w:hint="eastAsia"/>
                <w:sz w:val="24"/>
                <w:u w:val="none"/>
                <w:lang w:val="en-US" w:eastAsia="zh-CN"/>
                <w:highlight w:val="none"/>
              </w:rPr>
              <w:t>1、输水线路</w:t>
            </w:r>
            <w:r>
              <w:rPr>
                <w:rFonts w:hint="eastAsia"/>
                <w:sz w:val="24"/>
                <w:u w:val="none"/>
                <w:highlight w:val="none"/>
              </w:rPr>
              <w:t>布置</w:t>
            </w:r>
          </w:p>
          <w:p>
            <w:pPr>
              <w:pStyle w:val="59"/>
              <w:spacing w:line="360" w:lineRule="auto"/>
              <w:ind w:firstLineChars="200" w:firstLine="480"/>
              <w:jc w:val="both"/>
              <w:rPr>
                <w:rFonts w:hint="eastAsia"/>
                <w:sz w:val="24"/>
                <w:u w:val="none"/>
                <w:lang w:val="en-US" w:eastAsia="zh-CN"/>
                <w:highlight w:val="none"/>
              </w:rPr>
            </w:pPr>
            <w:r>
              <w:rPr>
                <w:rFonts w:ascii="Times New Roman" w:eastAsia="宋体" w:cs="Times New Roman" w:hAnsi="Times New Roman" w:hint="eastAsia"/>
                <w:kern w:val="0"/>
                <w:sz w:val="24"/>
                <w:szCs w:val="24"/>
                <w:u w:val="none"/>
                <w:lang w:val="en-US" w:eastAsia="zh-CN" w:bidi="ar-SA"/>
                <w:highlight w:val="none"/>
              </w:rPr>
              <w:t>本项目新建一条输水管线，</w:t>
            </w:r>
            <w:r>
              <w:rPr>
                <w:rFonts w:ascii="Times New Roman" w:eastAsia="宋体" w:cs="Times New Roman" w:hAnsi="Times New Roman"/>
                <w:kern w:val="0"/>
                <w:sz w:val="24"/>
                <w:szCs w:val="24"/>
                <w:u w:val="none"/>
                <w:lang w:val="en-US" w:eastAsia="zh-CN" w:bidi="ar-SA"/>
                <w:highlight w:val="none"/>
              </w:rPr>
              <w:t>取水后，沿</w:t>
            </w:r>
            <w:r>
              <w:rPr>
                <w:rFonts w:ascii="Times New Roman" w:eastAsia="宋体" w:cs="Times New Roman" w:hAnsi="Times New Roman" w:hint="eastAsia"/>
                <w:kern w:val="0"/>
                <w:sz w:val="24"/>
                <w:szCs w:val="24"/>
                <w:u w:val="none"/>
                <w:lang w:val="en-US" w:eastAsia="zh-CN" w:bidi="ar-SA"/>
                <w:highlight w:val="none"/>
              </w:rPr>
              <w:t>线</w:t>
            </w:r>
            <w:r>
              <w:rPr>
                <w:rFonts w:ascii="Times New Roman" w:eastAsia="宋体" w:cs="Times New Roman" w:hAnsi="Times New Roman"/>
                <w:kern w:val="0"/>
                <w:sz w:val="24"/>
                <w:szCs w:val="24"/>
                <w:u w:val="none"/>
                <w:lang w:val="en-US" w:eastAsia="zh-CN" w:bidi="ar-SA"/>
                <w:highlight w:val="none"/>
              </w:rPr>
              <w:t>铺设</w:t>
            </w:r>
            <w:r>
              <w:rPr>
                <w:rFonts w:ascii="Times New Roman" w:eastAsia="宋体" w:cs="Times New Roman" w:hAnsi="Times New Roman" w:hint="eastAsia"/>
                <w:kern w:val="0"/>
                <w:sz w:val="24"/>
                <w:szCs w:val="24"/>
                <w:u w:val="none"/>
                <w:lang w:val="en-US" w:eastAsia="zh-CN" w:bidi="ar-SA"/>
                <w:highlight w:val="none"/>
              </w:rPr>
              <w:t>输水管</w:t>
            </w:r>
            <w:r>
              <w:rPr>
                <w:rFonts w:ascii="Times New Roman" w:eastAsia="宋体" w:cs="Times New Roman" w:hAnsi="Times New Roman"/>
                <w:kern w:val="0"/>
                <w:sz w:val="24"/>
                <w:szCs w:val="24"/>
                <w:u w:val="none"/>
                <w:lang w:val="en-US" w:eastAsia="zh-CN" w:bidi="ar-SA"/>
                <w:highlight w:val="none"/>
              </w:rPr>
              <w:t>至水厂，输水管总长约</w:t>
            </w:r>
            <w:r>
              <w:rPr>
                <w:rFonts w:eastAsia="宋体" w:cs="Times New Roman" w:hint="eastAsia"/>
                <w:kern w:val="0"/>
                <w:sz w:val="24"/>
                <w:szCs w:val="24"/>
                <w:u w:val="none"/>
                <w:lang w:val="en-US" w:eastAsia="zh-CN" w:bidi="ar-SA"/>
                <w:highlight w:val="none"/>
              </w:rPr>
              <w:t>800</w:t>
            </w:r>
            <w:r>
              <w:rPr>
                <w:rFonts w:ascii="Times New Roman" w:eastAsia="宋体" w:cs="Times New Roman" w:hAnsi="Times New Roman"/>
                <w:kern w:val="0"/>
                <w:sz w:val="24"/>
                <w:szCs w:val="24"/>
                <w:u w:val="none"/>
                <w:lang w:val="en-US" w:eastAsia="zh-CN" w:bidi="ar-SA"/>
                <w:highlight w:val="none"/>
              </w:rPr>
              <w:t>m，管径D</w:t>
            </w:r>
            <w:r>
              <w:rPr>
                <w:rFonts w:eastAsia="宋体" w:cs="Times New Roman" w:hint="eastAsia"/>
                <w:kern w:val="0"/>
                <w:sz w:val="24"/>
                <w:szCs w:val="24"/>
                <w:u w:val="none"/>
                <w:lang w:val="en-US" w:eastAsia="zh-CN" w:bidi="ar-SA"/>
                <w:highlight w:val="none"/>
              </w:rPr>
              <w:t>4</w:t>
            </w:r>
            <w:r>
              <w:rPr>
                <w:rFonts w:ascii="Times New Roman" w:eastAsia="宋体" w:cs="Times New Roman" w:hAnsi="Times New Roman" w:hint="eastAsia"/>
                <w:kern w:val="0"/>
                <w:sz w:val="24"/>
                <w:szCs w:val="24"/>
                <w:u w:val="none"/>
                <w:lang w:val="en-US" w:eastAsia="zh-CN" w:bidi="ar-SA"/>
                <w:highlight w:val="none"/>
              </w:rPr>
              <w:t>00</w:t>
            </w:r>
            <w:r>
              <w:rPr>
                <w:rFonts w:ascii="Times New Roman" w:eastAsia="宋体" w:cs="Times New Roman" w:hAnsi="Times New Roman"/>
                <w:kern w:val="0"/>
                <w:sz w:val="24"/>
                <w:szCs w:val="24"/>
                <w:u w:val="none"/>
                <w:lang w:val="en-US" w:eastAsia="zh-CN" w:bidi="ar-SA"/>
                <w:highlight w:val="none"/>
              </w:rPr>
              <w:t>，选用焊接钢管。管道采用开槽施工，管顶覆土均按0.75m设置。</w:t>
            </w:r>
          </w:p>
          <w:p>
            <w:pPr>
              <w:pStyle w:val="59"/>
              <w:spacing w:line="360" w:lineRule="auto"/>
              <w:ind w:firstLineChars="200" w:firstLine="480"/>
              <w:jc w:val="both"/>
              <w:rPr>
                <w:b/>
                <w:szCs w:val="21"/>
                <w:u w:val="none"/>
                <w:highlight w:val="none"/>
              </w:rPr>
            </w:pPr>
            <w:r>
              <w:rPr>
                <w:rFonts w:hint="eastAsia"/>
                <w:sz w:val="24"/>
                <w:u w:val="none"/>
                <w:lang w:val="en-US" w:eastAsia="zh-CN"/>
                <w:highlight w:val="none"/>
              </w:rPr>
              <w:t>2、供水线路</w:t>
            </w:r>
            <w:r>
              <w:rPr>
                <w:rFonts w:hint="eastAsia"/>
                <w:sz w:val="24"/>
                <w:u w:val="none"/>
                <w:highlight w:val="none"/>
              </w:rPr>
              <w:t>布置</w:t>
            </w:r>
          </w:p>
          <w:p>
            <w:pPr>
              <w:pStyle w:val="59"/>
              <w:spacing w:line="360" w:lineRule="auto"/>
              <w:ind w:firstLineChars="200" w:firstLine="480"/>
              <w:jc w:val="both"/>
              <w:rPr>
                <w:rFonts w:hint="eastAsia"/>
                <w:sz w:val="24"/>
                <w:u w:val="none"/>
                <w:lang w:val="en-US" w:eastAsia="zh-CN"/>
                <w:highlight w:val="none"/>
              </w:rPr>
            </w:pPr>
            <w:r>
              <w:rPr>
                <w:rFonts w:hint="eastAsia"/>
                <w:sz w:val="24"/>
                <w:u w:val="none"/>
                <w:lang w:val="en-US" w:eastAsia="zh-CN"/>
                <w:highlight w:val="none"/>
              </w:rPr>
              <w:t xml:space="preserve"> （1）线路布置</w:t>
            </w:r>
          </w:p>
          <w:p>
            <w:pPr>
              <w:pStyle w:val="59"/>
              <w:spacing w:line="360" w:lineRule="auto"/>
              <w:ind w:firstLineChars="200" w:firstLine="480"/>
              <w:jc w:val="both"/>
              <w:rPr>
                <w:rFonts w:hint="eastAsia"/>
                <w:sz w:val="24"/>
                <w:u w:val="none"/>
                <w:lang w:val="en-US" w:eastAsia="zh-CN"/>
                <w:highlight w:val="none"/>
              </w:rPr>
            </w:pPr>
            <w:r>
              <w:rPr>
                <w:rFonts w:hint="eastAsia"/>
                <w:sz w:val="24"/>
                <w:u w:val="none"/>
                <w:lang w:val="en-US" w:eastAsia="zh-CN"/>
                <w:highlight w:val="none"/>
              </w:rPr>
              <w:t>本工程的供水服务点比较分散，输水线路采用树枝状布置，考虑本工程输水和管道规模，输水线路沿现有交通道路进行铺设，起点从水厂清水池，终点至各村镇农村饮水安全供水厂（站）或行政村主管道。</w:t>
            </w:r>
          </w:p>
          <w:p>
            <w:pPr>
              <w:pStyle w:val="59"/>
              <w:spacing w:line="360" w:lineRule="auto"/>
              <w:ind w:firstLineChars="200" w:firstLine="480"/>
              <w:jc w:val="both"/>
              <w:rPr>
                <w:rFonts w:hint="eastAsia"/>
                <w:sz w:val="24"/>
                <w:lang w:val="en-US" w:eastAsia="zh-CN"/>
                <w:highlight w:val="none"/>
              </w:rPr>
            </w:pPr>
            <w:r>
              <w:rPr>
                <w:rFonts w:hint="eastAsia"/>
                <w:sz w:val="24"/>
                <w:lang w:val="en-US" w:eastAsia="zh-CN"/>
                <w:highlight w:val="none"/>
              </w:rPr>
              <w:t>（2）横断面布置</w:t>
            </w:r>
          </w:p>
          <w:p>
            <w:pPr>
              <w:pStyle w:val="59"/>
              <w:spacing w:line="360" w:lineRule="auto"/>
              <w:ind w:firstLineChars="200" w:firstLine="480"/>
              <w:jc w:val="both"/>
              <w:rPr>
                <w:rFonts w:hint="eastAsia"/>
                <w:sz w:val="24"/>
                <w:lang w:val="en-US" w:eastAsia="zh-CN"/>
                <w:highlight w:val="none"/>
              </w:rPr>
            </w:pPr>
            <w:r>
              <w:rPr>
                <w:rFonts w:hint="eastAsia"/>
                <w:sz w:val="24"/>
                <w:lang w:val="en-US" w:eastAsia="zh-CN"/>
                <w:highlight w:val="none"/>
              </w:rPr>
              <w:t>输水线路均采用单管输水，管道沟槽开挖宽度结合工程地质条件和管道规模确定。管道沟槽的开挖边坡采用1：0.3，沟槽底部的开挖宽度取管道直径两侧各加300mm，管顶埋深0.7m。管顶回填细土，压实系数不小于0.90。在路面下方埋设输水管线的回填后按照原路面结构对路面进行恢复。</w:t>
            </w:r>
          </w:p>
          <w:p>
            <w:pPr>
              <w:pStyle w:val="59"/>
              <w:spacing w:line="360" w:lineRule="auto"/>
              <w:ind w:firstLineChars="200" w:firstLine="480"/>
              <w:jc w:val="both"/>
              <w:rPr>
                <w:rFonts w:hint="eastAsia"/>
                <w:sz w:val="24"/>
                <w:lang w:val="en-US" w:eastAsia="zh-CN"/>
                <w:highlight w:val="none"/>
              </w:rPr>
            </w:pPr>
            <w:r>
              <w:rPr>
                <w:rFonts w:hint="eastAsia"/>
                <w:sz w:val="24"/>
                <w:lang w:val="en-US" w:eastAsia="zh-CN"/>
                <w:highlight w:val="none"/>
              </w:rPr>
              <w:t>（3）管道配件</w:t>
            </w:r>
          </w:p>
          <w:p>
            <w:pPr>
              <w:pStyle w:val="59"/>
              <w:spacing w:line="360" w:lineRule="auto"/>
              <w:ind w:firstLineChars="200" w:firstLine="480"/>
              <w:jc w:val="both"/>
              <w:rPr>
                <w:rFonts w:hint="eastAsia"/>
                <w:sz w:val="24"/>
                <w:lang w:val="en-US" w:eastAsia="zh-CN"/>
                <w:highlight w:val="none"/>
              </w:rPr>
            </w:pPr>
            <w:r>
              <w:rPr>
                <w:rFonts w:hint="eastAsia"/>
                <w:sz w:val="24"/>
                <w:lang w:val="en-US" w:eastAsia="zh-CN"/>
                <w:highlight w:val="none"/>
              </w:rPr>
              <w:t>管道配件指弯管、三通（岔管）、异径接头等管件。</w:t>
            </w:r>
          </w:p>
          <w:p>
            <w:pPr>
              <w:pStyle w:val="59"/>
              <w:spacing w:line="360" w:lineRule="auto"/>
              <w:ind w:firstLineChars="200" w:firstLine="480"/>
              <w:jc w:val="both"/>
              <w:rPr>
                <w:rFonts w:hint="eastAsia"/>
                <w:b/>
                <w:szCs w:val="21"/>
                <w:lang w:eastAsia="zh-CN"/>
                <w:highlight w:val="none"/>
              </w:rPr>
            </w:pPr>
            <w:r>
              <w:rPr>
                <w:rFonts w:hint="eastAsia"/>
                <w:sz w:val="24"/>
                <w:lang w:val="en-US" w:eastAsia="zh-CN"/>
                <w:highlight w:val="none"/>
              </w:rPr>
              <w:t>管道在铺设时，小转角可通过管道借角来完成，当弯道转角较大无法借角时，可采用弯管配件。弯管的长度分中心弧长和直管段两部分，其中心弧长根据转角和圆弧半径计算，圆弧半径取公称直径的3倍，两端直管段长度根据稳定计算确定。为了便于与阀件连接，在阀件的上下游均设置管件，管件尺寸根据阀件的安装尺寸及阀门井轮廓尺寸确定。</w:t>
            </w:r>
          </w:p>
          <w:p>
            <w:pPr>
              <w:pStyle w:val="59"/>
              <w:spacing w:line="360" w:lineRule="auto"/>
              <w:ind w:firstLineChars="200" w:firstLine="480"/>
              <w:jc w:val="both"/>
              <w:rPr>
                <w:b/>
                <w:szCs w:val="21"/>
                <w:lang w:val="en-US"/>
                <w:highlight w:val="none"/>
              </w:rPr>
            </w:pPr>
            <w:r>
              <w:rPr>
                <w:rFonts w:hint="eastAsia"/>
                <w:sz w:val="24"/>
                <w:lang w:val="en-US" w:eastAsia="zh-CN"/>
                <w:highlight w:val="none"/>
              </w:rPr>
              <w:t>3、加压泵站</w:t>
            </w:r>
          </w:p>
          <w:p>
            <w:pPr>
              <w:pStyle w:val="17"/>
              <w:adjustRightInd w:val="0"/>
              <w:snapToGrid w:val="0"/>
              <w:spacing w:line="360" w:lineRule="auto"/>
              <w:ind w:firstLineChars="200" w:firstLine="480"/>
              <w:jc w:val="both"/>
              <w:rPr>
                <w:rFonts w:ascii="Times New Roman" w:eastAsia="宋体" w:cs="Times New Roman" w:hAnsi="Times New Roman" w:hint="eastAsia"/>
                <w:color w:val="000000"/>
                <w:kern w:val="2"/>
                <w:sz w:val="24"/>
                <w:szCs w:val="24"/>
                <w:lang w:val="en-US" w:eastAsia="zh-CN" w:bidi="ar-SA"/>
                <w:highlight w:val="none"/>
              </w:rPr>
            </w:pPr>
            <w:r>
              <w:rPr>
                <w:rFonts w:ascii="Times New Roman" w:eastAsia="宋体" w:cs="Times New Roman" w:hAnsi="Times New Roman" w:hint="eastAsia"/>
                <w:color w:val="000000"/>
                <w:kern w:val="2"/>
                <w:sz w:val="24"/>
                <w:szCs w:val="24"/>
                <w:lang w:val="en-US" w:eastAsia="zh-CN" w:bidi="ar-SA"/>
                <w:highlight w:val="none"/>
              </w:rPr>
              <w:t>新建中途加压泵站6座，</w:t>
            </w:r>
            <w:r>
              <w:rPr>
                <w:rFonts w:ascii="Times New Roman" w:eastAsia="宋体" w:cs="Times New Roman" w:hAnsi="Times New Roman" w:hint="eastAsia"/>
                <w:color w:val="000000"/>
                <w:kern w:val="2"/>
                <w:sz w:val="24"/>
                <w:szCs w:val="24"/>
                <w:lang w:val="zh-CN" w:eastAsia="zh-CN" w:bidi="ar-SA"/>
                <w:highlight w:val="none"/>
              </w:rPr>
              <w:t>均采用一体化泵站。</w:t>
            </w:r>
            <w:r>
              <w:rPr>
                <w:rFonts w:ascii="Times New Roman" w:eastAsia="宋体" w:cs="Times New Roman" w:hAnsi="Times New Roman" w:hint="eastAsia"/>
                <w:color w:val="000000"/>
                <w:kern w:val="2"/>
                <w:sz w:val="24"/>
                <w:szCs w:val="24"/>
                <w:lang w:val="en-US" w:eastAsia="zh-CN" w:bidi="ar-SA"/>
                <w:highlight w:val="none"/>
              </w:rPr>
              <w:t>新建管道泵2套。①干管D起始端处</w:t>
            </w:r>
            <w:r>
              <w:rPr>
                <w:rFonts w:ascii="Times New Roman" w:eastAsia="宋体" w:cs="Times New Roman" w:hAnsi="Times New Roman"/>
                <w:color w:val="000000"/>
                <w:kern w:val="2"/>
                <w:sz w:val="24"/>
                <w:szCs w:val="24"/>
                <w:lang w:val="en-US" w:eastAsia="zh-CN" w:bidi="ar-SA"/>
                <w:highlight w:val="none"/>
              </w:rPr>
              <w:t>－－</w:t>
            </w:r>
            <w:r>
              <w:rPr>
                <w:rFonts w:ascii="Times New Roman" w:eastAsia="宋体" w:cs="Times New Roman" w:hAnsi="Times New Roman" w:hint="eastAsia"/>
                <w:color w:val="000000"/>
                <w:kern w:val="2"/>
                <w:sz w:val="24"/>
                <w:szCs w:val="24"/>
                <w:lang w:val="en-US" w:eastAsia="zh-CN" w:bidi="ar-SA"/>
                <w:highlight w:val="none"/>
              </w:rPr>
              <w:t>ISG-80-250（Ⅰ）型加压泵（Q=67m</w:t>
            </w:r>
            <w:r>
              <w:rPr>
                <w:rFonts w:ascii="Times New Roman" w:eastAsia="宋体" w:cs="Times New Roman" w:hAnsi="Times New Roman"/>
                <w:color w:val="000000"/>
                <w:kern w:val="2"/>
                <w:sz w:val="24"/>
                <w:szCs w:val="24"/>
                <w:lang w:val="en-US" w:eastAsia="zh-CN" w:bidi="ar-SA"/>
                <w:highlight w:val="none"/>
              </w:rPr>
              <w:t>³</w:t>
            </w:r>
            <w:r>
              <w:rPr>
                <w:rFonts w:ascii="Times New Roman" w:eastAsia="宋体" w:cs="Times New Roman" w:hAnsi="Times New Roman" w:hint="eastAsia"/>
                <w:color w:val="000000"/>
                <w:kern w:val="2"/>
                <w:sz w:val="24"/>
                <w:szCs w:val="24"/>
                <w:lang w:val="en-US" w:eastAsia="zh-CN" w:bidi="ar-SA"/>
                <w:highlight w:val="none"/>
              </w:rPr>
              <w:t>/h、H=75m）；②火连坡镇古台村</w:t>
            </w:r>
            <w:r>
              <w:rPr>
                <w:rFonts w:ascii="Times New Roman" w:eastAsia="宋体" w:cs="Times New Roman" w:hAnsi="Times New Roman"/>
                <w:color w:val="000000"/>
                <w:kern w:val="2"/>
                <w:sz w:val="24"/>
                <w:szCs w:val="24"/>
                <w:lang w:val="en-US" w:eastAsia="zh-CN" w:bidi="ar-SA"/>
                <w:highlight w:val="none"/>
              </w:rPr>
              <w:t>－－</w:t>
            </w:r>
            <w:r>
              <w:rPr>
                <w:rFonts w:ascii="Times New Roman" w:eastAsia="宋体" w:cs="Times New Roman" w:hAnsi="Times New Roman" w:hint="eastAsia"/>
                <w:color w:val="000000"/>
                <w:kern w:val="2"/>
                <w:sz w:val="24"/>
                <w:szCs w:val="24"/>
                <w:lang w:val="en-US" w:eastAsia="zh-CN" w:bidi="ar-SA"/>
                <w:highlight w:val="none"/>
              </w:rPr>
              <w:t>ISG-65-200A型加压泵（Q=15m</w:t>
            </w:r>
            <w:r>
              <w:rPr>
                <w:rFonts w:ascii="Times New Roman" w:eastAsia="宋体" w:cs="Times New Roman" w:hAnsi="Times New Roman"/>
                <w:color w:val="000000"/>
                <w:kern w:val="2"/>
                <w:sz w:val="24"/>
                <w:szCs w:val="24"/>
                <w:lang w:val="en-US" w:eastAsia="zh-CN" w:bidi="ar-SA"/>
                <w:highlight w:val="none"/>
              </w:rPr>
              <w:t>³</w:t>
            </w:r>
            <w:r>
              <w:rPr>
                <w:rFonts w:ascii="Times New Roman" w:eastAsia="宋体" w:cs="Times New Roman" w:hAnsi="Times New Roman" w:hint="eastAsia"/>
                <w:color w:val="000000"/>
                <w:kern w:val="2"/>
                <w:sz w:val="24"/>
                <w:szCs w:val="24"/>
                <w:lang w:val="en-US" w:eastAsia="zh-CN" w:bidi="ar-SA"/>
                <w:highlight w:val="none"/>
              </w:rPr>
              <w:t>/h、H=40m）；③甘溪滩镇东门村－－ISW-40-160（Ⅰ）型加压泵（Q=7.5m</w:t>
            </w:r>
            <w:r>
              <w:rPr>
                <w:rFonts w:ascii="Times New Roman" w:eastAsia="宋体" w:cs="Times New Roman" w:hAnsi="Times New Roman"/>
                <w:color w:val="000000"/>
                <w:kern w:val="2"/>
                <w:sz w:val="24"/>
                <w:szCs w:val="24"/>
                <w:lang w:val="en-US" w:eastAsia="zh-CN" w:bidi="ar-SA"/>
                <w:highlight w:val="none"/>
              </w:rPr>
              <w:t>³</w:t>
            </w:r>
            <w:r>
              <w:rPr>
                <w:rFonts w:ascii="Times New Roman" w:eastAsia="宋体" w:cs="Times New Roman" w:hAnsi="Times New Roman" w:hint="eastAsia"/>
                <w:color w:val="000000"/>
                <w:kern w:val="2"/>
                <w:sz w:val="24"/>
                <w:szCs w:val="24"/>
                <w:lang w:val="en-US" w:eastAsia="zh-CN" w:bidi="ar-SA"/>
                <w:highlight w:val="none"/>
              </w:rPr>
              <w:t>/h、H=20m）；④三岔湾水厂边－－ISG-40-160型加压泵（Q=5m</w:t>
            </w:r>
            <w:r>
              <w:rPr>
                <w:rFonts w:ascii="Times New Roman" w:eastAsia="宋体" w:cs="Times New Roman" w:hAnsi="Times New Roman"/>
                <w:color w:val="000000"/>
                <w:kern w:val="2"/>
                <w:sz w:val="24"/>
                <w:szCs w:val="24"/>
                <w:lang w:val="en-US" w:eastAsia="zh-CN" w:bidi="ar-SA"/>
                <w:highlight w:val="none"/>
              </w:rPr>
              <w:t>³</w:t>
            </w:r>
            <w:r>
              <w:rPr>
                <w:rFonts w:ascii="Times New Roman" w:eastAsia="宋体" w:cs="Times New Roman" w:hAnsi="Times New Roman" w:hint="eastAsia"/>
                <w:color w:val="000000"/>
                <w:kern w:val="2"/>
                <w:sz w:val="24"/>
                <w:szCs w:val="24"/>
                <w:lang w:val="en-US" w:eastAsia="zh-CN" w:bidi="ar-SA"/>
                <w:highlight w:val="none"/>
              </w:rPr>
              <w:t>/h、H=30m）。⑤探裕蓄水池～遇市村段</w:t>
            </w:r>
            <w:r>
              <w:rPr>
                <w:rFonts w:ascii="Times New Roman" w:eastAsia="宋体" w:cs="Times New Roman" w:hAnsi="Times New Roman"/>
                <w:color w:val="000000"/>
                <w:kern w:val="2"/>
                <w:sz w:val="24"/>
                <w:szCs w:val="24"/>
                <w:lang w:val="en-US" w:eastAsia="zh-CN" w:bidi="ar-SA"/>
                <w:highlight w:val="none"/>
              </w:rPr>
              <w:t>－－</w:t>
            </w:r>
            <w:r>
              <w:rPr>
                <w:rFonts w:ascii="Times New Roman" w:eastAsia="宋体" w:cs="Times New Roman" w:hAnsi="Times New Roman" w:hint="eastAsia"/>
                <w:color w:val="000000"/>
                <w:kern w:val="2"/>
                <w:sz w:val="24"/>
                <w:szCs w:val="24"/>
                <w:lang w:val="en-US" w:eastAsia="zh-CN" w:bidi="ar-SA"/>
                <w:highlight w:val="none"/>
              </w:rPr>
              <w:t>ISG-65-250（Ⅰ）型加压泵（Q=40m</w:t>
            </w:r>
            <w:r>
              <w:rPr>
                <w:rFonts w:ascii="Times New Roman" w:eastAsia="宋体" w:cs="Times New Roman" w:hAnsi="Times New Roman"/>
                <w:color w:val="000000"/>
                <w:kern w:val="2"/>
                <w:sz w:val="24"/>
                <w:szCs w:val="24"/>
                <w:lang w:val="en-US" w:eastAsia="zh-CN" w:bidi="ar-SA"/>
                <w:highlight w:val="none"/>
              </w:rPr>
              <w:t>³</w:t>
            </w:r>
            <w:r>
              <w:rPr>
                <w:rFonts w:ascii="Times New Roman" w:eastAsia="宋体" w:cs="Times New Roman" w:hAnsi="Times New Roman" w:hint="eastAsia"/>
                <w:color w:val="000000"/>
                <w:kern w:val="2"/>
                <w:sz w:val="24"/>
                <w:szCs w:val="24"/>
                <w:lang w:val="en-US" w:eastAsia="zh-CN" w:bidi="ar-SA"/>
                <w:highlight w:val="none"/>
              </w:rPr>
              <w:t>/h、H=65m）；⑥楠木水厂～火连坡镇区－－ISG-125-200型加压泵（Q=160m</w:t>
            </w:r>
            <w:r>
              <w:rPr>
                <w:rFonts w:ascii="Times New Roman" w:eastAsia="宋体" w:cs="Times New Roman" w:hAnsi="Times New Roman"/>
                <w:color w:val="000000"/>
                <w:kern w:val="2"/>
                <w:sz w:val="24"/>
                <w:szCs w:val="24"/>
                <w:lang w:val="en-US" w:eastAsia="zh-CN" w:bidi="ar-SA"/>
                <w:highlight w:val="none"/>
              </w:rPr>
              <w:t>³</w:t>
            </w:r>
            <w:r>
              <w:rPr>
                <w:rFonts w:ascii="Times New Roman" w:eastAsia="宋体" w:cs="Times New Roman" w:hAnsi="Times New Roman" w:hint="eastAsia"/>
                <w:color w:val="000000"/>
                <w:kern w:val="2"/>
                <w:sz w:val="24"/>
                <w:szCs w:val="24"/>
                <w:lang w:val="en-US" w:eastAsia="zh-CN" w:bidi="ar-SA"/>
                <w:highlight w:val="none"/>
              </w:rPr>
              <w:t>/h、H=50m）。</w:t>
            </w:r>
          </w:p>
          <w:p>
            <w:pPr>
              <w:pStyle w:val="59"/>
              <w:spacing w:line="360" w:lineRule="auto"/>
              <w:jc w:val="both"/>
              <w:rPr>
                <w:b/>
                <w:bCs/>
                <w:sz w:val="24"/>
                <w:highlight w:val="none"/>
              </w:rPr>
            </w:pPr>
            <w:r>
              <w:rPr>
                <w:rFonts w:hint="eastAsia"/>
                <w:b/>
                <w:bCs/>
                <w:sz w:val="24"/>
                <w:highlight w:val="none"/>
              </w:rPr>
              <w:t>1</w:t>
            </w:r>
            <w:r>
              <w:rPr>
                <w:rFonts w:hint="eastAsia"/>
                <w:b/>
                <w:bCs/>
                <w:sz w:val="24"/>
                <w:lang w:val="en-US" w:eastAsia="zh-CN"/>
                <w:highlight w:val="none"/>
              </w:rPr>
              <w:t>0</w:t>
            </w:r>
            <w:r>
              <w:rPr>
                <w:b/>
                <w:bCs/>
                <w:sz w:val="24"/>
                <w:highlight w:val="none"/>
              </w:rPr>
              <w:t>、</w:t>
            </w:r>
            <w:r>
              <w:rPr>
                <w:rFonts w:hint="eastAsia"/>
                <w:b/>
                <w:bCs/>
                <w:sz w:val="24"/>
                <w:highlight w:val="none"/>
              </w:rPr>
              <w:t>施工布置</w:t>
            </w:r>
          </w:p>
          <w:p>
            <w:pPr>
              <w:pStyle w:val="17"/>
              <w:adjustRightInd w:val="0"/>
              <w:snapToGrid w:val="0"/>
              <w:spacing w:line="360" w:lineRule="auto"/>
              <w:ind w:firstLineChars="200" w:firstLine="480"/>
              <w:jc w:val="both"/>
              <w:rPr>
                <w:rFonts w:eastAsia="宋体"/>
                <w:sz w:val="24"/>
                <w:szCs w:val="24"/>
                <w:u w:val="single"/>
                <w:highlight w:val="none"/>
              </w:rPr>
            </w:pPr>
            <w:r>
              <w:rPr>
                <w:rFonts w:eastAsia="宋体" w:hint="eastAsia"/>
                <w:sz w:val="24"/>
                <w:szCs w:val="24"/>
                <w:u w:val="single"/>
                <w:highlight w:val="none"/>
              </w:rPr>
              <w:t>（1）施工作业带</w:t>
            </w:r>
          </w:p>
          <w:p>
            <w:pPr>
              <w:pStyle w:val="17"/>
              <w:adjustRightInd w:val="0"/>
              <w:snapToGrid w:val="0"/>
              <w:spacing w:line="360" w:lineRule="auto"/>
              <w:ind w:firstLineChars="200" w:firstLine="480"/>
              <w:jc w:val="both"/>
              <w:rPr>
                <w:rFonts w:eastAsia="宋体"/>
                <w:sz w:val="24"/>
                <w:szCs w:val="24"/>
                <w:u w:val="single"/>
                <w:highlight w:val="none"/>
              </w:rPr>
            </w:pPr>
            <w:r>
              <w:rPr>
                <w:rFonts w:eastAsia="宋体" w:hint="eastAsia"/>
                <w:sz w:val="24"/>
                <w:szCs w:val="24"/>
                <w:u w:val="single"/>
                <w:highlight w:val="none"/>
              </w:rPr>
              <w:t>管道全线总长度为</w:t>
            </w:r>
            <w:r>
              <w:rPr>
                <w:rFonts w:eastAsia="宋体" w:hint="eastAsia"/>
                <w:sz w:val="24"/>
                <w:szCs w:val="24"/>
                <w:u w:val="single"/>
                <w:lang w:eastAsia="zh-CN"/>
                <w:highlight w:val="none"/>
              </w:rPr>
              <w:t>189.43</w:t>
            </w:r>
            <w:r>
              <w:rPr>
                <w:rFonts w:eastAsia="宋体" w:hint="eastAsia"/>
                <w:sz w:val="24"/>
                <w:szCs w:val="24"/>
                <w:u w:val="single"/>
                <w:highlight w:val="none"/>
              </w:rPr>
              <w:t>km，施工作业带宽度</w:t>
            </w:r>
            <w:r>
              <w:rPr>
                <w:rFonts w:eastAsia="宋体" w:hint="eastAsia"/>
                <w:sz w:val="24"/>
                <w:szCs w:val="24"/>
                <w:u w:val="single"/>
                <w:lang w:val="en-US" w:eastAsia="zh-CN"/>
                <w:highlight w:val="none"/>
              </w:rPr>
              <w:t>为</w:t>
            </w:r>
            <w:r>
              <w:rPr>
                <w:rFonts w:eastAsia="宋体" w:hint="eastAsia"/>
                <w:sz w:val="24"/>
                <w:szCs w:val="24"/>
                <w:u w:val="single"/>
                <w:highlight w:val="none"/>
              </w:rPr>
              <w:t>2m，施工材料、临时堆土等均布置于施工作业带内。</w:t>
            </w:r>
          </w:p>
          <w:p>
            <w:pPr>
              <w:pStyle w:val="17"/>
              <w:adjustRightInd w:val="0"/>
              <w:snapToGrid w:val="0"/>
              <w:spacing w:line="360" w:lineRule="auto"/>
              <w:ind w:firstLineChars="200" w:firstLine="480"/>
              <w:jc w:val="both"/>
              <w:rPr>
                <w:rFonts w:eastAsia="宋体"/>
                <w:sz w:val="24"/>
                <w:szCs w:val="24"/>
                <w:u w:val="single"/>
                <w:highlight w:val="none"/>
              </w:rPr>
            </w:pPr>
            <w:r>
              <w:rPr>
                <w:rFonts w:eastAsia="宋体" w:hint="eastAsia"/>
                <w:sz w:val="24"/>
                <w:szCs w:val="24"/>
                <w:u w:val="single"/>
                <w:highlight w:val="none"/>
              </w:rPr>
              <w:t>（2）施工营地</w:t>
            </w:r>
          </w:p>
          <w:p>
            <w:pPr>
              <w:pStyle w:val="17"/>
              <w:adjustRightInd w:val="0"/>
              <w:snapToGrid w:val="0"/>
              <w:spacing w:line="360" w:lineRule="auto"/>
              <w:ind w:firstLineChars="200" w:firstLine="480"/>
              <w:jc w:val="both"/>
              <w:rPr>
                <w:rFonts w:eastAsia="宋体"/>
                <w:sz w:val="24"/>
                <w:szCs w:val="24"/>
                <w:u w:val="single"/>
                <w:highlight w:val="none"/>
              </w:rPr>
            </w:pPr>
            <w:r>
              <w:rPr>
                <w:rFonts w:eastAsia="宋体" w:hint="eastAsia"/>
                <w:sz w:val="24"/>
                <w:szCs w:val="24"/>
                <w:u w:val="single"/>
                <w:highlight w:val="none"/>
              </w:rPr>
              <w:t>本项目沿线附近居民点较多，施工过程就近租用民房作为施工生产生活区，施工材料堆放在施工作业带内，不另设施工生产生活区。</w:t>
            </w:r>
          </w:p>
          <w:p>
            <w:pPr>
              <w:pStyle w:val="17"/>
              <w:adjustRightInd w:val="0"/>
              <w:snapToGrid w:val="0"/>
              <w:spacing w:line="360" w:lineRule="auto"/>
              <w:ind w:firstLineChars="200" w:firstLine="480"/>
              <w:jc w:val="both"/>
              <w:rPr>
                <w:rFonts w:eastAsia="宋体"/>
                <w:sz w:val="24"/>
                <w:szCs w:val="24"/>
                <w:u w:val="single"/>
                <w:highlight w:val="none"/>
              </w:rPr>
            </w:pPr>
            <w:r>
              <w:rPr>
                <w:rFonts w:eastAsia="宋体" w:hint="eastAsia"/>
                <w:sz w:val="24"/>
                <w:szCs w:val="24"/>
                <w:u w:val="single"/>
                <w:highlight w:val="none"/>
              </w:rPr>
              <w:t>（3）施工场地</w:t>
            </w:r>
          </w:p>
          <w:p>
            <w:pPr>
              <w:pStyle w:val="17"/>
              <w:adjustRightInd w:val="0"/>
              <w:snapToGrid w:val="0"/>
              <w:spacing w:line="360" w:lineRule="auto"/>
              <w:ind w:firstLineChars="200" w:firstLine="480"/>
              <w:jc w:val="both"/>
              <w:rPr>
                <w:rFonts w:eastAsia="宋体"/>
                <w:sz w:val="24"/>
                <w:szCs w:val="24"/>
                <w:u w:val="single"/>
                <w:highlight w:val="none"/>
              </w:rPr>
            </w:pPr>
            <w:r>
              <w:rPr>
                <w:rFonts w:ascii="Times New Roman" w:eastAsia="宋体" w:hAnsi="Times New Roman" w:hint="eastAsia"/>
                <w:color w:val="000000"/>
                <w:kern w:val="21"/>
                <w:sz w:val="24"/>
                <w:szCs w:val="24"/>
                <w:u w:val="single"/>
                <w:highlight w:val="none"/>
              </w:rPr>
              <w:t>水厂施工场地布置在</w:t>
            </w:r>
            <w:r>
              <w:rPr>
                <w:rFonts w:eastAsia="宋体" w:hint="eastAsia"/>
                <w:color w:val="000000"/>
                <w:kern w:val="21"/>
                <w:sz w:val="24"/>
                <w:szCs w:val="24"/>
                <w:u w:val="single"/>
                <w:lang w:eastAsia="zh-CN"/>
                <w:highlight w:val="none"/>
              </w:rPr>
              <w:t>太青水厂</w:t>
            </w:r>
            <w:r>
              <w:rPr>
                <w:rFonts w:ascii="Times New Roman" w:eastAsia="宋体" w:hAnsi="Times New Roman" w:hint="eastAsia"/>
                <w:color w:val="000000"/>
                <w:kern w:val="21"/>
                <w:sz w:val="24"/>
                <w:szCs w:val="24"/>
                <w:u w:val="single"/>
                <w:highlight w:val="none"/>
              </w:rPr>
              <w:t>永久占地范围内，不新增占地。管道施工不设施工场地，均布置在施工作业带内</w:t>
            </w:r>
            <w:r>
              <w:rPr>
                <w:rFonts w:ascii="Times New Roman" w:eastAsia="宋体" w:hAnsi="Times New Roman" w:hint="eastAsia"/>
                <w:color w:val="000000"/>
                <w:kern w:val="21"/>
                <w:sz w:val="24"/>
                <w:szCs w:val="24"/>
                <w:u w:val="single"/>
                <w:lang w:eastAsia="zh-CN"/>
                <w:highlight w:val="none"/>
              </w:rPr>
              <w:t>，</w:t>
            </w:r>
            <w:r>
              <w:rPr>
                <w:rFonts w:ascii="Times New Roman" w:eastAsia="宋体" w:hAnsi="Times New Roman" w:hint="eastAsia"/>
                <w:color w:val="000000"/>
                <w:kern w:val="21"/>
                <w:sz w:val="24"/>
                <w:szCs w:val="24"/>
                <w:u w:val="single"/>
                <w:lang w:val="en-US" w:eastAsia="zh-CN"/>
                <w:highlight w:val="none"/>
              </w:rPr>
              <w:t>仅设一个400m</w:t>
            </w:r>
            <w:r>
              <w:rPr>
                <w:rFonts w:ascii="Times New Roman" w:eastAsia="宋体" w:hAnsi="Times New Roman" w:hint="eastAsia"/>
                <w:color w:val="000000"/>
                <w:kern w:val="21"/>
                <w:sz w:val="24"/>
                <w:szCs w:val="24"/>
                <w:u w:val="single"/>
                <w:vertAlign w:val="superscript"/>
                <w:lang w:val="en-US" w:eastAsia="zh-CN"/>
                <w:highlight w:val="none"/>
              </w:rPr>
              <w:t>2</w:t>
            </w:r>
            <w:r>
              <w:rPr>
                <w:rFonts w:ascii="Times New Roman" w:eastAsia="宋体" w:hAnsi="Times New Roman" w:hint="eastAsia"/>
                <w:color w:val="000000"/>
                <w:kern w:val="21"/>
                <w:sz w:val="24"/>
                <w:szCs w:val="24"/>
                <w:u w:val="single"/>
                <w:lang w:val="en-US" w:eastAsia="zh-CN"/>
                <w:highlight w:val="none"/>
              </w:rPr>
              <w:t>的施工仓库，占地类型为荒地</w:t>
            </w:r>
            <w:r>
              <w:rPr>
                <w:rFonts w:ascii="Times New Roman" w:eastAsia="宋体" w:hAnsi="Times New Roman" w:hint="eastAsia"/>
                <w:color w:val="000000"/>
                <w:kern w:val="21"/>
                <w:sz w:val="24"/>
                <w:szCs w:val="24"/>
                <w:u w:val="single"/>
                <w:highlight w:val="none"/>
              </w:rPr>
              <w:t>。</w:t>
            </w:r>
          </w:p>
          <w:p>
            <w:pPr>
              <w:pStyle w:val="17"/>
              <w:adjustRightInd w:val="0"/>
              <w:snapToGrid w:val="0"/>
              <w:spacing w:line="360" w:lineRule="auto"/>
              <w:ind w:firstLineChars="200" w:firstLine="480"/>
              <w:jc w:val="both"/>
              <w:rPr>
                <w:rFonts w:eastAsia="宋体"/>
                <w:sz w:val="24"/>
                <w:szCs w:val="24"/>
                <w:u w:val="single"/>
                <w:highlight w:val="none"/>
              </w:rPr>
            </w:pPr>
            <w:r>
              <w:rPr>
                <w:rFonts w:eastAsia="宋体" w:hint="eastAsia"/>
                <w:sz w:val="24"/>
                <w:szCs w:val="24"/>
                <w:u w:val="single"/>
                <w:highlight w:val="none"/>
              </w:rPr>
              <w:t>（</w:t>
            </w:r>
            <w:r>
              <w:rPr>
                <w:rFonts w:eastAsia="宋体" w:hint="eastAsia"/>
                <w:sz w:val="24"/>
                <w:szCs w:val="24"/>
                <w:u w:val="single"/>
                <w:lang w:val="en-US" w:eastAsia="zh-CN"/>
                <w:highlight w:val="none"/>
              </w:rPr>
              <w:t>4</w:t>
            </w:r>
            <w:r>
              <w:rPr>
                <w:rFonts w:eastAsia="宋体" w:hint="eastAsia"/>
                <w:sz w:val="24"/>
                <w:szCs w:val="24"/>
                <w:u w:val="single"/>
                <w:highlight w:val="none"/>
              </w:rPr>
              <w:t>）施工道路</w:t>
            </w:r>
          </w:p>
          <w:p>
            <w:pPr>
              <w:pStyle w:val="17"/>
              <w:adjustRightInd w:val="0"/>
              <w:snapToGrid w:val="0"/>
              <w:spacing w:line="360" w:lineRule="auto"/>
              <w:ind w:firstLineChars="200" w:firstLine="480"/>
              <w:jc w:val="both"/>
              <w:rPr>
                <w:rFonts w:eastAsia="宋体" w:hint="eastAsia"/>
                <w:sz w:val="24"/>
                <w:szCs w:val="24"/>
                <w:u w:val="single"/>
                <w:highlight w:val="none"/>
              </w:rPr>
            </w:pPr>
            <w:r>
              <w:rPr>
                <w:rFonts w:eastAsia="宋体" w:hint="eastAsia"/>
                <w:sz w:val="24"/>
                <w:szCs w:val="24"/>
                <w:u w:val="single"/>
                <w:highlight w:val="none"/>
              </w:rPr>
              <w:t>由于工程所在区域的地方耕作主要依赖于小、中型机械完成。因此目前存在的机耕道、乡村道路大多能满足本工程施工机械的通行。</w:t>
            </w:r>
            <w:r>
              <w:rPr>
                <w:rFonts w:eastAsia="宋体" w:hint="eastAsia"/>
                <w:sz w:val="24"/>
                <w:szCs w:val="24"/>
                <w:u w:val="single"/>
                <w:lang w:val="en-US" w:eastAsia="zh-CN"/>
                <w:highlight w:val="none"/>
              </w:rPr>
              <w:t>仅极少部分需新建施工便道，本项目</w:t>
            </w:r>
            <w:r>
              <w:rPr>
                <w:rFonts w:eastAsia="宋体" w:hint="eastAsia"/>
                <w:sz w:val="24"/>
                <w:szCs w:val="24"/>
                <w:u w:val="single"/>
                <w:highlight w:val="none"/>
              </w:rPr>
              <w:t>设置施工便道</w:t>
            </w:r>
            <w:r>
              <w:rPr>
                <w:rFonts w:eastAsia="宋体" w:hint="eastAsia"/>
                <w:sz w:val="24"/>
                <w:szCs w:val="24"/>
                <w:u w:val="single"/>
                <w:lang w:val="en-US" w:eastAsia="zh-CN"/>
                <w:highlight w:val="none"/>
              </w:rPr>
              <w:t xml:space="preserve">约500m，路面宽均为 </w:t>
            </w:r>
            <w:r>
              <w:rPr>
                <w:rFonts w:eastAsia="宋体"/>
                <w:sz w:val="24"/>
                <w:szCs w:val="24"/>
                <w:u w:val="single"/>
                <w:lang w:val="en-US" w:eastAsia="zh-CN"/>
                <w:highlight w:val="none"/>
              </w:rPr>
              <w:t>3.5m</w:t>
            </w:r>
            <w:r>
              <w:rPr>
                <w:rFonts w:eastAsia="宋体" w:hint="eastAsia"/>
                <w:sz w:val="24"/>
                <w:szCs w:val="24"/>
                <w:u w:val="single"/>
                <w:lang w:val="en-US" w:eastAsia="zh-CN"/>
                <w:highlight w:val="none"/>
              </w:rPr>
              <w:t xml:space="preserve">，全部为 </w:t>
            </w:r>
            <w:r>
              <w:rPr>
                <w:rFonts w:eastAsia="宋体"/>
                <w:sz w:val="24"/>
                <w:szCs w:val="24"/>
                <w:u w:val="single"/>
                <w:lang w:val="en-US" w:eastAsia="zh-CN"/>
                <w:highlight w:val="none"/>
              </w:rPr>
              <w:t xml:space="preserve">20cm </w:t>
            </w:r>
            <w:r>
              <w:rPr>
                <w:rFonts w:eastAsia="宋体" w:hint="eastAsia"/>
                <w:sz w:val="24"/>
                <w:szCs w:val="24"/>
                <w:u w:val="single"/>
                <w:lang w:val="en-US" w:eastAsia="zh-CN"/>
                <w:highlight w:val="none"/>
              </w:rPr>
              <w:t>厚泥结石路面</w:t>
            </w:r>
            <w:r>
              <w:rPr>
                <w:rFonts w:eastAsia="宋体" w:hint="eastAsia"/>
                <w:sz w:val="24"/>
                <w:szCs w:val="24"/>
                <w:u w:val="single"/>
                <w:highlight w:val="none"/>
              </w:rPr>
              <w:t>。</w:t>
            </w:r>
          </w:p>
          <w:p>
            <w:pPr>
              <w:pStyle w:val="17"/>
              <w:adjustRightInd w:val="0"/>
              <w:snapToGrid w:val="0"/>
              <w:spacing w:line="360" w:lineRule="auto"/>
              <w:ind w:firstLineChars="200" w:firstLine="480"/>
              <w:jc w:val="both"/>
              <w:rPr>
                <w:rFonts w:eastAsia="宋体"/>
                <w:sz w:val="24"/>
                <w:szCs w:val="24"/>
                <w:u w:val="single"/>
                <w:highlight w:val="none"/>
              </w:rPr>
            </w:pPr>
            <w:r>
              <w:rPr>
                <w:rFonts w:eastAsia="宋体" w:hint="eastAsia"/>
                <w:sz w:val="24"/>
                <w:szCs w:val="24"/>
                <w:u w:val="single"/>
                <w:highlight w:val="none"/>
              </w:rPr>
              <w:t>（</w:t>
            </w:r>
            <w:r>
              <w:rPr>
                <w:rFonts w:eastAsia="宋体" w:hint="eastAsia"/>
                <w:sz w:val="24"/>
                <w:szCs w:val="24"/>
                <w:u w:val="single"/>
                <w:lang w:val="en-US" w:eastAsia="zh-CN"/>
                <w:highlight w:val="none"/>
              </w:rPr>
              <w:t>5</w:t>
            </w:r>
            <w:r>
              <w:rPr>
                <w:rFonts w:eastAsia="宋体" w:hint="eastAsia"/>
                <w:sz w:val="24"/>
                <w:szCs w:val="24"/>
                <w:u w:val="single"/>
                <w:highlight w:val="none"/>
              </w:rPr>
              <w:t>）取弃土场</w:t>
            </w:r>
          </w:p>
          <w:p>
            <w:pPr>
              <w:pStyle w:val="17"/>
              <w:adjustRightInd w:val="0"/>
              <w:snapToGrid w:val="0"/>
              <w:spacing w:line="360" w:lineRule="auto"/>
              <w:ind w:firstLineChars="200" w:firstLine="480"/>
              <w:jc w:val="both"/>
              <w:rPr>
                <w:rFonts w:eastAsia="宋体"/>
                <w:sz w:val="24"/>
                <w:szCs w:val="24"/>
                <w:u w:val="single"/>
                <w:highlight w:val="none"/>
              </w:rPr>
            </w:pPr>
            <w:r>
              <w:rPr>
                <w:rFonts w:ascii="Times New Roman" w:eastAsia="宋体" w:cs="Times New Roman" w:hAnsi="Times New Roman" w:hint="eastAsia"/>
                <w:color w:val="auto"/>
                <w:kern w:val="21"/>
                <w:sz w:val="24"/>
                <w:szCs w:val="24"/>
                <w:u w:val="single"/>
                <w:lang w:val="en-US" w:eastAsia="zh-CN" w:bidi="ar-SA"/>
                <w:highlight w:val="none"/>
              </w:rPr>
              <w:t>根据本项目已批复的水土保持方案及其批复（批复见附件</w:t>
            </w:r>
            <w:r>
              <w:rPr>
                <w:rFonts w:eastAsia="宋体" w:cs="Times New Roman" w:hint="eastAsia"/>
                <w:color w:val="auto"/>
                <w:kern w:val="21"/>
                <w:sz w:val="24"/>
                <w:szCs w:val="24"/>
                <w:u w:val="single"/>
                <w:lang w:val="en-US" w:eastAsia="zh-CN" w:bidi="ar-SA"/>
                <w:highlight w:val="none"/>
              </w:rPr>
              <w:t>10</w:t>
            </w:r>
            <w:r>
              <w:rPr>
                <w:rFonts w:ascii="Times New Roman" w:eastAsia="宋体" w:cs="Times New Roman" w:hAnsi="Times New Roman" w:hint="eastAsia"/>
                <w:color w:val="auto"/>
                <w:kern w:val="21"/>
                <w:sz w:val="24"/>
                <w:szCs w:val="24"/>
                <w:u w:val="single"/>
                <w:lang w:val="en-US" w:eastAsia="zh-CN" w:bidi="ar-SA"/>
                <w:highlight w:val="none"/>
              </w:rPr>
              <w:t>）：</w:t>
            </w:r>
            <w:r>
              <w:rPr>
                <w:rFonts w:ascii="Times New Roman" w:eastAsia="宋体" w:cs="Times New Roman" w:hAnsi="Times New Roman"/>
                <w:color w:val="auto"/>
                <w:kern w:val="21"/>
                <w:sz w:val="24"/>
                <w:szCs w:val="24"/>
                <w:u w:val="single"/>
                <w:lang w:val="en-US" w:eastAsia="zh-CN" w:bidi="ar-SA"/>
                <w:highlight w:val="none"/>
              </w:rPr>
              <w:t>本项目</w:t>
            </w:r>
            <w:r>
              <w:rPr>
                <w:rFonts w:ascii="Times New Roman" w:eastAsia="宋体" w:cs="Times New Roman" w:hAnsi="Times New Roman" w:hint="eastAsia"/>
                <w:color w:val="auto"/>
                <w:kern w:val="21"/>
                <w:sz w:val="24"/>
                <w:szCs w:val="24"/>
                <w:u w:val="single"/>
                <w:lang w:val="en-US" w:eastAsia="zh-CN" w:bidi="ar-SA"/>
                <w:highlight w:val="none"/>
              </w:rPr>
              <w:t>挖方</w:t>
            </w:r>
            <w:r>
              <w:rPr>
                <w:rFonts w:eastAsia="宋体" w:cs="Times New Roman" w:hint="eastAsia"/>
                <w:color w:val="auto"/>
                <w:kern w:val="21"/>
                <w:sz w:val="24"/>
                <w:szCs w:val="24"/>
                <w:u w:val="single"/>
                <w:lang w:val="en-US" w:eastAsia="zh-CN" w:bidi="ar-SA"/>
                <w:highlight w:val="none"/>
              </w:rPr>
              <w:t>11.87</w:t>
            </w:r>
            <w:r>
              <w:rPr>
                <w:rFonts w:ascii="Times New Roman" w:eastAsia="宋体" w:cs="Times New Roman" w:hAnsi="Times New Roman"/>
                <w:color w:val="auto"/>
                <w:kern w:val="21"/>
                <w:sz w:val="24"/>
                <w:szCs w:val="24"/>
                <w:u w:val="single"/>
                <w:lang w:val="en-US" w:eastAsia="zh-CN" w:bidi="ar-SA"/>
                <w:highlight w:val="none"/>
              </w:rPr>
              <w:t>万</w:t>
            </w:r>
            <w:r>
              <w:rPr>
                <w:rFonts w:ascii="Times New Roman" w:eastAsia="宋体" w:cs="Times New Roman" w:hAnsi="Times New Roman" w:hint="eastAsia"/>
                <w:color w:val="auto"/>
                <w:kern w:val="21"/>
                <w:sz w:val="24"/>
                <w:szCs w:val="24"/>
                <w:u w:val="single"/>
                <w:lang w:val="en-US" w:eastAsia="zh-CN" w:bidi="ar-SA"/>
                <w:highlight w:val="none"/>
              </w:rPr>
              <w:t>m</w:t>
            </w:r>
            <w:r>
              <w:rPr>
                <w:rFonts w:ascii="Times New Roman" w:eastAsia="宋体" w:cs="Times New Roman" w:hAnsi="Times New Roman" w:hint="eastAsia"/>
                <w:color w:val="auto"/>
                <w:kern w:val="21"/>
                <w:sz w:val="24"/>
                <w:szCs w:val="24"/>
                <w:u w:val="single"/>
                <w:vertAlign w:val="superscript"/>
                <w:lang w:val="en-US" w:eastAsia="zh-CN" w:bidi="ar-SA"/>
                <w:highlight w:val="none"/>
              </w:rPr>
              <w:t>3</w:t>
            </w:r>
            <w:r>
              <w:rPr>
                <w:rFonts w:ascii="Times New Roman" w:eastAsia="宋体" w:cs="Times New Roman" w:hAnsi="Times New Roman"/>
                <w:color w:val="auto"/>
                <w:kern w:val="21"/>
                <w:sz w:val="24"/>
                <w:szCs w:val="24"/>
                <w:u w:val="single"/>
                <w:lang w:val="en-US" w:eastAsia="zh-CN" w:bidi="ar-SA"/>
                <w:highlight w:val="none"/>
              </w:rPr>
              <w:t>（含表土</w:t>
            </w:r>
            <w:r>
              <w:rPr>
                <w:rFonts w:ascii="Times New Roman" w:eastAsia="宋体" w:cs="Times New Roman" w:hAnsi="Times New Roman" w:hint="eastAsia"/>
                <w:color w:val="auto"/>
                <w:kern w:val="21"/>
                <w:sz w:val="24"/>
                <w:szCs w:val="24"/>
                <w:u w:val="single"/>
                <w:lang w:val="en-US" w:eastAsia="zh-CN" w:bidi="ar-SA"/>
                <w:highlight w:val="none"/>
              </w:rPr>
              <w:t>剥离</w:t>
            </w:r>
            <w:r>
              <w:rPr>
                <w:rFonts w:eastAsia="宋体" w:cs="Times New Roman" w:hint="eastAsia"/>
                <w:color w:val="auto"/>
                <w:kern w:val="21"/>
                <w:sz w:val="24"/>
                <w:szCs w:val="24"/>
                <w:u w:val="single"/>
                <w:lang w:val="en-US" w:eastAsia="zh-CN" w:bidi="ar-SA"/>
                <w:highlight w:val="none"/>
              </w:rPr>
              <w:t>0.38</w:t>
            </w:r>
            <w:r>
              <w:rPr>
                <w:rFonts w:ascii="Times New Roman" w:eastAsia="宋体" w:cs="Times New Roman" w:hAnsi="Times New Roman"/>
                <w:color w:val="auto"/>
                <w:kern w:val="21"/>
                <w:sz w:val="24"/>
                <w:szCs w:val="24"/>
                <w:u w:val="single"/>
                <w:lang w:val="en-US" w:eastAsia="zh-CN" w:bidi="ar-SA"/>
                <w:highlight w:val="none"/>
              </w:rPr>
              <w:t>万</w:t>
            </w:r>
            <w:r>
              <w:rPr>
                <w:rFonts w:ascii="Times New Roman" w:eastAsia="宋体" w:cs="Times New Roman" w:hAnsi="Times New Roman" w:hint="eastAsia"/>
                <w:color w:val="auto"/>
                <w:kern w:val="21"/>
                <w:sz w:val="24"/>
                <w:szCs w:val="24"/>
                <w:u w:val="single"/>
                <w:lang w:val="en-US" w:eastAsia="zh-CN" w:bidi="ar-SA"/>
                <w:highlight w:val="none"/>
              </w:rPr>
              <w:t>m</w:t>
            </w:r>
            <w:r>
              <w:rPr>
                <w:rFonts w:ascii="Times New Roman" w:eastAsia="宋体" w:cs="Times New Roman" w:hAnsi="Times New Roman" w:hint="eastAsia"/>
                <w:color w:val="auto"/>
                <w:kern w:val="21"/>
                <w:sz w:val="24"/>
                <w:szCs w:val="24"/>
                <w:u w:val="single"/>
                <w:vertAlign w:val="superscript"/>
                <w:lang w:val="en-US" w:eastAsia="zh-CN" w:bidi="ar-SA"/>
                <w:highlight w:val="none"/>
              </w:rPr>
              <w:t>3</w:t>
            </w:r>
            <w:r>
              <w:rPr>
                <w:rFonts w:ascii="Times New Roman" w:eastAsia="宋体" w:cs="Times New Roman" w:hAnsi="Times New Roman"/>
                <w:color w:val="auto"/>
                <w:kern w:val="21"/>
                <w:sz w:val="24"/>
                <w:szCs w:val="24"/>
                <w:u w:val="single"/>
                <w:lang w:val="en-US" w:eastAsia="zh-CN" w:bidi="ar-SA"/>
                <w:highlight w:val="none"/>
              </w:rPr>
              <w:t>），填方</w:t>
            </w:r>
            <w:r>
              <w:rPr>
                <w:rFonts w:eastAsia="宋体" w:cs="Times New Roman" w:hint="eastAsia"/>
                <w:color w:val="auto"/>
                <w:kern w:val="21"/>
                <w:sz w:val="24"/>
                <w:szCs w:val="24"/>
                <w:u w:val="single"/>
                <w:lang w:val="en-US" w:eastAsia="zh-CN" w:bidi="ar-SA"/>
                <w:highlight w:val="none"/>
              </w:rPr>
              <w:t>11.87</w:t>
            </w:r>
            <w:r>
              <w:rPr>
                <w:rFonts w:ascii="Times New Roman" w:eastAsia="宋体" w:cs="Times New Roman" w:hAnsi="Times New Roman"/>
                <w:color w:val="auto"/>
                <w:kern w:val="21"/>
                <w:sz w:val="24"/>
                <w:szCs w:val="24"/>
                <w:u w:val="single"/>
                <w:lang w:val="en-US" w:eastAsia="zh-CN" w:bidi="ar-SA"/>
                <w:highlight w:val="none"/>
              </w:rPr>
              <w:t>万</w:t>
            </w:r>
            <w:r>
              <w:rPr>
                <w:rFonts w:ascii="Times New Roman" w:eastAsia="宋体" w:cs="Times New Roman" w:hAnsi="Times New Roman" w:hint="eastAsia"/>
                <w:color w:val="auto"/>
                <w:kern w:val="21"/>
                <w:sz w:val="24"/>
                <w:szCs w:val="24"/>
                <w:u w:val="single"/>
                <w:lang w:val="en-US" w:eastAsia="zh-CN" w:bidi="ar-SA"/>
                <w:highlight w:val="none"/>
              </w:rPr>
              <w:t>m</w:t>
            </w:r>
            <w:r>
              <w:rPr>
                <w:rFonts w:ascii="Times New Roman" w:eastAsia="宋体" w:cs="Times New Roman" w:hAnsi="Times New Roman" w:hint="eastAsia"/>
                <w:color w:val="auto"/>
                <w:kern w:val="21"/>
                <w:sz w:val="24"/>
                <w:szCs w:val="24"/>
                <w:u w:val="single"/>
                <w:vertAlign w:val="superscript"/>
                <w:lang w:val="en-US" w:eastAsia="zh-CN" w:bidi="ar-SA"/>
                <w:highlight w:val="none"/>
              </w:rPr>
              <w:t>3</w:t>
            </w:r>
            <w:r>
              <w:rPr>
                <w:rFonts w:ascii="Times New Roman" w:eastAsia="宋体" w:cs="Times New Roman" w:hAnsi="Times New Roman"/>
                <w:color w:val="auto"/>
                <w:kern w:val="21"/>
                <w:sz w:val="24"/>
                <w:szCs w:val="24"/>
                <w:u w:val="single"/>
                <w:lang w:val="en-US" w:eastAsia="zh-CN" w:bidi="ar-SA"/>
                <w:highlight w:val="none"/>
              </w:rPr>
              <w:t>（含表土回填</w:t>
            </w:r>
            <w:r>
              <w:rPr>
                <w:rFonts w:eastAsia="宋体" w:cs="Times New Roman" w:hint="eastAsia"/>
                <w:color w:val="auto"/>
                <w:kern w:val="21"/>
                <w:sz w:val="24"/>
                <w:szCs w:val="24"/>
                <w:u w:val="single"/>
                <w:lang w:val="en-US" w:eastAsia="zh-CN" w:bidi="ar-SA"/>
                <w:highlight w:val="none"/>
              </w:rPr>
              <w:t>0.38</w:t>
            </w:r>
            <w:r>
              <w:rPr>
                <w:rFonts w:ascii="Times New Roman" w:eastAsia="宋体" w:cs="Times New Roman" w:hAnsi="Times New Roman"/>
                <w:color w:val="auto"/>
                <w:kern w:val="21"/>
                <w:sz w:val="24"/>
                <w:szCs w:val="24"/>
                <w:u w:val="single"/>
                <w:lang w:val="en-US" w:eastAsia="zh-CN" w:bidi="ar-SA"/>
                <w:highlight w:val="none"/>
              </w:rPr>
              <w:t>万</w:t>
            </w:r>
            <w:r>
              <w:rPr>
                <w:rFonts w:ascii="Times New Roman" w:eastAsia="宋体" w:cs="Times New Roman" w:hAnsi="Times New Roman" w:hint="eastAsia"/>
                <w:color w:val="auto"/>
                <w:kern w:val="21"/>
                <w:sz w:val="24"/>
                <w:szCs w:val="24"/>
                <w:u w:val="single"/>
                <w:lang w:val="en-US" w:eastAsia="zh-CN" w:bidi="ar-SA"/>
                <w:highlight w:val="none"/>
              </w:rPr>
              <w:t>m</w:t>
            </w:r>
            <w:r>
              <w:rPr>
                <w:rFonts w:ascii="Times New Roman" w:eastAsia="宋体" w:cs="Times New Roman" w:hAnsi="Times New Roman" w:hint="eastAsia"/>
                <w:color w:val="auto"/>
                <w:kern w:val="21"/>
                <w:sz w:val="24"/>
                <w:szCs w:val="24"/>
                <w:u w:val="single"/>
                <w:vertAlign w:val="superscript"/>
                <w:lang w:val="en-US" w:eastAsia="zh-CN" w:bidi="ar-SA"/>
                <w:highlight w:val="none"/>
              </w:rPr>
              <w:t>3</w:t>
            </w:r>
            <w:r>
              <w:rPr>
                <w:rFonts w:ascii="Times New Roman" w:eastAsia="宋体" w:cs="Times New Roman" w:hAnsi="Times New Roman"/>
                <w:color w:val="auto"/>
                <w:kern w:val="21"/>
                <w:sz w:val="24"/>
                <w:szCs w:val="24"/>
                <w:u w:val="single"/>
                <w:lang w:val="en-US" w:eastAsia="zh-CN" w:bidi="ar-SA"/>
                <w:highlight w:val="none"/>
              </w:rPr>
              <w:t>），</w:t>
            </w:r>
            <w:r>
              <w:rPr>
                <w:rFonts w:ascii="Times New Roman" w:eastAsia="宋体" w:cs="Times New Roman" w:hAnsi="Times New Roman" w:hint="eastAsia"/>
                <w:color w:val="auto"/>
                <w:kern w:val="21"/>
                <w:sz w:val="24"/>
                <w:szCs w:val="24"/>
                <w:u w:val="single"/>
                <w:lang w:val="en-US" w:eastAsia="zh-CN" w:bidi="ar-SA"/>
                <w:highlight w:val="none"/>
              </w:rPr>
              <w:t>无</w:t>
            </w:r>
            <w:r>
              <w:rPr>
                <w:rFonts w:ascii="Times New Roman" w:eastAsia="宋体" w:cs="Times New Roman" w:hAnsi="Times New Roman"/>
                <w:color w:val="auto"/>
                <w:kern w:val="21"/>
                <w:sz w:val="24"/>
                <w:szCs w:val="24"/>
                <w:u w:val="single"/>
                <w:lang w:val="en-US" w:eastAsia="zh-CN" w:bidi="ar-SA"/>
                <w:highlight w:val="none"/>
              </w:rPr>
              <w:t>余方，</w:t>
            </w:r>
            <w:r>
              <w:rPr>
                <w:rFonts w:ascii="Times New Roman" w:eastAsia="宋体" w:cs="Times New Roman" w:hAnsi="Times New Roman" w:hint="eastAsia"/>
                <w:color w:val="auto"/>
                <w:kern w:val="21"/>
                <w:sz w:val="24"/>
                <w:szCs w:val="24"/>
                <w:u w:val="single"/>
                <w:lang w:val="en-US" w:eastAsia="zh-CN" w:bidi="ar-SA"/>
                <w:highlight w:val="none"/>
              </w:rPr>
              <w:t>无借方。</w:t>
            </w:r>
            <w:r>
              <w:rPr>
                <w:rFonts w:ascii="Times New Roman" w:eastAsia="宋体" w:cs="Times New Roman" w:hAnsi="Times New Roman"/>
                <w:color w:val="auto"/>
                <w:kern w:val="21"/>
                <w:sz w:val="24"/>
                <w:szCs w:val="24"/>
                <w:u w:val="single"/>
                <w:lang w:val="en-US" w:eastAsia="zh-CN" w:bidi="ar-SA"/>
                <w:highlight w:val="none"/>
              </w:rPr>
              <w:t>本项目不设置取、弃土场。</w:t>
            </w:r>
          </w:p>
          <w:p>
            <w:pPr>
              <w:pStyle w:val="17"/>
              <w:adjustRightInd w:val="0"/>
              <w:snapToGrid w:val="0"/>
              <w:spacing w:line="360" w:lineRule="auto"/>
              <w:ind w:firstLineChars="200" w:firstLine="480"/>
              <w:jc w:val="both"/>
              <w:rPr>
                <w:rFonts w:eastAsia="宋体"/>
                <w:sz w:val="24"/>
                <w:szCs w:val="24"/>
                <w:u w:val="none"/>
                <w:highlight w:val="none"/>
              </w:rPr>
            </w:pPr>
            <w:r>
              <w:rPr>
                <w:rFonts w:eastAsia="宋体" w:hint="eastAsia"/>
                <w:sz w:val="24"/>
                <w:szCs w:val="24"/>
                <w:u w:val="none"/>
                <w:highlight w:val="none"/>
              </w:rPr>
              <w:t>（7）施工工期</w:t>
            </w:r>
          </w:p>
          <w:p>
            <w:pPr>
              <w:pStyle w:val="17"/>
              <w:adjustRightInd w:val="0"/>
              <w:snapToGrid w:val="0"/>
              <w:spacing w:line="360" w:lineRule="auto"/>
              <w:ind w:firstLineChars="200" w:firstLine="480"/>
              <w:jc w:val="both"/>
              <w:rPr>
                <w:rFonts w:eastAsia="宋体"/>
                <w:sz w:val="24"/>
                <w:szCs w:val="24"/>
                <w:u w:val="none"/>
                <w:highlight w:val="none"/>
              </w:rPr>
            </w:pPr>
            <w:r>
              <w:rPr>
                <w:rFonts w:eastAsia="宋体" w:hint="eastAsia"/>
                <w:sz w:val="24"/>
                <w:szCs w:val="24"/>
                <w:u w:val="none"/>
                <w:highlight w:val="none"/>
              </w:rPr>
              <w:t>本工程建设工期为12个月，计划从</w:t>
            </w:r>
            <w:r>
              <w:rPr>
                <w:rFonts w:eastAsia="宋体"/>
                <w:sz w:val="24"/>
                <w:szCs w:val="24"/>
                <w:u w:val="none"/>
                <w:highlight w:val="none"/>
              </w:rPr>
              <w:t>202</w:t>
            </w:r>
            <w:r>
              <w:rPr>
                <w:rFonts w:eastAsia="宋体" w:hint="eastAsia"/>
                <w:sz w:val="24"/>
                <w:szCs w:val="24"/>
                <w:u w:val="none"/>
                <w:lang w:val="en-US" w:eastAsia="zh-CN"/>
                <w:highlight w:val="none"/>
              </w:rPr>
              <w:t>6</w:t>
            </w:r>
            <w:r>
              <w:rPr>
                <w:rFonts w:eastAsia="宋体" w:hint="eastAsia"/>
                <w:sz w:val="24"/>
                <w:szCs w:val="24"/>
                <w:u w:val="none"/>
                <w:highlight w:val="none"/>
              </w:rPr>
              <w:t>年</w:t>
            </w:r>
            <w:r>
              <w:rPr>
                <w:rFonts w:eastAsia="宋体" w:hint="eastAsia"/>
                <w:sz w:val="24"/>
                <w:szCs w:val="24"/>
                <w:u w:val="none"/>
                <w:lang w:val="en-US" w:eastAsia="zh-CN"/>
                <w:highlight w:val="none"/>
              </w:rPr>
              <w:t>3</w:t>
            </w:r>
            <w:r>
              <w:rPr>
                <w:rFonts w:eastAsia="宋体" w:hint="eastAsia"/>
                <w:sz w:val="24"/>
                <w:szCs w:val="24"/>
                <w:u w:val="none"/>
                <w:highlight w:val="none"/>
              </w:rPr>
              <w:t>月</w:t>
            </w:r>
            <w:r>
              <w:rPr>
                <w:rFonts w:eastAsia="宋体" w:hint="eastAsia"/>
                <w:sz w:val="24"/>
                <w:szCs w:val="24"/>
                <w:u w:val="none"/>
                <w:lang w:val="en-US" w:eastAsia="zh-CN"/>
                <w:highlight w:val="none"/>
              </w:rPr>
              <w:t>底</w:t>
            </w:r>
            <w:r>
              <w:rPr>
                <w:rFonts w:eastAsia="宋体" w:hint="eastAsia"/>
                <w:sz w:val="24"/>
                <w:szCs w:val="24"/>
                <w:u w:val="none"/>
                <w:highlight w:val="none"/>
              </w:rPr>
              <w:t>开始施工，计划于</w:t>
            </w:r>
            <w:r>
              <w:rPr>
                <w:rFonts w:eastAsia="宋体"/>
                <w:sz w:val="24"/>
                <w:szCs w:val="24"/>
                <w:u w:val="none"/>
                <w:highlight w:val="none"/>
              </w:rPr>
              <w:t>20</w:t>
            </w:r>
            <w:r>
              <w:rPr>
                <w:rFonts w:eastAsia="宋体" w:hint="eastAsia"/>
                <w:sz w:val="24"/>
                <w:szCs w:val="24"/>
                <w:u w:val="none"/>
                <w:lang w:val="en-US" w:eastAsia="zh-CN"/>
                <w:highlight w:val="none"/>
              </w:rPr>
              <w:t>27</w:t>
            </w:r>
            <w:r>
              <w:rPr>
                <w:rFonts w:eastAsia="宋体" w:hint="eastAsia"/>
                <w:sz w:val="24"/>
                <w:szCs w:val="24"/>
                <w:u w:val="none"/>
                <w:highlight w:val="none"/>
              </w:rPr>
              <w:t>年</w:t>
            </w:r>
            <w:r>
              <w:rPr>
                <w:rFonts w:eastAsia="宋体" w:hint="eastAsia"/>
                <w:sz w:val="24"/>
                <w:szCs w:val="24"/>
                <w:u w:val="none"/>
                <w:lang w:val="en-US" w:eastAsia="zh-CN"/>
                <w:highlight w:val="none"/>
              </w:rPr>
              <w:t>3</w:t>
            </w:r>
            <w:r>
              <w:rPr>
                <w:rFonts w:eastAsia="宋体" w:hint="eastAsia"/>
                <w:sz w:val="24"/>
                <w:szCs w:val="24"/>
                <w:u w:val="none"/>
                <w:highlight w:val="none"/>
              </w:rPr>
              <w:t>月底竣工。</w:t>
            </w:r>
          </w:p>
          <w:p>
            <w:pPr>
              <w:pStyle w:val="59"/>
              <w:spacing w:line="360" w:lineRule="auto"/>
              <w:jc w:val="both"/>
              <w:rPr>
                <w:b/>
                <w:bCs/>
                <w:sz w:val="24"/>
                <w:highlight w:val="none"/>
              </w:rPr>
            </w:pPr>
            <w:r>
              <w:rPr>
                <w:rFonts w:hint="eastAsia"/>
                <w:b/>
                <w:bCs/>
                <w:sz w:val="24"/>
                <w:highlight w:val="none"/>
              </w:rPr>
              <w:t>1</w:t>
            </w:r>
            <w:r>
              <w:rPr>
                <w:rFonts w:hint="eastAsia"/>
                <w:b/>
                <w:bCs/>
                <w:sz w:val="24"/>
                <w:lang w:val="en-US" w:eastAsia="zh-CN"/>
                <w:highlight w:val="none"/>
              </w:rPr>
              <w:t>1</w:t>
            </w:r>
            <w:r>
              <w:rPr>
                <w:b/>
                <w:bCs/>
                <w:sz w:val="24"/>
                <w:highlight w:val="none"/>
              </w:rPr>
              <w:t>、</w:t>
            </w:r>
            <w:r>
              <w:rPr>
                <w:rFonts w:hint="eastAsia"/>
                <w:b/>
                <w:bCs/>
                <w:sz w:val="24"/>
                <w:highlight w:val="none"/>
              </w:rPr>
              <w:t>工程占地</w:t>
            </w:r>
          </w:p>
          <w:p>
            <w:pPr>
              <w:pStyle w:val="17"/>
              <w:adjustRightInd w:val="0"/>
              <w:snapToGrid w:val="0"/>
              <w:spacing w:line="360" w:lineRule="auto"/>
              <w:ind w:firstLineChars="200" w:firstLine="480"/>
              <w:jc w:val="both"/>
              <w:rPr>
                <w:rFonts w:eastAsia="宋体"/>
                <w:sz w:val="24"/>
                <w:szCs w:val="24"/>
                <w:u w:val="single"/>
                <w:lang w:val="en-US" w:eastAsia="zh-CN"/>
                <w:highlight w:val="none"/>
              </w:rPr>
            </w:pPr>
            <w:r>
              <w:rPr>
                <w:rFonts w:eastAsia="宋体" w:hint="eastAsia"/>
                <w:sz w:val="24"/>
                <w:szCs w:val="24"/>
                <w:u w:val="single"/>
                <w:lang w:eastAsia="zh-CN"/>
                <w:highlight w:val="none"/>
              </w:rPr>
              <w:t>（</w:t>
            </w:r>
            <w:r>
              <w:rPr>
                <w:rFonts w:eastAsia="宋体" w:hint="eastAsia"/>
                <w:sz w:val="24"/>
                <w:szCs w:val="24"/>
                <w:u w:val="single"/>
                <w:lang w:val="en-US" w:eastAsia="zh-CN"/>
                <w:highlight w:val="none"/>
              </w:rPr>
              <w:t>1</w:t>
            </w:r>
            <w:r>
              <w:rPr>
                <w:rFonts w:eastAsia="宋体" w:hint="eastAsia"/>
                <w:sz w:val="24"/>
                <w:szCs w:val="24"/>
                <w:u w:val="single"/>
                <w:lang w:eastAsia="zh-CN"/>
                <w:highlight w:val="none"/>
              </w:rPr>
              <w:t>）</w:t>
            </w:r>
            <w:r>
              <w:rPr>
                <w:rFonts w:eastAsia="宋体" w:hint="eastAsia"/>
                <w:sz w:val="24"/>
                <w:szCs w:val="24"/>
                <w:u w:val="single"/>
                <w:lang w:val="en-US" w:eastAsia="zh-CN"/>
                <w:highlight w:val="none"/>
              </w:rPr>
              <w:t>工程永久占地</w:t>
            </w:r>
          </w:p>
          <w:p>
            <w:pPr>
              <w:pStyle w:val="17"/>
              <w:adjustRightInd w:val="0"/>
              <w:snapToGrid w:val="0"/>
              <w:spacing w:line="360" w:lineRule="auto"/>
              <w:ind w:firstLineChars="200" w:firstLine="480"/>
              <w:jc w:val="left"/>
              <w:rPr>
                <w:rFonts w:eastAsia="宋体" w:hint="eastAsia"/>
                <w:sz w:val="24"/>
                <w:szCs w:val="24"/>
                <w:u w:val="single"/>
                <w:lang w:eastAsia="zh-CN"/>
                <w:highlight w:val="none"/>
              </w:rPr>
            </w:pPr>
            <w:r>
              <w:rPr>
                <w:rFonts w:eastAsia="宋体" w:hint="eastAsia"/>
                <w:sz w:val="24"/>
                <w:szCs w:val="24"/>
                <w:u w:val="single"/>
                <w:lang w:eastAsia="zh-CN"/>
                <w:highlight w:val="none"/>
              </w:rPr>
              <w:t>根据工程项目总体布置所确定的工程内容主要为</w:t>
            </w:r>
            <w:r>
              <w:rPr>
                <w:rFonts w:eastAsia="宋体" w:hint="eastAsia"/>
                <w:sz w:val="24"/>
                <w:szCs w:val="24"/>
                <w:u w:val="single"/>
                <w:lang w:val="en-US" w:eastAsia="zh-CN"/>
                <w:highlight w:val="none"/>
              </w:rPr>
              <w:t>水厂新建</w:t>
            </w:r>
            <w:r>
              <w:rPr>
                <w:rFonts w:eastAsia="宋体" w:hint="eastAsia"/>
                <w:sz w:val="24"/>
                <w:szCs w:val="24"/>
                <w:u w:val="single"/>
                <w:lang w:eastAsia="zh-CN"/>
                <w:highlight w:val="none"/>
              </w:rPr>
              <w:t>及管网敷设。本项目</w:t>
            </w:r>
            <w:r>
              <w:rPr>
                <w:rFonts w:eastAsia="宋体" w:hint="eastAsia"/>
                <w:sz w:val="24"/>
                <w:szCs w:val="24"/>
                <w:u w:val="single"/>
                <w:lang w:val="en-US" w:eastAsia="zh-CN"/>
                <w:highlight w:val="none"/>
              </w:rPr>
              <w:t>管网敷设无永久占地，水厂</w:t>
            </w:r>
            <w:r>
              <w:rPr>
                <w:rFonts w:eastAsia="宋体" w:hint="eastAsia"/>
                <w:sz w:val="24"/>
                <w:szCs w:val="24"/>
                <w:u w:val="single"/>
                <w:lang w:eastAsia="zh-CN"/>
                <w:highlight w:val="none"/>
              </w:rPr>
              <w:t>永久占地</w:t>
            </w:r>
            <w:r>
              <w:rPr>
                <w:rFonts w:eastAsia="宋体" w:hint="eastAsia"/>
                <w:sz w:val="24"/>
                <w:szCs w:val="24"/>
                <w:u w:val="single"/>
                <w:lang w:val="en-US" w:eastAsia="zh-CN"/>
                <w:highlight w:val="none"/>
              </w:rPr>
              <w:t>面积为3734.5m</w:t>
            </w:r>
            <w:r>
              <w:rPr>
                <w:rFonts w:eastAsia="宋体" w:hint="eastAsia"/>
                <w:sz w:val="24"/>
                <w:szCs w:val="24"/>
                <w:u w:val="single"/>
                <w:vertAlign w:val="superscript"/>
                <w:lang w:val="en-US" w:eastAsia="zh-CN"/>
                <w:highlight w:val="none"/>
              </w:rPr>
              <w:t>2</w:t>
            </w:r>
            <w:r>
              <w:rPr>
                <w:rFonts w:eastAsia="宋体" w:hint="eastAsia"/>
                <w:sz w:val="24"/>
                <w:szCs w:val="24"/>
                <w:u w:val="single"/>
                <w:lang w:eastAsia="zh-CN"/>
                <w:highlight w:val="none"/>
              </w:rPr>
              <w:t>。</w:t>
            </w:r>
          </w:p>
          <w:p>
            <w:pPr>
              <w:pStyle w:val="17"/>
              <w:adjustRightInd w:val="0"/>
              <w:snapToGrid w:val="0"/>
              <w:spacing w:line="360" w:lineRule="auto"/>
              <w:ind w:firstLineChars="200" w:firstLine="480"/>
              <w:jc w:val="both"/>
              <w:rPr>
                <w:rFonts w:eastAsia="宋体"/>
                <w:sz w:val="24"/>
                <w:szCs w:val="24"/>
                <w:u w:val="single"/>
                <w:lang w:val="en-US" w:eastAsia="zh-CN"/>
                <w:highlight w:val="none"/>
              </w:rPr>
            </w:pPr>
            <w:r>
              <w:rPr>
                <w:rFonts w:eastAsia="宋体" w:hint="eastAsia"/>
                <w:sz w:val="24"/>
                <w:szCs w:val="24"/>
                <w:u w:val="single"/>
                <w:lang w:eastAsia="zh-CN"/>
                <w:highlight w:val="none"/>
              </w:rPr>
              <w:t>（</w:t>
            </w:r>
            <w:r>
              <w:rPr>
                <w:rFonts w:eastAsia="宋体" w:hint="eastAsia"/>
                <w:sz w:val="24"/>
                <w:szCs w:val="24"/>
                <w:u w:val="single"/>
                <w:lang w:val="en-US" w:eastAsia="zh-CN"/>
                <w:highlight w:val="none"/>
              </w:rPr>
              <w:t>2</w:t>
            </w:r>
            <w:r>
              <w:rPr>
                <w:rFonts w:eastAsia="宋体" w:hint="eastAsia"/>
                <w:sz w:val="24"/>
                <w:szCs w:val="24"/>
                <w:u w:val="single"/>
                <w:lang w:eastAsia="zh-CN"/>
                <w:highlight w:val="none"/>
              </w:rPr>
              <w:t>）</w:t>
            </w:r>
            <w:r>
              <w:rPr>
                <w:rFonts w:eastAsia="宋体" w:hint="eastAsia"/>
                <w:sz w:val="24"/>
                <w:szCs w:val="24"/>
                <w:u w:val="single"/>
                <w:lang w:val="en-US" w:eastAsia="zh-CN"/>
                <w:highlight w:val="none"/>
              </w:rPr>
              <w:t>临时占地</w:t>
            </w:r>
          </w:p>
          <w:p>
            <w:pPr>
              <w:pStyle w:val="17"/>
              <w:adjustRightInd w:val="0"/>
              <w:snapToGrid w:val="0"/>
              <w:spacing w:line="360" w:lineRule="auto"/>
              <w:ind w:firstLineChars="200" w:firstLine="480"/>
              <w:jc w:val="both"/>
              <w:rPr>
                <w:rFonts w:eastAsia="宋体" w:hint="eastAsia"/>
                <w:sz w:val="24"/>
                <w:szCs w:val="24"/>
                <w:u w:val="single"/>
                <w:lang w:eastAsia="zh-CN"/>
                <w:highlight w:val="none"/>
              </w:rPr>
            </w:pPr>
            <w:r>
              <w:rPr>
                <w:rFonts w:eastAsia="宋体" w:hint="eastAsia"/>
                <w:sz w:val="24"/>
                <w:szCs w:val="24"/>
                <w:u w:val="single"/>
                <w:lang w:eastAsia="zh-CN"/>
                <w:highlight w:val="none"/>
              </w:rPr>
              <w:t>按管道线路布置，工程临时占地包括管槽开挖、敷设、管材、管件、施工机具、施工场地以及临时道路等。工程临时征用土地面</w:t>
            </w:r>
            <w:r>
              <w:rPr>
                <w:rFonts w:ascii="Times New Roman" w:eastAsia="宋体" w:cs="Times New Roman" w:hAnsi="Times New Roman" w:hint="eastAsia"/>
                <w:sz w:val="24"/>
                <w:szCs w:val="24"/>
                <w:u w:val="single"/>
                <w:lang w:eastAsia="zh-CN"/>
                <w:highlight w:val="none"/>
              </w:rPr>
              <w:t>积</w:t>
            </w:r>
            <w:r>
              <w:rPr>
                <w:rFonts w:ascii="Times New Roman" w:eastAsia="宋体" w:cs="Times New Roman" w:hAnsi="Times New Roman" w:hint="eastAsia"/>
                <w:sz w:val="24"/>
                <w:szCs w:val="24"/>
                <w:u w:val="single"/>
                <w:lang w:val="en-US" w:eastAsia="zh-CN"/>
                <w:highlight w:val="none"/>
              </w:rPr>
              <w:t>37.89</w:t>
            </w:r>
            <w:r>
              <w:rPr>
                <w:rFonts w:ascii="Times New Roman" w:eastAsia="宋体" w:cs="Times New Roman" w:hAnsi="Times New Roman" w:hint="eastAsia"/>
                <w:sz w:val="24"/>
                <w:szCs w:val="24"/>
                <w:u w:val="single"/>
                <w:lang w:eastAsia="zh-CN"/>
                <w:highlight w:val="none"/>
              </w:rPr>
              <w:t>hm</w:t>
            </w:r>
            <w:r>
              <w:rPr>
                <w:rFonts w:ascii="Times New Roman" w:eastAsia="宋体" w:cs="Times New Roman" w:hAnsi="Times New Roman" w:hint="eastAsia"/>
                <w:sz w:val="24"/>
                <w:szCs w:val="24"/>
                <w:u w:val="single"/>
                <w:vertAlign w:val="superscript"/>
                <w:lang w:eastAsia="zh-CN"/>
                <w:highlight w:val="none"/>
              </w:rPr>
              <w:t>2</w:t>
            </w:r>
            <w:r>
              <w:rPr>
                <w:rFonts w:ascii="Times New Roman" w:eastAsia="宋体" w:cs="Times New Roman" w:hAnsi="Times New Roman" w:hint="eastAsia"/>
                <w:sz w:val="24"/>
                <w:szCs w:val="24"/>
                <w:u w:val="single"/>
                <w:lang w:eastAsia="zh-CN"/>
                <w:highlight w:val="none"/>
              </w:rPr>
              <w:t>，</w:t>
            </w:r>
            <w:r>
              <w:rPr>
                <w:rFonts w:eastAsia="宋体" w:hint="eastAsia"/>
                <w:sz w:val="24"/>
                <w:szCs w:val="24"/>
                <w:u w:val="single"/>
                <w:lang w:val="en-US" w:eastAsia="zh-CN"/>
                <w:highlight w:val="none"/>
              </w:rPr>
              <w:t>主要占地类型为</w:t>
            </w:r>
            <w:r>
              <w:rPr>
                <w:rFonts w:eastAsia="宋体" w:hint="eastAsia"/>
                <w:sz w:val="24"/>
                <w:szCs w:val="24"/>
                <w:u w:val="single"/>
                <w:lang w:eastAsia="zh-CN"/>
                <w:highlight w:val="none"/>
              </w:rPr>
              <w:t>耕地</w:t>
            </w:r>
            <w:r>
              <w:rPr>
                <w:rFonts w:eastAsia="宋体" w:hint="eastAsia"/>
                <w:sz w:val="24"/>
                <w:szCs w:val="24"/>
                <w:u w:val="single"/>
                <w:lang w:val="en-US" w:eastAsia="zh-CN"/>
                <w:highlight w:val="none"/>
              </w:rPr>
              <w:t>及</w:t>
            </w:r>
            <w:r>
              <w:rPr>
                <w:rFonts w:eastAsia="宋体" w:hint="eastAsia"/>
                <w:sz w:val="24"/>
                <w:szCs w:val="24"/>
                <w:u w:val="single"/>
                <w:lang w:eastAsia="zh-CN"/>
                <w:highlight w:val="none"/>
              </w:rPr>
              <w:t>林地。不涉及搬迁人口。</w:t>
            </w:r>
          </w:p>
          <w:p>
            <w:pPr>
              <w:pStyle w:val="59"/>
              <w:spacing w:line="360" w:lineRule="auto"/>
              <w:jc w:val="both"/>
              <w:rPr>
                <w:b/>
                <w:bCs/>
                <w:sz w:val="24"/>
                <w:highlight w:val="none"/>
              </w:rPr>
            </w:pPr>
            <w:r>
              <w:rPr>
                <w:rFonts w:hint="eastAsia"/>
                <w:b/>
                <w:bCs/>
                <w:sz w:val="24"/>
                <w:highlight w:val="none"/>
              </w:rPr>
              <w:t>1</w:t>
            </w:r>
            <w:r>
              <w:rPr>
                <w:rFonts w:hint="eastAsia"/>
                <w:b/>
                <w:bCs/>
                <w:sz w:val="24"/>
                <w:lang w:val="en-US" w:eastAsia="zh-CN"/>
                <w:highlight w:val="none"/>
              </w:rPr>
              <w:t>2</w:t>
            </w:r>
            <w:r>
              <w:rPr>
                <w:b/>
                <w:bCs/>
                <w:sz w:val="24"/>
                <w:highlight w:val="none"/>
              </w:rPr>
              <w:t>、</w:t>
            </w:r>
            <w:r>
              <w:rPr>
                <w:rFonts w:hint="eastAsia"/>
                <w:b/>
                <w:bCs/>
                <w:sz w:val="24"/>
                <w:highlight w:val="none"/>
              </w:rPr>
              <w:t>土石方平衡</w:t>
            </w:r>
          </w:p>
          <w:p>
            <w:pPr>
              <w:pStyle w:val="17"/>
              <w:adjustRightInd w:val="0"/>
              <w:snapToGrid w:val="0"/>
              <w:spacing w:line="360" w:lineRule="auto"/>
              <w:ind w:firstLineChars="200" w:firstLine="480"/>
              <w:jc w:val="left"/>
              <w:rPr>
                <w:rFonts w:eastAsia="宋体" w:hint="eastAsia"/>
                <w:sz w:val="24"/>
                <w:szCs w:val="24"/>
                <w:u w:val="single"/>
                <w:highlight w:val="none"/>
              </w:rPr>
            </w:pPr>
            <w:r>
              <w:rPr>
                <w:rFonts w:ascii="Times New Roman" w:eastAsia="宋体" w:cs="Times New Roman" w:hAnsi="Times New Roman" w:hint="eastAsia"/>
                <w:color w:val="auto"/>
                <w:kern w:val="21"/>
                <w:sz w:val="24"/>
                <w:szCs w:val="24"/>
                <w:u w:val="single"/>
                <w:lang w:val="en-US" w:eastAsia="zh-CN" w:bidi="ar-SA"/>
                <w:highlight w:val="none"/>
              </w:rPr>
              <w:t>根据本项目已批复的水土保持方案及其批复（批复见附件</w:t>
            </w:r>
            <w:r>
              <w:rPr>
                <w:rFonts w:eastAsia="宋体" w:cs="Times New Roman" w:hint="eastAsia"/>
                <w:color w:val="auto"/>
                <w:kern w:val="21"/>
                <w:sz w:val="24"/>
                <w:szCs w:val="24"/>
                <w:u w:val="single"/>
                <w:lang w:val="en-US" w:eastAsia="zh-CN" w:bidi="ar-SA"/>
                <w:highlight w:val="none"/>
              </w:rPr>
              <w:t>10</w:t>
            </w:r>
            <w:r>
              <w:rPr>
                <w:rFonts w:ascii="Times New Roman" w:eastAsia="宋体" w:cs="Times New Roman" w:hAnsi="Times New Roman" w:hint="eastAsia"/>
                <w:color w:val="auto"/>
                <w:kern w:val="21"/>
                <w:sz w:val="24"/>
                <w:szCs w:val="24"/>
                <w:u w:val="single"/>
                <w:lang w:val="en-US" w:eastAsia="zh-CN" w:bidi="ar-SA"/>
                <w:highlight w:val="none"/>
              </w:rPr>
              <w:t>）：</w:t>
            </w:r>
            <w:r>
              <w:rPr>
                <w:rFonts w:ascii="Times New Roman" w:eastAsia="宋体" w:cs="Times New Roman" w:hAnsi="Times New Roman"/>
                <w:color w:val="auto"/>
                <w:kern w:val="21"/>
                <w:sz w:val="24"/>
                <w:szCs w:val="24"/>
                <w:u w:val="single"/>
                <w:lang w:val="en-US" w:eastAsia="zh-CN" w:bidi="ar-SA"/>
                <w:highlight w:val="none"/>
              </w:rPr>
              <w:t>本项目</w:t>
            </w:r>
            <w:r>
              <w:rPr>
                <w:rFonts w:ascii="Times New Roman" w:eastAsia="宋体" w:cs="Times New Roman" w:hAnsi="Times New Roman" w:hint="eastAsia"/>
                <w:color w:val="auto"/>
                <w:kern w:val="21"/>
                <w:sz w:val="24"/>
                <w:szCs w:val="24"/>
                <w:u w:val="single"/>
                <w:lang w:val="en-US" w:eastAsia="zh-CN" w:bidi="ar-SA"/>
                <w:highlight w:val="none"/>
              </w:rPr>
              <w:t>挖方</w:t>
            </w:r>
            <w:r>
              <w:rPr>
                <w:rFonts w:eastAsia="宋体" w:cs="Times New Roman" w:hint="eastAsia"/>
                <w:color w:val="auto"/>
                <w:kern w:val="21"/>
                <w:sz w:val="24"/>
                <w:szCs w:val="24"/>
                <w:u w:val="single"/>
                <w:lang w:val="en-US" w:eastAsia="zh-CN" w:bidi="ar-SA"/>
                <w:highlight w:val="none"/>
              </w:rPr>
              <w:t>11.87</w:t>
            </w:r>
            <w:r>
              <w:rPr>
                <w:rFonts w:ascii="Times New Roman" w:eastAsia="宋体" w:cs="Times New Roman" w:hAnsi="Times New Roman"/>
                <w:color w:val="auto"/>
                <w:kern w:val="21"/>
                <w:sz w:val="24"/>
                <w:szCs w:val="24"/>
                <w:u w:val="single"/>
                <w:lang w:val="en-US" w:eastAsia="zh-CN" w:bidi="ar-SA"/>
                <w:highlight w:val="none"/>
              </w:rPr>
              <w:t>万</w:t>
            </w:r>
            <w:r>
              <w:rPr>
                <w:rFonts w:ascii="Times New Roman" w:eastAsia="宋体" w:cs="Times New Roman" w:hAnsi="Times New Roman" w:hint="eastAsia"/>
                <w:color w:val="auto"/>
                <w:kern w:val="21"/>
                <w:sz w:val="24"/>
                <w:szCs w:val="24"/>
                <w:u w:val="single"/>
                <w:lang w:val="en-US" w:eastAsia="zh-CN" w:bidi="ar-SA"/>
                <w:highlight w:val="none"/>
              </w:rPr>
              <w:t>m</w:t>
            </w:r>
            <w:r>
              <w:rPr>
                <w:rFonts w:ascii="Times New Roman" w:eastAsia="宋体" w:cs="Times New Roman" w:hAnsi="Times New Roman" w:hint="eastAsia"/>
                <w:color w:val="auto"/>
                <w:kern w:val="21"/>
                <w:sz w:val="24"/>
                <w:szCs w:val="24"/>
                <w:u w:val="single"/>
                <w:vertAlign w:val="superscript"/>
                <w:lang w:val="en-US" w:eastAsia="zh-CN" w:bidi="ar-SA"/>
                <w:highlight w:val="none"/>
              </w:rPr>
              <w:t>3</w:t>
            </w:r>
            <w:r>
              <w:rPr>
                <w:rFonts w:ascii="Times New Roman" w:eastAsia="宋体" w:cs="Times New Roman" w:hAnsi="Times New Roman"/>
                <w:color w:val="auto"/>
                <w:kern w:val="21"/>
                <w:sz w:val="24"/>
                <w:szCs w:val="24"/>
                <w:u w:val="single"/>
                <w:lang w:val="en-US" w:eastAsia="zh-CN" w:bidi="ar-SA"/>
                <w:highlight w:val="none"/>
              </w:rPr>
              <w:t>（含表土</w:t>
            </w:r>
            <w:r>
              <w:rPr>
                <w:rFonts w:ascii="Times New Roman" w:eastAsia="宋体" w:cs="Times New Roman" w:hAnsi="Times New Roman" w:hint="eastAsia"/>
                <w:color w:val="auto"/>
                <w:kern w:val="21"/>
                <w:sz w:val="24"/>
                <w:szCs w:val="24"/>
                <w:u w:val="single"/>
                <w:lang w:val="en-US" w:eastAsia="zh-CN" w:bidi="ar-SA"/>
                <w:highlight w:val="none"/>
              </w:rPr>
              <w:t>剥离</w:t>
            </w:r>
            <w:r>
              <w:rPr>
                <w:rFonts w:eastAsia="宋体" w:cs="Times New Roman" w:hint="eastAsia"/>
                <w:color w:val="auto"/>
                <w:kern w:val="21"/>
                <w:sz w:val="24"/>
                <w:szCs w:val="24"/>
                <w:u w:val="single"/>
                <w:lang w:val="en-US" w:eastAsia="zh-CN" w:bidi="ar-SA"/>
                <w:highlight w:val="none"/>
              </w:rPr>
              <w:t>0.38</w:t>
            </w:r>
            <w:r>
              <w:rPr>
                <w:rFonts w:ascii="Times New Roman" w:eastAsia="宋体" w:cs="Times New Roman" w:hAnsi="Times New Roman"/>
                <w:color w:val="auto"/>
                <w:kern w:val="21"/>
                <w:sz w:val="24"/>
                <w:szCs w:val="24"/>
                <w:u w:val="single"/>
                <w:lang w:val="en-US" w:eastAsia="zh-CN" w:bidi="ar-SA"/>
                <w:highlight w:val="none"/>
              </w:rPr>
              <w:t>万</w:t>
            </w:r>
            <w:r>
              <w:rPr>
                <w:rFonts w:ascii="Times New Roman" w:eastAsia="宋体" w:cs="Times New Roman" w:hAnsi="Times New Roman" w:hint="eastAsia"/>
                <w:color w:val="auto"/>
                <w:kern w:val="21"/>
                <w:sz w:val="24"/>
                <w:szCs w:val="24"/>
                <w:u w:val="single"/>
                <w:lang w:val="en-US" w:eastAsia="zh-CN" w:bidi="ar-SA"/>
                <w:highlight w:val="none"/>
              </w:rPr>
              <w:t>m</w:t>
            </w:r>
            <w:r>
              <w:rPr>
                <w:rFonts w:ascii="Times New Roman" w:eastAsia="宋体" w:cs="Times New Roman" w:hAnsi="Times New Roman" w:hint="eastAsia"/>
                <w:color w:val="auto"/>
                <w:kern w:val="21"/>
                <w:sz w:val="24"/>
                <w:szCs w:val="24"/>
                <w:u w:val="single"/>
                <w:vertAlign w:val="superscript"/>
                <w:lang w:val="en-US" w:eastAsia="zh-CN" w:bidi="ar-SA"/>
                <w:highlight w:val="none"/>
              </w:rPr>
              <w:t>3</w:t>
            </w:r>
            <w:r>
              <w:rPr>
                <w:rFonts w:ascii="Times New Roman" w:eastAsia="宋体" w:cs="Times New Roman" w:hAnsi="Times New Roman"/>
                <w:color w:val="auto"/>
                <w:kern w:val="21"/>
                <w:sz w:val="24"/>
                <w:szCs w:val="24"/>
                <w:u w:val="single"/>
                <w:lang w:val="en-US" w:eastAsia="zh-CN" w:bidi="ar-SA"/>
                <w:highlight w:val="none"/>
              </w:rPr>
              <w:t>），填方</w:t>
            </w:r>
            <w:r>
              <w:rPr>
                <w:rFonts w:eastAsia="宋体" w:cs="Times New Roman" w:hint="eastAsia"/>
                <w:color w:val="auto"/>
                <w:kern w:val="21"/>
                <w:sz w:val="24"/>
                <w:szCs w:val="24"/>
                <w:u w:val="single"/>
                <w:lang w:val="en-US" w:eastAsia="zh-CN" w:bidi="ar-SA"/>
                <w:highlight w:val="none"/>
              </w:rPr>
              <w:t>11.87</w:t>
            </w:r>
            <w:r>
              <w:rPr>
                <w:rFonts w:ascii="Times New Roman" w:eastAsia="宋体" w:cs="Times New Roman" w:hAnsi="Times New Roman"/>
                <w:color w:val="auto"/>
                <w:kern w:val="21"/>
                <w:sz w:val="24"/>
                <w:szCs w:val="24"/>
                <w:u w:val="single"/>
                <w:lang w:val="en-US" w:eastAsia="zh-CN" w:bidi="ar-SA"/>
                <w:highlight w:val="none"/>
              </w:rPr>
              <w:t>万</w:t>
            </w:r>
            <w:r>
              <w:rPr>
                <w:rFonts w:ascii="Times New Roman" w:eastAsia="宋体" w:cs="Times New Roman" w:hAnsi="Times New Roman" w:hint="eastAsia"/>
                <w:color w:val="auto"/>
                <w:kern w:val="21"/>
                <w:sz w:val="24"/>
                <w:szCs w:val="24"/>
                <w:u w:val="single"/>
                <w:lang w:val="en-US" w:eastAsia="zh-CN" w:bidi="ar-SA"/>
                <w:highlight w:val="none"/>
              </w:rPr>
              <w:t>m</w:t>
            </w:r>
            <w:r>
              <w:rPr>
                <w:rFonts w:ascii="Times New Roman" w:eastAsia="宋体" w:cs="Times New Roman" w:hAnsi="Times New Roman" w:hint="eastAsia"/>
                <w:color w:val="auto"/>
                <w:kern w:val="21"/>
                <w:sz w:val="24"/>
                <w:szCs w:val="24"/>
                <w:u w:val="single"/>
                <w:vertAlign w:val="superscript"/>
                <w:lang w:val="en-US" w:eastAsia="zh-CN" w:bidi="ar-SA"/>
                <w:highlight w:val="none"/>
              </w:rPr>
              <w:t>3</w:t>
            </w:r>
            <w:r>
              <w:rPr>
                <w:rFonts w:ascii="Times New Roman" w:eastAsia="宋体" w:cs="Times New Roman" w:hAnsi="Times New Roman"/>
                <w:color w:val="auto"/>
                <w:kern w:val="21"/>
                <w:sz w:val="24"/>
                <w:szCs w:val="24"/>
                <w:u w:val="single"/>
                <w:lang w:val="en-US" w:eastAsia="zh-CN" w:bidi="ar-SA"/>
                <w:highlight w:val="none"/>
              </w:rPr>
              <w:t>（含表土回填</w:t>
            </w:r>
            <w:r>
              <w:rPr>
                <w:rFonts w:eastAsia="宋体" w:cs="Times New Roman" w:hint="eastAsia"/>
                <w:color w:val="auto"/>
                <w:kern w:val="21"/>
                <w:sz w:val="24"/>
                <w:szCs w:val="24"/>
                <w:u w:val="single"/>
                <w:lang w:val="en-US" w:eastAsia="zh-CN" w:bidi="ar-SA"/>
                <w:highlight w:val="none"/>
              </w:rPr>
              <w:t>0.38</w:t>
            </w:r>
            <w:r>
              <w:rPr>
                <w:rFonts w:ascii="Times New Roman" w:eastAsia="宋体" w:cs="Times New Roman" w:hAnsi="Times New Roman"/>
                <w:color w:val="auto"/>
                <w:kern w:val="21"/>
                <w:sz w:val="24"/>
                <w:szCs w:val="24"/>
                <w:u w:val="single"/>
                <w:lang w:val="en-US" w:eastAsia="zh-CN" w:bidi="ar-SA"/>
                <w:highlight w:val="none"/>
              </w:rPr>
              <w:t>万</w:t>
            </w:r>
            <w:r>
              <w:rPr>
                <w:rFonts w:ascii="Times New Roman" w:eastAsia="宋体" w:cs="Times New Roman" w:hAnsi="Times New Roman" w:hint="eastAsia"/>
                <w:color w:val="auto"/>
                <w:kern w:val="21"/>
                <w:sz w:val="24"/>
                <w:szCs w:val="24"/>
                <w:u w:val="single"/>
                <w:lang w:val="en-US" w:eastAsia="zh-CN" w:bidi="ar-SA"/>
                <w:highlight w:val="none"/>
              </w:rPr>
              <w:t>m</w:t>
            </w:r>
            <w:r>
              <w:rPr>
                <w:rFonts w:ascii="Times New Roman" w:eastAsia="宋体" w:cs="Times New Roman" w:hAnsi="Times New Roman" w:hint="eastAsia"/>
                <w:color w:val="auto"/>
                <w:kern w:val="21"/>
                <w:sz w:val="24"/>
                <w:szCs w:val="24"/>
                <w:u w:val="single"/>
                <w:vertAlign w:val="superscript"/>
                <w:lang w:val="en-US" w:eastAsia="zh-CN" w:bidi="ar-SA"/>
                <w:highlight w:val="none"/>
              </w:rPr>
              <w:t>3</w:t>
            </w:r>
            <w:r>
              <w:rPr>
                <w:rFonts w:ascii="Times New Roman" w:eastAsia="宋体" w:cs="Times New Roman" w:hAnsi="Times New Roman"/>
                <w:color w:val="auto"/>
                <w:kern w:val="21"/>
                <w:sz w:val="24"/>
                <w:szCs w:val="24"/>
                <w:u w:val="single"/>
                <w:lang w:val="en-US" w:eastAsia="zh-CN" w:bidi="ar-SA"/>
                <w:highlight w:val="none"/>
              </w:rPr>
              <w:t>），</w:t>
            </w:r>
            <w:r>
              <w:rPr>
                <w:rFonts w:ascii="Times New Roman" w:eastAsia="宋体" w:cs="Times New Roman" w:hAnsi="Times New Roman" w:hint="eastAsia"/>
                <w:color w:val="auto"/>
                <w:kern w:val="21"/>
                <w:sz w:val="24"/>
                <w:szCs w:val="24"/>
                <w:u w:val="single"/>
                <w:lang w:val="en-US" w:eastAsia="zh-CN" w:bidi="ar-SA"/>
                <w:highlight w:val="none"/>
              </w:rPr>
              <w:t>无</w:t>
            </w:r>
            <w:r>
              <w:rPr>
                <w:rFonts w:ascii="Times New Roman" w:eastAsia="宋体" w:cs="Times New Roman" w:hAnsi="Times New Roman"/>
                <w:color w:val="auto"/>
                <w:kern w:val="21"/>
                <w:sz w:val="24"/>
                <w:szCs w:val="24"/>
                <w:u w:val="single"/>
                <w:lang w:val="en-US" w:eastAsia="zh-CN" w:bidi="ar-SA"/>
                <w:highlight w:val="none"/>
              </w:rPr>
              <w:t>余方，</w:t>
            </w:r>
            <w:r>
              <w:rPr>
                <w:rFonts w:ascii="Times New Roman" w:eastAsia="宋体" w:cs="Times New Roman" w:hAnsi="Times New Roman" w:hint="eastAsia"/>
                <w:color w:val="auto"/>
                <w:kern w:val="21"/>
                <w:sz w:val="24"/>
                <w:szCs w:val="24"/>
                <w:u w:val="single"/>
                <w:lang w:val="en-US" w:eastAsia="zh-CN" w:bidi="ar-SA"/>
                <w:highlight w:val="none"/>
              </w:rPr>
              <w:t>无借方。</w:t>
            </w:r>
          </w:p>
          <w:p>
            <w:pPr>
              <w:spacing w:line="360" w:lineRule="auto"/>
              <w:rPr>
                <w:rFonts w:ascii="Times New Roman" w:cs="Times New Roman" w:hAnsi="Times New Roman"/>
                <w:b/>
                <w:bCs/>
                <w:color w:val="auto"/>
                <w:sz w:val="24"/>
                <w:highlight w:val="none"/>
              </w:rPr>
            </w:pPr>
            <w:r>
              <w:rPr>
                <w:rFonts w:ascii="Times New Roman" w:cs="Times New Roman" w:hAnsi="Times New Roman" w:hint="eastAsia"/>
                <w:b/>
                <w:bCs/>
                <w:color w:val="auto"/>
                <w:sz w:val="24"/>
                <w:lang w:val="en-US" w:eastAsia="zh-CN"/>
                <w:highlight w:val="none"/>
              </w:rPr>
              <w:t>1</w:t>
            </w:r>
            <w:r>
              <w:rPr>
                <w:rFonts w:cs="Times New Roman" w:hint="eastAsia"/>
                <w:b/>
                <w:bCs/>
                <w:color w:val="auto"/>
                <w:sz w:val="24"/>
                <w:lang w:val="en-US" w:eastAsia="zh-CN"/>
                <w:highlight w:val="none"/>
              </w:rPr>
              <w:t>3</w:t>
            </w:r>
            <w:r>
              <w:rPr>
                <w:rFonts w:ascii="Times New Roman" w:cs="Times New Roman" w:hAnsi="Times New Roman"/>
                <w:b/>
                <w:bCs/>
                <w:color w:val="auto"/>
                <w:sz w:val="24"/>
                <w:highlight w:val="none"/>
              </w:rPr>
              <w:t>、项目总平面布置情况</w:t>
            </w:r>
          </w:p>
          <w:p>
            <w:pPr>
              <w:autoSpaceDE w:val="0"/>
              <w:autoSpaceDN w:val="0"/>
              <w:adjustRightInd w:val="0"/>
              <w:spacing w:line="360" w:lineRule="auto"/>
              <w:ind w:firstLineChars="200" w:firstLine="480"/>
              <w:rPr>
                <w:rFonts w:ascii="Times New Roman" w:eastAsia="宋体" w:cs="Times New Roman" w:hAnsi="Times New Roman"/>
                <w:color w:val="auto"/>
                <w:kern w:val="0"/>
                <w:sz w:val="24"/>
                <w:u w:val="none" w:color="auto"/>
                <w:lang w:val="en-US" w:eastAsia="zh-CN"/>
                <w:highlight w:val="none"/>
              </w:rPr>
            </w:pPr>
            <w:r>
              <w:rPr>
                <w:rFonts w:ascii="Times New Roman" w:eastAsia="宋体" w:cs="Times New Roman" w:hAnsi="Times New Roman" w:hint="eastAsia"/>
                <w:color w:val="auto"/>
                <w:kern w:val="0"/>
                <w:sz w:val="24"/>
                <w:u w:val="none" w:color="auto"/>
                <w:lang w:eastAsia="zh-CN"/>
                <w:highlight w:val="none"/>
              </w:rPr>
              <w:t>（</w:t>
            </w:r>
            <w:r>
              <w:rPr>
                <w:rFonts w:ascii="Times New Roman" w:eastAsia="宋体" w:cs="Times New Roman" w:hAnsi="Times New Roman" w:hint="eastAsia"/>
                <w:color w:val="auto"/>
                <w:kern w:val="0"/>
                <w:sz w:val="24"/>
                <w:u w:val="none" w:color="auto"/>
                <w:lang w:val="en-US" w:eastAsia="zh-CN"/>
                <w:highlight w:val="none"/>
              </w:rPr>
              <w:t>1</w:t>
            </w:r>
            <w:r>
              <w:rPr>
                <w:rFonts w:ascii="Times New Roman" w:eastAsia="宋体" w:cs="Times New Roman" w:hAnsi="Times New Roman" w:hint="eastAsia"/>
                <w:color w:val="auto"/>
                <w:kern w:val="0"/>
                <w:sz w:val="24"/>
                <w:u w:val="none" w:color="auto"/>
                <w:lang w:eastAsia="zh-CN"/>
                <w:highlight w:val="none"/>
              </w:rPr>
              <w:t>）</w:t>
            </w:r>
            <w:r>
              <w:rPr>
                <w:rFonts w:ascii="Times New Roman" w:eastAsia="宋体" w:cs="Times New Roman" w:hAnsi="Times New Roman" w:hint="eastAsia"/>
                <w:color w:val="auto"/>
                <w:kern w:val="0"/>
                <w:sz w:val="24"/>
                <w:u w:val="none" w:color="auto"/>
                <w:lang w:val="en-US" w:eastAsia="zh-CN"/>
                <w:highlight w:val="none"/>
              </w:rPr>
              <w:t>取水工程</w:t>
            </w:r>
          </w:p>
          <w:p>
            <w:pPr>
              <w:autoSpaceDE w:val="0"/>
              <w:autoSpaceDN w:val="0"/>
              <w:adjustRightInd w:val="0"/>
              <w:spacing w:line="360" w:lineRule="auto"/>
              <w:ind w:firstLineChars="200" w:firstLine="480"/>
              <w:rPr>
                <w:rFonts w:ascii="Times New Roman" w:eastAsia="宋体" w:cs="Times New Roman" w:hAnsi="Times New Roman"/>
                <w:color w:val="auto"/>
                <w:kern w:val="0"/>
                <w:sz w:val="24"/>
                <w:u w:val="single" w:color="auto"/>
                <w:highlight w:val="none"/>
              </w:rPr>
            </w:pPr>
            <w:r>
              <w:rPr>
                <w:kern w:val="0"/>
                <w:sz w:val="24"/>
                <w:u w:val="none"/>
                <w:highlight w:val="none"/>
              </w:rPr>
              <w:t>本项目</w:t>
            </w:r>
            <w:r>
              <w:rPr>
                <w:rFonts w:hint="eastAsia"/>
                <w:kern w:val="0"/>
                <w:sz w:val="24"/>
                <w:u w:val="none"/>
                <w:highlight w:val="none"/>
              </w:rPr>
              <w:t>取水水源为</w:t>
            </w:r>
            <w:r>
              <w:rPr>
                <w:rFonts w:hint="eastAsia"/>
                <w:kern w:val="0"/>
                <w:sz w:val="24"/>
                <w:u w:val="none"/>
                <w:lang w:val="en-US" w:eastAsia="zh-CN"/>
                <w:highlight w:val="none"/>
              </w:rPr>
              <w:t>太青水库</w:t>
            </w:r>
            <w:r>
              <w:rPr>
                <w:rFonts w:hint="eastAsia"/>
                <w:kern w:val="0"/>
                <w:sz w:val="24"/>
                <w:u w:val="none"/>
                <w:highlight w:val="none"/>
              </w:rPr>
              <w:t>，采用浮船式取水。项目取水区域已划定为饮用水源保护区</w:t>
            </w:r>
            <w:r>
              <w:rPr>
                <w:kern w:val="0"/>
                <w:sz w:val="24"/>
                <w:u w:val="none"/>
                <w:highlight w:val="none"/>
              </w:rPr>
              <w:t>，</w:t>
            </w:r>
            <w:r>
              <w:rPr>
                <w:rFonts w:cs="Times New Roman" w:hint="eastAsia"/>
                <w:color w:val="auto"/>
                <w:kern w:val="0"/>
                <w:sz w:val="24"/>
                <w:u w:val="none" w:color="auto"/>
                <w:lang w:val="en-US" w:eastAsia="zh-CN"/>
                <w:highlight w:val="none"/>
              </w:rPr>
              <w:t>本项目取水口将按照</w:t>
            </w:r>
            <w:r>
              <w:rPr>
                <w:rFonts w:hint="eastAsia"/>
                <w:kern w:val="0"/>
                <w:sz w:val="24"/>
                <w:u w:val="none" w:color="auto"/>
              </w:rPr>
              <w:t>《饮用水水源保护区划分技术规范》（H</w:t>
            </w:r>
            <w:r>
              <w:rPr>
                <w:kern w:val="0"/>
                <w:sz w:val="24"/>
                <w:u w:val="none" w:color="auto"/>
              </w:rPr>
              <w:t>J338</w:t>
            </w:r>
            <w:r>
              <w:rPr>
                <w:rFonts w:hint="eastAsia"/>
                <w:kern w:val="0"/>
                <w:sz w:val="24"/>
                <w:u w:val="none" w:color="auto"/>
              </w:rPr>
              <w:t>-</w:t>
            </w:r>
            <w:r>
              <w:rPr>
                <w:kern w:val="0"/>
                <w:sz w:val="24"/>
                <w:u w:val="none" w:color="auto"/>
              </w:rPr>
              <w:t>2018</w:t>
            </w:r>
            <w:r>
              <w:rPr>
                <w:rFonts w:hint="eastAsia"/>
                <w:kern w:val="0"/>
                <w:sz w:val="24"/>
                <w:u w:val="none" w:color="auto"/>
              </w:rPr>
              <w:t>）</w:t>
            </w:r>
            <w:r>
              <w:rPr>
                <w:rFonts w:cs="Times New Roman" w:hint="eastAsia"/>
                <w:color w:val="auto"/>
                <w:kern w:val="0"/>
                <w:sz w:val="24"/>
                <w:u w:val="none" w:color="auto"/>
                <w:lang w:val="en-US" w:eastAsia="zh-CN"/>
                <w:highlight w:val="none"/>
              </w:rPr>
              <w:t>重新划分饮用水源保护区，</w:t>
            </w:r>
            <w:r>
              <w:rPr>
                <w:rFonts w:hint="eastAsia"/>
                <w:kern w:val="0"/>
                <w:sz w:val="24"/>
                <w:u w:val="single" w:color="auto"/>
                <w:highlight w:val="none"/>
              </w:rPr>
              <w:t>该</w:t>
            </w:r>
            <w:r>
              <w:rPr>
                <w:rFonts w:hint="eastAsia"/>
                <w:kern w:val="0"/>
                <w:sz w:val="24"/>
                <w:u w:val="single" w:color="auto"/>
                <w:lang w:eastAsia="zh-CN"/>
                <w:highlight w:val="none"/>
              </w:rPr>
              <w:t>取水口</w:t>
            </w:r>
            <w:r>
              <w:rPr>
                <w:rFonts w:hint="eastAsia"/>
                <w:kern w:val="0"/>
                <w:sz w:val="24"/>
                <w:u w:val="single" w:color="auto"/>
                <w:lang w:val="en-US" w:eastAsia="zh-CN"/>
                <w:highlight w:val="none"/>
              </w:rPr>
              <w:t>集雨</w:t>
            </w:r>
            <w:r>
              <w:rPr>
                <w:rFonts w:hint="eastAsia"/>
                <w:kern w:val="0"/>
                <w:sz w:val="24"/>
                <w:u w:val="single" w:color="auto"/>
                <w:highlight w:val="none"/>
              </w:rPr>
              <w:t>范围内无工业排水口，无规模养殖业，无生活源排水口，取水口上游沿岸以农业种植为主，区域农业种植多实现了科学配肥，农业面源污染较少，对取水水质有保障。</w:t>
            </w:r>
          </w:p>
          <w:p>
            <w:pPr>
              <w:autoSpaceDE w:val="0"/>
              <w:autoSpaceDN w:val="0"/>
              <w:adjustRightInd w:val="0"/>
              <w:spacing w:line="360" w:lineRule="auto"/>
              <w:ind w:firstLineChars="200" w:firstLine="480"/>
              <w:rPr>
                <w:rFonts w:ascii="Times New Roman" w:eastAsia="宋体" w:cs="Times New Roman" w:hAnsi="Times New Roman"/>
                <w:color w:val="auto"/>
                <w:kern w:val="0"/>
                <w:sz w:val="24"/>
                <w:u w:val="none" w:color="auto"/>
                <w:lang w:val="en-US" w:eastAsia="zh-CN"/>
                <w:highlight w:val="none"/>
              </w:rPr>
            </w:pPr>
            <w:r>
              <w:rPr>
                <w:rFonts w:ascii="Times New Roman" w:eastAsia="宋体" w:cs="Times New Roman" w:hAnsi="Times New Roman" w:hint="eastAsia"/>
                <w:color w:val="auto"/>
                <w:kern w:val="0"/>
                <w:sz w:val="24"/>
                <w:u w:val="none" w:color="auto"/>
                <w:lang w:eastAsia="zh-CN"/>
                <w:highlight w:val="none"/>
              </w:rPr>
              <w:t>（</w:t>
            </w:r>
            <w:r>
              <w:rPr>
                <w:rFonts w:ascii="Times New Roman" w:eastAsia="宋体" w:cs="Times New Roman" w:hAnsi="Times New Roman" w:hint="eastAsia"/>
                <w:color w:val="auto"/>
                <w:kern w:val="0"/>
                <w:sz w:val="24"/>
                <w:u w:val="none" w:color="auto"/>
                <w:lang w:val="en-US" w:eastAsia="zh-CN"/>
                <w:highlight w:val="none"/>
              </w:rPr>
              <w:t>2</w:t>
            </w:r>
            <w:r>
              <w:rPr>
                <w:rFonts w:ascii="Times New Roman" w:eastAsia="宋体" w:cs="Times New Roman" w:hAnsi="Times New Roman" w:hint="eastAsia"/>
                <w:color w:val="auto"/>
                <w:kern w:val="0"/>
                <w:sz w:val="24"/>
                <w:u w:val="none" w:color="auto"/>
                <w:lang w:eastAsia="zh-CN"/>
                <w:highlight w:val="none"/>
              </w:rPr>
              <w:t>）</w:t>
            </w:r>
            <w:r>
              <w:rPr>
                <w:rFonts w:ascii="Times New Roman" w:eastAsia="宋体" w:cs="Times New Roman" w:hAnsi="Times New Roman" w:hint="eastAsia"/>
                <w:color w:val="auto"/>
                <w:kern w:val="0"/>
                <w:sz w:val="24"/>
                <w:u w:val="none" w:color="auto"/>
                <w:lang w:val="en-US" w:eastAsia="zh-CN"/>
                <w:highlight w:val="none"/>
              </w:rPr>
              <w:t>水厂平面布置</w:t>
            </w:r>
          </w:p>
          <w:p>
            <w:pPr>
              <w:adjustRightInd w:val="0"/>
              <w:snapToGrid w:val="0"/>
              <w:spacing w:line="360" w:lineRule="auto"/>
              <w:ind w:firstLineChars="200" w:firstLine="480"/>
              <w:rPr>
                <w:rFonts w:ascii="Times New Roman" w:eastAsia="宋体" w:cs="Times New Roman" w:hAnsi="Times New Roman"/>
                <w:color w:val="auto"/>
                <w:kern w:val="0"/>
                <w:sz w:val="24"/>
                <w:u w:val="none" w:color="auto"/>
                <w:highlight w:val="none"/>
              </w:rPr>
            </w:pPr>
            <w:r>
              <w:rPr>
                <w:rFonts w:ascii="Times New Roman" w:eastAsia="宋体" w:cs="Times New Roman" w:hAnsi="Times New Roman"/>
                <w:color w:val="auto"/>
                <w:kern w:val="0"/>
                <w:sz w:val="24"/>
                <w:u w:val="none" w:color="auto"/>
                <w:highlight w:val="none"/>
              </w:rPr>
              <w:t>水厂分为两个功能区：</w:t>
            </w:r>
          </w:p>
          <w:p>
            <w:pPr>
              <w:adjustRightInd w:val="0"/>
              <w:snapToGrid w:val="0"/>
              <w:spacing w:line="360" w:lineRule="auto"/>
              <w:ind w:firstLineChars="200" w:firstLine="480"/>
              <w:rPr>
                <w:rFonts w:ascii="Times New Roman" w:eastAsia="宋体" w:cs="Times New Roman" w:hAnsi="Times New Roman"/>
                <w:color w:val="auto"/>
                <w:kern w:val="0"/>
                <w:sz w:val="24"/>
                <w:u w:val="none" w:color="auto"/>
                <w:highlight w:val="none"/>
              </w:rPr>
            </w:pPr>
            <w:r>
              <w:rPr>
                <w:rFonts w:ascii="Times New Roman" w:eastAsia="宋体" w:cs="Times New Roman" w:hAnsi="Times New Roman"/>
                <w:color w:val="auto"/>
                <w:kern w:val="0"/>
                <w:sz w:val="24"/>
                <w:u w:val="none" w:color="auto"/>
                <w:highlight w:val="none"/>
              </w:rPr>
              <w:t>①厂前区</w:t>
            </w:r>
            <w:r>
              <w:rPr>
                <w:rFonts w:cs="Times New Roman" w:hint="eastAsia"/>
                <w:color w:val="auto"/>
                <w:kern w:val="0"/>
                <w:sz w:val="24"/>
                <w:u w:val="none" w:color="auto"/>
                <w:lang w:eastAsia="zh-CN"/>
                <w:highlight w:val="none"/>
              </w:rPr>
              <w:t>：</w:t>
            </w:r>
            <w:r>
              <w:rPr>
                <w:rFonts w:ascii="Times New Roman" w:eastAsia="宋体" w:cs="Times New Roman" w:hAnsi="Times New Roman"/>
                <w:color w:val="auto"/>
                <w:kern w:val="0"/>
                <w:sz w:val="24"/>
                <w:u w:val="none" w:color="auto"/>
                <w:highlight w:val="none"/>
              </w:rPr>
              <w:t>厂前区设在水厂的</w:t>
            </w:r>
            <w:r>
              <w:rPr>
                <w:rFonts w:cs="Times New Roman" w:hint="eastAsia"/>
                <w:color w:val="auto"/>
                <w:kern w:val="0"/>
                <w:sz w:val="24"/>
                <w:u w:val="none" w:color="auto"/>
                <w:lang w:val="en-US" w:eastAsia="zh-CN"/>
                <w:highlight w:val="none"/>
              </w:rPr>
              <w:t>东侧</w:t>
            </w:r>
            <w:r>
              <w:rPr>
                <w:rFonts w:ascii="Times New Roman" w:eastAsia="宋体" w:cs="Times New Roman" w:hAnsi="Times New Roman"/>
                <w:color w:val="auto"/>
                <w:kern w:val="0"/>
                <w:sz w:val="24"/>
                <w:u w:val="none" w:color="auto"/>
                <w:highlight w:val="none"/>
              </w:rPr>
              <w:t>，区内建筑物主要有</w:t>
            </w:r>
            <w:r>
              <w:rPr>
                <w:rFonts w:cs="Times New Roman" w:hint="eastAsia"/>
                <w:color w:val="auto"/>
                <w:kern w:val="0"/>
                <w:sz w:val="24"/>
                <w:u w:val="none" w:color="auto"/>
                <w:lang w:val="en-US" w:eastAsia="zh-CN"/>
                <w:highlight w:val="none"/>
              </w:rPr>
              <w:t>净水辅助间</w:t>
            </w:r>
            <w:r>
              <w:rPr>
                <w:rFonts w:ascii="Times New Roman" w:eastAsia="宋体" w:cs="Times New Roman" w:hAnsi="Times New Roman"/>
                <w:color w:val="auto"/>
                <w:kern w:val="0"/>
                <w:sz w:val="24"/>
                <w:u w:val="none" w:color="auto"/>
                <w:highlight w:val="none"/>
              </w:rPr>
              <w:t>、</w:t>
            </w:r>
            <w:r>
              <w:rPr>
                <w:rFonts w:cs="Times New Roman" w:hint="eastAsia"/>
                <w:color w:val="auto"/>
                <w:kern w:val="0"/>
                <w:sz w:val="24"/>
                <w:u w:val="none" w:color="auto"/>
                <w:lang w:val="en-US" w:eastAsia="zh-CN"/>
                <w:highlight w:val="none"/>
              </w:rPr>
              <w:t>管理用房</w:t>
            </w:r>
            <w:r>
              <w:rPr>
                <w:rFonts w:ascii="Times New Roman" w:eastAsia="宋体" w:cs="Times New Roman" w:hAnsi="Times New Roman"/>
                <w:color w:val="auto"/>
                <w:kern w:val="0"/>
                <w:sz w:val="24"/>
                <w:u w:val="none" w:color="auto"/>
                <w:highlight w:val="none"/>
              </w:rPr>
              <w:t>等，厂区的主入口设于厂前区，厂前区种植绿植，环境优美，使之成为一个花红柳绿，意境清幽的休憩胜地。</w:t>
            </w:r>
          </w:p>
          <w:p>
            <w:pPr>
              <w:autoSpaceDE w:val="0"/>
              <w:autoSpaceDN w:val="0"/>
              <w:adjustRightInd w:val="0"/>
              <w:spacing w:line="360" w:lineRule="auto"/>
              <w:ind w:firstLineChars="200" w:firstLine="480"/>
              <w:rPr>
                <w:rFonts w:ascii="Times New Roman" w:eastAsia="宋体" w:cs="Times New Roman" w:hAnsi="Times New Roman"/>
                <w:color w:val="auto"/>
                <w:kern w:val="0"/>
                <w:sz w:val="24"/>
                <w:u w:val="none" w:color="auto"/>
                <w:highlight w:val="none"/>
              </w:rPr>
            </w:pPr>
            <w:r>
              <w:rPr>
                <w:rFonts w:ascii="Times New Roman" w:eastAsia="宋体" w:cs="Times New Roman" w:hAnsi="Times New Roman"/>
                <w:color w:val="auto"/>
                <w:kern w:val="0"/>
                <w:sz w:val="24"/>
                <w:u w:val="none" w:color="auto"/>
                <w:highlight w:val="none"/>
              </w:rPr>
              <w:t>②生产区</w:t>
            </w:r>
            <w:r>
              <w:rPr>
                <w:rFonts w:cs="Times New Roman" w:hint="eastAsia"/>
                <w:color w:val="auto"/>
                <w:kern w:val="0"/>
                <w:sz w:val="24"/>
                <w:u w:val="none" w:color="auto"/>
                <w:lang w:eastAsia="zh-CN"/>
                <w:highlight w:val="none"/>
              </w:rPr>
              <w:t>：</w:t>
            </w:r>
            <w:r>
              <w:rPr>
                <w:rFonts w:ascii="Times New Roman" w:eastAsia="宋体" w:cs="Times New Roman" w:hAnsi="Times New Roman"/>
                <w:color w:val="auto"/>
                <w:kern w:val="0"/>
                <w:sz w:val="24"/>
                <w:u w:val="none" w:color="auto"/>
                <w:highlight w:val="none"/>
              </w:rPr>
              <w:t>水厂自</w:t>
            </w:r>
            <w:r>
              <w:rPr>
                <w:rFonts w:cs="Times New Roman" w:hint="eastAsia"/>
                <w:color w:val="auto"/>
                <w:kern w:val="0"/>
                <w:sz w:val="24"/>
                <w:u w:val="none" w:color="auto"/>
                <w:lang w:val="en-US" w:eastAsia="zh-CN"/>
                <w:highlight w:val="none"/>
              </w:rPr>
              <w:t>南</w:t>
            </w:r>
            <w:r>
              <w:rPr>
                <w:rFonts w:ascii="Times New Roman" w:eastAsia="宋体" w:cs="Times New Roman" w:hAnsi="Times New Roman"/>
                <w:color w:val="auto"/>
                <w:kern w:val="0"/>
                <w:sz w:val="24"/>
                <w:u w:val="none" w:color="auto"/>
                <w:highlight w:val="none"/>
              </w:rPr>
              <w:t>向取水，水处理构筑物自</w:t>
            </w:r>
            <w:r>
              <w:rPr>
                <w:rFonts w:cs="Times New Roman" w:hint="eastAsia"/>
                <w:color w:val="auto"/>
                <w:kern w:val="0"/>
                <w:sz w:val="24"/>
                <w:u w:val="none" w:color="auto"/>
                <w:lang w:val="en-US" w:eastAsia="zh-CN"/>
                <w:highlight w:val="none"/>
              </w:rPr>
              <w:t>西</w:t>
            </w:r>
            <w:r>
              <w:rPr>
                <w:rFonts w:ascii="Times New Roman" w:eastAsia="宋体" w:cs="Times New Roman" w:hAnsi="Times New Roman"/>
                <w:color w:val="auto"/>
                <w:kern w:val="0"/>
                <w:sz w:val="24"/>
                <w:u w:val="none" w:color="auto"/>
                <w:highlight w:val="none"/>
              </w:rPr>
              <w:t>向</w:t>
            </w:r>
            <w:r>
              <w:rPr>
                <w:rFonts w:cs="Times New Roman" w:hint="eastAsia"/>
                <w:color w:val="auto"/>
                <w:kern w:val="0"/>
                <w:sz w:val="24"/>
                <w:u w:val="none" w:color="auto"/>
                <w:lang w:val="en-US" w:eastAsia="zh-CN"/>
                <w:highlight w:val="none"/>
              </w:rPr>
              <w:t>东</w:t>
            </w:r>
            <w:r>
              <w:rPr>
                <w:rFonts w:ascii="Times New Roman" w:eastAsia="宋体" w:cs="Times New Roman" w:hAnsi="Times New Roman"/>
                <w:color w:val="auto"/>
                <w:kern w:val="0"/>
                <w:sz w:val="24"/>
                <w:u w:val="none" w:color="auto"/>
                <w:highlight w:val="none"/>
              </w:rPr>
              <w:t>布置，厂区平面布置在充分满足工艺要求的前提下，力求布局紧凑，水力流程顺畅，各管渠、动力线路和交通要道短捷，有效降低了构筑物之间的水头损失，维修管理方便。</w:t>
            </w:r>
          </w:p>
          <w:p>
            <w:pPr>
              <w:pStyle w:val="17"/>
              <w:adjustRightInd w:val="0"/>
              <w:snapToGrid w:val="0"/>
              <w:spacing w:line="360" w:lineRule="auto"/>
              <w:ind w:firstLineChars="200" w:firstLine="480"/>
              <w:jc w:val="left"/>
              <w:rPr>
                <w:rFonts w:ascii="Times New Roman" w:eastAsia="宋体" w:cs="Times New Roman" w:hAnsi="Times New Roman" w:hint="eastAsia"/>
                <w:bCs/>
                <w:color w:val="auto"/>
                <w:sz w:val="24"/>
                <w:u w:val="none"/>
                <w:lang w:val="en-US" w:eastAsia="zh-CN"/>
                <w:highlight w:val="none"/>
              </w:rPr>
            </w:pPr>
            <w:r>
              <w:rPr>
                <w:rFonts w:ascii="Times New Roman" w:eastAsia="宋体" w:cs="Times New Roman" w:hAnsi="Times New Roman" w:hint="eastAsia"/>
                <w:bCs/>
                <w:color w:val="auto"/>
                <w:sz w:val="24"/>
                <w:u w:val="none"/>
                <w:lang w:eastAsia="zh-CN"/>
                <w:highlight w:val="none"/>
              </w:rPr>
              <w:t>厂区总平面图见附图</w:t>
            </w:r>
            <w:r>
              <w:rPr>
                <w:rFonts w:ascii="Times New Roman" w:eastAsia="宋体" w:cs="Times New Roman" w:hAnsi="Times New Roman" w:hint="eastAsia"/>
                <w:bCs/>
                <w:color w:val="auto"/>
                <w:sz w:val="24"/>
                <w:u w:val="none"/>
                <w:lang w:val="en-US" w:eastAsia="zh-CN"/>
                <w:highlight w:val="none"/>
              </w:rPr>
              <w:t>2。</w:t>
            </w:r>
          </w:p>
          <w:p>
            <w:pPr>
              <w:spacing w:line="360" w:lineRule="auto"/>
              <w:rPr>
                <w:b/>
                <w:bCs/>
                <w:sz w:val="24"/>
                <w:szCs w:val="28"/>
              </w:rPr>
            </w:pPr>
            <w:r>
              <w:rPr>
                <w:rFonts w:hint="eastAsia"/>
                <w:b/>
                <w:bCs/>
                <w:sz w:val="24"/>
                <w:szCs w:val="28"/>
                <w:lang w:val="en-US" w:eastAsia="zh-CN"/>
              </w:rPr>
              <w:t>14</w:t>
            </w:r>
            <w:r>
              <w:rPr>
                <w:rFonts w:hint="eastAsia"/>
                <w:b/>
                <w:bCs/>
                <w:sz w:val="24"/>
                <w:szCs w:val="28"/>
              </w:rPr>
              <w:t>、取水水源可行性论证</w:t>
            </w:r>
          </w:p>
          <w:p>
            <w:pPr>
              <w:spacing w:line="360" w:lineRule="auto"/>
              <w:ind w:firstLineChars="200" w:firstLine="480"/>
              <w:rPr>
                <w:bCs/>
                <w:sz w:val="24"/>
                <w:u w:val="none" w:color="auto"/>
              </w:rPr>
            </w:pPr>
            <w:r>
              <w:rPr>
                <w:rFonts w:hint="eastAsia"/>
                <w:bCs/>
                <w:sz w:val="24"/>
                <w:u w:val="single" w:color="auto"/>
                <w:lang w:val="en-US" w:eastAsia="zh-CN"/>
              </w:rPr>
              <w:t>本</w:t>
            </w:r>
            <w:r>
              <w:rPr>
                <w:rFonts w:hint="eastAsia"/>
                <w:bCs/>
                <w:sz w:val="24"/>
                <w:u w:val="single" w:color="auto"/>
              </w:rPr>
              <w:t>工程取水水源为</w:t>
            </w:r>
            <w:r>
              <w:rPr>
                <w:rFonts w:hint="eastAsia"/>
                <w:bCs/>
                <w:sz w:val="24"/>
                <w:u w:val="single" w:color="auto"/>
                <w:lang w:val="en-US" w:eastAsia="zh-CN"/>
              </w:rPr>
              <w:t>太青水库</w:t>
            </w:r>
            <w:r>
              <w:rPr>
                <w:rFonts w:hint="eastAsia"/>
                <w:bCs/>
                <w:sz w:val="24"/>
                <w:u w:val="single" w:color="auto"/>
              </w:rPr>
              <w:t>地表水，水源可行性论证主要从水源取水口、水位、水质和水量方面进行考虑。</w:t>
            </w:r>
          </w:p>
          <w:p>
            <w:pPr>
              <w:spacing w:line="360" w:lineRule="auto"/>
              <w:ind w:firstLineChars="200" w:firstLine="480"/>
              <w:rPr>
                <w:bCs/>
                <w:sz w:val="24"/>
                <w:u w:val="none" w:color="auto"/>
              </w:rPr>
            </w:pPr>
            <w:r>
              <w:rPr>
                <w:rFonts w:hint="eastAsia"/>
                <w:bCs/>
                <w:sz w:val="24"/>
                <w:u w:val="none" w:color="auto"/>
              </w:rPr>
              <w:t>（1）取水口设置</w:t>
            </w:r>
          </w:p>
          <w:p>
            <w:pPr>
              <w:spacing w:line="360" w:lineRule="auto"/>
              <w:ind w:firstLineChars="200" w:firstLine="480"/>
              <w:rPr>
                <w:bCs/>
                <w:sz w:val="24"/>
                <w:u w:val="none" w:color="auto"/>
              </w:rPr>
            </w:pPr>
            <w:r>
              <w:rPr>
                <w:kern w:val="0"/>
                <w:sz w:val="24"/>
                <w:u w:val="single" w:color="auto"/>
                <w:highlight w:val="none"/>
              </w:rPr>
              <w:t>本项目</w:t>
            </w:r>
            <w:r>
              <w:rPr>
                <w:rFonts w:hint="eastAsia"/>
                <w:kern w:val="0"/>
                <w:sz w:val="24"/>
                <w:u w:val="single" w:color="auto"/>
                <w:highlight w:val="none"/>
              </w:rPr>
              <w:t>取水水源为</w:t>
            </w:r>
            <w:r>
              <w:rPr>
                <w:rFonts w:hint="eastAsia"/>
                <w:kern w:val="0"/>
                <w:sz w:val="24"/>
                <w:u w:val="single" w:color="auto"/>
                <w:lang w:val="en-US" w:eastAsia="zh-CN"/>
                <w:highlight w:val="none"/>
              </w:rPr>
              <w:t>太青水库</w:t>
            </w:r>
            <w:r>
              <w:rPr>
                <w:rFonts w:hint="eastAsia"/>
                <w:kern w:val="0"/>
                <w:sz w:val="24"/>
                <w:u w:val="single" w:color="auto"/>
                <w:highlight w:val="none"/>
              </w:rPr>
              <w:t>，</w:t>
            </w:r>
            <w:r>
              <w:rPr>
                <w:rFonts w:hint="eastAsia"/>
                <w:kern w:val="0"/>
                <w:sz w:val="24"/>
                <w:u w:val="single" w:color="auto"/>
                <w:lang w:val="en-US" w:eastAsia="zh-CN"/>
                <w:highlight w:val="none"/>
              </w:rPr>
              <w:t>为中型水库，</w:t>
            </w:r>
            <w:r>
              <w:rPr>
                <w:rFonts w:hint="eastAsia"/>
                <w:kern w:val="0"/>
                <w:sz w:val="24"/>
                <w:u w:val="single" w:color="auto"/>
                <w:lang w:eastAsia="zh-CN"/>
                <w:highlight w:val="none"/>
              </w:rPr>
              <w:t>取水口</w:t>
            </w:r>
            <w:r>
              <w:rPr>
                <w:rFonts w:hint="eastAsia"/>
                <w:kern w:val="0"/>
                <w:sz w:val="24"/>
                <w:u w:val="single" w:color="auto"/>
                <w:lang w:val="en-US" w:eastAsia="zh-CN"/>
                <w:highlight w:val="none"/>
              </w:rPr>
              <w:t>坐标为东经111°17'5.202"，北纬 29°53'30.651"</w:t>
            </w:r>
            <w:r>
              <w:rPr>
                <w:rFonts w:hint="eastAsia"/>
                <w:kern w:val="0"/>
                <w:sz w:val="24"/>
                <w:u w:val="single" w:color="auto"/>
                <w:highlight w:val="none"/>
              </w:rPr>
              <w:t>，采用浮船式取水。项目取水区域</w:t>
            </w:r>
            <w:r>
              <w:rPr>
                <w:rFonts w:hint="eastAsia"/>
                <w:kern w:val="0"/>
                <w:sz w:val="24"/>
                <w:u w:val="single" w:color="auto"/>
                <w:lang w:val="en-US" w:eastAsia="zh-CN"/>
                <w:highlight w:val="none"/>
              </w:rPr>
              <w:t>太青水库</w:t>
            </w:r>
            <w:r>
              <w:rPr>
                <w:rFonts w:hint="eastAsia"/>
                <w:kern w:val="0"/>
                <w:sz w:val="24"/>
                <w:u w:val="single" w:color="auto"/>
                <w:highlight w:val="none"/>
              </w:rPr>
              <w:t>已划定为饮用水源保护区</w:t>
            </w:r>
            <w:r>
              <w:rPr>
                <w:kern w:val="0"/>
                <w:sz w:val="24"/>
                <w:u w:val="single" w:color="auto"/>
                <w:highlight w:val="none"/>
              </w:rPr>
              <w:t>，</w:t>
            </w:r>
            <w:r>
              <w:rPr>
                <w:rFonts w:cs="Times New Roman" w:hint="eastAsia"/>
                <w:color w:val="auto"/>
                <w:kern w:val="0"/>
                <w:sz w:val="24"/>
                <w:u w:val="single" w:color="auto"/>
                <w:lang w:val="en-US" w:eastAsia="zh-CN"/>
                <w:highlight w:val="none"/>
              </w:rPr>
              <w:t>本项目取水口将按照</w:t>
            </w:r>
            <w:r>
              <w:rPr>
                <w:rFonts w:hint="eastAsia"/>
                <w:kern w:val="0"/>
                <w:sz w:val="24"/>
                <w:u w:val="single" w:color="auto"/>
              </w:rPr>
              <w:t>《饮用水水源保护区划分技术规范》（H</w:t>
            </w:r>
            <w:r>
              <w:rPr>
                <w:kern w:val="0"/>
                <w:sz w:val="24"/>
                <w:u w:val="single" w:color="auto"/>
              </w:rPr>
              <w:t>J338</w:t>
            </w:r>
            <w:r>
              <w:rPr>
                <w:rFonts w:hint="eastAsia"/>
                <w:kern w:val="0"/>
                <w:sz w:val="24"/>
                <w:u w:val="single" w:color="auto"/>
              </w:rPr>
              <w:t>-</w:t>
            </w:r>
            <w:r>
              <w:rPr>
                <w:kern w:val="0"/>
                <w:sz w:val="24"/>
                <w:u w:val="single" w:color="auto"/>
              </w:rPr>
              <w:t>2018</w:t>
            </w:r>
            <w:r>
              <w:rPr>
                <w:rFonts w:hint="eastAsia"/>
                <w:kern w:val="0"/>
                <w:sz w:val="24"/>
                <w:u w:val="single" w:color="auto"/>
              </w:rPr>
              <w:t>）</w:t>
            </w:r>
            <w:r>
              <w:rPr>
                <w:rFonts w:cs="Times New Roman" w:hint="eastAsia"/>
                <w:color w:val="auto"/>
                <w:kern w:val="0"/>
                <w:sz w:val="24"/>
                <w:u w:val="single" w:color="auto"/>
                <w:lang w:val="en-US" w:eastAsia="zh-CN"/>
                <w:highlight w:val="none"/>
              </w:rPr>
              <w:t>重新划分饮用水源保护区，</w:t>
            </w:r>
            <w:r>
              <w:rPr>
                <w:rFonts w:hint="eastAsia"/>
                <w:kern w:val="0"/>
                <w:sz w:val="24"/>
                <w:u w:val="single" w:color="auto"/>
                <w:highlight w:val="none"/>
              </w:rPr>
              <w:t>该</w:t>
            </w:r>
            <w:r>
              <w:rPr>
                <w:rFonts w:hint="eastAsia"/>
                <w:kern w:val="0"/>
                <w:sz w:val="24"/>
                <w:u w:val="single" w:color="auto"/>
                <w:lang w:eastAsia="zh-CN"/>
                <w:highlight w:val="none"/>
              </w:rPr>
              <w:t>取水口</w:t>
            </w:r>
            <w:r>
              <w:rPr>
                <w:rFonts w:hint="eastAsia"/>
                <w:kern w:val="0"/>
                <w:sz w:val="24"/>
                <w:u w:val="single" w:color="auto"/>
                <w:lang w:val="en-US" w:eastAsia="zh-CN"/>
                <w:highlight w:val="none"/>
              </w:rPr>
              <w:t>集雨</w:t>
            </w:r>
            <w:r>
              <w:rPr>
                <w:rFonts w:hint="eastAsia"/>
                <w:kern w:val="0"/>
                <w:sz w:val="24"/>
                <w:u w:val="single" w:color="auto"/>
                <w:highlight w:val="none"/>
              </w:rPr>
              <w:t>范围内无工业排水口，无规模养殖业，无生活源排水口，取水口上游沿岸以农业种植为主，区域农业种植多实现了科学配肥，农业面源污染较少，对取水水质有保障。</w:t>
            </w:r>
          </w:p>
          <w:p>
            <w:pPr>
              <w:tabs>
                <w:tab w:val="left" w:pos="360"/>
              </w:tabs>
              <w:spacing w:line="360" w:lineRule="auto"/>
              <w:ind w:firstLineChars="200" w:firstLine="480"/>
              <w:rPr>
                <w:rFonts w:hint="eastAsia"/>
                <w:kern w:val="0"/>
                <w:sz w:val="24"/>
                <w:u w:val="single" w:color="auto"/>
              </w:rPr>
            </w:pPr>
            <w:r>
              <w:rPr>
                <w:rFonts w:hint="eastAsia"/>
                <w:kern w:val="0"/>
                <w:sz w:val="24"/>
                <w:u w:val="single" w:color="auto"/>
              </w:rPr>
              <w:t>按照《饮用水水源保护区划分技术规范》（H</w:t>
            </w:r>
            <w:r>
              <w:rPr>
                <w:kern w:val="0"/>
                <w:sz w:val="24"/>
                <w:u w:val="single" w:color="auto"/>
              </w:rPr>
              <w:t>J338</w:t>
            </w:r>
            <w:r>
              <w:rPr>
                <w:rFonts w:hint="eastAsia"/>
                <w:kern w:val="0"/>
                <w:sz w:val="24"/>
                <w:u w:val="single" w:color="auto"/>
              </w:rPr>
              <w:t>-</w:t>
            </w:r>
            <w:r>
              <w:rPr>
                <w:kern w:val="0"/>
                <w:sz w:val="24"/>
                <w:u w:val="single" w:color="auto"/>
              </w:rPr>
              <w:t>2018</w:t>
            </w:r>
            <w:r>
              <w:rPr>
                <w:rFonts w:hint="eastAsia"/>
                <w:kern w:val="0"/>
                <w:sz w:val="24"/>
                <w:u w:val="single" w:color="auto"/>
              </w:rPr>
              <w:t>），将小型湖泊、中型水库保护区范围为取水口半径不小于300m范围内的区域作为一级保护区水域；小型和单一供水功能的湖泊、水库以及中小型水库为一级保护区水域外不小于200m范围内的陆域，或一定高程线以下的陆域，但不超过流域分水岭范围作为一级保护区陆域。小型湖泊、中小型水库一级保护区边界外的水域面积设定为二级保护区水域；单一功能的湖泊、水库、小型湖泊和平原型中型水库的二级保护区陆域范围是一级保护区以外水平距离不小于2000m区域，山区型中型水库二级保护区的范围为水库周边山脊线以内（一级保护区以外）及入库河流上溯不小于3000m的汇水区域。二级保护区陆域边界不超过相应的流域分水岭。</w:t>
            </w:r>
          </w:p>
          <w:p>
            <w:pPr>
              <w:tabs>
                <w:tab w:val="left" w:pos="360"/>
              </w:tabs>
              <w:spacing w:line="360" w:lineRule="auto"/>
              <w:ind w:firstLineChars="200" w:firstLine="480"/>
              <w:rPr>
                <w:rFonts w:hint="eastAsia"/>
                <w:kern w:val="0"/>
                <w:sz w:val="24"/>
                <w:u w:val="single" w:color="auto"/>
              </w:rPr>
            </w:pPr>
            <w:r>
              <w:rPr>
                <w:rFonts w:hint="eastAsia"/>
                <w:kern w:val="0"/>
                <w:sz w:val="24"/>
                <w:u w:val="single"/>
                <w:lang w:val="en-US" w:eastAsia="zh-CN"/>
              </w:rPr>
              <w:t>本项目建成后，太青水库现有取水口将取消，拟按照《</w:t>
            </w:r>
            <w:r>
              <w:rPr>
                <w:rFonts w:hint="eastAsia"/>
                <w:kern w:val="0"/>
                <w:sz w:val="24"/>
                <w:u w:val="single"/>
              </w:rPr>
              <w:t>饮用水水源保护区划分技术规范》（H</w:t>
            </w:r>
            <w:r>
              <w:rPr>
                <w:kern w:val="0"/>
                <w:sz w:val="24"/>
                <w:u w:val="single"/>
              </w:rPr>
              <w:t>J338</w:t>
            </w:r>
            <w:r>
              <w:rPr>
                <w:rFonts w:hint="eastAsia"/>
                <w:kern w:val="0"/>
                <w:sz w:val="24"/>
                <w:u w:val="single"/>
              </w:rPr>
              <w:t>-</w:t>
            </w:r>
            <w:r>
              <w:rPr>
                <w:kern w:val="0"/>
                <w:sz w:val="24"/>
                <w:u w:val="single"/>
              </w:rPr>
              <w:t>2018</w:t>
            </w:r>
            <w:r>
              <w:rPr>
                <w:rFonts w:hint="eastAsia"/>
                <w:kern w:val="0"/>
                <w:sz w:val="24"/>
                <w:u w:val="single"/>
              </w:rPr>
              <w:t>）</w:t>
            </w:r>
            <w:r>
              <w:rPr>
                <w:rFonts w:hint="eastAsia"/>
                <w:kern w:val="0"/>
                <w:sz w:val="24"/>
                <w:u w:val="single"/>
                <w:lang w:val="en-US" w:eastAsia="zh-CN"/>
              </w:rPr>
              <w:t>重新进行</w:t>
            </w:r>
            <w:r>
              <w:rPr>
                <w:rFonts w:hint="eastAsia"/>
                <w:kern w:val="0"/>
                <w:sz w:val="24"/>
                <w:u w:val="single"/>
                <w:lang w:val="en-US" w:eastAsia="zh-CN"/>
                <w:highlight w:val="none"/>
              </w:rPr>
              <w:t>饮用水源保护区划分方案</w:t>
            </w:r>
            <w:r>
              <w:rPr>
                <w:rFonts w:hint="eastAsia"/>
                <w:kern w:val="0"/>
                <w:sz w:val="24"/>
                <w:u w:val="single"/>
                <w:lang w:eastAsia="zh-CN"/>
              </w:rPr>
              <w:t>。</w:t>
            </w:r>
          </w:p>
          <w:p>
            <w:pPr>
              <w:spacing w:line="360" w:lineRule="auto"/>
              <w:ind w:firstLineChars="200" w:firstLine="480"/>
              <w:rPr>
                <w:bCs/>
                <w:sz w:val="24"/>
                <w:u w:val="none" w:color="auto"/>
              </w:rPr>
            </w:pPr>
            <w:r>
              <w:rPr>
                <w:rFonts w:hint="eastAsia"/>
                <w:bCs/>
                <w:sz w:val="24"/>
                <w:u w:val="none" w:color="auto"/>
              </w:rPr>
              <w:t>（2）水量</w:t>
            </w:r>
          </w:p>
          <w:p>
            <w:pPr>
              <w:spacing w:line="360" w:lineRule="auto"/>
              <w:ind w:firstLineChars="200" w:firstLine="480"/>
              <w:rPr>
                <w:rFonts w:eastAsia="宋体"/>
                <w:bCs/>
                <w:sz w:val="24"/>
                <w:u w:val="none" w:color="auto"/>
                <w:lang w:val="en-US" w:eastAsia="zh-CN"/>
              </w:rPr>
            </w:pPr>
            <w:r>
              <w:rPr>
                <w:rFonts w:hint="eastAsia"/>
                <w:bCs/>
                <w:sz w:val="24"/>
                <w:u w:val="none" w:color="auto"/>
              </w:rPr>
              <w:t>1）</w:t>
            </w:r>
            <w:r>
              <w:rPr>
                <w:rFonts w:hint="eastAsia"/>
                <w:bCs/>
                <w:sz w:val="24"/>
                <w:u w:val="none" w:color="auto"/>
                <w:lang w:val="en-US" w:eastAsia="zh-CN"/>
              </w:rPr>
              <w:t>用水量分析</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t>本项目供水范围内总用水量包括生活用水量、公共建筑用水量、</w:t>
            </w:r>
            <w:r>
              <w:rPr>
                <w:rFonts w:hint="eastAsia"/>
                <w:color w:val="auto"/>
                <w:sz w:val="24"/>
                <w:szCs w:val="24"/>
                <w:u w:val="none" w:color="auto"/>
              </w:rPr>
              <w:t>饲养畜禽用水量、</w:t>
            </w:r>
            <w:r>
              <w:rPr>
                <w:rFonts w:ascii="Times New Roman" w:eastAsia="宋体" w:cs="Times New Roman" w:hAnsi="Times New Roman" w:hint="eastAsia"/>
                <w:kern w:val="0"/>
                <w:sz w:val="24"/>
                <w:szCs w:val="24"/>
                <w:u w:val="none" w:color="auto"/>
                <w:lang w:val="en-US" w:eastAsia="zh-CN" w:bidi="ar-SA"/>
              </w:rPr>
              <w:t>工业生产用水、道路广场浇洒用水、绿化用水以及管网的漏损、消防用水等其他用水，分项指标法就是将各单项指标用水分项预测再统一累加计算出总用水量。</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fldChar w:fldCharType="begin"/>
            </w:r>
            <w:r>
              <w:rPr>
                <w:rFonts w:ascii="Times New Roman" w:eastAsia="宋体" w:cs="Times New Roman" w:hAnsi="Times New Roman" w:hint="eastAsia"/>
                <w:kern w:val="0"/>
                <w:sz w:val="24"/>
                <w:szCs w:val="24"/>
                <w:u w:val="none" w:color="auto"/>
                <w:lang w:val="en-US" w:eastAsia="zh-CN" w:bidi="ar-SA"/>
              </w:rPr>
              <w:instrText xml:space="preserve"> = 1 \* GB3 \* MERGEFORMAT </w:instrText>
            </w:r>
            <w:r>
              <w:rPr>
                <w:rFonts w:ascii="Times New Roman" w:eastAsia="宋体" w:cs="Times New Roman" w:hAnsi="Times New Roman" w:hint="eastAsia"/>
                <w:kern w:val="0"/>
                <w:sz w:val="24"/>
                <w:szCs w:val="24"/>
                <w:u w:val="none" w:color="auto"/>
                <w:lang w:val="en-US" w:eastAsia="zh-CN" w:bidi="ar-SA"/>
              </w:rPr>
              <w:fldChar w:fldCharType="separate"/>
            </w:r>
            <w:r>
              <w:rPr>
                <w:u w:val="none" w:color="auto"/>
              </w:rPr>
              <w:t>①</w:t>
            </w:r>
            <w:r>
              <w:rPr>
                <w:rFonts w:ascii="Times New Roman" w:eastAsia="宋体" w:cs="Times New Roman" w:hAnsi="Times New Roman" w:hint="eastAsia"/>
                <w:kern w:val="0"/>
                <w:sz w:val="24"/>
                <w:szCs w:val="24"/>
                <w:u w:val="none" w:color="auto"/>
                <w:lang w:val="en-US" w:eastAsia="zh-CN" w:bidi="ar-SA"/>
              </w:rPr>
              <w:fldChar w:fldCharType="end"/>
            </w:r>
            <w:r>
              <w:rPr>
                <w:rFonts w:ascii="Times New Roman" w:eastAsia="宋体" w:cs="Times New Roman" w:hAnsi="Times New Roman" w:hint="eastAsia"/>
                <w:kern w:val="0"/>
                <w:sz w:val="24"/>
                <w:szCs w:val="24"/>
                <w:u w:val="none" w:color="auto"/>
                <w:lang w:val="en-US" w:eastAsia="zh-CN" w:bidi="ar-SA"/>
              </w:rPr>
              <w:t>居民生活用水量</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t>综合生活用水由居民生活用水和公共建筑用水组成。根据国家标准规范GB50282-2016《城市给水工程规划规范》、GB/T50331-2002《城市居民生活用水量标准》、《湖南省用水定额》及《SL-310-2019村镇供水工程技术规范》确定。</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t>澧县“十三五”期间，规划生活用水定额按80L/人.d~100L/人.d选取，随着居民生活水平的提高和生活用水习惯的改变，在实际生产过程中发现该指标无法满足农村生活用水量的需求，根据《湖南省用水定额》及水利局近年对农村生活用水量的统计和调研，本次设计居民生活用水量定额取140L/人·d。</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cs="Times New Roman" w:hint="eastAsia"/>
                <w:kern w:val="0"/>
                <w:sz w:val="24"/>
                <w:szCs w:val="24"/>
                <w:u w:val="none" w:color="auto"/>
                <w:lang w:val="en-US" w:eastAsia="zh-CN" w:bidi="ar-SA"/>
              </w:rPr>
              <w:t>A、</w:t>
            </w:r>
            <w:r>
              <w:rPr>
                <w:rFonts w:ascii="Times New Roman" w:eastAsia="宋体" w:cs="Times New Roman" w:hAnsi="Times New Roman" w:hint="eastAsia"/>
                <w:kern w:val="0"/>
                <w:sz w:val="24"/>
                <w:szCs w:val="24"/>
                <w:u w:val="none" w:color="auto"/>
                <w:lang w:val="en-US" w:eastAsia="zh-CN" w:bidi="ar-SA"/>
              </w:rPr>
              <w:t>居民生活用水量Q1：</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t>Q1=q×n×p</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t>其中：Q1——居民生活用水量（m³/d）</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t>q——生活用水定额（升/人·日），本报告取140L/人·d</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t>n——人数。</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t>p——自来水普及率，本项目区普及率按98%计算。</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cs="Times New Roman" w:hint="eastAsia"/>
                <w:kern w:val="0"/>
                <w:sz w:val="24"/>
                <w:szCs w:val="24"/>
                <w:u w:val="none" w:color="auto"/>
                <w:lang w:val="en-US" w:eastAsia="zh-CN" w:bidi="ar-SA"/>
              </w:rPr>
            </w:pPr>
            <w:r>
              <w:rPr>
                <w:rFonts w:hint="eastAsia"/>
                <w:color w:val="auto"/>
                <w:sz w:val="24"/>
                <w:szCs w:val="24"/>
                <w:u w:val="none" w:color="auto"/>
              </w:rPr>
              <w:t>根据供水人数及用水定额，算得项目区内设计水平年居民生活用水量为</w:t>
            </w:r>
            <w:r>
              <w:rPr>
                <w:rFonts w:eastAsia="Times New Roman" w:hint="eastAsia"/>
                <w:color w:val="auto"/>
                <w:sz w:val="24"/>
                <w:szCs w:val="24"/>
                <w:u w:val="none" w:color="auto"/>
              </w:rPr>
              <w:t>7655.20m</w:t>
            </w:r>
            <w:r>
              <w:rPr>
                <w:rFonts w:eastAsia="Times New Roman" w:hint="eastAsia"/>
                <w:color w:val="auto"/>
                <w:sz w:val="24"/>
                <w:szCs w:val="24"/>
                <w:u w:val="none" w:color="auto"/>
                <w:vertAlign w:val="superscript"/>
              </w:rPr>
              <w:t>3</w:t>
            </w:r>
            <w:r>
              <w:rPr>
                <w:rFonts w:eastAsia="Times New Roman" w:hint="eastAsia"/>
                <w:color w:val="auto"/>
                <w:sz w:val="24"/>
                <w:szCs w:val="24"/>
                <w:u w:val="none" w:color="auto"/>
              </w:rPr>
              <w:t>/d</w:t>
            </w:r>
            <w:r>
              <w:rPr>
                <w:rFonts w:hint="eastAsia"/>
                <w:color w:val="auto"/>
                <w:sz w:val="24"/>
                <w:szCs w:val="24"/>
                <w:u w:val="none" w:color="auto"/>
              </w:rPr>
              <w:t>。</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hint="eastAsia"/>
                <w:kern w:val="0"/>
                <w:sz w:val="24"/>
                <w:szCs w:val="24"/>
                <w:u w:val="none" w:color="auto"/>
                <w:lang w:val="en-US" w:eastAsia="zh-CN" w:bidi="ar-SA"/>
              </w:rPr>
            </w:pPr>
            <w:r>
              <w:rPr>
                <w:rFonts w:cs="Times New Roman" w:hint="eastAsia"/>
                <w:kern w:val="0"/>
                <w:sz w:val="24"/>
                <w:szCs w:val="24"/>
                <w:u w:val="none" w:color="auto"/>
                <w:lang w:val="en-US" w:eastAsia="zh-CN" w:bidi="ar-SA"/>
              </w:rPr>
              <w:t>B、</w:t>
            </w:r>
            <w:r>
              <w:rPr>
                <w:rFonts w:ascii="Times New Roman" w:eastAsia="宋体" w:cs="Times New Roman" w:hAnsi="Times New Roman" w:hint="eastAsia"/>
                <w:kern w:val="0"/>
                <w:sz w:val="24"/>
                <w:szCs w:val="24"/>
                <w:u w:val="none" w:color="auto"/>
                <w:lang w:val="en-US" w:eastAsia="zh-CN" w:bidi="ar-SA"/>
              </w:rPr>
              <w:t>公共建筑用水量Q2</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hint="eastAsia"/>
                <w:color w:val="auto"/>
                <w:sz w:val="24"/>
                <w:szCs w:val="24"/>
                <w:u w:val="none" w:color="auto"/>
              </w:rPr>
              <w:t>乡镇政府、集镇的公共建筑用水量可按居民生活用水量的</w:t>
            </w:r>
            <w:r>
              <w:rPr>
                <w:rFonts w:eastAsia="Times New Roman" w:hint="eastAsia"/>
                <w:color w:val="auto"/>
                <w:sz w:val="24"/>
                <w:szCs w:val="24"/>
                <w:u w:val="none" w:color="auto"/>
              </w:rPr>
              <w:t>10%~15%</w:t>
            </w:r>
            <w:r>
              <w:rPr>
                <w:rFonts w:hint="eastAsia"/>
                <w:color w:val="auto"/>
                <w:sz w:val="24"/>
                <w:szCs w:val="24"/>
                <w:u w:val="none" w:color="auto"/>
              </w:rPr>
              <w:t>计算，建制镇可按</w:t>
            </w:r>
            <w:r>
              <w:rPr>
                <w:rFonts w:eastAsia="Times New Roman" w:hint="eastAsia"/>
                <w:color w:val="auto"/>
                <w:sz w:val="24"/>
                <w:szCs w:val="24"/>
                <w:u w:val="none" w:color="auto"/>
              </w:rPr>
              <w:t>15%~25%</w:t>
            </w:r>
            <w:r>
              <w:rPr>
                <w:rFonts w:hint="eastAsia"/>
                <w:color w:val="auto"/>
                <w:sz w:val="24"/>
                <w:szCs w:val="24"/>
                <w:u w:val="none" w:color="auto"/>
              </w:rPr>
              <w:t>计算。则项目区内乡镇政府、集镇的公共建筑用水量按居民生活用水量的</w:t>
            </w:r>
            <w:r>
              <w:rPr>
                <w:rFonts w:eastAsia="Times New Roman" w:hint="eastAsia"/>
                <w:color w:val="auto"/>
                <w:sz w:val="24"/>
                <w:szCs w:val="24"/>
                <w:u w:val="none" w:color="auto"/>
              </w:rPr>
              <w:t>15%</w:t>
            </w:r>
            <w:r>
              <w:rPr>
                <w:rFonts w:hint="eastAsia"/>
                <w:color w:val="auto"/>
                <w:sz w:val="24"/>
                <w:szCs w:val="24"/>
                <w:u w:val="none" w:color="auto"/>
              </w:rPr>
              <w:t>计算，设计水平年为</w:t>
            </w:r>
            <w:r>
              <w:rPr>
                <w:rFonts w:eastAsia="Times New Roman" w:hint="eastAsia"/>
                <w:color w:val="auto"/>
                <w:sz w:val="24"/>
                <w:szCs w:val="24"/>
                <w:u w:val="none" w:color="auto"/>
              </w:rPr>
              <w:t>1148.28m</w:t>
            </w:r>
            <w:r>
              <w:rPr>
                <w:rFonts w:eastAsia="Times New Roman" w:hint="eastAsia"/>
                <w:color w:val="auto"/>
                <w:sz w:val="24"/>
                <w:szCs w:val="24"/>
                <w:u w:val="none" w:color="auto"/>
                <w:vertAlign w:val="superscript"/>
              </w:rPr>
              <w:t>3</w:t>
            </w:r>
            <w:r>
              <w:rPr>
                <w:rFonts w:eastAsia="Times New Roman" w:hint="eastAsia"/>
                <w:color w:val="auto"/>
                <w:sz w:val="24"/>
                <w:szCs w:val="24"/>
                <w:u w:val="none" w:color="auto"/>
              </w:rPr>
              <w:t>/d</w:t>
            </w:r>
            <w:r>
              <w:rPr>
                <w:rFonts w:hint="eastAsia"/>
                <w:color w:val="auto"/>
                <w:sz w:val="24"/>
                <w:szCs w:val="24"/>
                <w:u w:val="none" w:color="auto"/>
              </w:rPr>
              <w:t>。</w:t>
            </w:r>
          </w:p>
          <w:p>
            <w:pPr>
              <w:pStyle w:val="113"/>
              <w:rPr>
                <w:rFonts w:ascii="Times New Roman" w:eastAsia="宋体" w:cs="宋体" w:hAnsi="Times New Roman" w:hint="eastAsia"/>
                <w:color w:val="auto"/>
                <w:kern w:val="2"/>
                <w:sz w:val="24"/>
                <w:szCs w:val="24"/>
                <w:u w:val="none" w:color="auto"/>
                <w:lang w:val="en-US" w:eastAsia="zh-CN" w:bidi="ar-SA"/>
              </w:rPr>
            </w:pPr>
            <w:r>
              <w:rPr>
                <w:rFonts w:cs="Times New Roman" w:hint="eastAsia"/>
                <w:kern w:val="0"/>
                <w:sz w:val="24"/>
                <w:szCs w:val="24"/>
                <w:u w:val="none" w:color="auto"/>
                <w:lang w:val="en-US" w:eastAsia="zh-CN" w:bidi="ar-SA"/>
              </w:rPr>
              <w:t>C、</w:t>
            </w:r>
            <w:r>
              <w:rPr>
                <w:rFonts w:ascii="Times New Roman" w:eastAsia="宋体" w:cs="宋体" w:hAnsi="Times New Roman" w:hint="eastAsia"/>
                <w:color w:val="auto"/>
                <w:kern w:val="2"/>
                <w:sz w:val="24"/>
                <w:szCs w:val="24"/>
                <w:u w:val="none" w:color="auto"/>
                <w:lang w:val="en-US" w:eastAsia="zh-CN" w:bidi="ar-SA"/>
              </w:rPr>
              <w:t>饲养畜禽用水量</w:t>
            </w:r>
            <w:r>
              <w:rPr>
                <w:rFonts w:ascii="Times New Roman" w:eastAsia="宋体" w:cs="Times New Roman" w:hAnsi="Times New Roman"/>
                <w:kern w:val="0"/>
                <w:sz w:val="24"/>
                <w:szCs w:val="24"/>
                <w:u w:val="none" w:color="auto"/>
                <w:lang w:val="en-US" w:eastAsia="zh-CN" w:bidi="ar-SA"/>
              </w:rPr>
              <w:t>Q3</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cs="Times New Roman" w:hint="eastAsia"/>
                <w:kern w:val="0"/>
                <w:sz w:val="24"/>
                <w:szCs w:val="24"/>
                <w:u w:val="none" w:color="auto"/>
                <w:lang w:val="en-US" w:eastAsia="zh-CN" w:bidi="ar-SA"/>
              </w:rPr>
            </w:pPr>
            <w:r>
              <w:rPr>
                <w:rFonts w:ascii="Times New Roman" w:eastAsia="宋体" w:cs="宋体" w:hAnsi="Times New Roman" w:hint="eastAsia"/>
                <w:color w:val="auto"/>
                <w:kern w:val="2"/>
                <w:sz w:val="24"/>
                <w:szCs w:val="24"/>
                <w:u w:val="none" w:color="auto"/>
                <w:lang w:val="en-US" w:eastAsia="zh-CN" w:bidi="ar-SA"/>
              </w:rPr>
              <w:t>因农村人口用水观念问题，畜禽饲养用水一般就近取当地池塘水、河坝水、井水，项目区内存在少数小、中型养殖产业，畜禽用水量可按居民生活用水量的</w:t>
            </w:r>
            <w:r>
              <w:rPr>
                <w:rFonts w:eastAsia="Times New Roman" w:hint="eastAsia"/>
                <w:color w:val="auto"/>
                <w:sz w:val="24"/>
                <w:szCs w:val="24"/>
                <w:u w:val="none" w:color="auto"/>
              </w:rPr>
              <w:t>10%</w:t>
            </w:r>
            <w:r>
              <w:rPr>
                <w:rFonts w:hint="eastAsia"/>
                <w:color w:val="auto"/>
                <w:sz w:val="24"/>
                <w:szCs w:val="24"/>
                <w:u w:val="none" w:color="auto"/>
              </w:rPr>
              <w:t>计算，设计水平年为</w:t>
            </w:r>
            <w:r>
              <w:rPr>
                <w:rFonts w:eastAsia="Times New Roman" w:hint="eastAsia"/>
                <w:color w:val="auto"/>
                <w:sz w:val="24"/>
                <w:szCs w:val="24"/>
                <w:u w:val="none" w:color="auto"/>
              </w:rPr>
              <w:t>765.52m</w:t>
            </w:r>
            <w:r>
              <w:rPr>
                <w:rFonts w:eastAsia="Times New Roman" w:hint="eastAsia"/>
                <w:color w:val="auto"/>
                <w:sz w:val="24"/>
                <w:szCs w:val="24"/>
                <w:u w:val="none" w:color="auto"/>
                <w:vertAlign w:val="superscript"/>
              </w:rPr>
              <w:t>3</w:t>
            </w:r>
            <w:r>
              <w:rPr>
                <w:rFonts w:eastAsia="Times New Roman" w:hint="eastAsia"/>
                <w:color w:val="auto"/>
                <w:sz w:val="24"/>
                <w:szCs w:val="24"/>
                <w:u w:val="none" w:color="auto"/>
              </w:rPr>
              <w:t>/d</w:t>
            </w:r>
            <w:r>
              <w:rPr>
                <w:rFonts w:hint="eastAsia"/>
                <w:color w:val="auto"/>
                <w:sz w:val="24"/>
                <w:szCs w:val="24"/>
                <w:u w:val="none" w:color="auto"/>
              </w:rPr>
              <w:t>。</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eastAsia="宋体" w:cs="Times New Roman" w:hint="eastAsia"/>
                <w:kern w:val="0"/>
                <w:sz w:val="24"/>
                <w:szCs w:val="24"/>
                <w:u w:val="none" w:color="auto"/>
                <w:lang w:val="en-US" w:eastAsia="zh-CN" w:bidi="ar-SA"/>
              </w:rPr>
              <w:t>D、</w:t>
            </w:r>
            <w:r>
              <w:rPr>
                <w:rFonts w:ascii="Times New Roman" w:eastAsia="宋体" w:cs="Times New Roman" w:hAnsi="Times New Roman"/>
                <w:kern w:val="0"/>
                <w:sz w:val="24"/>
                <w:szCs w:val="24"/>
                <w:u w:val="none" w:color="auto"/>
                <w:lang w:val="en-US" w:eastAsia="zh-CN" w:bidi="ar-SA"/>
              </w:rPr>
              <w:t>工业企业用水量Q</w:t>
            </w:r>
            <w:r>
              <w:rPr>
                <w:rFonts w:eastAsia="宋体" w:cs="Times New Roman" w:hint="eastAsia"/>
                <w:kern w:val="0"/>
                <w:sz w:val="24"/>
                <w:szCs w:val="24"/>
                <w:u w:val="none" w:color="auto"/>
                <w:lang w:val="en-US" w:eastAsia="zh-CN" w:bidi="ar-SA"/>
              </w:rPr>
              <w:t>4</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hint="eastAsia"/>
                <w:color w:val="auto"/>
                <w:sz w:val="24"/>
                <w:szCs w:val="24"/>
                <w:u w:val="none" w:color="auto"/>
              </w:rPr>
              <w:t>工业企业生产用水量根据供水公司统计用水人口数据，企业职工为</w:t>
            </w:r>
            <w:r>
              <w:rPr>
                <w:rFonts w:eastAsia="Times New Roman" w:hint="eastAsia"/>
                <w:color w:val="auto"/>
                <w:sz w:val="24"/>
                <w:szCs w:val="24"/>
                <w:u w:val="none" w:color="auto"/>
              </w:rPr>
              <w:t>2000</w:t>
            </w:r>
            <w:r>
              <w:rPr>
                <w:rFonts w:hint="eastAsia"/>
                <w:color w:val="auto"/>
                <w:sz w:val="24"/>
                <w:szCs w:val="24"/>
                <w:u w:val="none" w:color="auto"/>
              </w:rPr>
              <w:t>人左右，企业人均用水定额按</w:t>
            </w:r>
            <w:r>
              <w:rPr>
                <w:rFonts w:eastAsia="Times New Roman" w:hint="eastAsia"/>
                <w:color w:val="auto"/>
                <w:sz w:val="24"/>
                <w:szCs w:val="24"/>
                <w:u w:val="none" w:color="auto"/>
              </w:rPr>
              <w:t>50L/(</w:t>
            </w:r>
            <w:r>
              <w:rPr>
                <w:rFonts w:hint="eastAsia"/>
                <w:color w:val="auto"/>
                <w:sz w:val="24"/>
                <w:szCs w:val="24"/>
                <w:u w:val="none" w:color="auto"/>
              </w:rPr>
              <w:t>人·班</w:t>
            </w:r>
            <w:r>
              <w:rPr>
                <w:rFonts w:eastAsia="Times New Roman" w:hint="eastAsia"/>
                <w:color w:val="auto"/>
                <w:sz w:val="24"/>
                <w:szCs w:val="24"/>
                <w:u w:val="none" w:color="auto"/>
              </w:rPr>
              <w:t>)</w:t>
            </w:r>
            <w:r>
              <w:rPr>
                <w:rFonts w:hint="eastAsia"/>
                <w:color w:val="auto"/>
                <w:sz w:val="24"/>
                <w:szCs w:val="24"/>
                <w:u w:val="none" w:color="auto"/>
              </w:rPr>
              <w:t>考虑，设计水平年为</w:t>
            </w:r>
            <w:r>
              <w:rPr>
                <w:rFonts w:eastAsia="Times New Roman" w:hint="eastAsia"/>
                <w:color w:val="auto"/>
                <w:sz w:val="24"/>
                <w:szCs w:val="24"/>
                <w:u w:val="none" w:color="auto"/>
              </w:rPr>
              <w:t>100m</w:t>
            </w:r>
            <w:r>
              <w:rPr>
                <w:rFonts w:eastAsia="Times New Roman" w:hint="eastAsia"/>
                <w:color w:val="auto"/>
                <w:sz w:val="24"/>
                <w:szCs w:val="24"/>
                <w:u w:val="none" w:color="auto"/>
                <w:vertAlign w:val="superscript"/>
              </w:rPr>
              <w:t>3</w:t>
            </w:r>
            <w:r>
              <w:rPr>
                <w:rFonts w:eastAsia="Times New Roman" w:hint="eastAsia"/>
                <w:color w:val="auto"/>
                <w:sz w:val="24"/>
                <w:szCs w:val="24"/>
                <w:u w:val="none" w:color="auto"/>
              </w:rPr>
              <w:t>/d</w:t>
            </w:r>
            <w:r>
              <w:rPr>
                <w:rFonts w:hint="eastAsia"/>
                <w:color w:val="auto"/>
                <w:sz w:val="24"/>
                <w:szCs w:val="24"/>
                <w:u w:val="none" w:color="auto"/>
              </w:rPr>
              <w:t>。</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cs="Times New Roman" w:hint="eastAsia"/>
                <w:kern w:val="0"/>
                <w:sz w:val="24"/>
                <w:szCs w:val="24"/>
                <w:u w:val="none" w:color="auto"/>
                <w:lang w:val="en-US" w:eastAsia="zh-CN" w:bidi="ar-SA"/>
              </w:rPr>
              <w:t>E、</w:t>
            </w:r>
            <w:r>
              <w:rPr>
                <w:rFonts w:ascii="Times New Roman" w:eastAsia="宋体" w:cs="Times New Roman" w:hAnsi="Times New Roman"/>
                <w:kern w:val="0"/>
                <w:sz w:val="24"/>
                <w:szCs w:val="24"/>
                <w:u w:val="none" w:color="auto"/>
                <w:lang w:val="en-US" w:eastAsia="zh-CN" w:bidi="ar-SA"/>
              </w:rPr>
              <w:t>浇路、绿化用水量Q</w:t>
            </w:r>
            <w:r>
              <w:rPr>
                <w:rFonts w:eastAsia="宋体" w:cs="Times New Roman" w:hint="eastAsia"/>
                <w:kern w:val="0"/>
                <w:sz w:val="24"/>
                <w:szCs w:val="24"/>
                <w:u w:val="none" w:color="auto"/>
                <w:lang w:val="en-US" w:eastAsia="zh-CN" w:bidi="ar-SA"/>
              </w:rPr>
              <w:t>5</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hint="eastAsia"/>
                <w:color w:val="auto"/>
                <w:sz w:val="24"/>
                <w:szCs w:val="24"/>
                <w:u w:val="none" w:color="auto"/>
              </w:rPr>
              <w:t>甘溪滩镇、火连坡镇镇区规模较小，根据《村镇供水工程技术规范》的要求，可以不考虑村落的浇路、绿化用水量，因此，本工程暂不考虑浇路、绿化用水量。</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cs="Times New Roman" w:hint="eastAsia"/>
                <w:kern w:val="0"/>
                <w:sz w:val="24"/>
                <w:szCs w:val="24"/>
                <w:u w:val="none" w:color="auto"/>
                <w:lang w:val="en-US" w:eastAsia="zh-CN" w:bidi="ar-SA"/>
              </w:rPr>
              <w:t>F、</w:t>
            </w:r>
            <w:r>
              <w:rPr>
                <w:rFonts w:ascii="Times New Roman" w:eastAsia="宋体" w:cs="Times New Roman" w:hAnsi="Times New Roman"/>
                <w:kern w:val="0"/>
                <w:sz w:val="24"/>
                <w:szCs w:val="24"/>
                <w:u w:val="none" w:color="auto"/>
                <w:lang w:val="en-US" w:eastAsia="zh-CN" w:bidi="ar-SA"/>
              </w:rPr>
              <w:t>漏损及其他用水量Q</w:t>
            </w:r>
            <w:r>
              <w:rPr>
                <w:rFonts w:eastAsia="宋体" w:cs="Times New Roman" w:hint="eastAsia"/>
                <w:kern w:val="0"/>
                <w:sz w:val="24"/>
                <w:szCs w:val="24"/>
                <w:u w:val="none" w:color="auto"/>
                <w:lang w:val="en-US" w:eastAsia="zh-CN" w:bidi="ar-SA"/>
              </w:rPr>
              <w:t>6</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hint="eastAsia"/>
                <w:color w:val="auto"/>
                <w:sz w:val="24"/>
                <w:szCs w:val="24"/>
                <w:u w:val="none" w:color="auto"/>
              </w:rPr>
              <w:t>管网漏失水量宜按居民、公共建筑、工业企业、绿化用水之和的</w:t>
            </w:r>
            <w:r>
              <w:rPr>
                <w:rFonts w:eastAsia="Times New Roman" w:hint="eastAsia"/>
                <w:color w:val="auto"/>
                <w:sz w:val="24"/>
                <w:szCs w:val="24"/>
                <w:u w:val="none" w:color="auto"/>
              </w:rPr>
              <w:t>10%</w:t>
            </w:r>
            <w:r>
              <w:rPr>
                <w:rFonts w:hint="eastAsia"/>
                <w:color w:val="auto"/>
                <w:sz w:val="24"/>
                <w:szCs w:val="24"/>
                <w:u w:val="none" w:color="auto"/>
              </w:rPr>
              <w:t>计算。未预见水量宜按上述用水量之和的</w:t>
            </w:r>
            <w:r>
              <w:rPr>
                <w:rFonts w:eastAsia="Times New Roman" w:hint="eastAsia"/>
                <w:color w:val="auto"/>
                <w:sz w:val="24"/>
                <w:szCs w:val="24"/>
                <w:u w:val="none" w:color="auto"/>
              </w:rPr>
              <w:t>8%</w:t>
            </w:r>
            <w:r>
              <w:rPr>
                <w:rFonts w:hint="eastAsia"/>
                <w:color w:val="auto"/>
                <w:sz w:val="24"/>
                <w:szCs w:val="24"/>
                <w:u w:val="none" w:color="auto"/>
              </w:rPr>
              <w:t>～</w:t>
            </w:r>
            <w:r>
              <w:rPr>
                <w:rFonts w:eastAsia="Times New Roman" w:hint="eastAsia"/>
                <w:color w:val="auto"/>
                <w:sz w:val="24"/>
                <w:szCs w:val="24"/>
                <w:u w:val="none" w:color="auto"/>
              </w:rPr>
              <w:t>12%</w:t>
            </w:r>
            <w:r>
              <w:rPr>
                <w:rFonts w:hint="eastAsia"/>
                <w:color w:val="auto"/>
                <w:sz w:val="24"/>
                <w:szCs w:val="24"/>
                <w:u w:val="none" w:color="auto"/>
              </w:rPr>
              <w:t>取值，本工程为Ⅰ型村镇供水工程，未预见水量按上述用水量之和的</w:t>
            </w:r>
            <w:r>
              <w:rPr>
                <w:rFonts w:eastAsia="Times New Roman" w:hint="eastAsia"/>
                <w:color w:val="auto"/>
                <w:sz w:val="24"/>
                <w:szCs w:val="24"/>
                <w:u w:val="none" w:color="auto"/>
              </w:rPr>
              <w:t>12%</w:t>
            </w:r>
            <w:r>
              <w:rPr>
                <w:rFonts w:hint="eastAsia"/>
                <w:color w:val="auto"/>
                <w:sz w:val="24"/>
                <w:szCs w:val="24"/>
                <w:u w:val="none" w:color="auto"/>
              </w:rPr>
              <w:t>取值。</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cs="Times New Roman" w:hint="eastAsia"/>
                <w:kern w:val="0"/>
                <w:sz w:val="24"/>
                <w:szCs w:val="24"/>
                <w:u w:val="none" w:color="auto"/>
                <w:lang w:val="en-US" w:eastAsia="zh-CN" w:bidi="ar-SA"/>
              </w:rPr>
              <w:t>G、</w:t>
            </w:r>
            <w:r>
              <w:rPr>
                <w:rFonts w:ascii="Times New Roman" w:eastAsia="宋体" w:cs="Times New Roman" w:hAnsi="Times New Roman"/>
                <w:kern w:val="0"/>
                <w:sz w:val="24"/>
                <w:szCs w:val="24"/>
                <w:u w:val="none" w:color="auto"/>
                <w:lang w:val="en-US" w:eastAsia="zh-CN" w:bidi="ar-SA"/>
              </w:rPr>
              <w:t>消防水量</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hint="eastAsia"/>
                <w:color w:val="auto"/>
                <w:sz w:val="24"/>
                <w:szCs w:val="24"/>
                <w:u w:val="none" w:color="auto"/>
              </w:rPr>
              <w:t>消防用水量应按现行国家标准《建筑设计防火规范》（</w:t>
            </w:r>
            <w:r>
              <w:rPr>
                <w:rFonts w:eastAsia="Times New Roman" w:hint="eastAsia"/>
                <w:color w:val="auto"/>
                <w:sz w:val="24"/>
                <w:szCs w:val="24"/>
                <w:u w:val="none" w:color="auto"/>
              </w:rPr>
              <w:t>GB50016-2014</w:t>
            </w:r>
            <w:r>
              <w:rPr>
                <w:rFonts w:hint="eastAsia"/>
                <w:color w:val="auto"/>
                <w:sz w:val="24"/>
                <w:szCs w:val="24"/>
                <w:u w:val="none" w:color="auto"/>
              </w:rPr>
              <w:t>）（</w:t>
            </w:r>
            <w:r>
              <w:rPr>
                <w:rFonts w:eastAsia="Times New Roman" w:hint="eastAsia"/>
                <w:color w:val="auto"/>
                <w:sz w:val="24"/>
                <w:szCs w:val="24"/>
                <w:u w:val="none" w:color="auto"/>
              </w:rPr>
              <w:t>2018</w:t>
            </w:r>
            <w:r>
              <w:rPr>
                <w:rFonts w:hint="eastAsia"/>
                <w:color w:val="auto"/>
                <w:sz w:val="24"/>
                <w:szCs w:val="24"/>
                <w:u w:val="none" w:color="auto"/>
              </w:rPr>
              <w:t>年版）的有关规定执行。允许短时间间断供水的镇（乡）村，主管网供水能力大于消防用水量，或村镇附近有可靠的其他水源且取用方便可作为消防水源时，确定供水规模时可不单列消防用水量。</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ascii="Times New Roman" w:eastAsia="宋体" w:cs="Times New Roman" w:hAnsi="Times New Roman"/>
                <w:kern w:val="0"/>
                <w:sz w:val="24"/>
                <w:szCs w:val="24"/>
                <w:u w:val="none" w:color="auto"/>
                <w:lang w:val="en-US" w:eastAsia="zh-CN" w:bidi="ar-SA"/>
              </w:rPr>
              <w:t>按分项指标法计算可预测出各年需水量：</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ascii="Times New Roman" w:eastAsia="宋体" w:cs="Times New Roman" w:hAnsi="Times New Roman"/>
                <w:kern w:val="0"/>
                <w:sz w:val="24"/>
                <w:szCs w:val="24"/>
                <w:u w:val="none" w:color="auto"/>
                <w:lang w:val="en-US" w:eastAsia="zh-CN" w:bidi="ar-SA"/>
              </w:rPr>
              <w:t>Q总=Q1+Q2+Q3+Q4+Q5+Q</w:t>
            </w:r>
            <w:r>
              <w:rPr>
                <w:rFonts w:eastAsia="宋体" w:cs="Times New Roman" w:hint="eastAsia"/>
                <w:kern w:val="0"/>
                <w:sz w:val="24"/>
                <w:szCs w:val="24"/>
                <w:u w:val="none" w:color="auto"/>
                <w:lang w:val="en-US" w:eastAsia="zh-CN" w:bidi="ar-SA"/>
              </w:rPr>
              <w:t>6</w:t>
            </w:r>
          </w:p>
          <w:p>
            <w:pPr>
              <w:pStyle w:val="114"/>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kern w:val="0"/>
                <w:sz w:val="24"/>
                <w:szCs w:val="24"/>
                <w:u w:val="none" w:color="auto"/>
                <w:lang w:val="en-US" w:eastAsia="zh-CN" w:bidi="ar-SA"/>
              </w:rPr>
            </w:pPr>
            <w:r>
              <w:rPr>
                <w:rFonts w:ascii="Times New Roman" w:eastAsia="宋体" w:cs="Times New Roman" w:hAnsi="Times New Roman" w:hint="eastAsia"/>
                <w:kern w:val="0"/>
                <w:sz w:val="24"/>
                <w:szCs w:val="24"/>
                <w:u w:val="none" w:color="auto"/>
                <w:lang w:val="en-US" w:eastAsia="zh-CN" w:bidi="ar-SA"/>
              </w:rPr>
              <w:t>具体计算见下表</w:t>
            </w:r>
            <w:r>
              <w:rPr>
                <w:rFonts w:cs="Times New Roman" w:hint="eastAsia"/>
                <w:kern w:val="0"/>
                <w:sz w:val="24"/>
                <w:szCs w:val="24"/>
                <w:u w:val="none" w:color="auto"/>
                <w:lang w:val="en-US" w:eastAsia="zh-CN" w:bidi="ar-SA"/>
              </w:rPr>
              <w:t>2-8。</w:t>
            </w:r>
          </w:p>
          <w:p>
            <w:pPr>
              <w:pStyle w:val="15"/>
              <w:keepNext w:val="0"/>
              <w:keepLines w:val="0"/>
              <w:pageBreakBefore w:val="0"/>
              <w:widowControl/>
              <w:kinsoku w:val="0"/>
              <w:wordWrap/>
              <w:overflowPunct w:val="0"/>
              <w:topLinePunct w:val="0"/>
              <w:autoSpaceDE/>
              <w:autoSpaceDN/>
              <w:bidi w:val="0"/>
              <w:adjustRightInd/>
              <w:snapToGrid w:val="0"/>
              <w:spacing w:before="0" w:after="0" w:line="360" w:lineRule="auto"/>
              <w:ind w:right="0"/>
              <w:jc w:val="center"/>
              <w:textAlignment w:val="auto"/>
              <w:rPr>
                <w:rFonts w:ascii="Times New Roman" w:eastAsia="宋体" w:cs="Times New Roman" w:hAnsi="Times New Roman" w:hint="eastAsia"/>
                <w:b/>
                <w:kern w:val="0"/>
                <w:sz w:val="21"/>
                <w:szCs w:val="21"/>
                <w:u w:val="none" w:color="auto"/>
                <w:lang w:val="en-US" w:eastAsia="zh-CN" w:bidi="ar-SA"/>
                <w:highlight w:val="none"/>
              </w:rPr>
            </w:pPr>
            <w:r>
              <w:rPr>
                <w:rFonts w:ascii="Times New Roman" w:eastAsia="宋体" w:cs="Times New Roman" w:hAnsi="Times New Roman" w:hint="eastAsia"/>
                <w:b/>
                <w:kern w:val="0"/>
                <w:sz w:val="21"/>
                <w:szCs w:val="21"/>
                <w:u w:val="none" w:color="auto"/>
                <w:lang w:val="en-US" w:eastAsia="zh-CN" w:bidi="ar-SA"/>
                <w:highlight w:val="none"/>
              </w:rPr>
              <w:t>表</w:t>
            </w:r>
            <w:r>
              <w:rPr>
                <w:rFonts w:cs="Times New Roman" w:hint="eastAsia"/>
                <w:b/>
                <w:kern w:val="0"/>
                <w:sz w:val="21"/>
                <w:szCs w:val="21"/>
                <w:u w:val="none" w:color="auto"/>
                <w:lang w:val="en-US" w:eastAsia="zh-CN" w:bidi="ar-SA"/>
                <w:highlight w:val="none"/>
              </w:rPr>
              <w:t>2</w:t>
            </w:r>
            <w:r>
              <w:rPr>
                <w:rFonts w:ascii="Times New Roman" w:eastAsia="宋体" w:cs="Times New Roman" w:hAnsi="Times New Roman" w:hint="eastAsia"/>
                <w:b/>
                <w:kern w:val="0"/>
                <w:sz w:val="21"/>
                <w:szCs w:val="21"/>
                <w:u w:val="none" w:color="auto"/>
                <w:lang w:val="en-US" w:eastAsia="zh-CN" w:bidi="ar-SA"/>
                <w:highlight w:val="none"/>
              </w:rPr>
              <w:t>-</w:t>
            </w:r>
            <w:r>
              <w:rPr>
                <w:rFonts w:cs="Times New Roman" w:hint="eastAsia"/>
                <w:b/>
                <w:kern w:val="0"/>
                <w:sz w:val="21"/>
                <w:szCs w:val="21"/>
                <w:u w:val="none" w:color="auto"/>
                <w:lang w:val="en-US" w:eastAsia="zh-CN" w:bidi="ar-SA"/>
                <w:highlight w:val="none"/>
              </w:rPr>
              <w:t>8</w:t>
            </w:r>
            <w:r>
              <w:rPr>
                <w:rFonts w:ascii="Times New Roman" w:eastAsia="宋体" w:cs="Times New Roman" w:hAnsi="Times New Roman" w:hint="eastAsia"/>
                <w:b/>
                <w:kern w:val="0"/>
                <w:sz w:val="21"/>
                <w:szCs w:val="21"/>
                <w:u w:val="none" w:color="auto"/>
                <w:lang w:val="en-US" w:eastAsia="zh-CN" w:bidi="ar-SA"/>
                <w:highlight w:val="none"/>
              </w:rPr>
              <w:t xml:space="preserve">   项目区用水量预测结果表</w:t>
            </w:r>
          </w:p>
          <w:tbl>
            <w:tblPr>
              <w:jc w:val="left"/>
              <w:tblInd w:w="17" w:type="dxa"/>
              <w:tblW w:w="4998"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820"/>
              <w:gridCol w:w="2412"/>
              <w:gridCol w:w="1046"/>
              <w:gridCol w:w="1857"/>
              <w:gridCol w:w="2044"/>
            </w:tblGrid>
            <w:tr>
              <w:trPr>
                <w:trHeight w:val="369"/>
                <w:tblHeader/>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序号</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名称</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单位</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项目区设计供水规模</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太青水库设计供水规模</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现状供水人口P0</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人</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50996</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42074</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2</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人口自然正常率γ</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0.007</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0.007</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3</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设计年限n</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年</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4</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设计年限内人口机械增长总数P1</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5</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设计居民用水人口P</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人</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54680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45114</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6</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最高日生活用水定额q</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L/(人·d)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140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140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7</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最高日生活用水量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7655.20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6315.96</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8</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公共建筑用水量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1148.28</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947.39</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9</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畜禽用水量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765.52</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631.60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10</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企业用水量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100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100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11</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其他用水量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2243.21</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1854.83</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lang w:eastAsia="zh-CN"/>
                    </w:rPr>
                    <w:t>（</w:t>
                  </w:r>
                  <w:r>
                    <w:rPr>
                      <w:rFonts w:ascii="Times New Roman" w:eastAsia="宋体" w:cs="Times New Roman" w:hAnsi="Times New Roman" w:hint="eastAsia"/>
                      <w:sz w:val="21"/>
                      <w:szCs w:val="21"/>
                      <w:u w:val="none" w:color="auto"/>
                      <w:lang w:val="en-US" w:eastAsia="zh-CN"/>
                    </w:rPr>
                    <w:t>1</w:t>
                  </w:r>
                  <w:r>
                    <w:rPr>
                      <w:rFonts w:ascii="Times New Roman" w:eastAsia="宋体" w:cs="Times New Roman" w:hAnsi="Times New Roman" w:hint="eastAsia"/>
                      <w:sz w:val="21"/>
                      <w:szCs w:val="21"/>
                      <w:u w:val="none" w:color="auto"/>
                      <w:lang w:eastAsia="zh-CN"/>
                    </w:rPr>
                    <w:t>）</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浇洒道路和绿地用水量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lang w:eastAsia="zh-CN"/>
                    </w:rPr>
                  </w:pPr>
                  <w:r>
                    <w:rPr>
                      <w:rFonts w:ascii="Times New Roman" w:eastAsia="宋体" w:cs="Times New Roman" w:hAnsi="Times New Roman" w:hint="eastAsia"/>
                      <w:sz w:val="21"/>
                      <w:szCs w:val="21"/>
                      <w:u w:val="none" w:color="auto"/>
                      <w:lang w:eastAsia="zh-CN"/>
                    </w:rPr>
                    <w:t>（</w:t>
                  </w:r>
                  <w:r>
                    <w:rPr>
                      <w:rFonts w:ascii="Times New Roman" w:eastAsia="宋体" w:cs="Times New Roman" w:hAnsi="Times New Roman" w:hint="eastAsia"/>
                      <w:sz w:val="21"/>
                      <w:szCs w:val="21"/>
                      <w:u w:val="none" w:color="auto"/>
                      <w:lang w:val="en-US" w:eastAsia="zh-CN"/>
                    </w:rPr>
                    <w:t>2</w:t>
                  </w:r>
                  <w:r>
                    <w:rPr>
                      <w:rFonts w:ascii="Times New Roman" w:eastAsia="宋体" w:cs="Times New Roman" w:hAnsi="Times New Roman" w:hint="eastAsia"/>
                      <w:sz w:val="21"/>
                      <w:szCs w:val="21"/>
                      <w:u w:val="none" w:color="auto"/>
                      <w:lang w:eastAsia="zh-CN"/>
                    </w:rPr>
                    <w:t>）</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管网漏失水量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966.90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799.50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lang w:eastAsia="zh-CN"/>
                    </w:rPr>
                  </w:pPr>
                  <w:r>
                    <w:rPr>
                      <w:rFonts w:ascii="Times New Roman" w:eastAsia="宋体" w:cs="Times New Roman" w:hAnsi="Times New Roman" w:hint="eastAsia"/>
                      <w:sz w:val="21"/>
                      <w:szCs w:val="21"/>
                      <w:u w:val="none" w:color="auto"/>
                      <w:lang w:eastAsia="zh-CN"/>
                    </w:rPr>
                    <w:t>（</w:t>
                  </w:r>
                  <w:r>
                    <w:rPr>
                      <w:rFonts w:ascii="Times New Roman" w:eastAsia="宋体" w:cs="Times New Roman" w:hAnsi="Times New Roman" w:hint="eastAsia"/>
                      <w:sz w:val="21"/>
                      <w:szCs w:val="21"/>
                      <w:u w:val="none" w:color="auto"/>
                      <w:lang w:val="en-US" w:eastAsia="zh-CN"/>
                    </w:rPr>
                    <w:t>3</w:t>
                  </w:r>
                  <w:r>
                    <w:rPr>
                      <w:rFonts w:ascii="Times New Roman" w:eastAsia="宋体" w:cs="Times New Roman" w:hAnsi="Times New Roman" w:hint="eastAsia"/>
                      <w:sz w:val="21"/>
                      <w:szCs w:val="21"/>
                      <w:u w:val="none" w:color="auto"/>
                      <w:lang w:eastAsia="zh-CN"/>
                    </w:rPr>
                    <w:t>）</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未预见水量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1276.31</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1055.33</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lang w:eastAsia="zh-CN"/>
                    </w:rPr>
                  </w:pPr>
                  <w:r>
                    <w:rPr>
                      <w:rFonts w:ascii="Times New Roman" w:eastAsia="宋体" w:cs="Times New Roman" w:hAnsi="Times New Roman" w:hint="eastAsia"/>
                      <w:sz w:val="21"/>
                      <w:szCs w:val="21"/>
                      <w:u w:val="none" w:color="auto"/>
                      <w:lang w:eastAsia="zh-CN"/>
                    </w:rPr>
                    <w:t>（</w:t>
                  </w:r>
                  <w:r>
                    <w:rPr>
                      <w:rFonts w:ascii="Times New Roman" w:eastAsia="宋体" w:cs="Times New Roman" w:hAnsi="Times New Roman" w:hint="eastAsia"/>
                      <w:sz w:val="21"/>
                      <w:szCs w:val="21"/>
                      <w:u w:val="none" w:color="auto"/>
                      <w:lang w:val="en-US" w:eastAsia="zh-CN"/>
                    </w:rPr>
                    <w:t>4</w:t>
                  </w:r>
                  <w:r>
                    <w:rPr>
                      <w:rFonts w:ascii="Times New Roman" w:eastAsia="宋体" w:cs="Times New Roman" w:hAnsi="Times New Roman" w:hint="eastAsia"/>
                      <w:sz w:val="21"/>
                      <w:szCs w:val="21"/>
                      <w:u w:val="none" w:color="auto"/>
                      <w:lang w:eastAsia="zh-CN"/>
                    </w:rPr>
                    <w:t>）</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消防用水量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12</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计算供水规模</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11912.21</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9849.78</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13</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设计供水规模</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12000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10000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14</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水厂自用水量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960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800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15</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水源取水量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/d</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12960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10800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16</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水源取水流量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/h</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540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450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17</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年取水总量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万m</w:t>
                  </w:r>
                  <w:r>
                    <w:rPr>
                      <w:rFonts w:ascii="Times New Roman" w:eastAsia="宋体" w:cs="Times New Roman" w:hAnsi="Times New Roman" w:hint="eastAsia"/>
                      <w:sz w:val="21"/>
                      <w:szCs w:val="21"/>
                      <w:u w:val="none" w:color="auto"/>
                      <w:vertAlign w:val="superscript"/>
                    </w:rPr>
                    <w:t>3</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473.04</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394.20</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18</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时变化系数Kh</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1.5</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1.5</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19</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最高时供水量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m</w:t>
                  </w:r>
                  <w:r>
                    <w:rPr>
                      <w:rFonts w:ascii="Times New Roman" w:eastAsia="宋体" w:cs="Times New Roman" w:hAnsi="Times New Roman" w:hint="eastAsia"/>
                      <w:sz w:val="21"/>
                      <w:szCs w:val="21"/>
                      <w:u w:val="none" w:color="auto"/>
                      <w:vertAlign w:val="superscript"/>
                    </w:rPr>
                    <w:t>3</w:t>
                  </w:r>
                  <w:r>
                    <w:rPr>
                      <w:rFonts w:ascii="Times New Roman" w:eastAsia="宋体" w:cs="Times New Roman" w:hAnsi="Times New Roman" w:hint="eastAsia"/>
                      <w:sz w:val="21"/>
                      <w:szCs w:val="21"/>
                      <w:u w:val="none" w:color="auto"/>
                    </w:rPr>
                    <w:t>/h</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750</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625</w:t>
                  </w:r>
                </w:p>
              </w:tc>
            </w:tr>
            <w:tr>
              <w:trPr>
                <w:trHeight w:val="369"/>
              </w:trPr>
              <w:tc>
                <w:tcPr>
                  <w:tcW w:w="501"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20</w:t>
                  </w:r>
                </w:p>
              </w:tc>
              <w:tc>
                <w:tcPr>
                  <w:tcW w:w="1474"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设计秒流量</w:t>
                  </w:r>
                </w:p>
              </w:tc>
              <w:tc>
                <w:tcPr>
                  <w:tcW w:w="63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L/S</w:t>
                  </w:r>
                </w:p>
              </w:tc>
              <w:tc>
                <w:tcPr>
                  <w:tcW w:w="1135"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208.33</w:t>
                  </w:r>
                </w:p>
              </w:tc>
              <w:tc>
                <w:tcPr>
                  <w:tcW w:w="1249" w:type="pct"/>
                  <w:tcBorders>
                    <w:tl2br w:val="nil"/>
                    <w:tr2bl w:val="nil"/>
                  </w:tcBorders>
                  <w:noWrap/>
                  <w:vAlign w:val="center"/>
                </w:tcPr>
                <w:p>
                  <w:pPr>
                    <w:pStyle w:val="71"/>
                    <w:keepNext w:val="0"/>
                    <w:keepLines w:val="0"/>
                    <w:pageBreakBefore w:val="0"/>
                    <w:widowControl w:val="0"/>
                    <w:kinsoku w:val="0"/>
                    <w:wordWrap/>
                    <w:overflowPunct w:val="0"/>
                    <w:topLinePunct w:val="0"/>
                    <w:autoSpaceDE/>
                    <w:autoSpaceDN/>
                    <w:bidi w:val="0"/>
                    <w:adjustRightInd w:val="0"/>
                    <w:snapToGrid w:val="0"/>
                    <w:ind w:left="0" w:right="0"/>
                    <w:textAlignment w:val="auto"/>
                    <w:rPr>
                      <w:rFonts w:ascii="Times New Roman" w:eastAsia="宋体" w:cs="Times New Roman" w:hAnsi="Times New Roman" w:hint="eastAsia"/>
                      <w:sz w:val="21"/>
                      <w:szCs w:val="21"/>
                      <w:u w:val="none" w:color="auto"/>
                    </w:rPr>
                  </w:pPr>
                  <w:r>
                    <w:rPr>
                      <w:rFonts w:ascii="Times New Roman" w:eastAsia="宋体" w:cs="Times New Roman" w:hAnsi="Times New Roman" w:hint="eastAsia"/>
                      <w:sz w:val="21"/>
                      <w:szCs w:val="21"/>
                      <w:u w:val="none" w:color="auto"/>
                    </w:rPr>
                    <w:t>173.61</w:t>
                  </w:r>
                </w:p>
              </w:tc>
            </w:tr>
          </w:tbl>
          <w:p>
            <w:pPr>
              <w:pStyle w:val="15"/>
              <w:keepNext w:val="0"/>
              <w:keepLines w:val="0"/>
              <w:pageBreakBefore w:val="0"/>
              <w:widowControl/>
              <w:kinsoku w:val="0"/>
              <w:wordWrap/>
              <w:overflowPunct w:val="0"/>
              <w:topLinePunct w:val="0"/>
              <w:autoSpaceDE/>
              <w:autoSpaceDN/>
              <w:bidi w:val="0"/>
              <w:adjustRightInd/>
              <w:snapToGrid w:val="0"/>
              <w:spacing w:before="0" w:after="0" w:line="240" w:lineRule="auto"/>
              <w:ind w:right="0"/>
              <w:jc w:val="center"/>
              <w:textAlignment w:val="auto"/>
              <w:rPr>
                <w:rFonts w:ascii="Times New Roman" w:eastAsia="宋体" w:cs="Times New Roman" w:hAnsi="Times New Roman" w:hint="eastAsia"/>
                <w:b/>
                <w:kern w:val="0"/>
                <w:sz w:val="21"/>
                <w:szCs w:val="21"/>
                <w:u w:val="none" w:color="auto"/>
                <w:lang w:val="en-US" w:eastAsia="zh-CN" w:bidi="ar-SA"/>
                <w:highlight w:val="none"/>
              </w:rPr>
            </w:pPr>
          </w:p>
          <w:p>
            <w:pPr>
              <w:spacing w:line="360" w:lineRule="auto"/>
              <w:ind w:firstLineChars="200" w:firstLine="480"/>
              <w:rPr>
                <w:rFonts w:hint="eastAsia"/>
                <w:bCs/>
                <w:sz w:val="24"/>
                <w:u w:val="single" w:color="auto"/>
              </w:rPr>
            </w:pPr>
            <w:r>
              <w:rPr>
                <w:rFonts w:hint="eastAsia"/>
                <w:bCs/>
                <w:sz w:val="24"/>
                <w:u w:val="single" w:color="auto"/>
                <w:lang w:val="en-US" w:eastAsia="zh-CN"/>
              </w:rPr>
              <w:t>综上，</w:t>
            </w:r>
            <w:r>
              <w:rPr>
                <w:rFonts w:hint="eastAsia"/>
                <w:bCs/>
                <w:sz w:val="24"/>
                <w:u w:val="single" w:color="auto"/>
              </w:rPr>
              <w:t>本次拟计划将取水规模</w:t>
            </w:r>
            <w:r>
              <w:rPr>
                <w:rFonts w:hint="eastAsia"/>
                <w:bCs/>
                <w:sz w:val="24"/>
                <w:u w:val="single" w:color="auto"/>
                <w:lang w:val="en-US" w:eastAsia="zh-CN"/>
              </w:rPr>
              <w:t>设</w:t>
            </w:r>
            <w:r>
              <w:rPr>
                <w:rFonts w:hint="eastAsia"/>
                <w:bCs/>
                <w:sz w:val="24"/>
                <w:u w:val="single" w:color="auto"/>
              </w:rPr>
              <w:t>为</w:t>
            </w:r>
            <w:r>
              <w:rPr>
                <w:rFonts w:hint="eastAsia"/>
                <w:bCs/>
                <w:sz w:val="24"/>
                <w:u w:val="single" w:color="auto"/>
                <w:lang w:val="en-US" w:eastAsia="zh-CN"/>
              </w:rPr>
              <w:t>10000</w:t>
            </w:r>
            <w:r>
              <w:rPr>
                <w:rFonts w:hint="eastAsia"/>
                <w:bCs/>
                <w:sz w:val="24"/>
                <w:u w:val="single" w:color="auto"/>
              </w:rPr>
              <w:t>m</w:t>
            </w:r>
            <w:r>
              <w:rPr>
                <w:rFonts w:hint="eastAsia"/>
                <w:bCs/>
                <w:sz w:val="24"/>
                <w:u w:val="single" w:color="auto"/>
                <w:vertAlign w:val="superscript"/>
              </w:rPr>
              <w:t>3</w:t>
            </w:r>
            <w:r>
              <w:rPr>
                <w:rFonts w:hint="eastAsia"/>
                <w:bCs/>
                <w:sz w:val="24"/>
                <w:u w:val="single" w:color="auto"/>
              </w:rPr>
              <w:t>/d。从规划的县城职能类型可知，该区域规划水平年用水量变化不会很大。</w:t>
            </w:r>
          </w:p>
          <w:p>
            <w:pPr>
              <w:spacing w:line="360" w:lineRule="auto"/>
              <w:ind w:firstLineChars="200" w:firstLine="480"/>
              <w:rPr>
                <w:rFonts w:eastAsia="宋体" w:hint="eastAsia"/>
                <w:bCs/>
                <w:sz w:val="24"/>
                <w:u w:val="single" w:color="auto"/>
              </w:rPr>
            </w:pPr>
            <w:r>
              <w:rPr>
                <w:rFonts w:eastAsia="宋体" w:hint="eastAsia"/>
                <w:bCs/>
                <w:sz w:val="24"/>
                <w:u w:val="single" w:color="auto"/>
              </w:rPr>
              <w:fldChar w:fldCharType="begin"/>
            </w:r>
            <w:r>
              <w:rPr>
                <w:rFonts w:eastAsia="宋体" w:hint="eastAsia"/>
                <w:bCs/>
                <w:sz w:val="24"/>
                <w:u w:val="single" w:color="auto"/>
              </w:rPr>
              <w:instrText xml:space="preserve"> = 2 \* GB3 \* MERGEFORMAT </w:instrText>
            </w:r>
            <w:r>
              <w:rPr>
                <w:rFonts w:eastAsia="宋体" w:hint="eastAsia"/>
                <w:bCs/>
                <w:sz w:val="24"/>
                <w:u w:val="single" w:color="auto"/>
              </w:rPr>
              <w:fldChar w:fldCharType="separate"/>
            </w:r>
            <w:r>
              <w:rPr>
                <w:rFonts w:eastAsia="宋体" w:hint="eastAsia"/>
                <w:bCs/>
                <w:sz w:val="24"/>
                <w:u w:val="single" w:color="auto"/>
              </w:rPr>
              <w:t>②</w:t>
            </w:r>
            <w:r>
              <w:rPr>
                <w:rFonts w:eastAsia="宋体" w:hint="eastAsia"/>
                <w:bCs/>
                <w:sz w:val="24"/>
                <w:u w:val="single" w:color="auto"/>
              </w:rPr>
              <w:fldChar w:fldCharType="end"/>
            </w:r>
            <w:r>
              <w:rPr>
                <w:rFonts w:eastAsia="宋体" w:hint="eastAsia"/>
                <w:bCs/>
                <w:sz w:val="24"/>
                <w:u w:val="single" w:color="auto"/>
                <w:lang w:val="en-US" w:eastAsia="zh-CN"/>
              </w:rPr>
              <w:t>太青水库流量</w:t>
            </w:r>
            <w:r>
              <w:rPr>
                <w:rFonts w:eastAsia="宋体" w:hint="eastAsia"/>
                <w:bCs/>
                <w:sz w:val="24"/>
                <w:u w:val="single" w:color="auto"/>
              </w:rPr>
              <w:t>分析</w:t>
            </w:r>
          </w:p>
          <w:p>
            <w:pPr>
              <w:keepNext w:val="0"/>
              <w:keepLines w:val="0"/>
              <w:pageBreakBefore w:val="0"/>
              <w:widowControl w:val="0"/>
              <w:wordWrap/>
              <w:topLinePunct w:val="0"/>
              <w:autoSpaceDE/>
              <w:autoSpaceDN/>
              <w:bidi w:val="0"/>
              <w:adjustRightInd w:val="0"/>
              <w:snapToGrid w:val="0"/>
              <w:spacing w:line="360" w:lineRule="auto"/>
              <w:ind w:firstLineChars="200" w:firstLine="480"/>
              <w:textAlignment w:val="auto"/>
              <w:rPr>
                <w:rFonts w:eastAsia="宋体" w:hint="eastAsia"/>
                <w:bCs/>
                <w:sz w:val="24"/>
                <w:u w:val="single" w:color="auto"/>
              </w:rPr>
            </w:pPr>
            <w:r>
              <w:rPr>
                <w:rFonts w:eastAsia="宋体" w:hint="eastAsia"/>
                <w:bCs/>
                <w:sz w:val="24"/>
                <w:u w:val="single" w:color="auto"/>
                <w:lang w:val="en-US" w:eastAsia="zh-CN"/>
              </w:rPr>
              <w:t xml:space="preserve">根据《澧县甘溪滩片区农村供水建设项目（一期）初步设计报告》：从资料条件和测站分布情况分析，将闸口水文站站作为本水厂水文分析计算的参证站。闸口水文站：为国家基本水文站，位于涔水流域的闸口镇附近，于 </w:t>
            </w:r>
            <w:r>
              <w:rPr>
                <w:rFonts w:eastAsia="宋体"/>
                <w:bCs/>
                <w:sz w:val="24"/>
                <w:u w:val="single" w:color="auto"/>
                <w:lang w:val="en-US" w:eastAsia="zh-CN"/>
              </w:rPr>
              <w:t xml:space="preserve">1965 </w:t>
            </w:r>
            <w:r>
              <w:rPr>
                <w:rFonts w:eastAsia="宋体" w:hint="eastAsia"/>
                <w:bCs/>
                <w:sz w:val="24"/>
                <w:u w:val="single" w:color="auto"/>
                <w:lang w:val="en-US" w:eastAsia="zh-CN"/>
              </w:rPr>
              <w:t xml:space="preserve">年 </w:t>
            </w:r>
            <w:r>
              <w:rPr>
                <w:rFonts w:eastAsia="宋体"/>
                <w:bCs/>
                <w:sz w:val="24"/>
                <w:u w:val="single" w:color="auto"/>
                <w:lang w:val="en-US" w:eastAsia="zh-CN"/>
              </w:rPr>
              <w:t xml:space="preserve">1 </w:t>
            </w:r>
            <w:r>
              <w:rPr>
                <w:rFonts w:eastAsia="宋体" w:hint="eastAsia"/>
                <w:bCs/>
                <w:sz w:val="24"/>
                <w:u w:val="single" w:color="auto"/>
                <w:lang w:val="en-US" w:eastAsia="zh-CN"/>
              </w:rPr>
              <w:t xml:space="preserve">月设立，控制集雨面积 </w:t>
            </w:r>
            <w:r>
              <w:rPr>
                <w:rFonts w:eastAsia="宋体"/>
                <w:bCs/>
                <w:sz w:val="24"/>
                <w:u w:val="single" w:color="auto"/>
                <w:lang w:val="en-US" w:eastAsia="zh-CN"/>
              </w:rPr>
              <w:t>161km</w:t>
            </w:r>
            <w:r>
              <w:rPr>
                <w:rFonts w:eastAsia="宋体"/>
                <w:bCs/>
                <w:sz w:val="24"/>
                <w:u w:val="single" w:color="auto"/>
                <w:vertAlign w:val="superscript"/>
                <w:lang w:val="en-US" w:eastAsia="zh-CN"/>
              </w:rPr>
              <w:t>2</w:t>
            </w:r>
            <w:r>
              <w:rPr>
                <w:rFonts w:eastAsia="宋体" w:hint="eastAsia"/>
                <w:bCs/>
                <w:sz w:val="24"/>
                <w:u w:val="single" w:color="auto"/>
                <w:lang w:val="en-US" w:eastAsia="zh-CN"/>
              </w:rPr>
              <w:t xml:space="preserve">，由湖南省水文水资源勘测局管理。作为王家厂 水库入库观测站，主要观测项目有水位、流量、降雨量等。该站于 </w:t>
            </w:r>
            <w:r>
              <w:rPr>
                <w:rFonts w:eastAsia="宋体"/>
                <w:bCs/>
                <w:sz w:val="24"/>
                <w:u w:val="single" w:color="auto"/>
                <w:lang w:val="en-US" w:eastAsia="zh-CN"/>
              </w:rPr>
              <w:t xml:space="preserve">1998 </w:t>
            </w:r>
            <w:r>
              <w:rPr>
                <w:rFonts w:eastAsia="宋体" w:hint="eastAsia"/>
                <w:bCs/>
                <w:sz w:val="24"/>
                <w:u w:val="single" w:color="auto"/>
                <w:lang w:val="en-US" w:eastAsia="zh-CN"/>
              </w:rPr>
              <w:t xml:space="preserve">年 </w:t>
            </w:r>
            <w:r>
              <w:rPr>
                <w:rFonts w:eastAsia="宋体"/>
                <w:bCs/>
                <w:sz w:val="24"/>
                <w:u w:val="single" w:color="auto"/>
                <w:lang w:val="en-US" w:eastAsia="zh-CN"/>
              </w:rPr>
              <w:t xml:space="preserve">1 </w:t>
            </w:r>
            <w:r>
              <w:rPr>
                <w:rFonts w:eastAsia="宋体" w:hint="eastAsia"/>
                <w:bCs/>
                <w:sz w:val="24"/>
                <w:u w:val="single" w:color="auto"/>
                <w:lang w:val="en-US" w:eastAsia="zh-CN"/>
              </w:rPr>
              <w:t xml:space="preserve">月 撤销了水位、流量观测，具有自 </w:t>
            </w:r>
            <w:r>
              <w:rPr>
                <w:rFonts w:eastAsia="宋体"/>
                <w:bCs/>
                <w:sz w:val="24"/>
                <w:u w:val="single" w:color="auto"/>
                <w:lang w:val="en-US" w:eastAsia="zh-CN"/>
              </w:rPr>
              <w:t xml:space="preserve">1965 </w:t>
            </w:r>
            <w:r>
              <w:rPr>
                <w:rFonts w:eastAsia="宋体" w:hint="eastAsia"/>
                <w:bCs/>
                <w:sz w:val="24"/>
                <w:u w:val="single" w:color="auto"/>
                <w:lang w:val="en-US" w:eastAsia="zh-CN"/>
              </w:rPr>
              <w:t xml:space="preserve">年以来的降雨量资料和 </w:t>
            </w:r>
            <w:r>
              <w:rPr>
                <w:rFonts w:eastAsia="宋体"/>
                <w:bCs/>
                <w:sz w:val="24"/>
                <w:u w:val="single" w:color="auto"/>
                <w:lang w:val="en-US" w:eastAsia="zh-CN"/>
              </w:rPr>
              <w:t>1965</w:t>
            </w:r>
            <w:r>
              <w:rPr>
                <w:rFonts w:eastAsia="宋体" w:hint="eastAsia"/>
                <w:bCs/>
                <w:sz w:val="24"/>
                <w:u w:val="single" w:color="auto"/>
                <w:lang w:val="en-US" w:eastAsia="zh-CN"/>
              </w:rPr>
              <w:t>～</w:t>
            </w:r>
            <w:r>
              <w:rPr>
                <w:rFonts w:eastAsia="宋体"/>
                <w:bCs/>
                <w:sz w:val="24"/>
                <w:u w:val="single" w:color="auto"/>
                <w:lang w:val="en-US" w:eastAsia="zh-CN"/>
              </w:rPr>
              <w:t xml:space="preserve">2014 </w:t>
            </w:r>
            <w:r>
              <w:rPr>
                <w:rFonts w:eastAsia="宋体" w:hint="eastAsia"/>
                <w:bCs/>
                <w:sz w:val="24"/>
                <w:u w:val="single" w:color="auto"/>
                <w:lang w:val="en-US" w:eastAsia="zh-CN"/>
              </w:rPr>
              <w:t xml:space="preserve">共 </w:t>
            </w:r>
            <w:r>
              <w:rPr>
                <w:rFonts w:eastAsia="宋体"/>
                <w:bCs/>
                <w:sz w:val="24"/>
                <w:u w:val="single" w:color="auto"/>
                <w:lang w:val="en-US" w:eastAsia="zh-CN"/>
              </w:rPr>
              <w:t>50</w:t>
            </w:r>
            <w:r>
              <w:rPr>
                <w:rFonts w:eastAsia="宋体" w:hint="eastAsia"/>
                <w:bCs/>
                <w:sz w:val="24"/>
                <w:u w:val="single" w:color="auto"/>
                <w:lang w:val="en-US" w:eastAsia="zh-CN"/>
              </w:rPr>
              <w:t>年的雨量观测资料。</w:t>
            </w:r>
          </w:p>
          <w:p>
            <w:pPr>
              <w:pStyle w:val="74"/>
              <w:keepNext w:val="0"/>
              <w:keepLines w:val="0"/>
              <w:pageBreakBefore w:val="0"/>
              <w:widowControl w:val="0"/>
              <w:tabs>
                <w:tab w:val="left" w:pos="1321"/>
              </w:tabs>
              <w:kinsoku w:val="0"/>
              <w:wordWrap/>
              <w:overflowPunct w:val="0"/>
              <w:topLinePunct w:val="0"/>
              <w:autoSpaceDE/>
              <w:autoSpaceDN/>
              <w:bidi w:val="0"/>
              <w:adjustRightInd w:val="0"/>
              <w:snapToGrid w:val="0"/>
              <w:spacing w:line="360" w:lineRule="auto"/>
              <w:ind w:left="0" w:firstLineChars="200" w:firstLine="480"/>
              <w:textAlignment w:val="auto"/>
              <w:rPr>
                <w:rFonts w:ascii="Times New Roman" w:eastAsia="宋体" w:cs="Times New Roman" w:hAnsi="Times New Roman" w:hint="eastAsia"/>
                <w:bCs/>
                <w:kern w:val="2"/>
                <w:sz w:val="24"/>
                <w:szCs w:val="24"/>
                <w:u w:val="none" w:color="auto"/>
                <w:lang w:val="en-US" w:eastAsia="zh-CN" w:bidi="ar-SA"/>
              </w:rPr>
            </w:pPr>
            <w:r>
              <w:rPr>
                <w:rFonts w:eastAsia="宋体" w:cs="Times New Roman" w:hint="eastAsia"/>
                <w:bCs/>
                <w:kern w:val="2"/>
                <w:sz w:val="24"/>
                <w:szCs w:val="24"/>
                <w:u w:val="none" w:color="auto"/>
                <w:lang w:val="en-US" w:eastAsia="zh-CN" w:bidi="ar-SA"/>
              </w:rPr>
              <w:t>1）</w:t>
            </w:r>
            <w:r>
              <w:rPr>
                <w:rFonts w:ascii="Times New Roman" w:eastAsia="宋体" w:cs="Times New Roman" w:hAnsi="Times New Roman" w:hint="eastAsia"/>
                <w:bCs/>
                <w:kern w:val="2"/>
                <w:sz w:val="24"/>
                <w:szCs w:val="24"/>
                <w:u w:val="none" w:color="auto"/>
                <w:lang w:val="en-US" w:eastAsia="zh-CN" w:bidi="ar-SA"/>
              </w:rPr>
              <w:t>太青水库设计年径流</w:t>
            </w:r>
          </w:p>
          <w:p>
            <w:pPr>
              <w:keepNext w:val="0"/>
              <w:keepLines w:val="0"/>
              <w:pageBreakBefore w:val="0"/>
              <w:widowControl w:val="0"/>
              <w:wordWrap/>
              <w:topLinePunct w:val="0"/>
              <w:autoSpaceDE/>
              <w:autoSpaceDN/>
              <w:bidi w:val="0"/>
              <w:adjustRightInd w:val="0"/>
              <w:snapToGrid w:val="0"/>
              <w:spacing w:line="360" w:lineRule="auto"/>
              <w:ind w:firstLineChars="200" w:firstLine="480"/>
              <w:textAlignment w:val="auto"/>
              <w:rPr>
                <w:rFonts w:ascii="Times New Roman" w:eastAsia="宋体" w:cs="Times New Roman" w:hAnsi="Times New Roman" w:hint="eastAsia"/>
                <w:bCs/>
                <w:kern w:val="2"/>
                <w:sz w:val="24"/>
                <w:szCs w:val="24"/>
                <w:u w:val="none" w:color="auto"/>
                <w:lang w:val="en-US" w:eastAsia="zh-CN" w:bidi="ar-SA"/>
              </w:rPr>
            </w:pPr>
            <w:r>
              <w:rPr>
                <w:rFonts w:ascii="Times New Roman" w:eastAsia="宋体" w:cs="Times New Roman" w:hAnsi="Times New Roman" w:hint="eastAsia"/>
                <w:bCs/>
                <w:kern w:val="2"/>
                <w:sz w:val="24"/>
                <w:szCs w:val="24"/>
                <w:u w:val="none" w:color="auto"/>
                <w:lang w:val="en-US" w:eastAsia="zh-CN" w:bidi="ar-SA"/>
              </w:rPr>
              <w:t xml:space="preserve">根据 </w:t>
            </w:r>
            <w:r>
              <w:rPr>
                <w:rFonts w:ascii="Times New Roman" w:eastAsia="宋体" w:cs="Times New Roman" w:hAnsi="Times New Roman"/>
                <w:bCs/>
                <w:kern w:val="2"/>
                <w:sz w:val="24"/>
                <w:szCs w:val="24"/>
                <w:u w:val="none" w:color="auto"/>
                <w:lang w:val="en-US" w:eastAsia="zh-CN" w:bidi="ar-SA"/>
              </w:rPr>
              <w:t xml:space="preserve">1978-2018 </w:t>
            </w:r>
            <w:r>
              <w:rPr>
                <w:rFonts w:ascii="Times New Roman" w:eastAsia="宋体" w:cs="Times New Roman" w:hAnsi="Times New Roman" w:hint="eastAsia"/>
                <w:bCs/>
                <w:kern w:val="2"/>
                <w:sz w:val="24"/>
                <w:szCs w:val="24"/>
                <w:u w:val="none" w:color="auto"/>
                <w:lang w:val="en-US" w:eastAsia="zh-CN" w:bidi="ar-SA"/>
              </w:rPr>
              <w:t xml:space="preserve">年太青水库还原的逐年月均流量资料进行经验频率计算，通过 </w:t>
            </w:r>
            <w:r>
              <w:rPr>
                <w:rFonts w:ascii="Times New Roman" w:eastAsia="宋体" w:cs="Times New Roman" w:hAnsi="Times New Roman"/>
                <w:bCs/>
                <w:kern w:val="2"/>
                <w:sz w:val="24"/>
                <w:szCs w:val="24"/>
                <w:u w:val="none" w:color="auto"/>
                <w:lang w:val="en-US" w:eastAsia="zh-CN" w:bidi="ar-SA"/>
              </w:rPr>
              <w:t>P—</w:t>
            </w:r>
            <w:r>
              <w:rPr>
                <w:rFonts w:ascii="Times New Roman" w:eastAsia="宋体" w:cs="Times New Roman" w:hAnsi="Times New Roman" w:hint="eastAsia"/>
                <w:bCs/>
                <w:kern w:val="2"/>
                <w:sz w:val="24"/>
                <w:szCs w:val="24"/>
                <w:u w:val="none" w:color="auto"/>
                <w:lang w:val="en-US" w:eastAsia="zh-CN" w:bidi="ar-SA"/>
              </w:rPr>
              <w:t>Ⅲ型频率曲线进行适线分析，推求出变差系数</w:t>
            </w:r>
            <w:r>
              <w:rPr>
                <w:rFonts w:ascii="Times New Roman" w:eastAsia="宋体" w:cs="Times New Roman" w:hAnsi="Times New Roman"/>
                <w:bCs/>
                <w:kern w:val="2"/>
                <w:sz w:val="24"/>
                <w:szCs w:val="24"/>
                <w:u w:val="none" w:color="auto"/>
                <w:lang w:val="en-US" w:eastAsia="zh-CN" w:bidi="ar-SA"/>
              </w:rPr>
              <w:t>Cv=0.32</w:t>
            </w:r>
            <w:r>
              <w:rPr>
                <w:rFonts w:ascii="Times New Roman" w:eastAsia="宋体" w:cs="Times New Roman" w:hAnsi="Times New Roman" w:hint="eastAsia"/>
                <w:bCs/>
                <w:kern w:val="2"/>
                <w:sz w:val="24"/>
                <w:szCs w:val="24"/>
                <w:u w:val="none" w:color="auto"/>
                <w:lang w:val="en-US" w:eastAsia="zh-CN" w:bidi="ar-SA"/>
              </w:rPr>
              <w:t xml:space="preserve">，多年平均径流量为 </w:t>
            </w:r>
            <w:r>
              <w:rPr>
                <w:rFonts w:ascii="Times New Roman" w:eastAsia="宋体" w:cs="Times New Roman" w:hAnsi="Times New Roman"/>
                <w:bCs/>
                <w:kern w:val="2"/>
                <w:sz w:val="24"/>
                <w:szCs w:val="24"/>
                <w:u w:val="none" w:color="auto"/>
                <w:lang w:val="en-US" w:eastAsia="zh-CN" w:bidi="ar-SA"/>
              </w:rPr>
              <w:t xml:space="preserve">1999.05 </w:t>
            </w:r>
            <w:r>
              <w:rPr>
                <w:rFonts w:ascii="Times New Roman" w:eastAsia="宋体" w:cs="Times New Roman" w:hAnsi="Times New Roman" w:hint="eastAsia"/>
                <w:bCs/>
                <w:kern w:val="2"/>
                <w:sz w:val="24"/>
                <w:szCs w:val="24"/>
                <w:u w:val="none" w:color="auto"/>
                <w:lang w:val="en-US" w:eastAsia="zh-CN" w:bidi="ar-SA"/>
              </w:rPr>
              <w:t xml:space="preserve">万 </w:t>
            </w:r>
            <w:r>
              <w:rPr>
                <w:rFonts w:ascii="Times New Roman" w:eastAsia="宋体" w:cs="Times New Roman" w:hAnsi="Times New Roman"/>
                <w:bCs/>
                <w:kern w:val="2"/>
                <w:sz w:val="24"/>
                <w:szCs w:val="24"/>
                <w:u w:val="none" w:color="auto"/>
                <w:lang w:val="en-US" w:eastAsia="zh-CN" w:bidi="ar-SA"/>
              </w:rPr>
              <w:t>m</w:t>
            </w:r>
            <w:r>
              <w:rPr>
                <w:rFonts w:ascii="Times New Roman" w:eastAsia="宋体" w:cs="Times New Roman" w:hAnsi="Times New Roman"/>
                <w:bCs/>
                <w:kern w:val="2"/>
                <w:sz w:val="24"/>
                <w:szCs w:val="24"/>
                <w:u w:val="none" w:color="auto"/>
                <w:vertAlign w:val="superscript"/>
                <w:lang w:val="en-US" w:eastAsia="zh-CN" w:bidi="ar-SA"/>
              </w:rPr>
              <w:t>3</w:t>
            </w:r>
            <w:r>
              <w:rPr>
                <w:rFonts w:ascii="Times New Roman" w:eastAsia="宋体" w:cs="Times New Roman" w:hAnsi="Times New Roman" w:hint="eastAsia"/>
                <w:bCs/>
                <w:kern w:val="2"/>
                <w:sz w:val="24"/>
                <w:szCs w:val="24"/>
                <w:u w:val="none" w:color="auto"/>
                <w:lang w:val="en-US" w:eastAsia="zh-CN" w:bidi="ar-SA"/>
              </w:rPr>
              <w:t xml:space="preserve">，成果见表 </w:t>
            </w:r>
            <w:r>
              <w:rPr>
                <w:rFonts w:eastAsia="宋体" w:cs="Times New Roman" w:hint="eastAsia"/>
                <w:bCs/>
                <w:kern w:val="2"/>
                <w:sz w:val="24"/>
                <w:szCs w:val="24"/>
                <w:u w:val="none" w:color="auto"/>
                <w:lang w:val="en-US" w:eastAsia="zh-CN" w:bidi="ar-SA"/>
              </w:rPr>
              <w:t>2</w:t>
            </w:r>
            <w:r>
              <w:rPr>
                <w:rFonts w:ascii="Times New Roman" w:eastAsia="宋体" w:cs="Times New Roman" w:hAnsi="Times New Roman"/>
                <w:bCs/>
                <w:kern w:val="2"/>
                <w:sz w:val="24"/>
                <w:szCs w:val="24"/>
                <w:u w:val="none" w:color="auto"/>
                <w:lang w:val="en-US" w:eastAsia="zh-CN" w:bidi="ar-SA"/>
              </w:rPr>
              <w:t>-</w:t>
            </w:r>
            <w:r>
              <w:rPr>
                <w:rFonts w:eastAsia="宋体" w:cs="Times New Roman" w:hint="eastAsia"/>
                <w:bCs/>
                <w:kern w:val="2"/>
                <w:sz w:val="24"/>
                <w:szCs w:val="24"/>
                <w:u w:val="none" w:color="auto"/>
                <w:lang w:val="en-US" w:eastAsia="zh-CN" w:bidi="ar-SA"/>
              </w:rPr>
              <w:t>9</w:t>
            </w:r>
            <w:r>
              <w:rPr>
                <w:rFonts w:ascii="Times New Roman" w:eastAsia="宋体" w:cs="Times New Roman" w:hAnsi="Times New Roman"/>
                <w:bCs/>
                <w:kern w:val="2"/>
                <w:sz w:val="24"/>
                <w:szCs w:val="24"/>
                <w:u w:val="none" w:color="auto"/>
                <w:lang w:val="en-US" w:eastAsia="zh-CN" w:bidi="ar-SA"/>
              </w:rPr>
              <w:t xml:space="preserve"> </w:t>
            </w:r>
            <w:r>
              <w:rPr>
                <w:rFonts w:ascii="Times New Roman" w:eastAsia="宋体" w:cs="Times New Roman" w:hAnsi="Times New Roman" w:hint="eastAsia"/>
                <w:bCs/>
                <w:kern w:val="2"/>
                <w:sz w:val="24"/>
                <w:szCs w:val="24"/>
                <w:u w:val="none" w:color="auto"/>
                <w:lang w:val="en-US" w:eastAsia="zh-CN" w:bidi="ar-SA"/>
              </w:rPr>
              <w:t xml:space="preserve">以及图 </w:t>
            </w:r>
            <w:r>
              <w:rPr>
                <w:rFonts w:eastAsia="宋体" w:cs="Times New Roman" w:hint="eastAsia"/>
                <w:bCs/>
                <w:kern w:val="2"/>
                <w:sz w:val="24"/>
                <w:szCs w:val="24"/>
                <w:u w:val="none" w:color="auto"/>
                <w:lang w:val="en-US" w:eastAsia="zh-CN" w:bidi="ar-SA"/>
              </w:rPr>
              <w:t>2</w:t>
            </w:r>
            <w:r>
              <w:rPr>
                <w:rFonts w:ascii="Times New Roman" w:eastAsia="宋体" w:cs="Times New Roman" w:hAnsi="Times New Roman"/>
                <w:bCs/>
                <w:kern w:val="2"/>
                <w:sz w:val="24"/>
                <w:szCs w:val="24"/>
                <w:u w:val="none" w:color="auto"/>
                <w:lang w:val="en-US" w:eastAsia="zh-CN" w:bidi="ar-SA"/>
              </w:rPr>
              <w:t>-1</w:t>
            </w:r>
            <w:r>
              <w:rPr>
                <w:rFonts w:ascii="Times New Roman" w:eastAsia="宋体" w:cs="Times New Roman" w:hAnsi="Times New Roman" w:hint="eastAsia"/>
                <w:bCs/>
                <w:kern w:val="2"/>
                <w:sz w:val="24"/>
                <w:szCs w:val="24"/>
                <w:u w:val="none" w:color="auto"/>
                <w:lang w:val="en-US" w:eastAsia="zh-CN" w:bidi="ar-SA"/>
              </w:rPr>
              <w:t>。</w:t>
            </w:r>
          </w:p>
          <w:p>
            <w:pPr>
              <w:pStyle w:val="15"/>
              <w:keepNext w:val="0"/>
              <w:keepLines w:val="0"/>
              <w:pageBreakBefore w:val="0"/>
              <w:widowControl/>
              <w:kinsoku w:val="0"/>
              <w:wordWrap/>
              <w:overflowPunct w:val="0"/>
              <w:topLinePunct w:val="0"/>
              <w:autoSpaceDE/>
              <w:autoSpaceDN/>
              <w:bidi w:val="0"/>
              <w:adjustRightInd/>
              <w:snapToGrid w:val="0"/>
              <w:spacing w:before="0" w:after="0" w:line="360" w:lineRule="auto"/>
              <w:ind w:right="0"/>
              <w:jc w:val="center"/>
              <w:textAlignment w:val="auto"/>
              <w:rPr>
                <w:rFonts w:ascii="Times New Roman" w:eastAsia="Times New Roman" w:hAnsi="Times New Roman"/>
                <w:color w:val="auto"/>
                <w:sz w:val="6"/>
                <w:szCs w:val="24"/>
                <w:u w:val="none" w:color="auto"/>
              </w:rPr>
            </w:pPr>
            <w:r>
              <w:rPr>
                <w:rFonts w:ascii="Times New Roman" w:eastAsia="宋体" w:cs="Times New Roman" w:hAnsi="Times New Roman" w:hint="eastAsia"/>
                <w:b/>
                <w:color w:val="auto"/>
                <w:kern w:val="0"/>
                <w:sz w:val="21"/>
                <w:szCs w:val="21"/>
                <w:u w:val="none" w:color="auto"/>
                <w:lang w:val="en-US" w:eastAsia="zh-CN" w:bidi="ar-SA"/>
                <w:highlight w:val="none"/>
              </w:rPr>
              <w:t xml:space="preserve">表 </w:t>
            </w:r>
            <w:r>
              <w:rPr>
                <w:rFonts w:ascii="Times New Roman" w:eastAsia="宋体" w:cs="Times New Roman" w:hAnsi="Times New Roman"/>
                <w:b/>
                <w:color w:val="auto"/>
                <w:kern w:val="0"/>
                <w:sz w:val="21"/>
                <w:szCs w:val="21"/>
                <w:u w:val="none" w:color="auto"/>
                <w:lang w:val="en-US" w:eastAsia="zh-CN" w:bidi="ar-SA"/>
                <w:highlight w:val="none"/>
              </w:rPr>
              <w:t>2-</w:t>
            </w:r>
            <w:r>
              <w:rPr>
                <w:rFonts w:cs="Times New Roman" w:hint="eastAsia"/>
                <w:b/>
                <w:color w:val="auto"/>
                <w:kern w:val="0"/>
                <w:sz w:val="21"/>
                <w:szCs w:val="21"/>
                <w:u w:val="none" w:color="auto"/>
                <w:lang w:val="en-US" w:eastAsia="zh-CN" w:bidi="ar-SA"/>
                <w:highlight w:val="none"/>
              </w:rPr>
              <w:t>9</w:t>
            </w:r>
            <w:r>
              <w:rPr>
                <w:rFonts w:ascii="Times New Roman" w:eastAsia="宋体" w:cs="Times New Roman" w:hAnsi="Times New Roman"/>
                <w:b/>
                <w:color w:val="auto"/>
                <w:kern w:val="0"/>
                <w:sz w:val="21"/>
                <w:szCs w:val="21"/>
                <w:u w:val="none" w:color="auto"/>
                <w:lang w:val="en-US" w:eastAsia="zh-CN" w:bidi="ar-SA"/>
                <w:highlight w:val="none"/>
              </w:rPr>
              <w:tab/>
            </w:r>
            <w:r>
              <w:rPr>
                <w:rFonts w:eastAsia="宋体" w:cs="Times New Roman" w:hint="eastAsia"/>
                <w:b/>
                <w:color w:val="auto"/>
                <w:kern w:val="0"/>
                <w:sz w:val="21"/>
                <w:szCs w:val="21"/>
                <w:u w:val="none" w:color="auto"/>
                <w:lang w:val="en-US" w:eastAsia="zh-CN" w:bidi="ar-SA"/>
                <w:highlight w:val="none"/>
              </w:rPr>
              <w:t>太青水库设计径流成果表</w:t>
            </w:r>
          </w:p>
          <w:tbl>
            <w:tblPr>
              <w:jc w:val="left"/>
              <w:tblInd w:w="15" w:type="dxa"/>
              <w:tblW w:w="8414" w:type="dxa"/>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720"/>
              <w:gridCol w:w="1017"/>
              <w:gridCol w:w="662"/>
              <w:gridCol w:w="932"/>
              <w:gridCol w:w="1018"/>
              <w:gridCol w:w="1018"/>
              <w:gridCol w:w="1018"/>
              <w:gridCol w:w="1018"/>
              <w:gridCol w:w="1011"/>
            </w:tblGrid>
            <w:tr>
              <w:trPr>
                <w:trHeight w:val="340"/>
              </w:trPr>
              <w:tc>
                <w:tcPr>
                  <w:tcW w:w="720" w:type="dxa"/>
                  <w:vMerge w:val="restart"/>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none" w:color="auto"/>
                    </w:rPr>
                  </w:pPr>
                </w:p>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none" w:color="auto"/>
                    </w:rPr>
                  </w:pPr>
                  <w:r>
                    <w:rPr>
                      <w:rFonts w:ascii="Times New Roman" w:eastAsia="宋体" w:cs="Times New Roman" w:hAnsi="Times New Roman" w:hint="eastAsia"/>
                      <w:b/>
                      <w:bCs/>
                      <w:color w:val="auto"/>
                      <w:sz w:val="21"/>
                      <w:szCs w:val="21"/>
                      <w:u w:val="none" w:color="auto"/>
                    </w:rPr>
                    <w:t>站名</w:t>
                  </w:r>
                </w:p>
              </w:tc>
              <w:tc>
                <w:tcPr>
                  <w:tcW w:w="2611" w:type="dxa"/>
                  <w:gridSpan w:val="3"/>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none" w:color="auto"/>
                    </w:rPr>
                  </w:pPr>
                  <w:r>
                    <w:rPr>
                      <w:rFonts w:ascii="Times New Roman" w:eastAsia="宋体" w:cs="Times New Roman" w:hAnsi="Times New Roman" w:hint="eastAsia"/>
                      <w:b/>
                      <w:bCs/>
                      <w:color w:val="auto"/>
                      <w:sz w:val="21"/>
                      <w:szCs w:val="21"/>
                      <w:u w:val="none" w:color="auto"/>
                    </w:rPr>
                    <w:t>统计参数</w:t>
                  </w:r>
                </w:p>
              </w:tc>
              <w:tc>
                <w:tcPr>
                  <w:tcW w:w="5083" w:type="dxa"/>
                  <w:gridSpan w:val="5"/>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none" w:color="auto"/>
                    </w:rPr>
                  </w:pPr>
                  <w:r>
                    <w:rPr>
                      <w:rFonts w:ascii="Times New Roman" w:eastAsia="宋体" w:cs="Times New Roman" w:hAnsi="Times New Roman" w:hint="eastAsia"/>
                      <w:b/>
                      <w:bCs/>
                      <w:color w:val="auto"/>
                      <w:sz w:val="21"/>
                      <w:szCs w:val="21"/>
                      <w:u w:val="none" w:color="auto"/>
                    </w:rPr>
                    <w:t xml:space="preserve">不同频率设计径流（万 </w:t>
                  </w:r>
                  <w:r>
                    <w:rPr>
                      <w:rFonts w:ascii="Times New Roman" w:eastAsia="宋体" w:cs="Times New Roman" w:hAnsi="Times New Roman"/>
                      <w:b/>
                      <w:bCs/>
                      <w:color w:val="auto"/>
                      <w:sz w:val="21"/>
                      <w:szCs w:val="21"/>
                      <w:u w:val="none" w:color="auto"/>
                    </w:rPr>
                    <w:t>m</w:t>
                  </w:r>
                  <w:r>
                    <w:rPr>
                      <w:rFonts w:ascii="Times New Roman" w:eastAsia="宋体" w:cs="Times New Roman" w:hAnsi="Times New Roman"/>
                      <w:b/>
                      <w:bCs/>
                      <w:color w:val="auto"/>
                      <w:sz w:val="21"/>
                      <w:szCs w:val="21"/>
                      <w:u w:val="none" w:color="auto"/>
                      <w:vertAlign w:val="superscript"/>
                    </w:rPr>
                    <w:t>3</w:t>
                  </w:r>
                  <w:r>
                    <w:rPr>
                      <w:rFonts w:ascii="Times New Roman" w:eastAsia="宋体" w:cs="Times New Roman" w:hAnsi="Times New Roman" w:hint="eastAsia"/>
                      <w:b/>
                      <w:bCs/>
                      <w:color w:val="auto"/>
                      <w:sz w:val="21"/>
                      <w:szCs w:val="21"/>
                      <w:u w:val="none" w:color="auto"/>
                    </w:rPr>
                    <w:t>）</w:t>
                  </w:r>
                </w:p>
              </w:tc>
            </w:tr>
            <w:tr>
              <w:trPr>
                <w:trHeight w:val="340"/>
              </w:trPr>
              <w:tc>
                <w:tcPr>
                  <w:tcW w:w="720" w:type="dxa"/>
                  <w:vMerge/>
                  <w:tcBorders>
                    <w:tl2br w:val="nil"/>
                    <w:tr2bl w:val="nil"/>
                  </w:tcBorders>
                  <w:vAlign w:val="center"/>
                </w:tcPr>
                <w:p/>
              </w:tc>
              <w:tc>
                <w:tcPr>
                  <w:tcW w:w="101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b/>
                      <w:bCs/>
                      <w:color w:val="auto"/>
                      <w:sz w:val="21"/>
                      <w:szCs w:val="21"/>
                      <w:u w:val="none" w:color="auto"/>
                    </w:rPr>
                  </w:pPr>
                  <w:r>
                    <w:rPr>
                      <w:rFonts w:ascii="Times New Roman" w:eastAsia="宋体" w:cs="Times New Roman" w:hAnsi="Times New Roman"/>
                      <w:b/>
                      <w:bCs/>
                      <w:color w:val="auto"/>
                      <w:sz w:val="21"/>
                      <w:szCs w:val="21"/>
                      <w:u w:val="none" w:color="auto"/>
                    </w:rPr>
                    <w:t>Ex</w:t>
                  </w:r>
                </w:p>
              </w:tc>
              <w:tc>
                <w:tcPr>
                  <w:tcW w:w="662"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b/>
                      <w:bCs/>
                      <w:color w:val="auto"/>
                      <w:sz w:val="21"/>
                      <w:szCs w:val="21"/>
                      <w:u w:val="none" w:color="auto"/>
                    </w:rPr>
                  </w:pPr>
                  <w:r>
                    <w:rPr>
                      <w:rFonts w:ascii="Times New Roman" w:eastAsia="宋体" w:cs="Times New Roman" w:hAnsi="Times New Roman"/>
                      <w:b/>
                      <w:bCs/>
                      <w:color w:val="auto"/>
                      <w:sz w:val="21"/>
                      <w:szCs w:val="21"/>
                      <w:u w:val="none" w:color="auto"/>
                    </w:rPr>
                    <w:t>CV</w:t>
                  </w:r>
                </w:p>
              </w:tc>
              <w:tc>
                <w:tcPr>
                  <w:tcW w:w="932"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b/>
                      <w:bCs/>
                      <w:color w:val="auto"/>
                      <w:sz w:val="21"/>
                      <w:szCs w:val="21"/>
                      <w:u w:val="none" w:color="auto"/>
                    </w:rPr>
                  </w:pPr>
                  <w:r>
                    <w:rPr>
                      <w:rFonts w:ascii="Times New Roman" w:eastAsia="宋体" w:cs="Times New Roman" w:hAnsi="Times New Roman"/>
                      <w:b/>
                      <w:bCs/>
                      <w:color w:val="auto"/>
                      <w:sz w:val="21"/>
                      <w:szCs w:val="21"/>
                      <w:u w:val="none" w:color="auto"/>
                    </w:rPr>
                    <w:t>CS/CV</w:t>
                  </w:r>
                </w:p>
              </w:tc>
              <w:tc>
                <w:tcPr>
                  <w:tcW w:w="101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b/>
                      <w:bCs/>
                      <w:color w:val="auto"/>
                      <w:sz w:val="21"/>
                      <w:szCs w:val="21"/>
                      <w:u w:val="none" w:color="auto"/>
                    </w:rPr>
                  </w:pPr>
                  <w:r>
                    <w:rPr>
                      <w:rFonts w:ascii="Times New Roman" w:eastAsia="宋体" w:cs="Times New Roman" w:hAnsi="Times New Roman"/>
                      <w:b/>
                      <w:bCs/>
                      <w:color w:val="auto"/>
                      <w:sz w:val="21"/>
                      <w:szCs w:val="21"/>
                      <w:u w:val="none" w:color="auto"/>
                    </w:rPr>
                    <w:t>P=25%</w:t>
                  </w:r>
                </w:p>
              </w:tc>
              <w:tc>
                <w:tcPr>
                  <w:tcW w:w="101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b/>
                      <w:bCs/>
                      <w:color w:val="auto"/>
                      <w:sz w:val="21"/>
                      <w:szCs w:val="21"/>
                      <w:u w:val="none" w:color="auto"/>
                    </w:rPr>
                  </w:pPr>
                  <w:r>
                    <w:rPr>
                      <w:rFonts w:ascii="Times New Roman" w:eastAsia="宋体" w:cs="Times New Roman" w:hAnsi="Times New Roman"/>
                      <w:b/>
                      <w:bCs/>
                      <w:color w:val="auto"/>
                      <w:sz w:val="21"/>
                      <w:szCs w:val="21"/>
                      <w:u w:val="none" w:color="auto"/>
                    </w:rPr>
                    <w:t>P=50%</w:t>
                  </w:r>
                </w:p>
              </w:tc>
              <w:tc>
                <w:tcPr>
                  <w:tcW w:w="101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b/>
                      <w:bCs/>
                      <w:color w:val="auto"/>
                      <w:sz w:val="21"/>
                      <w:szCs w:val="21"/>
                      <w:u w:val="none" w:color="auto"/>
                    </w:rPr>
                  </w:pPr>
                  <w:r>
                    <w:rPr>
                      <w:rFonts w:ascii="Times New Roman" w:eastAsia="宋体" w:cs="Times New Roman" w:hAnsi="Times New Roman"/>
                      <w:b/>
                      <w:bCs/>
                      <w:color w:val="auto"/>
                      <w:sz w:val="21"/>
                      <w:szCs w:val="21"/>
                      <w:u w:val="none" w:color="auto"/>
                    </w:rPr>
                    <w:t>P=75%</w:t>
                  </w:r>
                </w:p>
              </w:tc>
              <w:tc>
                <w:tcPr>
                  <w:tcW w:w="101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b/>
                      <w:bCs/>
                      <w:color w:val="auto"/>
                      <w:sz w:val="21"/>
                      <w:szCs w:val="21"/>
                      <w:u w:val="none" w:color="auto"/>
                    </w:rPr>
                  </w:pPr>
                  <w:r>
                    <w:rPr>
                      <w:rFonts w:ascii="Times New Roman" w:eastAsia="宋体" w:cs="Times New Roman" w:hAnsi="Times New Roman"/>
                      <w:b/>
                      <w:bCs/>
                      <w:color w:val="auto"/>
                      <w:sz w:val="21"/>
                      <w:szCs w:val="21"/>
                      <w:u w:val="none" w:color="auto"/>
                    </w:rPr>
                    <w:t>P=80%</w:t>
                  </w:r>
                </w:p>
              </w:tc>
              <w:tc>
                <w:tcPr>
                  <w:tcW w:w="101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b/>
                      <w:bCs/>
                      <w:color w:val="auto"/>
                      <w:sz w:val="21"/>
                      <w:szCs w:val="21"/>
                      <w:u w:val="none" w:color="auto"/>
                    </w:rPr>
                  </w:pPr>
                  <w:r>
                    <w:rPr>
                      <w:rFonts w:ascii="Times New Roman" w:eastAsia="宋体" w:cs="Times New Roman" w:hAnsi="Times New Roman"/>
                      <w:b/>
                      <w:bCs/>
                      <w:color w:val="auto"/>
                      <w:sz w:val="21"/>
                      <w:szCs w:val="21"/>
                      <w:u w:val="none" w:color="auto"/>
                    </w:rPr>
                    <w:t>P=95%</w:t>
                  </w:r>
                </w:p>
              </w:tc>
            </w:tr>
            <w:tr>
              <w:trPr>
                <w:trHeight w:val="340"/>
              </w:trPr>
              <w:tc>
                <w:tcPr>
                  <w:tcW w:w="72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none" w:color="auto"/>
                    </w:rPr>
                  </w:pPr>
                  <w:r>
                    <w:rPr>
                      <w:rFonts w:ascii="Times New Roman" w:eastAsia="宋体" w:cs="Times New Roman" w:hAnsi="Times New Roman" w:hint="eastAsia"/>
                      <w:color w:val="auto"/>
                      <w:sz w:val="21"/>
                      <w:szCs w:val="21"/>
                      <w:u w:val="none" w:color="auto"/>
                    </w:rPr>
                    <w:t>太青</w:t>
                  </w:r>
                </w:p>
              </w:tc>
              <w:tc>
                <w:tcPr>
                  <w:tcW w:w="101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none" w:color="auto"/>
                    </w:rPr>
                  </w:pPr>
                  <w:r>
                    <w:rPr>
                      <w:rFonts w:ascii="Times New Roman" w:eastAsia="宋体" w:cs="Times New Roman" w:hAnsi="Times New Roman"/>
                      <w:color w:val="auto"/>
                      <w:sz w:val="21"/>
                      <w:szCs w:val="21"/>
                      <w:u w:val="none" w:color="auto"/>
                    </w:rPr>
                    <w:t>1999.05</w:t>
                  </w:r>
                </w:p>
              </w:tc>
              <w:tc>
                <w:tcPr>
                  <w:tcW w:w="662"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none" w:color="auto"/>
                    </w:rPr>
                  </w:pPr>
                  <w:r>
                    <w:rPr>
                      <w:rFonts w:ascii="Times New Roman" w:eastAsia="宋体" w:cs="Times New Roman" w:hAnsi="Times New Roman"/>
                      <w:color w:val="auto"/>
                      <w:sz w:val="21"/>
                      <w:szCs w:val="21"/>
                      <w:u w:val="none" w:color="auto"/>
                    </w:rPr>
                    <w:t>0.32</w:t>
                  </w:r>
                </w:p>
              </w:tc>
              <w:tc>
                <w:tcPr>
                  <w:tcW w:w="932"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none" w:color="auto"/>
                    </w:rPr>
                  </w:pPr>
                  <w:r>
                    <w:rPr>
                      <w:rFonts w:ascii="Times New Roman" w:eastAsia="宋体" w:cs="Times New Roman" w:hAnsi="Times New Roman"/>
                      <w:color w:val="auto"/>
                      <w:sz w:val="21"/>
                      <w:szCs w:val="21"/>
                      <w:u w:val="none" w:color="auto"/>
                    </w:rPr>
                    <w:t>3.5</w:t>
                  </w:r>
                </w:p>
              </w:tc>
              <w:tc>
                <w:tcPr>
                  <w:tcW w:w="101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none" w:color="auto"/>
                    </w:rPr>
                  </w:pPr>
                  <w:r>
                    <w:rPr>
                      <w:rFonts w:ascii="Times New Roman" w:eastAsia="宋体" w:cs="Times New Roman" w:hAnsi="Times New Roman"/>
                      <w:color w:val="auto"/>
                      <w:sz w:val="21"/>
                      <w:szCs w:val="21"/>
                      <w:u w:val="none" w:color="auto"/>
                    </w:rPr>
                    <w:t>2426.18</w:t>
                  </w:r>
                </w:p>
              </w:tc>
              <w:tc>
                <w:tcPr>
                  <w:tcW w:w="101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none" w:color="auto"/>
                    </w:rPr>
                  </w:pPr>
                  <w:r>
                    <w:rPr>
                      <w:rFonts w:ascii="Times New Roman" w:eastAsia="宋体" w:cs="Times New Roman" w:hAnsi="Times New Roman"/>
                      <w:color w:val="auto"/>
                      <w:sz w:val="21"/>
                      <w:szCs w:val="21"/>
                      <w:u w:val="none" w:color="auto"/>
                    </w:rPr>
                    <w:t>1882.12</w:t>
                  </w:r>
                </w:p>
              </w:tc>
              <w:tc>
                <w:tcPr>
                  <w:tcW w:w="101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none" w:color="auto"/>
                    </w:rPr>
                  </w:pPr>
                  <w:r>
                    <w:rPr>
                      <w:rFonts w:ascii="Times New Roman" w:eastAsia="宋体" w:cs="Times New Roman" w:hAnsi="Times New Roman"/>
                      <w:color w:val="auto"/>
                      <w:sz w:val="21"/>
                      <w:szCs w:val="21"/>
                      <w:u w:val="none" w:color="auto"/>
                    </w:rPr>
                    <w:t>1529.25</w:t>
                  </w:r>
                </w:p>
              </w:tc>
              <w:tc>
                <w:tcPr>
                  <w:tcW w:w="101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none" w:color="auto"/>
                    </w:rPr>
                  </w:pPr>
                  <w:r>
                    <w:rPr>
                      <w:rFonts w:ascii="Times New Roman" w:eastAsia="宋体" w:cs="Times New Roman" w:hAnsi="Times New Roman"/>
                      <w:color w:val="auto"/>
                      <w:sz w:val="21"/>
                      <w:szCs w:val="21"/>
                      <w:u w:val="none" w:color="auto"/>
                    </w:rPr>
                    <w:t>1497.05</w:t>
                  </w:r>
                </w:p>
              </w:tc>
              <w:tc>
                <w:tcPr>
                  <w:tcW w:w="101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none" w:color="auto"/>
                    </w:rPr>
                  </w:pPr>
                  <w:r>
                    <w:rPr>
                      <w:rFonts w:ascii="Times New Roman" w:eastAsia="宋体" w:cs="Times New Roman" w:hAnsi="Times New Roman"/>
                      <w:color w:val="auto"/>
                      <w:sz w:val="21"/>
                      <w:szCs w:val="21"/>
                      <w:u w:val="none" w:color="auto"/>
                    </w:rPr>
                    <w:t>1184.84</w:t>
                  </w:r>
                </w:p>
              </w:tc>
            </w:tr>
          </w:tbl>
          <w:p>
            <w:pPr>
              <w:pStyle w:val="15"/>
              <w:keepNext w:val="0"/>
              <w:keepLines w:val="0"/>
              <w:pageBreakBefore w:val="0"/>
              <w:widowControl/>
              <w:kinsoku w:val="0"/>
              <w:wordWrap/>
              <w:overflowPunct w:val="0"/>
              <w:topLinePunct w:val="0"/>
              <w:autoSpaceDE/>
              <w:autoSpaceDN/>
              <w:bidi w:val="0"/>
              <w:adjustRightInd w:val="0"/>
              <w:snapToGrid w:val="0"/>
              <w:spacing w:before="0" w:after="0" w:line="360" w:lineRule="auto"/>
              <w:ind w:right="0"/>
              <w:jc w:val="both"/>
              <w:textAlignment w:val="auto"/>
              <w:rPr>
                <w:rFonts w:ascii="Times New Roman" w:eastAsia="宋体" w:cs="Times New Roman" w:hAnsi="Times New Roman" w:hint="eastAsia"/>
                <w:color w:val="FF0000"/>
                <w:kern w:val="0"/>
                <w:sz w:val="24"/>
                <w:szCs w:val="24"/>
                <w:u w:val="single"/>
                <w:lang w:val="en-US" w:eastAsia="zh-CN" w:bidi="ar-SA"/>
                <w:highlight w:val="none"/>
              </w:rPr>
            </w:pPr>
          </w:p>
          <w:p>
            <w:pPr>
              <w:pStyle w:val="15"/>
              <w:keepNext w:val="0"/>
              <w:keepLines w:val="0"/>
              <w:pageBreakBefore w:val="0"/>
              <w:widowControl/>
              <w:kinsoku w:val="0"/>
              <w:wordWrap/>
              <w:overflowPunct w:val="0"/>
              <w:topLinePunct w:val="0"/>
              <w:autoSpaceDE/>
              <w:autoSpaceDN/>
              <w:bidi w:val="0"/>
              <w:adjustRightInd w:val="0"/>
              <w:snapToGrid w:val="0"/>
              <w:spacing w:before="0" w:after="0" w:line="360" w:lineRule="auto"/>
              <w:ind w:right="0"/>
              <w:jc w:val="both"/>
              <w:textAlignment w:val="auto"/>
              <w:rPr>
                <w:rFonts w:ascii="Times New Roman" w:eastAsia="宋体" w:cs="Times New Roman" w:hAnsi="Times New Roman" w:hint="eastAsia"/>
                <w:color w:val="FF0000"/>
                <w:kern w:val="0"/>
                <w:sz w:val="24"/>
                <w:szCs w:val="24"/>
                <w:u w:val="single"/>
                <w:lang w:val="en-US" w:eastAsia="zh-CN" w:bidi="ar-SA"/>
                <w:highlight w:val="none"/>
              </w:rPr>
            </w:pPr>
            <w:r>
              <w:rPr>
                <w:sz w:val="24"/>
                <w:szCs w:val="24"/>
              </w:rPr>
              <w:drawing>
                <wp:inline distT="0" distB="0" distL="114300" distR="114300">
                  <wp:extent cx="5257800" cy="4384040"/>
                  <wp:effectExtent l="0" t="0" r="0" b="0"/>
                  <wp:docPr id="1043" name="图片 11"/>
                  <wp:cNvGraphicFramePr>
                    <a:graphicFrameLocks noChangeAspect="1"/>
                  </wp:cNvGraphicFramePr>
                  <a:graphic>
                    <a:graphicData uri="http://schemas.openxmlformats.org/drawingml/2006/picture">
                      <pic:pic>
                        <pic:nvPicPr>
                          <pic:cNvPr id="10" name="图片 11 10"/>
                          <pic:cNvPicPr/>
                        </pic:nvPicPr>
                        <pic:blipFill>
                          <a:blip r:embed="rId9"/>
                          <a:stretch>
                            <a:fillRect/>
                          </a:stretch>
                        </pic:blipFill>
                        <pic:spPr>
                          <a:xfrm rot="0">
                            <a:off x="0" y="0"/>
                            <a:ext cx="5257800" cy="4384040"/>
                          </a:xfrm>
                          <a:prstGeom prst="rect"/>
                          <a:noFill/>
                          <a:ln cmpd="sng" cap="flat">
                            <a:noFill/>
                            <a:prstDash val="solid"/>
                            <a:round/>
                          </a:ln>
                        </pic:spPr>
                      </pic:pic>
                    </a:graphicData>
                  </a:graphic>
                </wp:inline>
              </w:drawing>
            </w:r>
          </w:p>
          <w:p>
            <w:pPr>
              <w:pStyle w:val="15"/>
              <w:keepNext w:val="0"/>
              <w:keepLines w:val="0"/>
              <w:pageBreakBefore w:val="0"/>
              <w:widowControl/>
              <w:kinsoku w:val="0"/>
              <w:wordWrap/>
              <w:overflowPunct w:val="0"/>
              <w:topLinePunct w:val="0"/>
              <w:autoSpaceDE/>
              <w:autoSpaceDN/>
              <w:bidi w:val="0"/>
              <w:adjustRightInd w:val="0"/>
              <w:snapToGrid w:val="0"/>
              <w:spacing w:before="0" w:after="0" w:line="360" w:lineRule="auto"/>
              <w:ind w:right="0"/>
              <w:jc w:val="center"/>
              <w:textAlignment w:val="auto"/>
              <w:rPr>
                <w:rFonts w:eastAsia="宋体" w:cs="Times New Roman" w:hint="eastAsia"/>
                <w:b/>
                <w:color w:val="auto"/>
                <w:kern w:val="0"/>
                <w:sz w:val="21"/>
                <w:szCs w:val="21"/>
                <w:u w:val="single" w:color="auto"/>
                <w:lang w:val="en-US" w:eastAsia="zh-CN" w:bidi="ar-SA"/>
                <w:highlight w:val="none"/>
              </w:rPr>
            </w:pPr>
            <w:r>
              <w:rPr>
                <w:rFonts w:eastAsia="宋体" w:cs="Times New Roman" w:hint="eastAsia"/>
                <w:b/>
                <w:color w:val="auto"/>
                <w:kern w:val="0"/>
                <w:sz w:val="21"/>
                <w:szCs w:val="21"/>
                <w:u w:val="single" w:color="auto"/>
                <w:lang w:val="en-US" w:eastAsia="zh-CN" w:bidi="ar-SA"/>
                <w:highlight w:val="none"/>
              </w:rPr>
              <w:t>图</w:t>
            </w:r>
            <w:r>
              <w:rPr>
                <w:rFonts w:ascii="Times New Roman" w:eastAsia="宋体" w:cs="Times New Roman" w:hAnsi="Times New Roman" w:hint="eastAsia"/>
                <w:b/>
                <w:color w:val="auto"/>
                <w:kern w:val="0"/>
                <w:sz w:val="21"/>
                <w:szCs w:val="21"/>
                <w:u w:val="single" w:color="auto"/>
                <w:lang w:val="en-US" w:eastAsia="zh-CN" w:bidi="ar-SA"/>
                <w:highlight w:val="none"/>
              </w:rPr>
              <w:t xml:space="preserve"> </w:t>
            </w:r>
            <w:r>
              <w:rPr>
                <w:rFonts w:ascii="Times New Roman" w:eastAsia="宋体" w:cs="Times New Roman" w:hAnsi="Times New Roman"/>
                <w:b/>
                <w:color w:val="auto"/>
                <w:kern w:val="0"/>
                <w:sz w:val="21"/>
                <w:szCs w:val="21"/>
                <w:u w:val="single" w:color="auto"/>
                <w:lang w:val="en-US" w:eastAsia="zh-CN" w:bidi="ar-SA"/>
                <w:highlight w:val="none"/>
              </w:rPr>
              <w:t>2-</w:t>
            </w:r>
            <w:r>
              <w:rPr>
                <w:rFonts w:cs="Times New Roman" w:hint="eastAsia"/>
                <w:b/>
                <w:color w:val="auto"/>
                <w:kern w:val="0"/>
                <w:sz w:val="21"/>
                <w:szCs w:val="21"/>
                <w:u w:val="single" w:color="auto"/>
                <w:lang w:val="en-US" w:eastAsia="zh-CN" w:bidi="ar-SA"/>
                <w:highlight w:val="none"/>
              </w:rPr>
              <w:t xml:space="preserve">1   </w:t>
            </w:r>
            <w:r>
              <w:rPr>
                <w:rFonts w:eastAsia="宋体" w:cs="Times New Roman" w:hint="eastAsia"/>
                <w:b/>
                <w:color w:val="auto"/>
                <w:kern w:val="0"/>
                <w:sz w:val="21"/>
                <w:szCs w:val="21"/>
                <w:u w:val="single" w:color="auto"/>
                <w:lang w:val="en-US" w:eastAsia="zh-CN" w:bidi="ar-SA"/>
                <w:highlight w:val="none"/>
              </w:rPr>
              <w:t>太青水库设计径流频率曲线图</w:t>
            </w:r>
          </w:p>
          <w:p>
            <w:pPr>
              <w:pStyle w:val="74"/>
              <w:keepNext w:val="0"/>
              <w:keepLines w:val="0"/>
              <w:pageBreakBefore w:val="0"/>
              <w:widowControl w:val="0"/>
              <w:tabs>
                <w:tab w:val="left" w:pos="1321"/>
              </w:tabs>
              <w:kinsoku w:val="0"/>
              <w:wordWrap/>
              <w:overflowPunct w:val="0"/>
              <w:topLinePunct w:val="0"/>
              <w:autoSpaceDE/>
              <w:autoSpaceDN/>
              <w:bidi w:val="0"/>
              <w:adjustRightInd w:val="0"/>
              <w:snapToGrid w:val="0"/>
              <w:spacing w:line="360" w:lineRule="auto"/>
              <w:ind w:left="0" w:firstLineChars="200" w:firstLine="480"/>
              <w:textAlignment w:val="auto"/>
              <w:rPr>
                <w:rFonts w:eastAsia="宋体" w:cs="Times New Roman" w:hint="eastAsia"/>
                <w:bCs/>
                <w:kern w:val="2"/>
                <w:sz w:val="24"/>
                <w:szCs w:val="24"/>
                <w:u w:val="single" w:color="auto"/>
                <w:lang w:val="en-US" w:eastAsia="zh-CN" w:bidi="ar-SA"/>
              </w:rPr>
            </w:pPr>
            <w:r>
              <w:rPr>
                <w:rFonts w:eastAsia="宋体" w:cs="Times New Roman" w:hint="eastAsia"/>
                <w:bCs/>
                <w:kern w:val="2"/>
                <w:sz w:val="24"/>
                <w:szCs w:val="24"/>
                <w:u w:val="single" w:color="auto"/>
                <w:lang w:val="en-US" w:eastAsia="zh-CN" w:bidi="ar-SA"/>
              </w:rPr>
              <w:t>2）太青水库生态径流</w:t>
            </w:r>
          </w:p>
          <w:p>
            <w:pPr>
              <w:pStyle w:val="74"/>
              <w:keepNext w:val="0"/>
              <w:keepLines w:val="0"/>
              <w:pageBreakBefore w:val="0"/>
              <w:widowControl w:val="0"/>
              <w:tabs>
                <w:tab w:val="left" w:pos="1321"/>
              </w:tabs>
              <w:kinsoku w:val="0"/>
              <w:wordWrap/>
              <w:overflowPunct w:val="0"/>
              <w:topLinePunct w:val="0"/>
              <w:autoSpaceDE/>
              <w:autoSpaceDN/>
              <w:bidi w:val="0"/>
              <w:adjustRightInd w:val="0"/>
              <w:snapToGrid w:val="0"/>
              <w:spacing w:line="360" w:lineRule="auto"/>
              <w:ind w:left="0" w:firstLineChars="200" w:firstLine="480"/>
              <w:textAlignment w:val="auto"/>
              <w:rPr>
                <w:rFonts w:eastAsia="宋体" w:cs="Times New Roman" w:hint="eastAsia"/>
                <w:bCs/>
                <w:kern w:val="2"/>
                <w:sz w:val="24"/>
                <w:szCs w:val="24"/>
                <w:u w:val="single" w:color="auto"/>
                <w:lang w:val="en-US" w:eastAsia="zh-CN" w:bidi="ar-SA"/>
              </w:rPr>
            </w:pPr>
            <w:r>
              <w:rPr>
                <w:rFonts w:eastAsia="宋体" w:cs="Times New Roman" w:hint="eastAsia"/>
                <w:bCs/>
                <w:kern w:val="2"/>
                <w:sz w:val="24"/>
                <w:szCs w:val="24"/>
                <w:u w:val="single" w:color="auto"/>
                <w:lang w:val="en-US" w:eastAsia="zh-CN" w:bidi="ar-SA"/>
              </w:rPr>
              <w:t>根据《河湖生态环境需水计算规范》（</w:t>
            </w:r>
            <w:r>
              <w:rPr>
                <w:rFonts w:eastAsia="宋体" w:cs="Times New Roman"/>
                <w:bCs/>
                <w:kern w:val="2"/>
                <w:sz w:val="24"/>
                <w:szCs w:val="24"/>
                <w:u w:val="single" w:color="auto"/>
                <w:lang w:val="en-US" w:eastAsia="zh-CN" w:bidi="ar-SA"/>
              </w:rPr>
              <w:t>SLZ 712-2014</w:t>
            </w:r>
            <w:r>
              <w:rPr>
                <w:rFonts w:eastAsia="宋体" w:cs="Times New Roman" w:hint="eastAsia"/>
                <w:bCs/>
                <w:kern w:val="2"/>
                <w:sz w:val="24"/>
                <w:szCs w:val="24"/>
                <w:u w:val="single" w:color="auto"/>
                <w:lang w:val="en-US" w:eastAsia="zh-CN" w:bidi="ar-SA"/>
              </w:rPr>
              <w:t xml:space="preserve">），按照充分利用当地水资源的原则，结合项目实际情况，生态流量按取水口河道断面多年平均径流量的 </w:t>
            </w:r>
            <w:r>
              <w:rPr>
                <w:rFonts w:eastAsia="宋体" w:cs="Times New Roman"/>
                <w:bCs/>
                <w:kern w:val="2"/>
                <w:sz w:val="24"/>
                <w:szCs w:val="24"/>
                <w:u w:val="single" w:color="auto"/>
                <w:lang w:val="en-US" w:eastAsia="zh-CN" w:bidi="ar-SA"/>
              </w:rPr>
              <w:t>10%</w:t>
            </w:r>
            <w:r>
              <w:rPr>
                <w:rFonts w:eastAsia="宋体" w:cs="Times New Roman" w:hint="eastAsia"/>
                <w:bCs/>
                <w:kern w:val="2"/>
                <w:sz w:val="24"/>
                <w:szCs w:val="24"/>
                <w:u w:val="single" w:color="auto"/>
                <w:lang w:val="en-US" w:eastAsia="zh-CN" w:bidi="ar-SA"/>
              </w:rPr>
              <w:t>作为生态用水。选择太青水厂取水口断面作为河道生态环境需水量的控制断面，控制断面生态环境需水量见表 2</w:t>
            </w:r>
            <w:r>
              <w:rPr>
                <w:rFonts w:eastAsia="宋体" w:cs="Times New Roman"/>
                <w:bCs/>
                <w:kern w:val="2"/>
                <w:sz w:val="24"/>
                <w:szCs w:val="24"/>
                <w:u w:val="single" w:color="auto"/>
                <w:lang w:val="en-US" w:eastAsia="zh-CN" w:bidi="ar-SA"/>
              </w:rPr>
              <w:t>-</w:t>
            </w:r>
            <w:r>
              <w:rPr>
                <w:rFonts w:eastAsia="宋体" w:cs="Times New Roman" w:hint="eastAsia"/>
                <w:bCs/>
                <w:kern w:val="2"/>
                <w:sz w:val="24"/>
                <w:szCs w:val="24"/>
                <w:u w:val="single" w:color="auto"/>
                <w:lang w:val="en-US" w:eastAsia="zh-CN" w:bidi="ar-SA"/>
              </w:rPr>
              <w:t>10。</w:t>
            </w:r>
          </w:p>
          <w:p>
            <w:pPr>
              <w:pStyle w:val="15"/>
              <w:keepNext w:val="0"/>
              <w:keepLines w:val="0"/>
              <w:pageBreakBefore w:val="0"/>
              <w:widowControl/>
              <w:kinsoku w:val="0"/>
              <w:wordWrap/>
              <w:overflowPunct w:val="0"/>
              <w:topLinePunct w:val="0"/>
              <w:autoSpaceDE/>
              <w:autoSpaceDN/>
              <w:bidi w:val="0"/>
              <w:adjustRightInd/>
              <w:snapToGrid w:val="0"/>
              <w:spacing w:before="0" w:after="0" w:line="360" w:lineRule="auto"/>
              <w:ind w:right="0"/>
              <w:jc w:val="center"/>
              <w:textAlignment w:val="auto"/>
              <w:rPr>
                <w:rFonts w:ascii="Times New Roman" w:eastAsia="宋体" w:cs="Times New Roman" w:hAnsi="Times New Roman" w:hint="eastAsia"/>
                <w:b/>
                <w:color w:val="auto"/>
                <w:kern w:val="0"/>
                <w:sz w:val="21"/>
                <w:szCs w:val="21"/>
                <w:u w:val="single" w:color="auto"/>
                <w:lang w:val="en-US" w:eastAsia="zh-CN" w:bidi="ar-SA"/>
                <w:highlight w:val="none"/>
              </w:rPr>
            </w:pPr>
            <w:bookmarkStart w:id="11" w:name="表4.6-2         太青水库取水口断面生态流量计算成果表"/>
            <w:bookmarkEnd w:id="11"/>
            <w:r>
              <w:rPr>
                <w:rFonts w:ascii="Times New Roman" w:eastAsia="宋体" w:cs="Times New Roman" w:hAnsi="Times New Roman" w:hint="eastAsia"/>
                <w:b/>
                <w:color w:val="auto"/>
                <w:kern w:val="0"/>
                <w:sz w:val="21"/>
                <w:szCs w:val="21"/>
                <w:u w:val="single" w:color="auto"/>
                <w:lang w:val="en-US" w:eastAsia="zh-CN" w:bidi="ar-SA"/>
                <w:highlight w:val="none"/>
              </w:rPr>
              <w:t xml:space="preserve">表 </w:t>
            </w:r>
            <w:r>
              <w:rPr>
                <w:rFonts w:eastAsia="宋体" w:cs="Times New Roman" w:hint="eastAsia"/>
                <w:b/>
                <w:color w:val="auto"/>
                <w:kern w:val="0"/>
                <w:sz w:val="21"/>
                <w:szCs w:val="21"/>
                <w:u w:val="single" w:color="auto"/>
                <w:lang w:val="en-US" w:eastAsia="zh-CN" w:bidi="ar-SA"/>
                <w:highlight w:val="none"/>
              </w:rPr>
              <w:t>2</w:t>
            </w:r>
            <w:r>
              <w:rPr>
                <w:rFonts w:ascii="Times New Roman" w:eastAsia="宋体" w:cs="Times New Roman" w:hAnsi="Times New Roman"/>
                <w:b/>
                <w:color w:val="auto"/>
                <w:kern w:val="0"/>
                <w:sz w:val="21"/>
                <w:szCs w:val="21"/>
                <w:u w:val="single" w:color="auto"/>
                <w:lang w:val="en-US" w:eastAsia="zh-CN" w:bidi="ar-SA"/>
                <w:highlight w:val="none"/>
              </w:rPr>
              <w:t>-</w:t>
            </w:r>
            <w:r>
              <w:rPr>
                <w:rFonts w:eastAsia="宋体" w:cs="Times New Roman" w:hint="eastAsia"/>
                <w:b/>
                <w:color w:val="auto"/>
                <w:kern w:val="0"/>
                <w:sz w:val="21"/>
                <w:szCs w:val="21"/>
                <w:u w:val="single" w:color="auto"/>
                <w:lang w:val="en-US" w:eastAsia="zh-CN" w:bidi="ar-SA"/>
                <w:highlight w:val="none"/>
              </w:rPr>
              <w:t>10</w:t>
            </w:r>
            <w:r>
              <w:rPr>
                <w:rFonts w:ascii="Times New Roman" w:eastAsia="宋体" w:cs="Times New Roman" w:hAnsi="Times New Roman"/>
                <w:b/>
                <w:color w:val="auto"/>
                <w:kern w:val="0"/>
                <w:sz w:val="21"/>
                <w:szCs w:val="21"/>
                <w:u w:val="single" w:color="auto"/>
                <w:lang w:val="en-US" w:eastAsia="zh-CN" w:bidi="ar-SA"/>
                <w:highlight w:val="none"/>
              </w:rPr>
              <w:tab/>
            </w:r>
            <w:r>
              <w:rPr>
                <w:rFonts w:ascii="Times New Roman" w:eastAsia="宋体" w:cs="Times New Roman" w:hAnsi="Times New Roman" w:hint="eastAsia"/>
                <w:b/>
                <w:color w:val="auto"/>
                <w:kern w:val="0"/>
                <w:sz w:val="21"/>
                <w:szCs w:val="21"/>
                <w:u w:val="single" w:color="auto"/>
                <w:lang w:val="en-US" w:eastAsia="zh-CN" w:bidi="ar-SA"/>
                <w:highlight w:val="none"/>
              </w:rPr>
              <w:t>太青水库取水口断面生态流量计算成果表</w:t>
            </w:r>
          </w:p>
          <w:tbl>
            <w:tblPr>
              <w:jc w:val="left"/>
              <w:tblInd w:w="15" w:type="dxa"/>
              <w:tblW w:w="8414" w:type="dxa"/>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1777"/>
              <w:gridCol w:w="1928"/>
              <w:gridCol w:w="2672"/>
              <w:gridCol w:w="2037"/>
            </w:tblGrid>
            <w:tr>
              <w:trPr>
                <w:trHeight w:val="340"/>
              </w:trPr>
              <w:tc>
                <w:tcPr>
                  <w:tcW w:w="177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控制断面</w:t>
                  </w:r>
                </w:p>
              </w:tc>
              <w:tc>
                <w:tcPr>
                  <w:tcW w:w="192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流域面积（</w:t>
                  </w:r>
                  <w:r>
                    <w:rPr>
                      <w:rFonts w:ascii="Times New Roman" w:eastAsia="宋体" w:cs="Times New Roman" w:hAnsi="Times New Roman"/>
                      <w:b/>
                      <w:bCs/>
                      <w:color w:val="auto"/>
                      <w:sz w:val="21"/>
                      <w:szCs w:val="21"/>
                      <w:u w:val="single" w:color="auto"/>
                    </w:rPr>
                    <w:t>km</w:t>
                  </w:r>
                  <w:r>
                    <w:rPr>
                      <w:rFonts w:ascii="Times New Roman" w:eastAsia="宋体" w:cs="Times New Roman" w:hAnsi="Times New Roman"/>
                      <w:b/>
                      <w:bCs/>
                      <w:color w:val="auto"/>
                      <w:sz w:val="21"/>
                      <w:szCs w:val="21"/>
                      <w:u w:val="single" w:color="auto"/>
                      <w:vertAlign w:val="superscript"/>
                    </w:rPr>
                    <w:t>2</w:t>
                  </w:r>
                  <w:r>
                    <w:rPr>
                      <w:rFonts w:ascii="Times New Roman" w:eastAsia="宋体" w:cs="Times New Roman" w:hAnsi="Times New Roman" w:hint="eastAsia"/>
                      <w:b/>
                      <w:bCs/>
                      <w:color w:val="auto"/>
                      <w:sz w:val="21"/>
                      <w:szCs w:val="21"/>
                      <w:u w:val="single" w:color="auto"/>
                    </w:rPr>
                    <w:t>）</w:t>
                  </w:r>
                </w:p>
              </w:tc>
              <w:tc>
                <w:tcPr>
                  <w:tcW w:w="2672"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 xml:space="preserve">多年平均径流量（万 </w:t>
                  </w:r>
                  <w:r>
                    <w:rPr>
                      <w:rFonts w:ascii="Times New Roman" w:eastAsia="宋体" w:cs="Times New Roman" w:hAnsi="Times New Roman"/>
                      <w:b/>
                      <w:bCs/>
                      <w:color w:val="auto"/>
                      <w:sz w:val="21"/>
                      <w:szCs w:val="21"/>
                      <w:u w:val="single" w:color="auto"/>
                    </w:rPr>
                    <w:t>m</w:t>
                  </w:r>
                  <w:r>
                    <w:rPr>
                      <w:rFonts w:ascii="Times New Roman" w:eastAsia="宋体" w:cs="Times New Roman" w:hAnsi="Times New Roman"/>
                      <w:b/>
                      <w:bCs/>
                      <w:color w:val="auto"/>
                      <w:sz w:val="21"/>
                      <w:szCs w:val="21"/>
                      <w:u w:val="single" w:color="auto"/>
                      <w:vertAlign w:val="superscript"/>
                    </w:rPr>
                    <w:t>3</w:t>
                  </w:r>
                  <w:r>
                    <w:rPr>
                      <w:rFonts w:ascii="Times New Roman" w:eastAsia="宋体" w:cs="Times New Roman" w:hAnsi="Times New Roman" w:hint="eastAsia"/>
                      <w:b/>
                      <w:bCs/>
                      <w:color w:val="auto"/>
                      <w:sz w:val="21"/>
                      <w:szCs w:val="21"/>
                      <w:u w:val="single" w:color="auto"/>
                    </w:rPr>
                    <w:t>）</w:t>
                  </w:r>
                </w:p>
              </w:tc>
              <w:tc>
                <w:tcPr>
                  <w:tcW w:w="20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 xml:space="preserve">生态径流（万 </w:t>
                  </w:r>
                  <w:r>
                    <w:rPr>
                      <w:rFonts w:ascii="Times New Roman" w:eastAsia="宋体" w:cs="Times New Roman" w:hAnsi="Times New Roman"/>
                      <w:b/>
                      <w:bCs/>
                      <w:color w:val="auto"/>
                      <w:sz w:val="21"/>
                      <w:szCs w:val="21"/>
                      <w:u w:val="single" w:color="auto"/>
                    </w:rPr>
                    <w:t>m</w:t>
                  </w:r>
                  <w:r>
                    <w:rPr>
                      <w:rFonts w:ascii="Times New Roman" w:eastAsia="宋体" w:cs="Times New Roman" w:hAnsi="Times New Roman"/>
                      <w:b/>
                      <w:bCs/>
                      <w:color w:val="auto"/>
                      <w:sz w:val="21"/>
                      <w:szCs w:val="21"/>
                      <w:u w:val="single" w:color="auto"/>
                      <w:vertAlign w:val="superscript"/>
                    </w:rPr>
                    <w:t>3</w:t>
                  </w:r>
                  <w:r>
                    <w:rPr>
                      <w:rFonts w:ascii="Times New Roman" w:eastAsia="宋体" w:cs="Times New Roman" w:hAnsi="Times New Roman" w:hint="eastAsia"/>
                      <w:b/>
                      <w:bCs/>
                      <w:color w:val="auto"/>
                      <w:sz w:val="21"/>
                      <w:szCs w:val="21"/>
                      <w:u w:val="single" w:color="auto"/>
                    </w:rPr>
                    <w:t>）</w:t>
                  </w:r>
                </w:p>
              </w:tc>
            </w:tr>
            <w:tr>
              <w:trPr>
                <w:trHeight w:val="340"/>
              </w:trPr>
              <w:tc>
                <w:tcPr>
                  <w:tcW w:w="177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hint="eastAsia"/>
                      <w:color w:val="auto"/>
                      <w:sz w:val="21"/>
                      <w:szCs w:val="21"/>
                      <w:u w:val="single" w:color="auto"/>
                    </w:rPr>
                    <w:t>太青水厂取水口</w:t>
                  </w:r>
                </w:p>
              </w:tc>
              <w:tc>
                <w:tcPr>
                  <w:tcW w:w="1928"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36.72</w:t>
                  </w:r>
                </w:p>
              </w:tc>
              <w:tc>
                <w:tcPr>
                  <w:tcW w:w="2672"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1999.05</w:t>
                  </w:r>
                </w:p>
              </w:tc>
              <w:tc>
                <w:tcPr>
                  <w:tcW w:w="20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199.91</w:t>
                  </w:r>
                </w:p>
              </w:tc>
            </w:tr>
          </w:tbl>
          <w:p>
            <w:pPr>
              <w:pStyle w:val="74"/>
              <w:keepNext w:val="0"/>
              <w:keepLines w:val="0"/>
              <w:pageBreakBefore w:val="0"/>
              <w:widowControl w:val="0"/>
              <w:tabs>
                <w:tab w:val="left" w:pos="1321"/>
              </w:tabs>
              <w:kinsoku w:val="0"/>
              <w:wordWrap/>
              <w:overflowPunct w:val="0"/>
              <w:topLinePunct w:val="0"/>
              <w:autoSpaceDE/>
              <w:autoSpaceDN/>
              <w:bidi w:val="0"/>
              <w:adjustRightInd w:val="0"/>
              <w:snapToGrid w:val="0"/>
              <w:spacing w:line="360" w:lineRule="auto"/>
              <w:ind w:left="0" w:firstLineChars="200" w:firstLine="480"/>
              <w:textAlignment w:val="auto"/>
              <w:rPr>
                <w:rFonts w:eastAsia="宋体" w:cs="Times New Roman" w:hint="eastAsia"/>
                <w:bCs/>
                <w:kern w:val="2"/>
                <w:sz w:val="24"/>
                <w:szCs w:val="24"/>
                <w:u w:val="single" w:color="auto"/>
                <w:lang w:val="en-US" w:eastAsia="zh-CN" w:bidi="ar-SA"/>
              </w:rPr>
            </w:pPr>
            <w:r>
              <w:rPr>
                <w:rFonts w:eastAsia="宋体" w:cs="Times New Roman" w:hint="eastAsia"/>
                <w:bCs/>
                <w:kern w:val="2"/>
                <w:sz w:val="24"/>
                <w:szCs w:val="24"/>
                <w:u w:val="single" w:color="auto"/>
                <w:lang w:val="en-US" w:eastAsia="zh-CN" w:bidi="ar-SA"/>
              </w:rPr>
              <w:t>3）太青水库灌溉供水量</w:t>
            </w:r>
          </w:p>
          <w:p>
            <w:pPr>
              <w:pStyle w:val="74"/>
              <w:keepNext w:val="0"/>
              <w:keepLines w:val="0"/>
              <w:pageBreakBefore w:val="0"/>
              <w:widowControl w:val="0"/>
              <w:tabs>
                <w:tab w:val="left" w:pos="1321"/>
              </w:tabs>
              <w:kinsoku w:val="0"/>
              <w:wordWrap/>
              <w:overflowPunct w:val="0"/>
              <w:topLinePunct w:val="0"/>
              <w:autoSpaceDE/>
              <w:autoSpaceDN/>
              <w:bidi w:val="0"/>
              <w:adjustRightInd w:val="0"/>
              <w:snapToGrid w:val="0"/>
              <w:spacing w:line="360" w:lineRule="auto"/>
              <w:ind w:left="0" w:firstLineChars="200" w:firstLine="480"/>
              <w:textAlignment w:val="auto"/>
              <w:rPr>
                <w:rFonts w:eastAsia="宋体" w:cs="Times New Roman" w:hint="eastAsia"/>
                <w:bCs/>
                <w:kern w:val="2"/>
                <w:sz w:val="24"/>
                <w:szCs w:val="24"/>
                <w:u w:val="single" w:color="auto"/>
                <w:lang w:val="en-US" w:eastAsia="zh-CN" w:bidi="ar-SA"/>
              </w:rPr>
            </w:pPr>
            <w:r>
              <w:rPr>
                <w:rFonts w:eastAsia="宋体" w:cs="Times New Roman" w:hint="eastAsia"/>
                <w:bCs/>
                <w:kern w:val="2"/>
                <w:sz w:val="24"/>
                <w:szCs w:val="24"/>
                <w:u w:val="single" w:color="auto"/>
                <w:lang w:val="en-US" w:eastAsia="zh-CN" w:bidi="ar-SA"/>
              </w:rPr>
              <w:t>根据《湖南省澧县山门太青灌区续建配套与节水改造（</w:t>
            </w:r>
            <w:r>
              <w:rPr>
                <w:rFonts w:eastAsia="宋体" w:cs="Times New Roman"/>
                <w:bCs/>
                <w:kern w:val="2"/>
                <w:sz w:val="24"/>
                <w:szCs w:val="24"/>
                <w:u w:val="single" w:color="auto"/>
                <w:lang w:val="en-US" w:eastAsia="zh-CN" w:bidi="ar-SA"/>
              </w:rPr>
              <w:t>2021-2022</w:t>
            </w:r>
            <w:r>
              <w:rPr>
                <w:rFonts w:eastAsia="宋体" w:cs="Times New Roman" w:hint="eastAsia"/>
                <w:bCs/>
                <w:kern w:val="2"/>
                <w:sz w:val="24"/>
                <w:szCs w:val="24"/>
                <w:u w:val="single" w:color="auto"/>
                <w:lang w:val="en-US" w:eastAsia="zh-CN" w:bidi="ar-SA"/>
              </w:rPr>
              <w:t xml:space="preserve">）总体方案报告》（中国水利水电第八工程局有限公司 </w:t>
            </w:r>
            <w:r>
              <w:rPr>
                <w:rFonts w:eastAsia="宋体" w:cs="Times New Roman"/>
                <w:bCs/>
                <w:kern w:val="2"/>
                <w:sz w:val="24"/>
                <w:szCs w:val="24"/>
                <w:u w:val="single" w:color="auto"/>
                <w:lang w:val="en-US" w:eastAsia="zh-CN" w:bidi="ar-SA"/>
              </w:rPr>
              <w:t xml:space="preserve">2020 </w:t>
            </w:r>
            <w:r>
              <w:rPr>
                <w:rFonts w:eastAsia="宋体" w:cs="Times New Roman" w:hint="eastAsia"/>
                <w:bCs/>
                <w:kern w:val="2"/>
                <w:sz w:val="24"/>
                <w:szCs w:val="24"/>
                <w:u w:val="single" w:color="auto"/>
                <w:lang w:val="en-US" w:eastAsia="zh-CN" w:bidi="ar-SA"/>
              </w:rPr>
              <w:t xml:space="preserve">年 </w:t>
            </w:r>
            <w:r>
              <w:rPr>
                <w:rFonts w:eastAsia="宋体" w:cs="Times New Roman"/>
                <w:bCs/>
                <w:kern w:val="2"/>
                <w:sz w:val="24"/>
                <w:szCs w:val="24"/>
                <w:u w:val="single" w:color="auto"/>
                <w:lang w:val="en-US" w:eastAsia="zh-CN" w:bidi="ar-SA"/>
              </w:rPr>
              <w:t xml:space="preserve">8 </w:t>
            </w:r>
            <w:r>
              <w:rPr>
                <w:rFonts w:eastAsia="宋体" w:cs="Times New Roman" w:hint="eastAsia"/>
                <w:bCs/>
                <w:kern w:val="2"/>
                <w:sz w:val="24"/>
                <w:szCs w:val="24"/>
                <w:u w:val="single" w:color="auto"/>
                <w:lang w:val="en-US" w:eastAsia="zh-CN" w:bidi="ar-SA"/>
              </w:rPr>
              <w:t xml:space="preserve">月） 中太青片区 </w:t>
            </w:r>
            <w:r>
              <w:rPr>
                <w:rFonts w:eastAsia="宋体" w:cs="Times New Roman"/>
                <w:bCs/>
                <w:kern w:val="2"/>
                <w:sz w:val="24"/>
                <w:szCs w:val="24"/>
                <w:u w:val="single" w:color="auto"/>
                <w:lang w:val="en-US" w:eastAsia="zh-CN" w:bidi="ar-SA"/>
              </w:rPr>
              <w:t>P=80%</w:t>
            </w:r>
            <w:r>
              <w:rPr>
                <w:rFonts w:eastAsia="宋体" w:cs="Times New Roman" w:hint="eastAsia"/>
                <w:bCs/>
                <w:kern w:val="2"/>
                <w:sz w:val="24"/>
                <w:szCs w:val="24"/>
                <w:u w:val="single" w:color="auto"/>
                <w:lang w:val="en-US" w:eastAsia="zh-CN" w:bidi="ar-SA"/>
              </w:rPr>
              <w:t xml:space="preserve">灌溉净需水量 </w:t>
            </w:r>
            <w:r>
              <w:rPr>
                <w:rFonts w:eastAsia="宋体" w:cs="Times New Roman"/>
                <w:bCs/>
                <w:kern w:val="2"/>
                <w:sz w:val="24"/>
                <w:szCs w:val="24"/>
                <w:u w:val="single" w:color="auto"/>
                <w:lang w:val="en-US" w:eastAsia="zh-CN" w:bidi="ar-SA"/>
              </w:rPr>
              <w:t xml:space="preserve">1170.89 </w:t>
            </w:r>
            <w:r>
              <w:rPr>
                <w:rFonts w:eastAsia="宋体" w:cs="Times New Roman" w:hint="eastAsia"/>
                <w:bCs/>
                <w:kern w:val="2"/>
                <w:sz w:val="24"/>
                <w:szCs w:val="24"/>
                <w:u w:val="single" w:color="auto"/>
                <w:lang w:val="en-US" w:eastAsia="zh-CN" w:bidi="ar-SA"/>
              </w:rPr>
              <w:t xml:space="preserve">万 </w:t>
            </w:r>
            <w:r>
              <w:rPr>
                <w:rFonts w:eastAsia="宋体" w:cs="Times New Roman"/>
                <w:bCs/>
                <w:kern w:val="2"/>
                <w:sz w:val="24"/>
                <w:szCs w:val="24"/>
                <w:u w:val="single" w:color="auto"/>
                <w:lang w:val="en-US" w:eastAsia="zh-CN" w:bidi="ar-SA"/>
              </w:rPr>
              <w:t>m</w:t>
            </w:r>
            <w:r>
              <w:rPr>
                <w:rFonts w:eastAsia="宋体" w:cs="Times New Roman"/>
                <w:bCs/>
                <w:kern w:val="2"/>
                <w:sz w:val="24"/>
                <w:szCs w:val="24"/>
                <w:u w:val="single" w:color="auto"/>
                <w:vertAlign w:val="superscript"/>
                <w:lang w:val="en-US" w:eastAsia="zh-CN" w:bidi="ar-SA"/>
              </w:rPr>
              <w:t>3</w:t>
            </w:r>
            <w:r>
              <w:rPr>
                <w:rFonts w:eastAsia="宋体" w:cs="Times New Roman" w:hint="eastAsia"/>
                <w:bCs/>
                <w:kern w:val="2"/>
                <w:sz w:val="24"/>
                <w:szCs w:val="24"/>
                <w:u w:val="single" w:color="auto"/>
                <w:lang w:val="en-US" w:eastAsia="zh-CN" w:bidi="ar-SA"/>
              </w:rPr>
              <w:t xml:space="preserve">，毛需水量 </w:t>
            </w:r>
            <w:r>
              <w:rPr>
                <w:rFonts w:eastAsia="宋体" w:cs="Times New Roman"/>
                <w:bCs/>
                <w:kern w:val="2"/>
                <w:sz w:val="24"/>
                <w:szCs w:val="24"/>
                <w:u w:val="single" w:color="auto"/>
                <w:lang w:val="en-US" w:eastAsia="zh-CN" w:bidi="ar-SA"/>
              </w:rPr>
              <w:t>1801.37</w:t>
            </w:r>
            <w:r>
              <w:rPr>
                <w:rFonts w:eastAsia="宋体" w:cs="Times New Roman" w:hint="eastAsia"/>
                <w:bCs/>
                <w:kern w:val="2"/>
                <w:sz w:val="24"/>
                <w:szCs w:val="24"/>
                <w:u w:val="single" w:color="auto"/>
                <w:lang w:val="en-US" w:eastAsia="zh-CN" w:bidi="ar-SA"/>
              </w:rPr>
              <w:t xml:space="preserve">万 </w:t>
            </w:r>
            <w:r>
              <w:rPr>
                <w:rFonts w:eastAsia="宋体" w:cs="Times New Roman"/>
                <w:bCs/>
                <w:kern w:val="2"/>
                <w:sz w:val="24"/>
                <w:szCs w:val="24"/>
                <w:u w:val="single" w:color="auto"/>
                <w:lang w:val="en-US" w:eastAsia="zh-CN" w:bidi="ar-SA"/>
              </w:rPr>
              <w:t>m</w:t>
            </w:r>
            <w:r>
              <w:rPr>
                <w:rFonts w:eastAsia="宋体" w:cs="Times New Roman"/>
                <w:bCs/>
                <w:kern w:val="2"/>
                <w:sz w:val="24"/>
                <w:szCs w:val="24"/>
                <w:u w:val="single" w:color="auto"/>
                <w:vertAlign w:val="superscript"/>
                <w:lang w:val="en-US" w:eastAsia="zh-CN" w:bidi="ar-SA"/>
              </w:rPr>
              <w:t>3</w:t>
            </w:r>
            <w:r>
              <w:rPr>
                <w:rFonts w:eastAsia="宋体" w:cs="Times New Roman" w:hint="eastAsia"/>
                <w:bCs/>
                <w:kern w:val="2"/>
                <w:sz w:val="24"/>
                <w:szCs w:val="24"/>
                <w:u w:val="single" w:color="auto"/>
                <w:lang w:val="en-US" w:eastAsia="zh-CN" w:bidi="ar-SA"/>
              </w:rPr>
              <w:t xml:space="preserve">；太青片区有水氽、双峰 </w:t>
            </w:r>
            <w:r>
              <w:rPr>
                <w:rFonts w:eastAsia="宋体" w:cs="Times New Roman"/>
                <w:bCs/>
                <w:kern w:val="2"/>
                <w:sz w:val="24"/>
                <w:szCs w:val="24"/>
                <w:u w:val="single" w:color="auto"/>
                <w:lang w:val="en-US" w:eastAsia="zh-CN" w:bidi="ar-SA"/>
              </w:rPr>
              <w:t xml:space="preserve">2 </w:t>
            </w:r>
            <w:r>
              <w:rPr>
                <w:rFonts w:eastAsia="宋体" w:cs="Times New Roman" w:hint="eastAsia"/>
                <w:bCs/>
                <w:kern w:val="2"/>
                <w:sz w:val="24"/>
                <w:szCs w:val="24"/>
                <w:u w:val="single" w:color="auto"/>
                <w:lang w:val="en-US" w:eastAsia="zh-CN" w:bidi="ar-SA"/>
              </w:rPr>
              <w:t>座小（</w:t>
            </w:r>
            <w:r>
              <w:rPr>
                <w:rFonts w:eastAsia="宋体" w:cs="Times New Roman"/>
                <w:bCs/>
                <w:kern w:val="2"/>
                <w:sz w:val="24"/>
                <w:szCs w:val="24"/>
                <w:u w:val="single" w:color="auto"/>
                <w:lang w:val="en-US" w:eastAsia="zh-CN" w:bidi="ar-SA"/>
              </w:rPr>
              <w:t>Ⅰ</w:t>
            </w:r>
            <w:r>
              <w:rPr>
                <w:rFonts w:eastAsia="宋体" w:cs="Times New Roman" w:hint="eastAsia"/>
                <w:bCs/>
                <w:kern w:val="2"/>
                <w:sz w:val="24"/>
                <w:szCs w:val="24"/>
                <w:u w:val="single" w:color="auto"/>
                <w:lang w:val="en-US" w:eastAsia="zh-CN" w:bidi="ar-SA"/>
              </w:rPr>
              <w:t xml:space="preserve">）水库，产水量 </w:t>
            </w:r>
            <w:r>
              <w:rPr>
                <w:rFonts w:eastAsia="宋体" w:cs="Times New Roman"/>
                <w:bCs/>
                <w:kern w:val="2"/>
                <w:sz w:val="24"/>
                <w:szCs w:val="24"/>
                <w:u w:val="single" w:color="auto"/>
                <w:lang w:val="en-US" w:eastAsia="zh-CN" w:bidi="ar-SA"/>
              </w:rPr>
              <w:t xml:space="preserve">281.10 </w:t>
            </w:r>
            <w:r>
              <w:rPr>
                <w:rFonts w:eastAsia="宋体" w:cs="Times New Roman" w:hint="eastAsia"/>
                <w:bCs/>
                <w:kern w:val="2"/>
                <w:sz w:val="24"/>
                <w:szCs w:val="24"/>
                <w:u w:val="single" w:color="auto"/>
                <w:lang w:val="en-US" w:eastAsia="zh-CN" w:bidi="ar-SA"/>
              </w:rPr>
              <w:t xml:space="preserve">万 </w:t>
            </w:r>
            <w:r>
              <w:rPr>
                <w:rFonts w:eastAsia="宋体" w:cs="Times New Roman"/>
                <w:bCs/>
                <w:kern w:val="2"/>
                <w:sz w:val="24"/>
                <w:szCs w:val="24"/>
                <w:u w:val="single" w:color="auto"/>
                <w:lang w:val="en-US" w:eastAsia="zh-CN" w:bidi="ar-SA"/>
              </w:rPr>
              <w:t>m</w:t>
            </w:r>
            <w:r>
              <w:rPr>
                <w:rFonts w:eastAsia="宋体" w:cs="Times New Roman"/>
                <w:bCs/>
                <w:kern w:val="2"/>
                <w:sz w:val="24"/>
                <w:szCs w:val="24"/>
                <w:u w:val="single" w:color="auto"/>
                <w:vertAlign w:val="superscript"/>
                <w:lang w:val="en-US" w:eastAsia="zh-CN" w:bidi="ar-SA"/>
              </w:rPr>
              <w:t>3</w:t>
            </w:r>
            <w:r>
              <w:rPr>
                <w:rFonts w:eastAsia="宋体" w:cs="Times New Roman" w:hint="eastAsia"/>
                <w:bCs/>
                <w:kern w:val="2"/>
                <w:sz w:val="24"/>
                <w:szCs w:val="24"/>
                <w:u w:val="single" w:color="auto"/>
                <w:lang w:val="en-US" w:eastAsia="zh-CN" w:bidi="ar-SA"/>
              </w:rPr>
              <w:t>；小（</w:t>
            </w:r>
            <w:r>
              <w:rPr>
                <w:rFonts w:eastAsia="宋体" w:cs="Times New Roman"/>
                <w:bCs/>
                <w:kern w:val="2"/>
                <w:sz w:val="24"/>
                <w:szCs w:val="24"/>
                <w:u w:val="single" w:color="auto"/>
                <w:lang w:val="en-US" w:eastAsia="zh-CN" w:bidi="ar-SA"/>
              </w:rPr>
              <w:t>Ⅱ</w:t>
            </w:r>
            <w:r>
              <w:rPr>
                <w:rFonts w:eastAsia="宋体" w:cs="Times New Roman" w:hint="eastAsia"/>
                <w:bCs/>
                <w:kern w:val="2"/>
                <w:sz w:val="24"/>
                <w:szCs w:val="24"/>
                <w:u w:val="single" w:color="auto"/>
                <w:lang w:val="en-US" w:eastAsia="zh-CN" w:bidi="ar-SA"/>
              </w:rPr>
              <w:t xml:space="preserve">）型水库 </w:t>
            </w:r>
            <w:r>
              <w:rPr>
                <w:rFonts w:eastAsia="宋体" w:cs="Times New Roman"/>
                <w:bCs/>
                <w:kern w:val="2"/>
                <w:sz w:val="24"/>
                <w:szCs w:val="24"/>
                <w:u w:val="single" w:color="auto"/>
                <w:lang w:val="en-US" w:eastAsia="zh-CN" w:bidi="ar-SA"/>
              </w:rPr>
              <w:t xml:space="preserve">4 </w:t>
            </w:r>
            <w:r>
              <w:rPr>
                <w:rFonts w:eastAsia="宋体" w:cs="Times New Roman" w:hint="eastAsia"/>
                <w:bCs/>
                <w:kern w:val="2"/>
                <w:sz w:val="24"/>
                <w:szCs w:val="24"/>
                <w:u w:val="single" w:color="auto"/>
                <w:lang w:val="en-US" w:eastAsia="zh-CN" w:bidi="ar-SA"/>
              </w:rPr>
              <w:t xml:space="preserve">座，产水量 </w:t>
            </w:r>
            <w:r>
              <w:rPr>
                <w:rFonts w:eastAsia="宋体" w:cs="Times New Roman"/>
                <w:bCs/>
                <w:kern w:val="2"/>
                <w:sz w:val="24"/>
                <w:szCs w:val="24"/>
                <w:u w:val="single" w:color="auto"/>
                <w:lang w:val="en-US" w:eastAsia="zh-CN" w:bidi="ar-SA"/>
              </w:rPr>
              <w:t xml:space="preserve">111.10 </w:t>
            </w:r>
            <w:r>
              <w:rPr>
                <w:rFonts w:eastAsia="宋体" w:cs="Times New Roman" w:hint="eastAsia"/>
                <w:bCs/>
                <w:kern w:val="2"/>
                <w:sz w:val="24"/>
                <w:szCs w:val="24"/>
                <w:u w:val="single" w:color="auto"/>
                <w:lang w:val="en-US" w:eastAsia="zh-CN" w:bidi="ar-SA"/>
              </w:rPr>
              <w:t xml:space="preserve">万 </w:t>
            </w:r>
            <w:r>
              <w:rPr>
                <w:rFonts w:eastAsia="宋体" w:cs="Times New Roman"/>
                <w:bCs/>
                <w:kern w:val="2"/>
                <w:sz w:val="24"/>
                <w:szCs w:val="24"/>
                <w:u w:val="single" w:color="auto"/>
                <w:lang w:val="en-US" w:eastAsia="zh-CN" w:bidi="ar-SA"/>
              </w:rPr>
              <w:t>m</w:t>
            </w:r>
            <w:r>
              <w:rPr>
                <w:rFonts w:eastAsia="宋体" w:cs="Times New Roman"/>
                <w:bCs/>
                <w:kern w:val="2"/>
                <w:sz w:val="24"/>
                <w:szCs w:val="24"/>
                <w:u w:val="single" w:color="auto"/>
                <w:vertAlign w:val="superscript"/>
                <w:lang w:val="en-US" w:eastAsia="zh-CN" w:bidi="ar-SA"/>
              </w:rPr>
              <w:t>3</w:t>
            </w:r>
            <w:r>
              <w:rPr>
                <w:rFonts w:eastAsia="宋体" w:cs="Times New Roman" w:hint="eastAsia"/>
                <w:bCs/>
                <w:kern w:val="2"/>
                <w:sz w:val="24"/>
                <w:szCs w:val="24"/>
                <w:u w:val="single" w:color="auto"/>
                <w:lang w:val="en-US" w:eastAsia="zh-CN" w:bidi="ar-SA"/>
              </w:rPr>
              <w:t xml:space="preserve">；塘坝及其他 </w:t>
            </w:r>
            <w:r>
              <w:rPr>
                <w:rFonts w:eastAsia="宋体" w:cs="Times New Roman"/>
                <w:bCs/>
                <w:kern w:val="2"/>
                <w:sz w:val="24"/>
                <w:szCs w:val="24"/>
                <w:u w:val="single" w:color="auto"/>
                <w:lang w:val="en-US" w:eastAsia="zh-CN" w:bidi="ar-SA"/>
              </w:rPr>
              <w:t xml:space="preserve">1658 </w:t>
            </w:r>
            <w:r>
              <w:rPr>
                <w:rFonts w:eastAsia="宋体" w:cs="Times New Roman" w:hint="eastAsia"/>
                <w:bCs/>
                <w:kern w:val="2"/>
                <w:sz w:val="24"/>
                <w:szCs w:val="24"/>
                <w:u w:val="single" w:color="auto"/>
                <w:lang w:val="en-US" w:eastAsia="zh-CN" w:bidi="ar-SA"/>
              </w:rPr>
              <w:t xml:space="preserve">处，产水量 </w:t>
            </w:r>
            <w:r>
              <w:rPr>
                <w:rFonts w:eastAsia="宋体" w:cs="Times New Roman"/>
                <w:bCs/>
                <w:kern w:val="2"/>
                <w:sz w:val="24"/>
                <w:szCs w:val="24"/>
                <w:u w:val="single" w:color="auto"/>
                <w:lang w:val="en-US" w:eastAsia="zh-CN" w:bidi="ar-SA"/>
              </w:rPr>
              <w:t xml:space="preserve">585.00 </w:t>
            </w:r>
            <w:r>
              <w:rPr>
                <w:rFonts w:eastAsia="宋体" w:cs="Times New Roman" w:hint="eastAsia"/>
                <w:bCs/>
                <w:kern w:val="2"/>
                <w:sz w:val="24"/>
                <w:szCs w:val="24"/>
                <w:u w:val="single" w:color="auto"/>
                <w:lang w:val="en-US" w:eastAsia="zh-CN" w:bidi="ar-SA"/>
              </w:rPr>
              <w:t xml:space="preserve">万 </w:t>
            </w:r>
            <w:r>
              <w:rPr>
                <w:rFonts w:eastAsia="宋体" w:cs="Times New Roman"/>
                <w:bCs/>
                <w:kern w:val="2"/>
                <w:sz w:val="24"/>
                <w:szCs w:val="24"/>
                <w:u w:val="single" w:color="auto"/>
                <w:lang w:val="en-US" w:eastAsia="zh-CN" w:bidi="ar-SA"/>
              </w:rPr>
              <w:t>m</w:t>
            </w:r>
            <w:r>
              <w:rPr>
                <w:rFonts w:eastAsia="宋体" w:cs="Times New Roman"/>
                <w:bCs/>
                <w:kern w:val="2"/>
                <w:sz w:val="24"/>
                <w:szCs w:val="24"/>
                <w:u w:val="single" w:color="auto"/>
                <w:vertAlign w:val="superscript"/>
                <w:lang w:val="en-US" w:eastAsia="zh-CN" w:bidi="ar-SA"/>
              </w:rPr>
              <w:t>3</w:t>
            </w:r>
            <w:r>
              <w:rPr>
                <w:rFonts w:eastAsia="宋体" w:cs="Times New Roman" w:hint="eastAsia"/>
                <w:bCs/>
                <w:kern w:val="2"/>
                <w:sz w:val="24"/>
                <w:szCs w:val="24"/>
                <w:u w:val="single" w:color="auto"/>
                <w:lang w:val="en-US" w:eastAsia="zh-CN" w:bidi="ar-SA"/>
              </w:rPr>
              <w:t xml:space="preserve">，太青片区基础设施总产水量 </w:t>
            </w:r>
            <w:r>
              <w:rPr>
                <w:rFonts w:eastAsia="宋体" w:cs="Times New Roman"/>
                <w:bCs/>
                <w:kern w:val="2"/>
                <w:sz w:val="24"/>
                <w:szCs w:val="24"/>
                <w:u w:val="single" w:color="auto"/>
                <w:lang w:val="en-US" w:eastAsia="zh-CN" w:bidi="ar-SA"/>
              </w:rPr>
              <w:t xml:space="preserve">977.18 </w:t>
            </w:r>
            <w:r>
              <w:rPr>
                <w:rFonts w:eastAsia="宋体" w:cs="Times New Roman" w:hint="eastAsia"/>
                <w:bCs/>
                <w:kern w:val="2"/>
                <w:sz w:val="24"/>
                <w:szCs w:val="24"/>
                <w:u w:val="single" w:color="auto"/>
                <w:lang w:val="en-US" w:eastAsia="zh-CN" w:bidi="ar-SA"/>
              </w:rPr>
              <w:t xml:space="preserve">万 </w:t>
            </w:r>
            <w:r>
              <w:rPr>
                <w:rFonts w:eastAsia="宋体" w:cs="Times New Roman"/>
                <w:bCs/>
                <w:kern w:val="2"/>
                <w:sz w:val="24"/>
                <w:szCs w:val="24"/>
                <w:u w:val="single" w:color="auto"/>
                <w:lang w:val="en-US" w:eastAsia="zh-CN" w:bidi="ar-SA"/>
              </w:rPr>
              <w:t>m</w:t>
            </w:r>
            <w:r>
              <w:rPr>
                <w:rFonts w:eastAsia="宋体" w:cs="Times New Roman"/>
                <w:bCs/>
                <w:kern w:val="2"/>
                <w:sz w:val="24"/>
                <w:szCs w:val="24"/>
                <w:u w:val="single" w:color="auto"/>
                <w:vertAlign w:val="superscript"/>
                <w:lang w:val="en-US" w:eastAsia="zh-CN" w:bidi="ar-SA"/>
              </w:rPr>
              <w:t>3</w:t>
            </w:r>
            <w:r>
              <w:rPr>
                <w:rFonts w:eastAsia="宋体" w:cs="Times New Roman" w:hint="eastAsia"/>
                <w:bCs/>
                <w:kern w:val="2"/>
                <w:sz w:val="24"/>
                <w:szCs w:val="24"/>
                <w:u w:val="single" w:color="auto"/>
                <w:lang w:val="en-US" w:eastAsia="zh-CN" w:bidi="ar-SA"/>
              </w:rPr>
              <w:t xml:space="preserve">，需太青水库供水 </w:t>
            </w:r>
            <w:r>
              <w:rPr>
                <w:rFonts w:eastAsia="宋体" w:cs="Times New Roman"/>
                <w:bCs/>
                <w:kern w:val="2"/>
                <w:sz w:val="24"/>
                <w:szCs w:val="24"/>
                <w:u w:val="single" w:color="auto"/>
                <w:lang w:val="en-US" w:eastAsia="zh-CN" w:bidi="ar-SA"/>
              </w:rPr>
              <w:t xml:space="preserve">824.19 </w:t>
            </w:r>
            <w:r>
              <w:rPr>
                <w:rFonts w:eastAsia="宋体" w:cs="Times New Roman" w:hint="eastAsia"/>
                <w:bCs/>
                <w:kern w:val="2"/>
                <w:sz w:val="24"/>
                <w:szCs w:val="24"/>
                <w:u w:val="single" w:color="auto"/>
                <w:lang w:val="en-US" w:eastAsia="zh-CN" w:bidi="ar-SA"/>
              </w:rPr>
              <w:t xml:space="preserve">万 </w:t>
            </w:r>
            <w:r>
              <w:rPr>
                <w:rFonts w:eastAsia="宋体" w:cs="Times New Roman"/>
                <w:bCs/>
                <w:kern w:val="2"/>
                <w:sz w:val="24"/>
                <w:szCs w:val="24"/>
                <w:u w:val="single" w:color="auto"/>
                <w:lang w:val="en-US" w:eastAsia="zh-CN" w:bidi="ar-SA"/>
              </w:rPr>
              <w:t>m</w:t>
            </w:r>
            <w:r>
              <w:rPr>
                <w:rFonts w:eastAsia="宋体" w:cs="Times New Roman"/>
                <w:bCs/>
                <w:kern w:val="2"/>
                <w:sz w:val="24"/>
                <w:szCs w:val="24"/>
                <w:u w:val="single" w:color="auto"/>
                <w:vertAlign w:val="superscript"/>
                <w:lang w:val="en-US" w:eastAsia="zh-CN" w:bidi="ar-SA"/>
              </w:rPr>
              <w:t>3</w:t>
            </w:r>
            <w:r>
              <w:rPr>
                <w:rFonts w:eastAsia="宋体" w:cs="Times New Roman" w:hint="eastAsia"/>
                <w:bCs/>
                <w:kern w:val="2"/>
                <w:sz w:val="24"/>
                <w:szCs w:val="24"/>
                <w:u w:val="single" w:color="auto"/>
                <w:lang w:val="en-US" w:eastAsia="zh-CN" w:bidi="ar-SA"/>
              </w:rPr>
              <w:t>。</w:t>
            </w:r>
          </w:p>
          <w:p>
            <w:pPr>
              <w:pStyle w:val="15"/>
              <w:keepNext w:val="0"/>
              <w:keepLines w:val="0"/>
              <w:pageBreakBefore w:val="0"/>
              <w:widowControl/>
              <w:kinsoku w:val="0"/>
              <w:wordWrap/>
              <w:overflowPunct w:val="0"/>
              <w:topLinePunct w:val="0"/>
              <w:autoSpaceDE/>
              <w:autoSpaceDN/>
              <w:bidi w:val="0"/>
              <w:adjustRightInd/>
              <w:snapToGrid w:val="0"/>
              <w:spacing w:before="0" w:after="0" w:line="360" w:lineRule="auto"/>
              <w:ind w:right="0"/>
              <w:jc w:val="center"/>
              <w:textAlignment w:val="auto"/>
              <w:rPr>
                <w:rFonts w:ascii="Times New Roman" w:eastAsia="宋体" w:cs="Times New Roman" w:hAnsi="Times New Roman" w:hint="eastAsia"/>
                <w:b/>
                <w:color w:val="auto"/>
                <w:kern w:val="0"/>
                <w:sz w:val="21"/>
                <w:szCs w:val="21"/>
                <w:u w:val="single" w:color="auto"/>
                <w:lang w:val="en-US" w:eastAsia="zh-CN" w:bidi="ar-SA"/>
                <w:highlight w:val="none"/>
              </w:rPr>
            </w:pPr>
            <w:bookmarkStart w:id="12" w:name="表4.6-3                太青水库灌溉供水量计算成果表"/>
            <w:bookmarkEnd w:id="12"/>
            <w:r>
              <w:rPr>
                <w:rFonts w:ascii="Times New Roman" w:eastAsia="宋体" w:cs="Times New Roman" w:hAnsi="Times New Roman" w:hint="eastAsia"/>
                <w:b/>
                <w:color w:val="auto"/>
                <w:kern w:val="0"/>
                <w:sz w:val="21"/>
                <w:szCs w:val="21"/>
                <w:u w:val="single" w:color="auto"/>
                <w:lang w:val="en-US" w:eastAsia="zh-CN" w:bidi="ar-SA"/>
                <w:highlight w:val="none"/>
              </w:rPr>
              <w:t>表</w:t>
            </w:r>
            <w:r>
              <w:rPr>
                <w:rFonts w:eastAsia="宋体" w:cs="Times New Roman" w:hint="eastAsia"/>
                <w:b/>
                <w:color w:val="auto"/>
                <w:kern w:val="0"/>
                <w:sz w:val="21"/>
                <w:szCs w:val="21"/>
                <w:u w:val="single" w:color="auto"/>
                <w:lang w:val="en-US" w:eastAsia="zh-CN" w:bidi="ar-SA"/>
                <w:highlight w:val="none"/>
              </w:rPr>
              <w:t>2</w:t>
            </w:r>
            <w:r>
              <w:rPr>
                <w:rFonts w:ascii="Times New Roman" w:eastAsia="宋体" w:cs="Times New Roman" w:hAnsi="Times New Roman"/>
                <w:b/>
                <w:color w:val="auto"/>
                <w:kern w:val="0"/>
                <w:sz w:val="21"/>
                <w:szCs w:val="21"/>
                <w:u w:val="single" w:color="auto"/>
                <w:lang w:val="en-US" w:eastAsia="zh-CN" w:bidi="ar-SA"/>
                <w:highlight w:val="none"/>
              </w:rPr>
              <w:t>-</w:t>
            </w:r>
            <w:r>
              <w:rPr>
                <w:rFonts w:eastAsia="宋体" w:cs="Times New Roman" w:hint="eastAsia"/>
                <w:b/>
                <w:color w:val="auto"/>
                <w:kern w:val="0"/>
                <w:sz w:val="21"/>
                <w:szCs w:val="21"/>
                <w:u w:val="single" w:color="auto"/>
                <w:lang w:val="en-US" w:eastAsia="zh-CN" w:bidi="ar-SA"/>
                <w:highlight w:val="none"/>
              </w:rPr>
              <w:t>11</w:t>
            </w:r>
            <w:r>
              <w:rPr>
                <w:rFonts w:ascii="Times New Roman" w:eastAsia="宋体" w:cs="Times New Roman" w:hAnsi="Times New Roman"/>
                <w:b/>
                <w:color w:val="auto"/>
                <w:kern w:val="0"/>
                <w:sz w:val="21"/>
                <w:szCs w:val="21"/>
                <w:u w:val="single" w:color="auto"/>
                <w:lang w:val="en-US" w:eastAsia="zh-CN" w:bidi="ar-SA"/>
                <w:highlight w:val="none"/>
              </w:rPr>
              <w:tab/>
            </w:r>
            <w:r>
              <w:rPr>
                <w:rFonts w:ascii="Times New Roman" w:eastAsia="宋体" w:cs="Times New Roman" w:hAnsi="Times New Roman" w:hint="eastAsia"/>
                <w:b/>
                <w:color w:val="auto"/>
                <w:kern w:val="0"/>
                <w:sz w:val="21"/>
                <w:szCs w:val="21"/>
                <w:u w:val="single" w:color="auto"/>
                <w:lang w:val="en-US" w:eastAsia="zh-CN" w:bidi="ar-SA"/>
                <w:highlight w:val="none"/>
              </w:rPr>
              <w:t>太青水库灌溉供水量计算成果表</w:t>
            </w:r>
          </w:p>
          <w:tbl>
            <w:tblPr>
              <w:jc w:val="left"/>
              <w:tblInd w:w="15" w:type="dxa"/>
              <w:tblW w:w="8414" w:type="dxa"/>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2311"/>
              <w:gridCol w:w="1466"/>
              <w:gridCol w:w="1769"/>
              <w:gridCol w:w="786"/>
              <w:gridCol w:w="2082"/>
            </w:tblGrid>
            <w:tr>
              <w:trPr>
                <w:trHeight w:val="340"/>
              </w:trPr>
              <w:tc>
                <w:tcPr>
                  <w:tcW w:w="2311" w:type="dxa"/>
                  <w:vMerge w:val="restart"/>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太青片区灌溉需水量</w:t>
                  </w:r>
                </w:p>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b/>
                      <w:bCs/>
                      <w:color w:val="auto"/>
                      <w:sz w:val="21"/>
                      <w:szCs w:val="21"/>
                      <w:u w:val="single" w:color="auto"/>
                    </w:rPr>
                    <w:t>P=80%</w:t>
                  </w:r>
                  <w:r>
                    <w:rPr>
                      <w:rFonts w:ascii="Times New Roman" w:eastAsia="宋体" w:cs="Times New Roman" w:hAnsi="Times New Roman" w:hint="eastAsia"/>
                      <w:b/>
                      <w:bCs/>
                      <w:color w:val="auto"/>
                      <w:sz w:val="21"/>
                      <w:szCs w:val="21"/>
                      <w:u w:val="single" w:color="auto"/>
                    </w:rPr>
                    <w:t xml:space="preserve">（万 </w:t>
                  </w:r>
                  <w:r>
                    <w:rPr>
                      <w:rFonts w:ascii="Times New Roman" w:eastAsia="宋体" w:cs="Times New Roman" w:hAnsi="Times New Roman"/>
                      <w:b/>
                      <w:bCs/>
                      <w:color w:val="auto"/>
                      <w:sz w:val="21"/>
                      <w:szCs w:val="21"/>
                      <w:u w:val="single" w:color="auto"/>
                    </w:rPr>
                    <w:t>m</w:t>
                  </w:r>
                  <w:r>
                    <w:rPr>
                      <w:rFonts w:ascii="Times New Roman" w:eastAsia="宋体" w:cs="Times New Roman" w:hAnsi="Times New Roman"/>
                      <w:b/>
                      <w:bCs/>
                      <w:color w:val="auto"/>
                      <w:sz w:val="21"/>
                      <w:szCs w:val="21"/>
                      <w:u w:val="single" w:color="auto"/>
                      <w:vertAlign w:val="superscript"/>
                    </w:rPr>
                    <w:t>3</w:t>
                  </w:r>
                  <w:r>
                    <w:rPr>
                      <w:rFonts w:ascii="Times New Roman" w:eastAsia="宋体" w:cs="Times New Roman" w:hAnsi="Times New Roman" w:hint="eastAsia"/>
                      <w:b/>
                      <w:bCs/>
                      <w:color w:val="auto"/>
                      <w:sz w:val="21"/>
                      <w:szCs w:val="21"/>
                      <w:u w:val="single" w:color="auto"/>
                    </w:rPr>
                    <w:t>）</w:t>
                  </w:r>
                </w:p>
              </w:tc>
              <w:tc>
                <w:tcPr>
                  <w:tcW w:w="4021" w:type="dxa"/>
                  <w:gridSpan w:val="3"/>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 xml:space="preserve">基础设施可供水量（万 </w:t>
                  </w:r>
                  <w:r>
                    <w:rPr>
                      <w:rFonts w:ascii="Times New Roman" w:eastAsia="宋体" w:cs="Times New Roman" w:hAnsi="Times New Roman"/>
                      <w:b/>
                      <w:bCs/>
                      <w:color w:val="auto"/>
                      <w:sz w:val="21"/>
                      <w:szCs w:val="21"/>
                      <w:u w:val="single" w:color="auto"/>
                    </w:rPr>
                    <w:t>m</w:t>
                  </w:r>
                  <w:r>
                    <w:rPr>
                      <w:rFonts w:ascii="Times New Roman" w:eastAsia="宋体" w:cs="Times New Roman" w:hAnsi="Times New Roman"/>
                      <w:b/>
                      <w:bCs/>
                      <w:color w:val="auto"/>
                      <w:sz w:val="21"/>
                      <w:szCs w:val="21"/>
                      <w:u w:val="single" w:color="auto"/>
                      <w:vertAlign w:val="superscript"/>
                    </w:rPr>
                    <w:t>3</w:t>
                  </w:r>
                  <w:r>
                    <w:rPr>
                      <w:rFonts w:ascii="Times New Roman" w:eastAsia="宋体" w:cs="Times New Roman" w:hAnsi="Times New Roman" w:hint="eastAsia"/>
                      <w:b/>
                      <w:bCs/>
                      <w:color w:val="auto"/>
                      <w:sz w:val="21"/>
                      <w:szCs w:val="21"/>
                      <w:u w:val="single" w:color="auto"/>
                    </w:rPr>
                    <w:t>）</w:t>
                  </w:r>
                </w:p>
              </w:tc>
              <w:tc>
                <w:tcPr>
                  <w:tcW w:w="2082" w:type="dxa"/>
                  <w:vMerge w:val="restart"/>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太青水库灌溉供水</w:t>
                  </w:r>
                </w:p>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 xml:space="preserve">（万 </w:t>
                  </w:r>
                  <w:r>
                    <w:rPr>
                      <w:rFonts w:ascii="Times New Roman" w:eastAsia="宋体" w:cs="Times New Roman" w:hAnsi="Times New Roman"/>
                      <w:b/>
                      <w:bCs/>
                      <w:color w:val="auto"/>
                      <w:sz w:val="21"/>
                      <w:szCs w:val="21"/>
                      <w:u w:val="single" w:color="auto"/>
                    </w:rPr>
                    <w:t>m</w:t>
                  </w:r>
                  <w:r>
                    <w:rPr>
                      <w:rFonts w:ascii="Times New Roman" w:eastAsia="宋体" w:cs="Times New Roman" w:hAnsi="Times New Roman"/>
                      <w:b/>
                      <w:bCs/>
                      <w:color w:val="auto"/>
                      <w:sz w:val="21"/>
                      <w:szCs w:val="21"/>
                      <w:u w:val="single" w:color="auto"/>
                      <w:vertAlign w:val="superscript"/>
                    </w:rPr>
                    <w:t>3</w:t>
                  </w:r>
                  <w:r>
                    <w:rPr>
                      <w:rFonts w:ascii="Times New Roman" w:eastAsia="宋体" w:cs="Times New Roman" w:hAnsi="Times New Roman" w:hint="eastAsia"/>
                      <w:b/>
                      <w:bCs/>
                      <w:color w:val="auto"/>
                      <w:sz w:val="21"/>
                      <w:szCs w:val="21"/>
                      <w:u w:val="single" w:color="auto"/>
                    </w:rPr>
                    <w:t>）</w:t>
                  </w:r>
                </w:p>
              </w:tc>
            </w:tr>
            <w:tr>
              <w:trPr>
                <w:trHeight w:val="340"/>
              </w:trPr>
              <w:tc>
                <w:tcPr>
                  <w:tcW w:w="2311" w:type="dxa"/>
                  <w:vMerge/>
                  <w:tcBorders>
                    <w:tl2br w:val="nil"/>
                    <w:tr2bl w:val="nil"/>
                  </w:tcBorders>
                  <w:vAlign w:val="center"/>
                </w:tcPr>
                <w:p/>
              </w:tc>
              <w:tc>
                <w:tcPr>
                  <w:tcW w:w="1466"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小（</w:t>
                  </w:r>
                  <w:r>
                    <w:rPr>
                      <w:rFonts w:ascii="Times New Roman" w:eastAsia="宋体" w:cs="Times New Roman" w:hAnsi="Times New Roman"/>
                      <w:b/>
                      <w:bCs/>
                      <w:color w:val="auto"/>
                      <w:sz w:val="21"/>
                      <w:szCs w:val="21"/>
                      <w:u w:val="single" w:color="auto"/>
                    </w:rPr>
                    <w:t>Ⅰ</w:t>
                  </w:r>
                  <w:r>
                    <w:rPr>
                      <w:rFonts w:ascii="Times New Roman" w:eastAsia="宋体" w:cs="Times New Roman" w:hAnsi="Times New Roman" w:hint="eastAsia"/>
                      <w:b/>
                      <w:bCs/>
                      <w:color w:val="auto"/>
                      <w:sz w:val="21"/>
                      <w:szCs w:val="21"/>
                      <w:u w:val="single" w:color="auto"/>
                    </w:rPr>
                    <w:t>）水库</w:t>
                  </w:r>
                </w:p>
              </w:tc>
              <w:tc>
                <w:tcPr>
                  <w:tcW w:w="1769"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小（</w:t>
                  </w:r>
                  <w:r>
                    <w:rPr>
                      <w:rFonts w:ascii="Times New Roman" w:eastAsia="宋体" w:cs="Times New Roman" w:hAnsi="Times New Roman"/>
                      <w:b/>
                      <w:bCs/>
                      <w:color w:val="auto"/>
                      <w:sz w:val="21"/>
                      <w:szCs w:val="21"/>
                      <w:u w:val="single" w:color="auto"/>
                    </w:rPr>
                    <w:t>Ⅱ</w:t>
                  </w:r>
                  <w:r>
                    <w:rPr>
                      <w:rFonts w:ascii="Times New Roman" w:eastAsia="宋体" w:cs="Times New Roman" w:hAnsi="Times New Roman" w:hint="eastAsia"/>
                      <w:b/>
                      <w:bCs/>
                      <w:color w:val="auto"/>
                      <w:sz w:val="21"/>
                      <w:szCs w:val="21"/>
                      <w:u w:val="single" w:color="auto"/>
                    </w:rPr>
                    <w:t>）型水库</w:t>
                  </w:r>
                </w:p>
              </w:tc>
              <w:tc>
                <w:tcPr>
                  <w:tcW w:w="786"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塘坝</w:t>
                  </w:r>
                </w:p>
              </w:tc>
              <w:tc>
                <w:tcPr>
                  <w:tcW w:w="2082" w:type="dxa"/>
                  <w:vMerge/>
                  <w:tcBorders>
                    <w:tl2br w:val="nil"/>
                    <w:tr2bl w:val="nil"/>
                  </w:tcBorders>
                  <w:vAlign w:val="center"/>
                </w:tcPr>
                <w:p/>
              </w:tc>
            </w:tr>
            <w:tr>
              <w:trPr>
                <w:trHeight w:val="340"/>
              </w:trPr>
              <w:tc>
                <w:tcPr>
                  <w:tcW w:w="231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1801.37</w:t>
                  </w:r>
                </w:p>
              </w:tc>
              <w:tc>
                <w:tcPr>
                  <w:tcW w:w="1466"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281.10</w:t>
                  </w:r>
                </w:p>
              </w:tc>
              <w:tc>
                <w:tcPr>
                  <w:tcW w:w="1769"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111.10</w:t>
                  </w:r>
                </w:p>
              </w:tc>
              <w:tc>
                <w:tcPr>
                  <w:tcW w:w="786"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585.00</w:t>
                  </w:r>
                </w:p>
              </w:tc>
              <w:tc>
                <w:tcPr>
                  <w:tcW w:w="2082"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824.19</w:t>
                  </w:r>
                </w:p>
              </w:tc>
            </w:tr>
          </w:tbl>
          <w:p>
            <w:pPr>
              <w:pStyle w:val="74"/>
              <w:keepNext w:val="0"/>
              <w:keepLines w:val="0"/>
              <w:pageBreakBefore w:val="0"/>
              <w:widowControl w:val="0"/>
              <w:tabs>
                <w:tab w:val="left" w:pos="1321"/>
              </w:tabs>
              <w:kinsoku w:val="0"/>
              <w:wordWrap/>
              <w:overflowPunct w:val="0"/>
              <w:topLinePunct w:val="0"/>
              <w:autoSpaceDE/>
              <w:autoSpaceDN/>
              <w:bidi w:val="0"/>
              <w:adjustRightInd w:val="0"/>
              <w:snapToGrid w:val="0"/>
              <w:spacing w:line="360" w:lineRule="auto"/>
              <w:ind w:left="0" w:firstLineChars="200" w:firstLine="480"/>
              <w:textAlignment w:val="auto"/>
              <w:rPr>
                <w:rFonts w:eastAsia="宋体" w:cs="Times New Roman" w:hint="eastAsia"/>
                <w:bCs/>
                <w:kern w:val="2"/>
                <w:sz w:val="24"/>
                <w:szCs w:val="24"/>
                <w:u w:val="single" w:color="auto"/>
                <w:lang w:val="en-US" w:eastAsia="zh-CN" w:bidi="ar-SA"/>
              </w:rPr>
            </w:pPr>
            <w:r>
              <w:rPr>
                <w:rFonts w:eastAsia="宋体" w:cs="Times New Roman" w:hint="eastAsia"/>
                <w:bCs/>
                <w:kern w:val="2"/>
                <w:sz w:val="24"/>
                <w:szCs w:val="24"/>
                <w:u w:val="single" w:color="auto"/>
                <w:lang w:val="en-US" w:eastAsia="zh-CN" w:bidi="ar-SA"/>
              </w:rPr>
              <w:t>4）太青水库蒸发渗漏损失量</w:t>
            </w:r>
          </w:p>
          <w:p>
            <w:pPr>
              <w:pStyle w:val="74"/>
              <w:keepNext w:val="0"/>
              <w:keepLines w:val="0"/>
              <w:pageBreakBefore w:val="0"/>
              <w:widowControl w:val="0"/>
              <w:tabs>
                <w:tab w:val="left" w:pos="1321"/>
              </w:tabs>
              <w:kinsoku w:val="0"/>
              <w:wordWrap/>
              <w:overflowPunct w:val="0"/>
              <w:topLinePunct w:val="0"/>
              <w:autoSpaceDE/>
              <w:autoSpaceDN/>
              <w:bidi w:val="0"/>
              <w:adjustRightInd w:val="0"/>
              <w:snapToGrid w:val="0"/>
              <w:spacing w:line="360" w:lineRule="auto"/>
              <w:ind w:left="0" w:firstLineChars="200" w:firstLine="480"/>
              <w:textAlignment w:val="auto"/>
              <w:rPr>
                <w:rFonts w:eastAsia="宋体" w:cs="Times New Roman" w:hint="eastAsia"/>
                <w:bCs/>
                <w:kern w:val="2"/>
                <w:sz w:val="24"/>
                <w:szCs w:val="24"/>
                <w:u w:val="single" w:color="auto"/>
                <w:lang w:val="en-US" w:eastAsia="zh-CN" w:bidi="ar-SA"/>
              </w:rPr>
            </w:pPr>
            <w:r>
              <w:rPr>
                <w:rFonts w:eastAsia="宋体" w:cs="Times New Roman" w:hint="eastAsia"/>
                <w:bCs/>
                <w:kern w:val="2"/>
                <w:sz w:val="24"/>
                <w:szCs w:val="24"/>
                <w:u w:val="single" w:color="auto"/>
                <w:lang w:val="en-US" w:eastAsia="zh-CN" w:bidi="ar-SA"/>
              </w:rPr>
              <w:t>由于水库无实测资料，水库蒸发损失参考《湖南省澧县山门太青灌区续建配套与节水改造（</w:t>
            </w:r>
            <w:r>
              <w:rPr>
                <w:rFonts w:eastAsia="宋体" w:cs="Times New Roman"/>
                <w:bCs/>
                <w:kern w:val="2"/>
                <w:sz w:val="24"/>
                <w:szCs w:val="24"/>
                <w:u w:val="single" w:color="auto"/>
                <w:lang w:val="en-US" w:eastAsia="zh-CN" w:bidi="ar-SA"/>
              </w:rPr>
              <w:t>2021-2022</w:t>
            </w:r>
            <w:r>
              <w:rPr>
                <w:rFonts w:eastAsia="宋体" w:cs="Times New Roman" w:hint="eastAsia"/>
                <w:bCs/>
                <w:kern w:val="2"/>
                <w:sz w:val="24"/>
                <w:szCs w:val="24"/>
                <w:u w:val="single" w:color="auto"/>
                <w:lang w:val="en-US" w:eastAsia="zh-CN" w:bidi="ar-SA"/>
              </w:rPr>
              <w:t xml:space="preserve">）总体方案报告》（中国水利水电第八工程局有限公司 </w:t>
            </w:r>
            <w:r>
              <w:rPr>
                <w:rFonts w:eastAsia="宋体" w:cs="Times New Roman"/>
                <w:bCs/>
                <w:kern w:val="2"/>
                <w:sz w:val="24"/>
                <w:szCs w:val="24"/>
                <w:u w:val="single" w:color="auto"/>
                <w:lang w:val="en-US" w:eastAsia="zh-CN" w:bidi="ar-SA"/>
              </w:rPr>
              <w:t xml:space="preserve">2020 </w:t>
            </w:r>
            <w:r>
              <w:rPr>
                <w:rFonts w:eastAsia="宋体" w:cs="Times New Roman" w:hint="eastAsia"/>
                <w:bCs/>
                <w:kern w:val="2"/>
                <w:sz w:val="24"/>
                <w:szCs w:val="24"/>
                <w:u w:val="single" w:color="auto"/>
                <w:lang w:val="en-US" w:eastAsia="zh-CN" w:bidi="ar-SA"/>
              </w:rPr>
              <w:t xml:space="preserve">年 </w:t>
            </w:r>
            <w:r>
              <w:rPr>
                <w:rFonts w:eastAsia="宋体" w:cs="Times New Roman"/>
                <w:bCs/>
                <w:kern w:val="2"/>
                <w:sz w:val="24"/>
                <w:szCs w:val="24"/>
                <w:u w:val="single" w:color="auto"/>
                <w:lang w:val="en-US" w:eastAsia="zh-CN" w:bidi="ar-SA"/>
              </w:rPr>
              <w:t xml:space="preserve">8 </w:t>
            </w:r>
            <w:r>
              <w:rPr>
                <w:rFonts w:eastAsia="宋体" w:cs="Times New Roman" w:hint="eastAsia"/>
                <w:bCs/>
                <w:kern w:val="2"/>
                <w:sz w:val="24"/>
                <w:szCs w:val="24"/>
                <w:u w:val="single" w:color="auto"/>
                <w:lang w:val="en-US" w:eastAsia="zh-CN" w:bidi="ar-SA"/>
              </w:rPr>
              <w:t xml:space="preserve">月）中计算方法采用常德地区农业区划成果进行查算。水库的渗漏损失根据库区的地质情况，参照《水利工程实用水文计算》中渗漏量按当月水库蓄水量的 </w:t>
            </w:r>
            <w:r>
              <w:rPr>
                <w:rFonts w:eastAsia="宋体" w:cs="Times New Roman"/>
                <w:bCs/>
                <w:kern w:val="2"/>
                <w:sz w:val="24"/>
                <w:szCs w:val="24"/>
                <w:u w:val="single" w:color="auto"/>
                <w:lang w:val="en-US" w:eastAsia="zh-CN" w:bidi="ar-SA"/>
              </w:rPr>
              <w:t>0.5~1%</w:t>
            </w:r>
            <w:r>
              <w:rPr>
                <w:rFonts w:eastAsia="宋体" w:cs="Times New Roman" w:hint="eastAsia"/>
                <w:bCs/>
                <w:kern w:val="2"/>
                <w:sz w:val="24"/>
                <w:szCs w:val="24"/>
                <w:u w:val="single" w:color="auto"/>
                <w:lang w:val="en-US" w:eastAsia="zh-CN" w:bidi="ar-SA"/>
              </w:rPr>
              <w:t xml:space="preserve">计算，本次太青水库渗漏量计算取 </w:t>
            </w:r>
            <w:r>
              <w:rPr>
                <w:rFonts w:eastAsia="宋体" w:cs="Times New Roman"/>
                <w:bCs/>
                <w:kern w:val="2"/>
                <w:sz w:val="24"/>
                <w:szCs w:val="24"/>
                <w:u w:val="single" w:color="auto"/>
                <w:lang w:val="en-US" w:eastAsia="zh-CN" w:bidi="ar-SA"/>
              </w:rPr>
              <w:t>1%</w:t>
            </w:r>
            <w:r>
              <w:rPr>
                <w:rFonts w:eastAsia="宋体" w:cs="Times New Roman" w:hint="eastAsia"/>
                <w:bCs/>
                <w:kern w:val="2"/>
                <w:sz w:val="24"/>
                <w:szCs w:val="24"/>
                <w:u w:val="single" w:color="auto"/>
                <w:lang w:val="en-US" w:eastAsia="zh-CN" w:bidi="ar-SA"/>
              </w:rPr>
              <w:t>，具体见表2</w:t>
            </w:r>
            <w:r>
              <w:rPr>
                <w:rFonts w:eastAsia="宋体" w:cs="Times New Roman"/>
                <w:bCs/>
                <w:kern w:val="2"/>
                <w:sz w:val="24"/>
                <w:szCs w:val="24"/>
                <w:u w:val="single" w:color="auto"/>
                <w:lang w:val="en-US" w:eastAsia="zh-CN" w:bidi="ar-SA"/>
              </w:rPr>
              <w:t>-</w:t>
            </w:r>
            <w:r>
              <w:rPr>
                <w:rFonts w:eastAsia="宋体" w:cs="Times New Roman" w:hint="eastAsia"/>
                <w:bCs/>
                <w:kern w:val="2"/>
                <w:sz w:val="24"/>
                <w:szCs w:val="24"/>
                <w:u w:val="single" w:color="auto"/>
                <w:lang w:val="en-US" w:eastAsia="zh-CN" w:bidi="ar-SA"/>
              </w:rPr>
              <w:t>12。</w:t>
            </w:r>
          </w:p>
          <w:p>
            <w:pPr>
              <w:pStyle w:val="15"/>
              <w:keepNext w:val="0"/>
              <w:keepLines w:val="0"/>
              <w:pageBreakBefore w:val="0"/>
              <w:widowControl/>
              <w:kinsoku w:val="0"/>
              <w:wordWrap/>
              <w:overflowPunct w:val="0"/>
              <w:topLinePunct w:val="0"/>
              <w:autoSpaceDE/>
              <w:autoSpaceDN/>
              <w:bidi w:val="0"/>
              <w:adjustRightInd/>
              <w:snapToGrid w:val="0"/>
              <w:spacing w:before="0" w:after="0" w:line="360" w:lineRule="auto"/>
              <w:ind w:right="0"/>
              <w:jc w:val="center"/>
              <w:textAlignment w:val="auto"/>
              <w:rPr>
                <w:rFonts w:ascii="Times New Roman" w:eastAsia="宋体" w:cs="Times New Roman" w:hAnsi="Times New Roman" w:hint="eastAsia"/>
                <w:b/>
                <w:color w:val="auto"/>
                <w:kern w:val="0"/>
                <w:sz w:val="21"/>
                <w:szCs w:val="21"/>
                <w:u w:val="single" w:color="auto"/>
                <w:lang w:val="en-US" w:eastAsia="zh-CN" w:bidi="ar-SA"/>
                <w:highlight w:val="none"/>
              </w:rPr>
            </w:pPr>
            <w:bookmarkStart w:id="13" w:name="表4.6-4               太青水库蒸发渗漏损失计算成果表"/>
            <w:bookmarkEnd w:id="13"/>
            <w:r>
              <w:rPr>
                <w:rFonts w:ascii="Times New Roman" w:eastAsia="宋体" w:cs="Times New Roman" w:hAnsi="Times New Roman" w:hint="eastAsia"/>
                <w:b/>
                <w:color w:val="auto"/>
                <w:kern w:val="0"/>
                <w:sz w:val="21"/>
                <w:szCs w:val="21"/>
                <w:u w:val="single" w:color="auto"/>
                <w:lang w:val="en-US" w:eastAsia="zh-CN" w:bidi="ar-SA"/>
                <w:highlight w:val="none"/>
              </w:rPr>
              <w:t xml:space="preserve">表 </w:t>
            </w:r>
            <w:r>
              <w:rPr>
                <w:rFonts w:eastAsia="宋体" w:cs="Times New Roman" w:hint="eastAsia"/>
                <w:b/>
                <w:color w:val="auto"/>
                <w:kern w:val="0"/>
                <w:sz w:val="21"/>
                <w:szCs w:val="21"/>
                <w:u w:val="single" w:color="auto"/>
                <w:lang w:val="en-US" w:eastAsia="zh-CN" w:bidi="ar-SA"/>
                <w:highlight w:val="none"/>
              </w:rPr>
              <w:t>2</w:t>
            </w:r>
            <w:r>
              <w:rPr>
                <w:rFonts w:ascii="Times New Roman" w:eastAsia="宋体" w:cs="Times New Roman" w:hAnsi="Times New Roman"/>
                <w:b/>
                <w:color w:val="auto"/>
                <w:kern w:val="0"/>
                <w:sz w:val="21"/>
                <w:szCs w:val="21"/>
                <w:u w:val="single" w:color="auto"/>
                <w:lang w:val="en-US" w:eastAsia="zh-CN" w:bidi="ar-SA"/>
                <w:highlight w:val="none"/>
              </w:rPr>
              <w:t>-</w:t>
            </w:r>
            <w:r>
              <w:rPr>
                <w:rFonts w:eastAsia="宋体" w:cs="Times New Roman" w:hint="eastAsia"/>
                <w:b/>
                <w:color w:val="auto"/>
                <w:kern w:val="0"/>
                <w:sz w:val="21"/>
                <w:szCs w:val="21"/>
                <w:u w:val="single" w:color="auto"/>
                <w:lang w:val="en-US" w:eastAsia="zh-CN" w:bidi="ar-SA"/>
                <w:highlight w:val="none"/>
              </w:rPr>
              <w:t>12</w:t>
            </w:r>
            <w:r>
              <w:rPr>
                <w:rFonts w:ascii="Times New Roman" w:eastAsia="宋体" w:cs="Times New Roman" w:hAnsi="Times New Roman"/>
                <w:b/>
                <w:color w:val="auto"/>
                <w:kern w:val="0"/>
                <w:sz w:val="21"/>
                <w:szCs w:val="21"/>
                <w:u w:val="single" w:color="auto"/>
                <w:lang w:val="en-US" w:eastAsia="zh-CN" w:bidi="ar-SA"/>
                <w:highlight w:val="none"/>
              </w:rPr>
              <w:tab/>
            </w:r>
            <w:r>
              <w:rPr>
                <w:rFonts w:ascii="Times New Roman" w:eastAsia="宋体" w:cs="Times New Roman" w:hAnsi="Times New Roman" w:hint="eastAsia"/>
                <w:b/>
                <w:color w:val="auto"/>
                <w:kern w:val="0"/>
                <w:sz w:val="21"/>
                <w:szCs w:val="21"/>
                <w:u w:val="single" w:color="auto"/>
                <w:lang w:val="en-US" w:eastAsia="zh-CN" w:bidi="ar-SA"/>
                <w:highlight w:val="none"/>
              </w:rPr>
              <w:t>太青水库蒸发渗漏损失计算成果表</w:t>
            </w:r>
          </w:p>
          <w:tbl>
            <w:tblPr>
              <w:jc w:val="left"/>
              <w:tblInd w:w="15" w:type="dxa"/>
              <w:tblW w:w="8414" w:type="dxa"/>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937"/>
              <w:gridCol w:w="1437"/>
              <w:gridCol w:w="1151"/>
              <w:gridCol w:w="1151"/>
              <w:gridCol w:w="1437"/>
              <w:gridCol w:w="1151"/>
              <w:gridCol w:w="1150"/>
            </w:tblGrid>
            <w:tr>
              <w:trPr>
                <w:trHeight w:val="340"/>
              </w:trPr>
              <w:tc>
                <w:tcPr>
                  <w:tcW w:w="937" w:type="dxa"/>
                  <w:vMerge w:val="restart"/>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月份</w:t>
                  </w:r>
                </w:p>
              </w:tc>
              <w:tc>
                <w:tcPr>
                  <w:tcW w:w="3739" w:type="dxa"/>
                  <w:gridSpan w:val="3"/>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b/>
                      <w:bCs/>
                      <w:color w:val="auto"/>
                      <w:sz w:val="21"/>
                      <w:szCs w:val="21"/>
                      <w:u w:val="single" w:color="auto"/>
                    </w:rPr>
                    <w:t>P=80%</w:t>
                  </w:r>
                  <w:r>
                    <w:rPr>
                      <w:rFonts w:ascii="Times New Roman" w:eastAsia="宋体" w:cs="Times New Roman" w:hAnsi="Times New Roman" w:hint="eastAsia"/>
                      <w:b/>
                      <w:bCs/>
                      <w:color w:val="auto"/>
                      <w:sz w:val="21"/>
                      <w:szCs w:val="21"/>
                      <w:u w:val="single" w:color="auto"/>
                    </w:rPr>
                    <w:t xml:space="preserve">太青水库（万 </w:t>
                  </w:r>
                  <w:r>
                    <w:rPr>
                      <w:rFonts w:ascii="Times New Roman" w:eastAsia="宋体" w:cs="Times New Roman" w:hAnsi="Times New Roman"/>
                      <w:b/>
                      <w:bCs/>
                      <w:color w:val="auto"/>
                      <w:sz w:val="21"/>
                      <w:szCs w:val="21"/>
                      <w:u w:val="single" w:color="auto"/>
                    </w:rPr>
                    <w:t>m</w:t>
                  </w:r>
                  <w:r>
                    <w:rPr>
                      <w:rFonts w:ascii="Times New Roman" w:eastAsia="宋体" w:cs="Times New Roman" w:hAnsi="Times New Roman"/>
                      <w:b/>
                      <w:bCs/>
                      <w:color w:val="auto"/>
                      <w:sz w:val="21"/>
                      <w:szCs w:val="21"/>
                      <w:u w:val="single" w:color="auto"/>
                      <w:vertAlign w:val="superscript"/>
                    </w:rPr>
                    <w:t>3</w:t>
                  </w:r>
                  <w:r>
                    <w:rPr>
                      <w:rFonts w:ascii="Times New Roman" w:eastAsia="宋体" w:cs="Times New Roman" w:hAnsi="Times New Roman" w:hint="eastAsia"/>
                      <w:b/>
                      <w:bCs/>
                      <w:color w:val="auto"/>
                      <w:sz w:val="21"/>
                      <w:szCs w:val="21"/>
                      <w:u w:val="single" w:color="auto"/>
                    </w:rPr>
                    <w:t>）</w:t>
                  </w:r>
                </w:p>
              </w:tc>
              <w:tc>
                <w:tcPr>
                  <w:tcW w:w="3738" w:type="dxa"/>
                  <w:gridSpan w:val="3"/>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b/>
                      <w:bCs/>
                      <w:color w:val="auto"/>
                      <w:sz w:val="21"/>
                      <w:szCs w:val="21"/>
                      <w:u w:val="single" w:color="auto"/>
                    </w:rPr>
                    <w:t>P=95%</w:t>
                  </w:r>
                  <w:r>
                    <w:rPr>
                      <w:rFonts w:ascii="Times New Roman" w:eastAsia="宋体" w:cs="Times New Roman" w:hAnsi="Times New Roman" w:hint="eastAsia"/>
                      <w:b/>
                      <w:bCs/>
                      <w:color w:val="auto"/>
                      <w:sz w:val="21"/>
                      <w:szCs w:val="21"/>
                      <w:u w:val="single" w:color="auto"/>
                    </w:rPr>
                    <w:t xml:space="preserve">太青水库（万 </w:t>
                  </w:r>
                  <w:r>
                    <w:rPr>
                      <w:rFonts w:ascii="Times New Roman" w:eastAsia="宋体" w:cs="Times New Roman" w:hAnsi="Times New Roman"/>
                      <w:b/>
                      <w:bCs/>
                      <w:color w:val="auto"/>
                      <w:sz w:val="21"/>
                      <w:szCs w:val="21"/>
                      <w:u w:val="single" w:color="auto"/>
                    </w:rPr>
                    <w:t>m</w:t>
                  </w:r>
                  <w:r>
                    <w:rPr>
                      <w:rFonts w:ascii="Times New Roman" w:eastAsia="宋体" w:cs="Times New Roman" w:hAnsi="Times New Roman"/>
                      <w:b/>
                      <w:bCs/>
                      <w:color w:val="auto"/>
                      <w:sz w:val="21"/>
                      <w:szCs w:val="21"/>
                      <w:u w:val="single" w:color="auto"/>
                      <w:vertAlign w:val="superscript"/>
                    </w:rPr>
                    <w:t>3</w:t>
                  </w:r>
                  <w:r>
                    <w:rPr>
                      <w:rFonts w:ascii="Times New Roman" w:eastAsia="宋体" w:cs="Times New Roman" w:hAnsi="Times New Roman" w:hint="eastAsia"/>
                      <w:b/>
                      <w:bCs/>
                      <w:color w:val="auto"/>
                      <w:sz w:val="21"/>
                      <w:szCs w:val="21"/>
                      <w:u w:val="single" w:color="auto"/>
                    </w:rPr>
                    <w:t>）</w:t>
                  </w:r>
                </w:p>
              </w:tc>
            </w:tr>
            <w:tr>
              <w:trPr>
                <w:trHeight w:val="340"/>
              </w:trPr>
              <w:tc>
                <w:tcPr>
                  <w:tcW w:w="937" w:type="dxa"/>
                  <w:vMerge/>
                  <w:tcBorders>
                    <w:tl2br w:val="nil"/>
                    <w:tr2bl w:val="nil"/>
                  </w:tcBorders>
                  <w:vAlign w:val="center"/>
                </w:tcP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设计径流</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蒸发量</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渗漏量</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设计径流</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蒸发量</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b/>
                      <w:bCs/>
                      <w:color w:val="auto"/>
                      <w:sz w:val="21"/>
                      <w:szCs w:val="21"/>
                      <w:u w:val="single" w:color="auto"/>
                    </w:rPr>
                  </w:pPr>
                  <w:r>
                    <w:rPr>
                      <w:rFonts w:ascii="Times New Roman" w:eastAsia="宋体" w:cs="Times New Roman" w:hAnsi="Times New Roman" w:hint="eastAsia"/>
                      <w:b/>
                      <w:bCs/>
                      <w:color w:val="auto"/>
                      <w:sz w:val="21"/>
                      <w:szCs w:val="21"/>
                      <w:u w:val="single" w:color="auto"/>
                    </w:rPr>
                    <w:t>渗漏量</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1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35.33</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0.24</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0.35</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43.09</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0.29</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0.43</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2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51.54</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0.02</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0.52</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28.11</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0.01</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0.28</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3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111.42</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0.30</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1.11</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55.06</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0.15</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0.55</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4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163.05</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0.87</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1.63</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71.82</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0.38</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0.72</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5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440.23</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2.93</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4.40</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251.36</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1.67</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2.51</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6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215.64</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0.81</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2.16</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352.14</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1.33</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3.52</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7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190.22</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0.69</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1.90</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114.91</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0.41</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1.15</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8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89.68</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0.84</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0.90</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165.18</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1.55</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1.65</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9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55.23</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0.33</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0.55</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23.17</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0.14</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0.23</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10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57.07</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0.67</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0.57</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19.15</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0.22</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0.19</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11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60.49</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1.39</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0.60</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41.70</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0.96</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0.42</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color w:val="auto"/>
                      <w:sz w:val="21"/>
                      <w:szCs w:val="21"/>
                      <w:u w:val="single" w:color="auto"/>
                    </w:rPr>
                    <w:t xml:space="preserve">12 </w:t>
                  </w:r>
                  <w:r>
                    <w:rPr>
                      <w:rFonts w:ascii="Times New Roman" w:eastAsia="宋体" w:cs="Times New Roman" w:hAnsi="Times New Roman" w:hint="eastAsia"/>
                      <w:color w:val="auto"/>
                      <w:sz w:val="21"/>
                      <w:szCs w:val="21"/>
                      <w:u w:val="single" w:color="auto"/>
                    </w:rPr>
                    <w:t>月</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27.17</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0.22</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0.27</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19.15</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0.15</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0.19</w:t>
                  </w:r>
                </w:p>
              </w:tc>
            </w:tr>
            <w:tr>
              <w:trPr>
                <w:trHeight w:val="340"/>
              </w:trPr>
              <w:tc>
                <w:tcPr>
                  <w:tcW w:w="9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hint="eastAsia"/>
                      <w:color w:val="auto"/>
                      <w:sz w:val="21"/>
                      <w:szCs w:val="21"/>
                      <w:u w:val="single" w:color="auto"/>
                    </w:rPr>
                  </w:pPr>
                  <w:r>
                    <w:rPr>
                      <w:rFonts w:ascii="Times New Roman" w:eastAsia="宋体" w:cs="Times New Roman" w:hAnsi="Times New Roman" w:hint="eastAsia"/>
                      <w:color w:val="auto"/>
                      <w:sz w:val="21"/>
                      <w:szCs w:val="21"/>
                      <w:u w:val="single" w:color="auto"/>
                    </w:rPr>
                    <w:t>合计</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1497.05</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9.29</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14.97</w:t>
                  </w:r>
                </w:p>
              </w:tc>
              <w:tc>
                <w:tcPr>
                  <w:tcW w:w="1437"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1184.84</w:t>
                  </w:r>
                </w:p>
              </w:tc>
              <w:tc>
                <w:tcPr>
                  <w:tcW w:w="1151"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7.26</w:t>
                  </w:r>
                </w:p>
              </w:tc>
              <w:tc>
                <w:tcPr>
                  <w:tcW w:w="1150" w:type="dxa"/>
                  <w:tcBorders>
                    <w:tl2br w:val="nil"/>
                    <w:tr2bl w:val="nil"/>
                  </w:tcBorders>
                  <w:vAlign w:val="center"/>
                </w:tcPr>
                <w:p>
                  <w:pPr>
                    <w:pStyle w:val="71"/>
                    <w:keepNext w:val="0"/>
                    <w:keepLines w:val="0"/>
                    <w:pageBreakBefore w:val="0"/>
                    <w:widowControl w:val="0"/>
                    <w:kinsoku w:val="0"/>
                    <w:wordWrap/>
                    <w:overflowPunct w:val="0"/>
                    <w:topLinePunct w:val="0"/>
                    <w:autoSpaceDE/>
                    <w:autoSpaceDN/>
                    <w:bidi w:val="0"/>
                    <w:adjustRightInd w:val="0"/>
                    <w:snapToGrid w:val="0"/>
                    <w:ind w:right="0"/>
                    <w:jc w:val="center"/>
                    <w:textAlignment w:val="auto"/>
                    <w:rPr>
                      <w:rFonts w:ascii="Times New Roman" w:eastAsia="宋体" w:cs="Times New Roman" w:hAnsi="Times New Roman"/>
                      <w:color w:val="auto"/>
                      <w:sz w:val="21"/>
                      <w:szCs w:val="21"/>
                      <w:u w:val="single" w:color="auto"/>
                    </w:rPr>
                  </w:pPr>
                  <w:r>
                    <w:rPr>
                      <w:rFonts w:ascii="Times New Roman" w:eastAsia="宋体" w:cs="Times New Roman" w:hAnsi="Times New Roman"/>
                      <w:color w:val="auto"/>
                      <w:sz w:val="21"/>
                      <w:szCs w:val="21"/>
                      <w:u w:val="single" w:color="auto"/>
                    </w:rPr>
                    <w:t>11.85</w:t>
                  </w:r>
                </w:p>
              </w:tc>
            </w:tr>
          </w:tbl>
          <w:p>
            <w:pPr>
              <w:spacing w:line="360" w:lineRule="auto"/>
              <w:ind w:firstLineChars="200" w:firstLine="480"/>
              <w:rPr>
                <w:rFonts w:hint="eastAsia"/>
                <w:color w:val="000000"/>
                <w:kern w:val="0"/>
                <w:sz w:val="24"/>
                <w:u w:val="single" w:color="auto"/>
                <w:lang w:val="en-US" w:eastAsia="zh-CN"/>
                <w:highlight w:val="none"/>
              </w:rPr>
            </w:pPr>
            <w:r>
              <w:rPr>
                <w:rFonts w:hint="eastAsia"/>
                <w:sz w:val="24"/>
                <w:szCs w:val="24"/>
                <w:u w:val="single" w:color="auto"/>
              </w:rPr>
              <w:t xml:space="preserve">太青水厂设计规模为 </w:t>
            </w:r>
            <w:r>
              <w:rPr>
                <w:rFonts w:ascii="Times New Roman" w:eastAsia="Times New Roman" w:hAnsi="Times New Roman"/>
                <w:sz w:val="24"/>
                <w:szCs w:val="24"/>
                <w:u w:val="single" w:color="auto"/>
              </w:rPr>
              <w:t>10000m</w:t>
            </w:r>
            <w:r>
              <w:rPr>
                <w:rFonts w:ascii="Times New Roman" w:eastAsia="Times New Roman" w:hAnsi="Times New Roman"/>
                <w:position w:val="8"/>
                <w:sz w:val="15"/>
                <w:szCs w:val="24"/>
                <w:u w:val="single" w:color="auto"/>
              </w:rPr>
              <w:t>3</w:t>
            </w:r>
            <w:r>
              <w:rPr>
                <w:rFonts w:ascii="Times New Roman" w:eastAsia="Times New Roman" w:hAnsi="Times New Roman"/>
                <w:sz w:val="24"/>
                <w:szCs w:val="24"/>
                <w:u w:val="single" w:color="auto"/>
              </w:rPr>
              <w:t>/d</w:t>
            </w:r>
            <w:r>
              <w:rPr>
                <w:rFonts w:hint="eastAsia"/>
                <w:spacing w:val="-8"/>
                <w:sz w:val="24"/>
                <w:szCs w:val="24"/>
                <w:u w:val="single" w:color="auto"/>
              </w:rPr>
              <w:t xml:space="preserve">，水源取水量为 </w:t>
            </w:r>
            <w:r>
              <w:rPr>
                <w:rFonts w:ascii="Times New Roman" w:eastAsia="Times New Roman" w:hAnsi="Times New Roman"/>
                <w:sz w:val="24"/>
                <w:szCs w:val="24"/>
                <w:u w:val="single" w:color="auto"/>
              </w:rPr>
              <w:t xml:space="preserve">394.20 </w:t>
            </w:r>
            <w:r>
              <w:rPr>
                <w:rFonts w:hint="eastAsia"/>
                <w:spacing w:val="-31"/>
                <w:sz w:val="24"/>
                <w:szCs w:val="24"/>
                <w:u w:val="single" w:color="auto"/>
              </w:rPr>
              <w:t xml:space="preserve">万 </w:t>
            </w:r>
            <w:r>
              <w:rPr>
                <w:rFonts w:ascii="Times New Roman" w:eastAsia="Times New Roman" w:hAnsi="Times New Roman"/>
                <w:spacing w:val="-6"/>
                <w:sz w:val="24"/>
                <w:szCs w:val="24"/>
                <w:u w:val="single" w:color="auto"/>
              </w:rPr>
              <w:t>m</w:t>
            </w:r>
            <w:r>
              <w:rPr>
                <w:rFonts w:ascii="Times New Roman" w:eastAsia="Times New Roman" w:hAnsi="Times New Roman"/>
                <w:spacing w:val="-6"/>
                <w:position w:val="8"/>
                <w:sz w:val="15"/>
                <w:szCs w:val="24"/>
                <w:u w:val="single" w:color="auto"/>
              </w:rPr>
              <w:t>3</w:t>
            </w:r>
            <w:r>
              <w:rPr>
                <w:rFonts w:hint="eastAsia"/>
                <w:spacing w:val="-4"/>
                <w:sz w:val="24"/>
                <w:szCs w:val="24"/>
                <w:u w:val="single" w:color="auto"/>
              </w:rPr>
              <w:t>，经水量供需</w:t>
            </w:r>
            <w:r>
              <w:rPr>
                <w:rFonts w:hint="eastAsia"/>
                <w:spacing w:val="3"/>
                <w:sz w:val="24"/>
                <w:szCs w:val="24"/>
                <w:u w:val="single" w:color="auto"/>
              </w:rPr>
              <w:t>平衡分析，太青水库来水量在满足灌溉用水及生态用水后，</w:t>
            </w:r>
            <w:r>
              <w:rPr>
                <w:rFonts w:ascii="Times New Roman" w:eastAsia="Times New Roman" w:hAnsi="Times New Roman"/>
                <w:spacing w:val="10"/>
                <w:sz w:val="24"/>
                <w:szCs w:val="24"/>
                <w:u w:val="single" w:color="auto"/>
              </w:rPr>
              <w:t>P=80%</w:t>
            </w:r>
            <w:r>
              <w:rPr>
                <w:rFonts w:hint="eastAsia"/>
                <w:spacing w:val="14"/>
                <w:sz w:val="24"/>
                <w:szCs w:val="24"/>
                <w:u w:val="single" w:color="auto"/>
              </w:rPr>
              <w:t>条件下尚</w:t>
            </w:r>
            <w:r>
              <w:rPr>
                <w:rFonts w:hint="eastAsia"/>
                <w:spacing w:val="18"/>
                <w:sz w:val="24"/>
                <w:szCs w:val="24"/>
                <w:u w:val="single" w:color="auto"/>
              </w:rPr>
              <w:t>能满足新建太青水厂用水需求；</w:t>
            </w:r>
            <w:r>
              <w:rPr>
                <w:rFonts w:ascii="Times New Roman" w:eastAsia="Times New Roman" w:hAnsi="Times New Roman"/>
                <w:spacing w:val="6"/>
                <w:sz w:val="24"/>
                <w:szCs w:val="24"/>
                <w:u w:val="single" w:color="auto"/>
              </w:rPr>
              <w:t>P=95%</w:t>
            </w:r>
            <w:r>
              <w:rPr>
                <w:rFonts w:hint="eastAsia"/>
                <w:sz w:val="24"/>
                <w:szCs w:val="24"/>
                <w:u w:val="single" w:color="auto"/>
              </w:rPr>
              <w:t>条件下太青水库来水量不能同时满足</w:t>
            </w:r>
            <w:r>
              <w:rPr>
                <w:rFonts w:hint="eastAsia"/>
                <w:spacing w:val="6"/>
                <w:sz w:val="24"/>
                <w:szCs w:val="24"/>
                <w:u w:val="single" w:color="auto"/>
              </w:rPr>
              <w:t xml:space="preserve">灌溉用水及新建水厂用水， 优先于新建太青水厂供水后灌溉 </w:t>
            </w:r>
            <w:r>
              <w:rPr>
                <w:rFonts w:ascii="Times New Roman" w:eastAsia="Times New Roman" w:hAnsi="Times New Roman"/>
                <w:sz w:val="24"/>
                <w:szCs w:val="24"/>
                <w:u w:val="single" w:color="auto"/>
              </w:rPr>
              <w:t xml:space="preserve">7 </w:t>
            </w:r>
            <w:r>
              <w:rPr>
                <w:rFonts w:hint="eastAsia"/>
                <w:spacing w:val="21"/>
                <w:sz w:val="24"/>
                <w:szCs w:val="24"/>
                <w:u w:val="single" w:color="auto"/>
              </w:rPr>
              <w:t>月、</w:t>
            </w:r>
            <w:r>
              <w:rPr>
                <w:rFonts w:ascii="Times New Roman" w:eastAsia="Times New Roman" w:hAnsi="Times New Roman"/>
                <w:sz w:val="24"/>
                <w:szCs w:val="24"/>
                <w:u w:val="single" w:color="auto"/>
              </w:rPr>
              <w:t xml:space="preserve">8 </w:t>
            </w:r>
            <w:r>
              <w:rPr>
                <w:rFonts w:hint="eastAsia"/>
                <w:spacing w:val="10"/>
                <w:sz w:val="24"/>
                <w:szCs w:val="24"/>
                <w:u w:val="single" w:color="auto"/>
              </w:rPr>
              <w:t>月缺</w:t>
            </w:r>
            <w:r>
              <w:rPr>
                <w:rFonts w:hint="eastAsia"/>
                <w:spacing w:val="-13"/>
                <w:sz w:val="24"/>
                <w:szCs w:val="24"/>
                <w:u w:val="single" w:color="auto"/>
              </w:rPr>
              <w:t xml:space="preserve">水 </w:t>
            </w:r>
            <w:r>
              <w:rPr>
                <w:rFonts w:ascii="Times New Roman" w:eastAsia="Times New Roman" w:hAnsi="Times New Roman"/>
                <w:spacing w:val="7"/>
                <w:sz w:val="24"/>
                <w:szCs w:val="24"/>
                <w:u w:val="single" w:color="auto"/>
              </w:rPr>
              <w:t xml:space="preserve">306.04 </w:t>
            </w:r>
            <w:r>
              <w:rPr>
                <w:rFonts w:hint="eastAsia"/>
                <w:spacing w:val="-16"/>
                <w:sz w:val="24"/>
                <w:szCs w:val="24"/>
                <w:u w:val="single" w:color="auto"/>
              </w:rPr>
              <w:t xml:space="preserve">万 </w:t>
            </w:r>
            <w:r>
              <w:rPr>
                <w:rFonts w:ascii="Times New Roman" w:eastAsia="Times New Roman" w:hAnsi="Times New Roman"/>
                <w:spacing w:val="12"/>
                <w:sz w:val="24"/>
                <w:szCs w:val="24"/>
                <w:u w:val="single" w:color="auto"/>
              </w:rPr>
              <w:t>m</w:t>
            </w:r>
            <w:r>
              <w:rPr>
                <w:rFonts w:ascii="Times New Roman" w:eastAsia="Times New Roman" w:hAnsi="Times New Roman"/>
                <w:spacing w:val="12"/>
                <w:position w:val="8"/>
                <w:sz w:val="15"/>
                <w:szCs w:val="24"/>
                <w:u w:val="single" w:color="auto"/>
              </w:rPr>
              <w:t>3</w:t>
            </w:r>
            <w:r>
              <w:rPr>
                <w:rFonts w:hint="eastAsia"/>
                <w:sz w:val="24"/>
                <w:szCs w:val="24"/>
                <w:u w:val="single" w:color="auto"/>
              </w:rPr>
              <w:t>。</w:t>
            </w:r>
          </w:p>
          <w:p>
            <w:pPr>
              <w:spacing w:line="360" w:lineRule="auto"/>
              <w:ind w:firstLineChars="200" w:firstLine="480"/>
              <w:rPr>
                <w:bCs/>
                <w:sz w:val="24"/>
                <w:u w:val="single" w:color="auto"/>
              </w:rPr>
            </w:pPr>
            <w:r>
              <w:rPr>
                <w:rFonts w:hint="eastAsia"/>
                <w:bCs/>
                <w:sz w:val="24"/>
                <w:u w:val="single" w:color="auto"/>
              </w:rPr>
              <w:t>（</w:t>
            </w:r>
            <w:r>
              <w:rPr>
                <w:bCs/>
                <w:sz w:val="24"/>
                <w:u w:val="single" w:color="auto"/>
              </w:rPr>
              <w:t>3</w:t>
            </w:r>
            <w:r>
              <w:rPr>
                <w:rFonts w:hint="eastAsia"/>
                <w:bCs/>
                <w:sz w:val="24"/>
                <w:u w:val="single" w:color="auto"/>
              </w:rPr>
              <w:t>）水质</w:t>
            </w:r>
          </w:p>
          <w:p>
            <w:pPr>
              <w:spacing w:line="360" w:lineRule="auto"/>
              <w:ind w:firstLineChars="200" w:firstLine="480"/>
              <w:rPr>
                <w:bCs/>
                <w:sz w:val="24"/>
                <w:u w:val="none" w:color="auto"/>
              </w:rPr>
            </w:pPr>
            <w:r>
              <w:rPr>
                <w:rFonts w:ascii="Times New Roman" w:eastAsia="宋体" w:cs="Times New Roman" w:hAnsi="Times New Roman"/>
                <w:color w:val="auto"/>
                <w:kern w:val="0"/>
                <w:sz w:val="24"/>
                <w:u w:val="single" w:color="auto"/>
                <w:highlight w:val="none"/>
              </w:rPr>
              <w:t>根据</w:t>
            </w:r>
            <w:r>
              <w:rPr>
                <w:rFonts w:ascii="Times New Roman" w:eastAsia="宋体" w:cs="Times New Roman" w:hAnsi="Times New Roman" w:hint="eastAsia"/>
                <w:color w:val="auto"/>
                <w:kern w:val="0"/>
                <w:sz w:val="24"/>
                <w:u w:val="single" w:color="auto"/>
                <w:lang w:val="en-US" w:eastAsia="zh-CN"/>
                <w:highlight w:val="none"/>
              </w:rPr>
              <w:t>湖南</w:t>
            </w:r>
            <w:r>
              <w:rPr>
                <w:rFonts w:cs="Times New Roman" w:hint="eastAsia"/>
                <w:color w:val="auto"/>
                <w:kern w:val="0"/>
                <w:sz w:val="24"/>
                <w:u w:val="single" w:color="auto"/>
                <w:lang w:val="en-US" w:eastAsia="zh-CN"/>
                <w:highlight w:val="none"/>
              </w:rPr>
              <w:t>博联</w:t>
            </w:r>
            <w:r>
              <w:rPr>
                <w:rFonts w:ascii="Times New Roman" w:eastAsia="宋体" w:cs="Times New Roman" w:hAnsi="Times New Roman" w:hint="eastAsia"/>
                <w:color w:val="auto"/>
                <w:kern w:val="0"/>
                <w:sz w:val="24"/>
                <w:u w:val="single" w:color="auto"/>
                <w:lang w:val="en-US" w:eastAsia="zh-CN"/>
                <w:highlight w:val="none"/>
              </w:rPr>
              <w:t>检测</w:t>
            </w:r>
            <w:r>
              <w:rPr>
                <w:rFonts w:cs="Times New Roman" w:hint="eastAsia"/>
                <w:color w:val="auto"/>
                <w:kern w:val="0"/>
                <w:sz w:val="24"/>
                <w:u w:val="single" w:color="auto"/>
                <w:lang w:val="en-US" w:eastAsia="zh-CN"/>
                <w:highlight w:val="none"/>
              </w:rPr>
              <w:t>集团</w:t>
            </w:r>
            <w:r>
              <w:rPr>
                <w:rFonts w:ascii="Times New Roman" w:eastAsia="宋体" w:cs="Times New Roman" w:hAnsi="Times New Roman" w:hint="eastAsia"/>
                <w:color w:val="auto"/>
                <w:kern w:val="0"/>
                <w:sz w:val="24"/>
                <w:u w:val="single" w:color="auto"/>
                <w:lang w:val="en-US" w:eastAsia="zh-CN"/>
                <w:highlight w:val="none"/>
              </w:rPr>
              <w:t>有限</w:t>
            </w:r>
            <w:r>
              <w:rPr>
                <w:rFonts w:cs="Times New Roman" w:hint="eastAsia"/>
                <w:color w:val="auto"/>
                <w:kern w:val="0"/>
                <w:sz w:val="24"/>
                <w:u w:val="single" w:color="auto"/>
                <w:lang w:val="en-US" w:eastAsia="zh-CN"/>
                <w:highlight w:val="none"/>
              </w:rPr>
              <w:t>责任</w:t>
            </w:r>
            <w:r>
              <w:rPr>
                <w:rFonts w:ascii="Times New Roman" w:eastAsia="宋体" w:cs="Times New Roman" w:hAnsi="Times New Roman" w:hint="eastAsia"/>
                <w:color w:val="auto"/>
                <w:kern w:val="0"/>
                <w:sz w:val="24"/>
                <w:u w:val="single" w:color="auto"/>
                <w:lang w:val="en-US" w:eastAsia="zh-CN"/>
                <w:highlight w:val="none"/>
              </w:rPr>
              <w:t>公司</w:t>
            </w:r>
            <w:r>
              <w:rPr>
                <w:rFonts w:cs="Times New Roman" w:hint="eastAsia"/>
                <w:color w:val="auto"/>
                <w:kern w:val="0"/>
                <w:sz w:val="24"/>
                <w:u w:val="single" w:color="auto"/>
                <w:lang w:val="en-US" w:eastAsia="zh-CN"/>
                <w:highlight w:val="none"/>
              </w:rPr>
              <w:t>于2024年12月23日对太青水库进行的地表水环境质量现状监测</w:t>
            </w:r>
            <w:r>
              <w:rPr>
                <w:rFonts w:ascii="Times New Roman" w:eastAsia="宋体" w:cs="Times New Roman" w:hAnsi="Times New Roman"/>
                <w:color w:val="auto"/>
                <w:kern w:val="0"/>
                <w:sz w:val="24"/>
                <w:u w:val="single" w:color="auto"/>
                <w:highlight w:val="none"/>
              </w:rPr>
              <w:t>，</w:t>
            </w:r>
            <w:r>
              <w:rPr>
                <w:rFonts w:ascii="Times New Roman" w:eastAsia="宋体" w:cs="Times New Roman" w:hAnsi="Times New Roman" w:hint="eastAsia"/>
                <w:color w:val="000000"/>
                <w:sz w:val="24"/>
                <w:u w:val="single" w:color="auto"/>
                <w:highlight w:val="none"/>
              </w:rPr>
              <w:t>地表水环境现状的监测因子为《地表水环境质量标准》（GB3838-2002）表1中24项、表2中5项、表3中80项</w:t>
            </w:r>
            <w:r>
              <w:rPr>
                <w:rFonts w:cs="Times New Roman" w:hint="eastAsia"/>
                <w:color w:val="000000"/>
                <w:sz w:val="24"/>
                <w:u w:val="single" w:color="auto"/>
                <w:lang w:eastAsia="zh-CN"/>
                <w:highlight w:val="none"/>
              </w:rPr>
              <w:t>，</w:t>
            </w:r>
            <w:r>
              <w:rPr>
                <w:rFonts w:cs="Times New Roman" w:hint="eastAsia"/>
                <w:color w:val="000000"/>
                <w:sz w:val="24"/>
                <w:u w:val="single" w:color="auto"/>
                <w:lang w:val="en-US" w:eastAsia="zh-CN"/>
                <w:highlight w:val="none"/>
              </w:rPr>
              <w:t>又根据</w:t>
            </w:r>
            <w:r>
              <w:rPr>
                <w:rFonts w:ascii="Times New Roman" w:eastAsia="宋体" w:cs="Times New Roman" w:hAnsi="Times New Roman" w:hint="eastAsia"/>
                <w:color w:val="000000"/>
                <w:sz w:val="24"/>
                <w:u w:val="single" w:color="auto"/>
                <w:highlight w:val="none"/>
              </w:rPr>
              <w:t>湖南华科环境检测技术服务有限公司</w:t>
            </w:r>
            <w:r>
              <w:rPr>
                <w:rFonts w:cs="Times New Roman" w:hint="eastAsia"/>
                <w:color w:val="000000"/>
                <w:sz w:val="24"/>
                <w:u w:val="single" w:color="auto"/>
                <w:lang w:val="en-US" w:eastAsia="zh-CN"/>
                <w:highlight w:val="none"/>
              </w:rPr>
              <w:t>2024年3月21日</w:t>
            </w:r>
            <w:r>
              <w:rPr>
                <w:rFonts w:cs="Times New Roman" w:hint="eastAsia"/>
                <w:color w:val="auto"/>
                <w:kern w:val="0"/>
                <w:sz w:val="24"/>
                <w:u w:val="single" w:color="auto"/>
                <w:lang w:val="en-US" w:eastAsia="zh-CN"/>
                <w:highlight w:val="none"/>
              </w:rPr>
              <w:t>对太青水库进行的地表水环境质量现状监测（叶绿素、透明度2项监测因子）</w:t>
            </w:r>
            <w:r>
              <w:rPr>
                <w:rFonts w:ascii="Times New Roman" w:eastAsia="宋体" w:cs="Times New Roman" w:hAnsi="Times New Roman"/>
                <w:color w:val="auto"/>
                <w:kern w:val="0"/>
                <w:sz w:val="24"/>
                <w:u w:val="single" w:color="auto"/>
                <w:highlight w:val="none"/>
              </w:rPr>
              <w:t>，</w:t>
            </w:r>
            <w:r>
              <w:rPr>
                <w:rFonts w:ascii="Times New Roman" w:eastAsia="宋体" w:cs="Times New Roman" w:hAnsi="Times New Roman" w:hint="eastAsia"/>
                <w:color w:val="000000"/>
                <w:sz w:val="24"/>
                <w:u w:val="single" w:color="auto"/>
                <w:highlight w:val="none"/>
              </w:rPr>
              <w:t>合计1</w:t>
            </w:r>
            <w:r>
              <w:rPr>
                <w:rFonts w:cs="Times New Roman" w:hint="eastAsia"/>
                <w:color w:val="000000"/>
                <w:sz w:val="24"/>
                <w:u w:val="single" w:color="auto"/>
                <w:lang w:val="en-US" w:eastAsia="zh-CN"/>
                <w:highlight w:val="none"/>
              </w:rPr>
              <w:t>11</w:t>
            </w:r>
            <w:r>
              <w:rPr>
                <w:rFonts w:ascii="Times New Roman" w:eastAsia="宋体" w:cs="Times New Roman" w:hAnsi="Times New Roman" w:hint="eastAsia"/>
                <w:color w:val="000000"/>
                <w:sz w:val="24"/>
                <w:u w:val="single" w:color="auto"/>
                <w:highlight w:val="none"/>
              </w:rPr>
              <w:t>项</w:t>
            </w:r>
            <w:r>
              <w:rPr>
                <w:rFonts w:cs="Times New Roman" w:hint="eastAsia"/>
                <w:color w:val="000000"/>
                <w:sz w:val="24"/>
                <w:u w:val="single" w:color="auto"/>
                <w:lang w:val="en-US" w:eastAsia="zh-CN"/>
                <w:highlight w:val="none"/>
              </w:rPr>
              <w:t>均满足</w:t>
            </w:r>
            <w:r>
              <w:rPr>
                <w:color w:val="000000"/>
                <w:kern w:val="0"/>
                <w:sz w:val="24"/>
                <w:u w:val="single" w:color="auto"/>
                <w:highlight w:val="none"/>
              </w:rPr>
              <w:t>《地表水环境质量标准》（GB3838-2002）Ⅱ类标准，符合水源取水要求。</w:t>
            </w:r>
          </w:p>
          <w:p>
            <w:pPr>
              <w:pStyle w:val="17"/>
              <w:adjustRightInd w:val="0"/>
              <w:snapToGrid w:val="0"/>
              <w:spacing w:line="360" w:lineRule="auto"/>
              <w:ind w:firstLineChars="200" w:firstLine="480"/>
              <w:jc w:val="left"/>
              <w:rPr>
                <w:rFonts w:eastAsia="宋体" w:hint="eastAsia"/>
                <w:color w:val="FF0000"/>
                <w:lang w:eastAsia="zh-CN"/>
                <w:highlight w:val="none"/>
              </w:rPr>
            </w:pPr>
            <w:r>
              <w:rPr>
                <w:rFonts w:ascii="Times New Roman" w:eastAsia="宋体" w:cs="Times New Roman" w:hAnsi="Times New Roman" w:hint="eastAsia"/>
                <w:bCs/>
                <w:kern w:val="2"/>
                <w:sz w:val="24"/>
                <w:szCs w:val="24"/>
                <w:u w:val="none" w:color="auto"/>
                <w:lang w:val="en-US" w:eastAsia="zh-CN" w:bidi="ar-SA"/>
              </w:rPr>
              <w:t>综上所述，本项目水厂取水水源是可行的。</w:t>
            </w:r>
          </w:p>
        </w:tc>
      </w:tr>
      <w:tr>
        <w:trPr>
          <w:trHeight w:val="1833"/>
        </w:trPr>
        <w:tc>
          <w:tcPr>
            <w:tcW w:w="237" w:type="pct"/>
            <w:vAlign w:val="center"/>
          </w:tcPr>
          <w:p>
            <w:pPr>
              <w:pStyle w:val="34"/>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工艺流程和产排污环节</w:t>
            </w:r>
          </w:p>
        </w:tc>
        <w:tc>
          <w:tcPr>
            <w:tcW w:w="4763" w:type="pct"/>
            <w:shd w:val="clear" w:color="auto" w:fill="auto"/>
          </w:tcPr>
          <w:p>
            <w:pPr>
              <w:spacing w:line="343" w:lineRule="auto"/>
              <w:rPr>
                <w:b/>
                <w:bCs/>
                <w:sz w:val="24"/>
                <w:highlight w:val="none"/>
              </w:rPr>
            </w:pPr>
            <w:r>
              <w:rPr>
                <w:b/>
                <w:bCs/>
                <w:sz w:val="24"/>
                <w:highlight w:val="none"/>
              </w:rPr>
              <w:t>1、施工期施工工艺流程简述</w:t>
            </w:r>
          </w:p>
          <w:p>
            <w:pPr>
              <w:pStyle w:val="17"/>
              <w:adjustRightInd w:val="0"/>
              <w:snapToGrid w:val="0"/>
              <w:spacing w:line="360" w:lineRule="auto"/>
              <w:ind w:firstLineChars="200" w:firstLine="480"/>
              <w:jc w:val="left"/>
              <w:rPr>
                <w:rFonts w:ascii="Times New Roman" w:eastAsia="宋体" w:cs="Times New Roman" w:hAnsi="Times New Roman"/>
                <w:sz w:val="24"/>
                <w:szCs w:val="24"/>
                <w:u w:val="single"/>
                <w:lang w:val="en-US" w:eastAsia="zh-CN"/>
                <w:highlight w:val="none"/>
              </w:rPr>
            </w:pPr>
            <w:r>
              <w:rPr>
                <w:rFonts w:ascii="Times New Roman" w:eastAsia="宋体" w:cs="Times New Roman" w:hAnsi="Times New Roman" w:hint="eastAsia"/>
                <w:sz w:val="24"/>
                <w:szCs w:val="24"/>
                <w:u w:val="single"/>
                <w:lang w:val="en-US" w:eastAsia="zh-CN"/>
                <w:highlight w:val="none"/>
              </w:rPr>
              <w:t>（1）取水泵站施工工艺</w:t>
            </w:r>
          </w:p>
          <w:p>
            <w:pPr>
              <w:pStyle w:val="17"/>
              <w:adjustRightInd w:val="0"/>
              <w:snapToGrid w:val="0"/>
              <w:spacing w:line="360" w:lineRule="auto"/>
              <w:ind w:firstLineChars="200" w:firstLine="480"/>
              <w:jc w:val="left"/>
              <w:rPr>
                <w:rFonts w:eastAsia="宋体"/>
                <w:sz w:val="24"/>
                <w:szCs w:val="24"/>
                <w:u w:val="single"/>
                <w:highlight w:val="none"/>
              </w:rPr>
            </w:pPr>
            <w:r>
              <w:rPr>
                <w:rFonts w:ascii="Times New Roman" w:eastAsia="宋体" w:cs="Times New Roman" w:hAnsi="Times New Roman" w:hint="eastAsia"/>
                <w:sz w:val="24"/>
                <w:szCs w:val="24"/>
                <w:u w:val="single"/>
                <w:lang w:val="en-US" w:eastAsia="zh-CN"/>
                <w:highlight w:val="none"/>
              </w:rPr>
              <w:t>本项目</w:t>
            </w:r>
            <w:r>
              <w:rPr>
                <w:rFonts w:ascii="Times New Roman" w:eastAsia="宋体" w:cs="Times New Roman" w:hAnsi="Times New Roman"/>
                <w:sz w:val="24"/>
                <w:szCs w:val="24"/>
                <w:u w:val="single"/>
                <w:highlight w:val="none"/>
              </w:rPr>
              <w:t>取水口</w:t>
            </w:r>
            <w:r>
              <w:rPr>
                <w:rFonts w:ascii="Times New Roman" w:eastAsia="宋体" w:cs="Times New Roman" w:hAnsi="Times New Roman" w:hint="eastAsia"/>
                <w:sz w:val="24"/>
                <w:szCs w:val="24"/>
                <w:u w:val="single"/>
                <w:lang w:val="en-US" w:eastAsia="zh-CN"/>
                <w:highlight w:val="none"/>
              </w:rPr>
              <w:t>设置浮船</w:t>
            </w:r>
            <w:r>
              <w:rPr>
                <w:rFonts w:ascii="Times New Roman" w:eastAsia="宋体" w:cs="Times New Roman" w:hAnsi="Times New Roman"/>
                <w:sz w:val="24"/>
                <w:szCs w:val="24"/>
                <w:u w:val="single"/>
                <w:highlight w:val="none"/>
              </w:rPr>
              <w:t>式取水</w:t>
            </w:r>
            <w:r>
              <w:rPr>
                <w:rFonts w:ascii="Times New Roman" w:eastAsia="宋体" w:cs="Times New Roman" w:hAnsi="Times New Roman" w:hint="eastAsia"/>
                <w:sz w:val="24"/>
                <w:szCs w:val="24"/>
                <w:u w:val="single"/>
                <w:lang w:val="en-US" w:eastAsia="zh-CN"/>
                <w:highlight w:val="none"/>
              </w:rPr>
              <w:t>泵站</w:t>
            </w:r>
            <w:r>
              <w:rPr>
                <w:rFonts w:ascii="Times New Roman" w:eastAsia="宋体" w:cs="Times New Roman" w:hAnsi="Times New Roman"/>
                <w:sz w:val="24"/>
                <w:szCs w:val="24"/>
                <w:u w:val="single"/>
                <w:highlight w:val="none"/>
              </w:rPr>
              <w:t>，</w:t>
            </w:r>
            <w:r>
              <w:rPr>
                <w:rFonts w:ascii="Times New Roman" w:eastAsia="宋体" w:cs="Times New Roman" w:hAnsi="Times New Roman" w:hint="eastAsia"/>
                <w:sz w:val="24"/>
                <w:szCs w:val="24"/>
                <w:u w:val="single"/>
                <w:lang w:val="en-US" w:eastAsia="zh-CN"/>
                <w:highlight w:val="none"/>
              </w:rPr>
              <w:t>浮船</w:t>
            </w:r>
            <w:r>
              <w:rPr>
                <w:rFonts w:ascii="Times New Roman" w:eastAsia="宋体" w:cs="Times New Roman" w:hAnsi="Times New Roman"/>
                <w:sz w:val="24"/>
                <w:szCs w:val="24"/>
                <w:u w:val="single"/>
                <w:highlight w:val="none"/>
              </w:rPr>
              <w:t>式取水</w:t>
            </w:r>
            <w:r>
              <w:rPr>
                <w:rFonts w:ascii="Times New Roman" w:eastAsia="宋体" w:cs="Times New Roman" w:hAnsi="Times New Roman" w:hint="eastAsia"/>
                <w:sz w:val="24"/>
                <w:szCs w:val="24"/>
                <w:u w:val="single"/>
                <w:lang w:val="en-US" w:eastAsia="zh-CN"/>
                <w:highlight w:val="none"/>
              </w:rPr>
              <w:t>泵站作为一种灵活的水上取水或排水设施，广泛应用于河流、湖泊等水域的灌溉、城市供水、防洪排涝等领域。施工方案主要为浮体主装与定位--水泵机组安装--电气系统与控制系统安装--锚泊系统布置--试运行与调试。</w:t>
            </w:r>
          </w:p>
          <w:p>
            <w:pPr>
              <w:pStyle w:val="17"/>
              <w:adjustRightInd w:val="0"/>
              <w:snapToGrid w:val="0"/>
              <w:spacing w:line="360" w:lineRule="auto"/>
              <w:ind w:firstLineChars="200" w:firstLine="480"/>
              <w:jc w:val="left"/>
              <w:rPr>
                <w:rFonts w:eastAsia="宋体" w:hint="eastAsia"/>
                <w:sz w:val="24"/>
                <w:szCs w:val="24"/>
                <w:u w:val="single"/>
                <w:highlight w:val="none"/>
              </w:rPr>
            </w:pPr>
            <w:r>
              <w:rPr>
                <w:rFonts w:eastAsia="宋体" w:hint="eastAsia"/>
                <w:sz w:val="24"/>
                <w:szCs w:val="24"/>
                <w:u w:val="single"/>
                <w:highlight w:val="none"/>
              </w:rPr>
              <w:t>（</w:t>
            </w:r>
            <w:r>
              <w:rPr>
                <w:rFonts w:eastAsia="宋体" w:hint="eastAsia"/>
                <w:sz w:val="24"/>
                <w:szCs w:val="24"/>
                <w:u w:val="single"/>
                <w:lang w:val="en-US" w:eastAsia="zh-CN"/>
                <w:highlight w:val="none"/>
              </w:rPr>
              <w:t>2</w:t>
            </w:r>
            <w:r>
              <w:rPr>
                <w:rFonts w:eastAsia="宋体" w:hint="eastAsia"/>
                <w:sz w:val="24"/>
                <w:szCs w:val="24"/>
                <w:u w:val="single"/>
                <w:highlight w:val="none"/>
              </w:rPr>
              <w:t>）管道施工工艺</w:t>
            </w:r>
          </w:p>
          <w:p>
            <w:pPr>
              <w:pStyle w:val="17"/>
              <w:adjustRightInd w:val="0"/>
              <w:snapToGrid w:val="0"/>
              <w:spacing w:line="360" w:lineRule="auto"/>
              <w:ind w:firstLineChars="200" w:firstLine="480"/>
              <w:jc w:val="left"/>
              <w:rPr>
                <w:rFonts w:eastAsia="宋体" w:hint="eastAsia"/>
                <w:sz w:val="24"/>
                <w:szCs w:val="24"/>
                <w:u w:val="single"/>
                <w:highlight w:val="none"/>
              </w:rPr>
            </w:pPr>
            <w:r>
              <w:rPr>
                <w:rFonts w:eastAsia="宋体" w:hint="eastAsia"/>
                <w:sz w:val="24"/>
                <w:szCs w:val="24"/>
                <w:u w:val="single"/>
                <w:highlight w:val="none"/>
              </w:rPr>
              <w:t>项目穿越处采用定向钻施工方式，沿河沿路等区域施工采用开挖方式，具体工艺如下。</w:t>
            </w:r>
          </w:p>
          <w:p>
            <w:pPr>
              <w:pStyle w:val="17"/>
              <w:adjustRightInd w:val="0"/>
              <w:snapToGrid w:val="0"/>
              <w:spacing w:line="360" w:lineRule="auto"/>
              <w:ind w:firstLineChars="200" w:firstLine="480"/>
              <w:jc w:val="left"/>
              <w:rPr>
                <w:rFonts w:eastAsia="宋体"/>
                <w:sz w:val="24"/>
                <w:szCs w:val="24"/>
                <w:u w:val="single"/>
                <w:highlight w:val="none"/>
              </w:rPr>
            </w:pPr>
          </w:p>
          <w:p>
            <w:pPr>
              <w:adjustRightInd w:val="0"/>
              <w:snapToGrid w:val="0"/>
              <w:spacing w:line="360" w:lineRule="auto"/>
              <w:jc w:val="center"/>
              <w:rPr>
                <w:sz w:val="24"/>
                <w:u w:val="single"/>
                <w:highlight w:val="none"/>
              </w:rPr>
            </w:pPr>
            <w:r>
              <w:rPr>
                <w:sz w:val="24"/>
                <w:u w:val="none"/>
                <w:highlight w:val="none"/>
              </w:rPr>
              <w:drawing>
                <wp:inline distT="0" distB="0" distL="0" distR="0">
                  <wp:extent cx="4681220" cy="1836000"/>
                  <wp:effectExtent l="0" t="0" r="1" b="0"/>
                  <wp:docPr id="1044" name="图片 3"/>
                  <wp:cNvGraphicFramePr>
                    <a:graphicFrameLocks noChangeAspect="1"/>
                  </wp:cNvGraphicFramePr>
                  <a:graphic>
                    <a:graphicData uri="http://schemas.openxmlformats.org/drawingml/2006/picture">
                      <pic:pic>
                        <pic:nvPicPr>
                          <pic:cNvPr id="12" name="图片 3 12"/>
                          <pic:cNvPicPr/>
                        </pic:nvPicPr>
                        <pic:blipFill>
                          <a:blip r:embed="rId10"/>
                          <a:stretch>
                            <a:fillRect/>
                          </a:stretch>
                        </pic:blipFill>
                        <pic:spPr>
                          <a:xfrm rot="0">
                            <a:off x="0" y="0"/>
                            <a:ext cx="4681220" cy="1836000"/>
                          </a:xfrm>
                          <a:prstGeom prst="rect"/>
                          <a:noFill/>
                          <a:ln cmpd="sng" cap="flat">
                            <a:noFill/>
                            <a:prstDash val="solid"/>
                            <a:round/>
                          </a:ln>
                        </pic:spPr>
                      </pic:pic>
                    </a:graphicData>
                  </a:graphic>
                </wp:inline>
              </w:drawing>
            </w:r>
          </w:p>
          <w:p>
            <w:pPr>
              <w:jc w:val="center"/>
              <w:rPr>
                <w:b/>
                <w:bCs/>
                <w:szCs w:val="21"/>
                <w:u w:val="single"/>
                <w:highlight w:val="none"/>
              </w:rPr>
            </w:pPr>
            <w:r>
              <w:rPr>
                <w:b/>
                <w:bCs/>
                <w:szCs w:val="21"/>
                <w:u w:val="single"/>
                <w:highlight w:val="none"/>
              </w:rPr>
              <w:t>图2-</w:t>
            </w:r>
            <w:r>
              <w:rPr>
                <w:rFonts w:hint="eastAsia"/>
                <w:b/>
                <w:bCs/>
                <w:szCs w:val="21"/>
                <w:u w:val="single"/>
                <w:highlight w:val="none"/>
              </w:rPr>
              <w:t>1</w:t>
            </w:r>
            <w:r>
              <w:rPr>
                <w:b/>
                <w:bCs/>
                <w:szCs w:val="21"/>
                <w:u w:val="single"/>
                <w:highlight w:val="none"/>
              </w:rPr>
              <w:t xml:space="preserve">  管道施工工艺及产污节点图</w:t>
            </w:r>
          </w:p>
          <w:p>
            <w:pPr>
              <w:adjustRightInd w:val="0"/>
              <w:snapToGrid w:val="0"/>
              <w:spacing w:line="360" w:lineRule="auto"/>
              <w:ind w:firstLineChars="200" w:firstLine="480"/>
              <w:rPr>
                <w:sz w:val="24"/>
                <w:u w:val="single"/>
                <w:highlight w:val="none"/>
              </w:rPr>
            </w:pPr>
            <w:r>
              <w:rPr>
                <w:rFonts w:hint="eastAsia"/>
                <w:b/>
                <w:sz w:val="24"/>
                <w:u w:val="single"/>
                <w:highlight w:val="none"/>
              </w:rPr>
              <w:t>工艺流程简述：</w:t>
            </w:r>
          </w:p>
          <w:p>
            <w:pPr>
              <w:adjustRightInd w:val="0"/>
              <w:snapToGrid w:val="0"/>
              <w:spacing w:line="360" w:lineRule="auto"/>
              <w:ind w:firstLineChars="200" w:firstLine="480"/>
              <w:rPr>
                <w:sz w:val="24"/>
                <w:u w:val="single"/>
                <w:highlight w:val="none"/>
              </w:rPr>
            </w:pPr>
            <w:r>
              <w:rPr>
                <w:rFonts w:ascii="宋体" w:cs="宋体" w:hAnsi="宋体" w:hint="eastAsia"/>
                <w:sz w:val="24"/>
                <w:u w:val="single"/>
                <w:highlight w:val="none"/>
              </w:rPr>
              <w:t>①</w:t>
            </w:r>
            <w:r>
              <w:rPr>
                <w:sz w:val="24"/>
                <w:u w:val="single"/>
                <w:highlight w:val="none"/>
              </w:rPr>
              <w:t>测量放线：沟槽定位之前必须依据施工图纸，弄清管线布置、走向、工艺设计、管线沿途高程控制点分布和施工安装要求。根据设计路线进行放线，并对该线路上的物质进行清理，清理产生的固废集中收集运至建设部门指定</w:t>
            </w:r>
            <w:r>
              <w:rPr>
                <w:rFonts w:hint="eastAsia"/>
                <w:sz w:val="24"/>
                <w:u w:val="single"/>
                <w:highlight w:val="none"/>
              </w:rPr>
              <w:t>消纳场</w:t>
            </w:r>
            <w:r>
              <w:rPr>
                <w:sz w:val="24"/>
                <w:u w:val="single"/>
                <w:highlight w:val="none"/>
              </w:rPr>
              <w:t>。</w:t>
            </w:r>
          </w:p>
          <w:p>
            <w:pPr>
              <w:adjustRightInd w:val="0"/>
              <w:snapToGrid w:val="0"/>
              <w:spacing w:line="360" w:lineRule="auto"/>
              <w:ind w:firstLineChars="200" w:firstLine="480"/>
              <w:rPr>
                <w:sz w:val="24"/>
                <w:u w:val="single"/>
                <w:highlight w:val="none"/>
              </w:rPr>
            </w:pPr>
            <w:r>
              <w:rPr>
                <w:rFonts w:ascii="宋体" w:cs="宋体" w:hAnsi="宋体" w:hint="eastAsia"/>
                <w:sz w:val="24"/>
                <w:u w:val="single"/>
                <w:highlight w:val="none"/>
              </w:rPr>
              <w:t>②</w:t>
            </w:r>
            <w:r>
              <w:rPr>
                <w:sz w:val="24"/>
                <w:u w:val="single"/>
                <w:highlight w:val="none"/>
              </w:rPr>
              <w:t>沟槽开挖：开挖方式为机械开挖和人工开挖结合。管沟断面一般呈梯形，管沟开挖土方堆放于管沟一侧，另一侧为施工场地。埋地管道沟槽宜分段开挖，开挖时尽量避免扰动基础持力层的原状土，开挖后应及时敷设管道后回填，避免使基槽土体长期暴露，而影响沟槽稳定。沟槽开挖后，部分管段的地下水埋深可能较浅，施工时应将地下水降到基底500mm以下，并且沟槽外侧应建立完善的排水系统，避免使已排出的水回灌或使地表水流入槽内。</w:t>
            </w:r>
          </w:p>
          <w:p>
            <w:pPr>
              <w:adjustRightInd w:val="0"/>
              <w:snapToGrid w:val="0"/>
              <w:spacing w:line="360" w:lineRule="auto"/>
              <w:ind w:firstLineChars="200" w:firstLine="480"/>
              <w:rPr>
                <w:sz w:val="24"/>
                <w:u w:val="single"/>
                <w:highlight w:val="none"/>
              </w:rPr>
            </w:pPr>
            <w:r>
              <w:rPr>
                <w:rFonts w:ascii="宋体" w:cs="宋体" w:hAnsi="宋体" w:hint="eastAsia"/>
                <w:sz w:val="24"/>
                <w:u w:val="single"/>
                <w:highlight w:val="none"/>
              </w:rPr>
              <w:t>③</w:t>
            </w:r>
            <w:r>
              <w:rPr>
                <w:sz w:val="24"/>
                <w:u w:val="single"/>
                <w:highlight w:val="none"/>
              </w:rPr>
              <w:t>管道基础：沟槽开挖后首先进行管道基础的处理。埋地管道基础应置于密实的原状土层上，基础采用土弧地基，弧形中心角α=120°。管道基础要求地基承载能力不低于100KPa，若遇淤泥、松散杂填土等软弱地基应采用碎石或碎石土换填，要求换填后压实系数≥0.95。</w:t>
            </w:r>
          </w:p>
          <w:p>
            <w:pPr>
              <w:adjustRightInd w:val="0"/>
              <w:snapToGrid w:val="0"/>
              <w:spacing w:line="360" w:lineRule="auto"/>
              <w:ind w:firstLineChars="200" w:firstLine="480"/>
              <w:rPr>
                <w:sz w:val="24"/>
                <w:u w:val="single"/>
                <w:highlight w:val="none"/>
              </w:rPr>
            </w:pPr>
            <w:r>
              <w:rPr>
                <w:rFonts w:hint="eastAsia"/>
                <w:sz w:val="24"/>
                <w:u w:val="single"/>
                <w:highlight w:val="none"/>
              </w:rPr>
              <w:t>④管道安装：管道铺设前应对沟底标高、底宽、砾石地段回填土层厚度是否达到施工标准等指标进行检查。压力钢管安装由厂家分段焊接后运到工地，每节安装钢管长4～20m，水平段采用5t 汽车吊提升就位；坡度较陡段利用卷扬机牵引索道提升就位，然后由专业队伍拼装焊接完成。安装时，管道至于槽中。</w:t>
            </w:r>
          </w:p>
          <w:p>
            <w:pPr>
              <w:pStyle w:val="17"/>
              <w:adjustRightInd w:val="0"/>
              <w:snapToGrid w:val="0"/>
              <w:spacing w:line="360" w:lineRule="auto"/>
              <w:ind w:firstLineChars="200" w:firstLine="480"/>
              <w:jc w:val="both"/>
              <w:rPr>
                <w:rFonts w:eastAsia="宋体"/>
                <w:sz w:val="24"/>
                <w:szCs w:val="24"/>
                <w:u w:val="single"/>
                <w:highlight w:val="none"/>
              </w:rPr>
            </w:pPr>
            <w:r>
              <w:rPr>
                <w:rFonts w:eastAsia="宋体" w:hint="eastAsia"/>
                <w:sz w:val="24"/>
                <w:szCs w:val="24"/>
                <w:u w:val="single"/>
                <w:highlight w:val="none"/>
              </w:rPr>
              <w:t>⑤管道回填：沟槽回填关系到管道强度、刚度性能的发挥和管道长久运行的可靠度。钢管作为柔性管材，管底至管顶以上</w:t>
            </w:r>
            <w:r>
              <w:rPr>
                <w:rFonts w:eastAsia="宋体"/>
                <w:sz w:val="24"/>
                <w:szCs w:val="24"/>
                <w:u w:val="single"/>
                <w:highlight w:val="none"/>
              </w:rPr>
              <w:t>500mm</w:t>
            </w:r>
            <w:r>
              <w:rPr>
                <w:rFonts w:eastAsia="宋体" w:hint="eastAsia"/>
                <w:sz w:val="24"/>
                <w:szCs w:val="24"/>
                <w:u w:val="single"/>
                <w:highlight w:val="none"/>
              </w:rPr>
              <w:t>范围内的区域需要仔细夯实，管道基础部分采用中粗砂垫层，其余部分采用中粗砂、碎石屑、最大粒径小于</w:t>
            </w:r>
            <w:r>
              <w:rPr>
                <w:rFonts w:eastAsia="宋体"/>
                <w:sz w:val="24"/>
                <w:szCs w:val="24"/>
                <w:u w:val="single"/>
                <w:highlight w:val="none"/>
              </w:rPr>
              <w:t>40mm</w:t>
            </w:r>
            <w:r>
              <w:rPr>
                <w:rFonts w:eastAsia="宋体" w:hint="eastAsia"/>
                <w:sz w:val="24"/>
                <w:szCs w:val="24"/>
                <w:u w:val="single"/>
                <w:highlight w:val="none"/>
              </w:rPr>
              <w:t>的砂砾或符合要求沟槽原土（细粒土）回填，回填土保持在最佳含水量附近。沟槽回填从管底基础部位开始到管顶以上</w:t>
            </w:r>
            <w:r>
              <w:rPr>
                <w:rFonts w:eastAsia="宋体"/>
                <w:sz w:val="24"/>
                <w:szCs w:val="24"/>
                <w:u w:val="single"/>
                <w:highlight w:val="none"/>
              </w:rPr>
              <w:t>500mm</w:t>
            </w:r>
            <w:r>
              <w:rPr>
                <w:rFonts w:eastAsia="宋体" w:hint="eastAsia"/>
                <w:sz w:val="24"/>
                <w:szCs w:val="24"/>
                <w:u w:val="single"/>
                <w:highlight w:val="none"/>
              </w:rPr>
              <w:t>范围内，必须采用人工回填；管顶</w:t>
            </w:r>
            <w:r>
              <w:rPr>
                <w:rFonts w:eastAsia="宋体"/>
                <w:sz w:val="24"/>
                <w:szCs w:val="24"/>
                <w:u w:val="single"/>
                <w:highlight w:val="none"/>
              </w:rPr>
              <w:t>500mm</w:t>
            </w:r>
            <w:r>
              <w:rPr>
                <w:rFonts w:eastAsia="宋体" w:hint="eastAsia"/>
                <w:sz w:val="24"/>
                <w:szCs w:val="24"/>
                <w:u w:val="single"/>
                <w:highlight w:val="none"/>
              </w:rPr>
              <w:t>以上部位，可用机械从管道轴线两侧同时夯实；每层填土厚度应不大于</w:t>
            </w:r>
            <w:r>
              <w:rPr>
                <w:rFonts w:eastAsia="宋体"/>
                <w:sz w:val="24"/>
                <w:szCs w:val="24"/>
                <w:u w:val="single"/>
                <w:highlight w:val="none"/>
              </w:rPr>
              <w:t>200mm</w:t>
            </w:r>
            <w:r>
              <w:rPr>
                <w:rFonts w:eastAsia="宋体" w:hint="eastAsia"/>
                <w:sz w:val="24"/>
                <w:szCs w:val="24"/>
                <w:u w:val="single"/>
                <w:highlight w:val="none"/>
              </w:rPr>
              <w:t>。</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⑥管道试压：项目</w:t>
            </w:r>
            <w:r>
              <w:rPr>
                <w:rFonts w:eastAsia="宋体" w:hint="eastAsia"/>
                <w:sz w:val="24"/>
                <w:szCs w:val="24"/>
                <w:u w:val="single"/>
                <w:lang w:eastAsia="zh-CN"/>
                <w:highlight w:val="none"/>
              </w:rPr>
              <w:t>供水</w:t>
            </w:r>
            <w:r>
              <w:rPr>
                <w:rFonts w:eastAsia="宋体" w:hint="eastAsia"/>
                <w:sz w:val="24"/>
                <w:szCs w:val="24"/>
                <w:u w:val="single"/>
                <w:highlight w:val="none"/>
              </w:rPr>
              <w:t>管线敷设较长，采取分段试压。试压分段长度一般采用</w:t>
            </w:r>
            <w:r>
              <w:rPr>
                <w:rFonts w:eastAsia="宋体"/>
                <w:sz w:val="24"/>
                <w:szCs w:val="24"/>
                <w:u w:val="single"/>
                <w:highlight w:val="none"/>
              </w:rPr>
              <w:t>500</w:t>
            </w:r>
            <w:r>
              <w:rPr>
                <w:rFonts w:eastAsia="宋体" w:hint="eastAsia"/>
                <w:sz w:val="24"/>
                <w:szCs w:val="24"/>
                <w:u w:val="single"/>
                <w:highlight w:val="none"/>
              </w:rPr>
              <w:t>～</w:t>
            </w:r>
            <w:r>
              <w:rPr>
                <w:rFonts w:eastAsia="宋体"/>
                <w:sz w:val="24"/>
                <w:szCs w:val="24"/>
                <w:u w:val="single"/>
                <w:highlight w:val="none"/>
              </w:rPr>
              <w:t>1000m</w:t>
            </w:r>
            <w:r>
              <w:rPr>
                <w:rFonts w:eastAsia="宋体" w:hint="eastAsia"/>
                <w:sz w:val="24"/>
                <w:szCs w:val="24"/>
                <w:u w:val="single"/>
                <w:highlight w:val="none"/>
              </w:rPr>
              <w:t>，管线转弯时可采用</w:t>
            </w:r>
            <w:r>
              <w:rPr>
                <w:rFonts w:eastAsia="宋体"/>
                <w:sz w:val="24"/>
                <w:szCs w:val="24"/>
                <w:u w:val="single"/>
                <w:highlight w:val="none"/>
              </w:rPr>
              <w:t>300</w:t>
            </w:r>
            <w:r>
              <w:rPr>
                <w:rFonts w:eastAsia="宋体" w:hint="eastAsia"/>
                <w:sz w:val="24"/>
                <w:szCs w:val="24"/>
                <w:u w:val="single"/>
                <w:highlight w:val="none"/>
              </w:rPr>
              <w:t>～</w:t>
            </w:r>
            <w:r>
              <w:rPr>
                <w:rFonts w:eastAsia="宋体"/>
                <w:sz w:val="24"/>
                <w:szCs w:val="24"/>
                <w:u w:val="single"/>
                <w:highlight w:val="none"/>
              </w:rPr>
              <w:t>500m</w:t>
            </w:r>
            <w:r>
              <w:rPr>
                <w:rFonts w:eastAsia="宋体" w:hint="eastAsia"/>
                <w:sz w:val="24"/>
                <w:szCs w:val="24"/>
                <w:u w:val="single"/>
                <w:highlight w:val="none"/>
              </w:rPr>
              <w:t>。试压前必须排气，可充水进行排气；为使管道内壁与接口填料充分吸水，需要一定的泡管时间。管道强度试验，第一步是升压，第二步按强度试验要求进行检查。即向管内灌水分级升压。每升压一级，检查管身、接口等情况，无异常，则继续升压，直到压力升高到试验压力为止。水压力升至试验压力后，保持恒压</w:t>
            </w:r>
            <w:r>
              <w:rPr>
                <w:rFonts w:eastAsia="宋体"/>
                <w:sz w:val="24"/>
                <w:szCs w:val="24"/>
                <w:u w:val="single"/>
                <w:highlight w:val="none"/>
              </w:rPr>
              <w:t>10min</w:t>
            </w:r>
            <w:r>
              <w:rPr>
                <w:rFonts w:eastAsia="宋体" w:hint="eastAsia"/>
                <w:sz w:val="24"/>
                <w:szCs w:val="24"/>
                <w:u w:val="single"/>
                <w:highlight w:val="none"/>
              </w:rPr>
              <w:t>，检查接口、管身，无破损及漏水现象，则认为管道试验强度合格。</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⑦管道冲洗：将清水抽入临时水箱，利用加压泵给水加压送往给水管进行冲洗；冲洗后的排水用水泵抽入临时收集池，整个冲洗工作到排出的水检查合格为止。</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w:t>
            </w:r>
            <w:r>
              <w:rPr>
                <w:rFonts w:eastAsia="宋体" w:hint="eastAsia"/>
                <w:sz w:val="24"/>
                <w:szCs w:val="24"/>
                <w:u w:val="single"/>
                <w:lang w:val="en-US" w:eastAsia="zh-CN"/>
                <w:highlight w:val="none"/>
              </w:rPr>
              <w:t>3</w:t>
            </w:r>
            <w:r>
              <w:rPr>
                <w:rFonts w:eastAsia="宋体" w:hint="eastAsia"/>
                <w:sz w:val="24"/>
                <w:szCs w:val="24"/>
                <w:u w:val="single"/>
                <w:highlight w:val="none"/>
              </w:rPr>
              <w:t>）定向钻施工工艺</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使用定向钻机进行管线穿越施工，一般分为三个阶段：</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第一阶段是钻机被安装在入土点一侧，从入土点开始，沿着设计好的线路，钻条从入土点到出土点的曲线，作为预扩孔和回拖管线的引导曲线。</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第二阶段是将导向孔进行扩孔，钻出的孔往往小于回拖管线的直径，为了使钻出的孔径达到回拖管线直径的1.3~1.5 倍，需要用扩孔器从出土点开始向入土点将导向孔扩大至要求的直径。</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第三阶段是地下孔经过预扩孔，达到回拖要求后，将钻杆、扩孔器、回拖活节和被安装管线依次连接好，从出土点开始，一边扩孔一边将管线回拖至入土点。</w:t>
            </w:r>
          </w:p>
          <w:p>
            <w:pPr>
              <w:pStyle w:val="17"/>
              <w:adjustRightInd w:val="0"/>
              <w:snapToGrid w:val="0"/>
              <w:spacing w:line="360" w:lineRule="auto"/>
              <w:rPr>
                <w:rFonts w:eastAsia="宋体"/>
                <w:sz w:val="24"/>
                <w:szCs w:val="24"/>
                <w:u w:val="single"/>
                <w:highlight w:val="none"/>
              </w:rPr>
            </w:pPr>
            <w:r>
              <w:rPr>
                <w:u w:val="single"/>
                <w:highlight w:val="none"/>
              </w:rPr>
              <w:drawing>
                <wp:inline distT="0" distB="0" distL="0" distR="0">
                  <wp:extent cx="3286759" cy="3747135"/>
                  <wp:effectExtent l="0" t="1" r="1" b="1"/>
                  <wp:docPr id="1045" name="图片 1"/>
                  <wp:cNvGraphicFramePr>
                    <a:graphicFrameLocks noChangeAspect="1"/>
                  </wp:cNvGraphicFramePr>
                  <a:graphic>
                    <a:graphicData uri="http://schemas.openxmlformats.org/drawingml/2006/picture">
                      <pic:pic>
                        <pic:nvPicPr>
                          <pic:cNvPr id="14" name="图片 1 14"/>
                          <pic:cNvPicPr/>
                        </pic:nvPicPr>
                        <pic:blipFill>
                          <a:blip r:embed="rId11"/>
                          <a:stretch>
                            <a:fillRect/>
                          </a:stretch>
                        </pic:blipFill>
                        <pic:spPr>
                          <a:xfrm rot="0">
                            <a:off x="0" y="0"/>
                            <a:ext cx="3286759" cy="3747135"/>
                          </a:xfrm>
                          <a:prstGeom prst="rect"/>
                          <a:noFill/>
                          <a:ln w="9525" cmpd="sng" cap="flat">
                            <a:noFill/>
                            <a:prstDash val="solid"/>
                            <a:miter/>
                          </a:ln>
                        </pic:spPr>
                      </pic:pic>
                    </a:graphicData>
                  </a:graphic>
                </wp:inline>
              </w:drawing>
            </w:r>
          </w:p>
          <w:p>
            <w:pPr>
              <w:jc w:val="center"/>
              <w:rPr>
                <w:b/>
                <w:bCs/>
                <w:szCs w:val="21"/>
                <w:u w:val="single"/>
                <w:highlight w:val="none"/>
              </w:rPr>
            </w:pPr>
            <w:r>
              <w:rPr>
                <w:b/>
                <w:bCs/>
                <w:szCs w:val="21"/>
                <w:u w:val="single"/>
                <w:highlight w:val="none"/>
              </w:rPr>
              <w:t>图2-</w:t>
            </w:r>
            <w:r>
              <w:rPr>
                <w:rFonts w:hint="eastAsia"/>
                <w:b/>
                <w:bCs/>
                <w:szCs w:val="21"/>
                <w:u w:val="single"/>
                <w:highlight w:val="none"/>
              </w:rPr>
              <w:t>2</w:t>
            </w:r>
            <w:r>
              <w:rPr>
                <w:b/>
                <w:bCs/>
                <w:szCs w:val="21"/>
                <w:u w:val="single"/>
                <w:highlight w:val="none"/>
              </w:rPr>
              <w:t xml:space="preserve">  </w:t>
            </w:r>
            <w:r>
              <w:rPr>
                <w:rFonts w:hint="eastAsia"/>
                <w:b/>
                <w:bCs/>
                <w:szCs w:val="21"/>
                <w:u w:val="single"/>
                <w:highlight w:val="none"/>
              </w:rPr>
              <w:t>定向钻施工工艺流程图</w:t>
            </w:r>
          </w:p>
          <w:p>
            <w:pPr>
              <w:pStyle w:val="17"/>
              <w:adjustRightInd w:val="0"/>
              <w:snapToGrid w:val="0"/>
              <w:spacing w:line="360" w:lineRule="auto"/>
              <w:rPr>
                <w:rFonts w:eastAsia="宋体"/>
                <w:sz w:val="24"/>
                <w:szCs w:val="24"/>
                <w:u w:val="single"/>
                <w:highlight w:val="none"/>
              </w:rPr>
            </w:pPr>
            <w:r>
              <w:rPr>
                <w:u w:val="single"/>
                <w:highlight w:val="none"/>
              </w:rPr>
              <w:drawing>
                <wp:inline distT="0" distB="0" distL="0" distR="0">
                  <wp:extent cx="4563745" cy="4126974"/>
                  <wp:effectExtent l="0" t="0" r="0" b="1"/>
                  <wp:docPr id="1046" name="图片 1"/>
                  <wp:cNvGraphicFramePr>
                    <a:graphicFrameLocks noChangeAspect="1"/>
                  </wp:cNvGraphicFramePr>
                  <a:graphic>
                    <a:graphicData uri="http://schemas.openxmlformats.org/drawingml/2006/picture">
                      <pic:pic>
                        <pic:nvPicPr>
                          <pic:cNvPr id="16" name="图片 1 16"/>
                          <pic:cNvPicPr/>
                        </pic:nvPicPr>
                        <pic:blipFill>
                          <a:blip r:embed="rId12"/>
                          <a:stretch>
                            <a:fillRect/>
                          </a:stretch>
                        </pic:blipFill>
                        <pic:spPr>
                          <a:xfrm rot="0">
                            <a:off x="0" y="0"/>
                            <a:ext cx="4563745" cy="4126974"/>
                          </a:xfrm>
                          <a:prstGeom prst="rect"/>
                          <a:noFill/>
                          <a:ln w="9525" cmpd="sng" cap="flat">
                            <a:noFill/>
                            <a:prstDash val="solid"/>
                            <a:miter/>
                          </a:ln>
                        </pic:spPr>
                      </pic:pic>
                    </a:graphicData>
                  </a:graphic>
                </wp:inline>
              </w:drawing>
            </w:r>
          </w:p>
          <w:p>
            <w:pPr>
              <w:spacing w:line="360" w:lineRule="auto"/>
              <w:jc w:val="center"/>
              <w:rPr>
                <w:b/>
                <w:bCs/>
                <w:szCs w:val="21"/>
                <w:u w:val="none"/>
                <w:highlight w:val="none"/>
              </w:rPr>
            </w:pPr>
            <w:r>
              <w:rPr>
                <w:rFonts w:hint="eastAsia"/>
                <w:b/>
                <w:bCs/>
                <w:szCs w:val="21"/>
                <w:u w:val="none"/>
                <w:highlight w:val="none"/>
              </w:rPr>
              <w:t>图</w:t>
            </w:r>
            <w:r>
              <w:rPr>
                <w:b/>
                <w:bCs/>
                <w:szCs w:val="21"/>
                <w:u w:val="none"/>
                <w:highlight w:val="none"/>
              </w:rPr>
              <w:t>2-</w:t>
            </w:r>
            <w:r>
              <w:rPr>
                <w:rFonts w:hint="eastAsia"/>
                <w:b/>
                <w:bCs/>
                <w:szCs w:val="21"/>
                <w:u w:val="none"/>
                <w:highlight w:val="none"/>
              </w:rPr>
              <w:t>3</w:t>
            </w:r>
            <w:r>
              <w:rPr>
                <w:b/>
                <w:bCs/>
                <w:szCs w:val="21"/>
                <w:u w:val="none"/>
                <w:highlight w:val="none"/>
              </w:rPr>
              <w:t xml:space="preserve"> </w:t>
            </w:r>
            <w:r>
              <w:rPr>
                <w:rFonts w:hint="eastAsia"/>
                <w:b/>
                <w:bCs/>
                <w:szCs w:val="21"/>
                <w:u w:val="none"/>
                <w:highlight w:val="none"/>
              </w:rPr>
              <w:t xml:space="preserve"> 定向钻穿越典型图</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w:t>
            </w:r>
            <w:r>
              <w:rPr>
                <w:rFonts w:eastAsia="宋体" w:hint="eastAsia"/>
                <w:sz w:val="24"/>
                <w:szCs w:val="24"/>
                <w:u w:val="single"/>
                <w:lang w:val="en-US" w:eastAsia="zh-CN"/>
                <w:highlight w:val="none"/>
              </w:rPr>
              <w:t>4</w:t>
            </w:r>
            <w:r>
              <w:rPr>
                <w:rFonts w:eastAsia="宋体" w:hint="eastAsia"/>
                <w:sz w:val="24"/>
                <w:szCs w:val="24"/>
                <w:u w:val="single"/>
                <w:highlight w:val="none"/>
              </w:rPr>
              <w:t>）水厂、泵站施工工艺</w:t>
            </w:r>
          </w:p>
          <w:p>
            <w:pPr>
              <w:spacing w:line="360" w:lineRule="auto"/>
              <w:jc w:val="center"/>
              <w:rPr>
                <w:b/>
                <w:bCs/>
                <w:szCs w:val="21"/>
                <w:highlight w:val="none"/>
              </w:rPr>
            </w:pPr>
            <w:r>
              <w:rPr>
                <w:highlight w:val="none"/>
              </w:rPr>
              <w:drawing>
                <wp:inline distT="0" distB="0" distL="0" distR="0">
                  <wp:extent cx="5615940" cy="2625090"/>
                  <wp:effectExtent l="0" t="0" r="0" b="0"/>
                  <wp:docPr id="1047" name="图片 1"/>
                  <wp:cNvGraphicFramePr>
                    <a:graphicFrameLocks noChangeAspect="1"/>
                  </wp:cNvGraphicFramePr>
                  <a:graphic>
                    <a:graphicData uri="http://schemas.openxmlformats.org/drawingml/2006/picture">
                      <pic:pic>
                        <pic:nvPicPr>
                          <pic:cNvPr id="18" name="图片 1 18"/>
                          <pic:cNvPicPr/>
                        </pic:nvPicPr>
                        <pic:blipFill>
                          <a:blip r:embed="rId13"/>
                          <a:stretch>
                            <a:fillRect/>
                          </a:stretch>
                        </pic:blipFill>
                        <pic:spPr>
                          <a:xfrm rot="0">
                            <a:off x="0" y="0"/>
                            <a:ext cx="5615940" cy="2625090"/>
                          </a:xfrm>
                          <a:prstGeom prst="rect"/>
                          <a:noFill/>
                          <a:ln w="9525" cmpd="sng" cap="flat">
                            <a:noFill/>
                            <a:prstDash val="solid"/>
                            <a:miter/>
                          </a:ln>
                        </pic:spPr>
                      </pic:pic>
                    </a:graphicData>
                  </a:graphic>
                </wp:inline>
              </w:drawing>
            </w:r>
          </w:p>
          <w:p>
            <w:pPr>
              <w:spacing w:line="360" w:lineRule="auto"/>
              <w:jc w:val="center"/>
              <w:rPr>
                <w:b/>
                <w:bCs/>
                <w:szCs w:val="21"/>
                <w:u w:val="single"/>
                <w:highlight w:val="none"/>
              </w:rPr>
            </w:pPr>
            <w:r>
              <w:rPr>
                <w:b/>
                <w:bCs/>
                <w:szCs w:val="21"/>
                <w:u w:val="single"/>
                <w:highlight w:val="none"/>
              </w:rPr>
              <w:t>图2-</w:t>
            </w:r>
            <w:r>
              <w:rPr>
                <w:rFonts w:hint="eastAsia"/>
                <w:b/>
                <w:bCs/>
                <w:szCs w:val="21"/>
                <w:u w:val="single"/>
                <w:highlight w:val="none"/>
              </w:rPr>
              <w:t>4</w:t>
            </w:r>
            <w:r>
              <w:rPr>
                <w:b/>
                <w:bCs/>
                <w:szCs w:val="21"/>
                <w:u w:val="single"/>
                <w:highlight w:val="none"/>
              </w:rPr>
              <w:t xml:space="preserve">  水厂、</w:t>
            </w:r>
            <w:r>
              <w:rPr>
                <w:rFonts w:hint="eastAsia"/>
                <w:b/>
                <w:bCs/>
                <w:szCs w:val="21"/>
                <w:u w:val="single"/>
                <w:highlight w:val="none"/>
              </w:rPr>
              <w:t>加压</w:t>
            </w:r>
            <w:r>
              <w:rPr>
                <w:b/>
                <w:bCs/>
                <w:szCs w:val="21"/>
                <w:u w:val="single"/>
                <w:highlight w:val="none"/>
              </w:rPr>
              <w:t>泵站施工工艺及产污</w:t>
            </w:r>
            <w:r>
              <w:rPr>
                <w:rFonts w:hint="eastAsia"/>
                <w:b/>
                <w:bCs/>
                <w:szCs w:val="21"/>
                <w:u w:val="single"/>
                <w:highlight w:val="none"/>
              </w:rPr>
              <w:t>图</w:t>
            </w:r>
          </w:p>
          <w:p>
            <w:pPr>
              <w:pStyle w:val="15"/>
              <w:widowControl w:val="0"/>
              <w:adjustRightInd w:val="0"/>
              <w:snapToGrid w:val="0"/>
              <w:spacing w:before="0" w:after="0" w:line="360" w:lineRule="auto"/>
              <w:ind w:right="0" w:firstLineChars="200" w:firstLine="480"/>
              <w:rPr>
                <w:sz w:val="24"/>
                <w:u w:val="single"/>
                <w:highlight w:val="none"/>
              </w:rPr>
            </w:pPr>
            <w:r>
              <w:rPr>
                <w:rFonts w:hint="eastAsia"/>
                <w:sz w:val="24"/>
                <w:u w:val="single"/>
                <w:highlight w:val="none"/>
              </w:rPr>
              <w:t>项目建设期对项目的主要影响表现为：施工扬尘、施工废水、施工噪声及施工过程中产生的固废。</w:t>
            </w:r>
          </w:p>
          <w:p>
            <w:pPr>
              <w:pStyle w:val="15"/>
              <w:widowControl w:val="0"/>
              <w:adjustRightInd w:val="0"/>
              <w:snapToGrid w:val="0"/>
              <w:spacing w:before="0" w:after="0" w:line="360" w:lineRule="auto"/>
              <w:ind w:right="0" w:firstLineChars="200" w:firstLine="480"/>
              <w:rPr>
                <w:kern w:val="2"/>
                <w:sz w:val="24"/>
                <w:szCs w:val="24"/>
                <w:u w:val="single"/>
                <w:highlight w:val="none"/>
              </w:rPr>
            </w:pPr>
            <w:r>
              <w:rPr>
                <w:rFonts w:hint="eastAsia"/>
                <w:kern w:val="2"/>
                <w:sz w:val="24"/>
                <w:szCs w:val="24"/>
                <w:u w:val="single"/>
                <w:highlight w:val="none"/>
              </w:rPr>
              <w:t>（</w:t>
            </w:r>
            <w:r>
              <w:rPr>
                <w:kern w:val="2"/>
                <w:sz w:val="24"/>
                <w:szCs w:val="24"/>
                <w:u w:val="single"/>
                <w:highlight w:val="none"/>
              </w:rPr>
              <w:t>1</w:t>
            </w:r>
            <w:r>
              <w:rPr>
                <w:rFonts w:hint="eastAsia"/>
                <w:kern w:val="2"/>
                <w:sz w:val="24"/>
                <w:szCs w:val="24"/>
                <w:u w:val="single"/>
                <w:highlight w:val="none"/>
              </w:rPr>
              <w:t>）废气：主要是施工、堆场、运输等过程中产生的扬尘，施工机械及运输车辆尾气等。</w:t>
            </w:r>
          </w:p>
          <w:p>
            <w:pPr>
              <w:pStyle w:val="15"/>
              <w:widowControl w:val="0"/>
              <w:adjustRightInd w:val="0"/>
              <w:snapToGrid w:val="0"/>
              <w:spacing w:before="0" w:after="0" w:line="360" w:lineRule="auto"/>
              <w:ind w:right="0" w:firstLineChars="200" w:firstLine="480"/>
              <w:rPr>
                <w:kern w:val="2"/>
                <w:sz w:val="24"/>
                <w:szCs w:val="24"/>
                <w:u w:val="single"/>
                <w:highlight w:val="none"/>
              </w:rPr>
            </w:pPr>
            <w:r>
              <w:rPr>
                <w:rFonts w:hint="eastAsia"/>
                <w:kern w:val="2"/>
                <w:sz w:val="24"/>
                <w:szCs w:val="24"/>
                <w:u w:val="single"/>
                <w:highlight w:val="none"/>
              </w:rPr>
              <w:t>（</w:t>
            </w:r>
            <w:r>
              <w:rPr>
                <w:kern w:val="2"/>
                <w:sz w:val="24"/>
                <w:szCs w:val="24"/>
                <w:u w:val="single"/>
                <w:highlight w:val="none"/>
              </w:rPr>
              <w:t>2</w:t>
            </w:r>
            <w:r>
              <w:rPr>
                <w:rFonts w:hint="eastAsia"/>
                <w:kern w:val="2"/>
                <w:sz w:val="24"/>
                <w:szCs w:val="24"/>
                <w:u w:val="single"/>
                <w:highlight w:val="none"/>
              </w:rPr>
              <w:t>）废水：施工产生的施工废水，施工人员产生的生活污水。</w:t>
            </w:r>
          </w:p>
          <w:p>
            <w:pPr>
              <w:pStyle w:val="15"/>
              <w:widowControl w:val="0"/>
              <w:adjustRightInd w:val="0"/>
              <w:snapToGrid w:val="0"/>
              <w:spacing w:before="0" w:after="0" w:line="360" w:lineRule="auto"/>
              <w:ind w:right="0" w:firstLineChars="200" w:firstLine="480"/>
              <w:rPr>
                <w:kern w:val="2"/>
                <w:sz w:val="24"/>
                <w:szCs w:val="24"/>
                <w:u w:val="single"/>
                <w:highlight w:val="none"/>
              </w:rPr>
            </w:pPr>
            <w:r>
              <w:rPr>
                <w:rFonts w:hint="eastAsia"/>
                <w:kern w:val="2"/>
                <w:sz w:val="24"/>
                <w:szCs w:val="24"/>
                <w:u w:val="single"/>
                <w:highlight w:val="none"/>
              </w:rPr>
              <w:t>（</w:t>
            </w:r>
            <w:r>
              <w:rPr>
                <w:kern w:val="2"/>
                <w:sz w:val="24"/>
                <w:szCs w:val="24"/>
                <w:u w:val="single"/>
                <w:highlight w:val="none"/>
              </w:rPr>
              <w:t>3</w:t>
            </w:r>
            <w:r>
              <w:rPr>
                <w:rFonts w:hint="eastAsia"/>
                <w:kern w:val="2"/>
                <w:sz w:val="24"/>
                <w:szCs w:val="24"/>
                <w:u w:val="single"/>
                <w:highlight w:val="none"/>
              </w:rPr>
              <w:t>）噪声：主要包括开挖土方、基础结构、构筑物砌筑、场地清理、设备安装和装修等阶段的施工机械产生噪声以及施工运输车辆产生的噪声。</w:t>
            </w:r>
          </w:p>
          <w:p>
            <w:pPr>
              <w:pStyle w:val="15"/>
              <w:widowControl w:val="0"/>
              <w:adjustRightInd w:val="0"/>
              <w:snapToGrid w:val="0"/>
              <w:spacing w:before="0" w:after="0" w:line="360" w:lineRule="auto"/>
              <w:ind w:right="0" w:firstLineChars="200" w:firstLine="480"/>
              <w:rPr>
                <w:kern w:val="2"/>
                <w:sz w:val="24"/>
                <w:szCs w:val="24"/>
                <w:u w:val="single"/>
                <w:highlight w:val="none"/>
              </w:rPr>
            </w:pPr>
            <w:r>
              <w:rPr>
                <w:rFonts w:hint="eastAsia"/>
                <w:kern w:val="2"/>
                <w:sz w:val="24"/>
                <w:szCs w:val="24"/>
                <w:u w:val="single"/>
                <w:highlight w:val="none"/>
              </w:rPr>
              <w:t>（</w:t>
            </w:r>
            <w:r>
              <w:rPr>
                <w:kern w:val="2"/>
                <w:sz w:val="24"/>
                <w:szCs w:val="24"/>
                <w:u w:val="single"/>
                <w:highlight w:val="none"/>
              </w:rPr>
              <w:t>4</w:t>
            </w:r>
            <w:r>
              <w:rPr>
                <w:rFonts w:hint="eastAsia"/>
                <w:kern w:val="2"/>
                <w:sz w:val="24"/>
                <w:szCs w:val="24"/>
                <w:u w:val="single"/>
                <w:highlight w:val="none"/>
              </w:rPr>
              <w:t>）固废：施工过程中基础工程开挖土石方、施工弃渣、施工生活垃圾等。</w:t>
            </w:r>
          </w:p>
          <w:p>
            <w:pPr>
              <w:spacing w:line="343" w:lineRule="auto"/>
              <w:rPr>
                <w:b/>
                <w:sz w:val="24"/>
                <w:highlight w:val="none"/>
              </w:rPr>
            </w:pPr>
            <w:r>
              <w:rPr>
                <w:b/>
                <w:sz w:val="24"/>
                <w:highlight w:val="none"/>
              </w:rPr>
              <w:t>2、营运期工艺流程简述</w:t>
            </w:r>
          </w:p>
          <w:p>
            <w:pPr>
              <w:pStyle w:val="15"/>
              <w:adjustRightInd w:val="0"/>
              <w:snapToGrid w:val="0"/>
              <w:spacing w:line="360" w:lineRule="auto"/>
              <w:ind w:firstLineChars="200" w:firstLine="480"/>
              <w:rPr>
                <w:kern w:val="2"/>
                <w:sz w:val="24"/>
                <w:szCs w:val="24"/>
                <w:highlight w:val="none"/>
              </w:rPr>
            </w:pPr>
            <w:r>
              <w:rPr>
                <w:sz w:val="24"/>
                <w:u w:val="single"/>
                <w:highlight w:val="none"/>
              </w:rPr>
              <w:t>本项目</w:t>
            </w:r>
            <w:r>
              <w:rPr>
                <w:rFonts w:hint="eastAsia"/>
                <w:sz w:val="24"/>
                <w:u w:val="single"/>
                <w:highlight w:val="none"/>
              </w:rPr>
              <w:t>采用“混合－絮凝－沉淀－过滤－消毒”的常规处理工艺，即可保证出水水质符合国家《生活饮用水卫生标准》（GB5749-2022）的要求。</w:t>
            </w:r>
          </w:p>
          <w:p>
            <w:pPr>
              <w:pStyle w:val="15"/>
              <w:widowControl w:val="0"/>
              <w:adjustRightInd w:val="0"/>
              <w:snapToGrid w:val="0"/>
              <w:spacing w:before="0" w:after="0" w:line="360" w:lineRule="auto"/>
              <w:ind w:right="0"/>
              <w:jc w:val="center"/>
              <w:rPr>
                <w:b/>
                <w:bCs/>
                <w:sz w:val="21"/>
                <w:szCs w:val="21"/>
                <w:highlight w:val="none"/>
              </w:rPr>
            </w:pPr>
            <w:r>
              <w:rPr>
                <w:sz w:val="18"/>
                <w:highlight w:val="none"/>
              </w:rPr>
              <mc:AlternateContent>
                <mc:Choice Requires="wps">
                  <w:drawing>
                    <wp:anchor distT="0" distB="0" distL="114300" distR="114300" simplePos="0" relativeHeight="88" behindDoc="0" locked="0" layoutInCell="1" hidden="0" allowOverlap="1">
                      <wp:simplePos x="0" y="0"/>
                      <wp:positionH relativeFrom="column">
                        <wp:posOffset>1348740</wp:posOffset>
                      </wp:positionH>
                      <wp:positionV relativeFrom="paragraph">
                        <wp:posOffset>2169795</wp:posOffset>
                      </wp:positionV>
                      <wp:extent cx="882650" cy="245745"/>
                      <wp:effectExtent l="-9525" t="-9525" r="1270" b="13335"/>
                      <wp:wrapNone/>
                      <wp:docPr id="2" name="文本框 2"/>
                      <wp:cNvGraphicFramePr>
                        <a:graphicFrameLocks noChangeAspect="0"/>
                      </wp:cNvGraphicFramePr>
                      <a:graphic>
                        <a:graphicData uri="http://schemas.microsoft.com/office/word/2010/wordprocessingShape">
                          <wps:wsp>
                            <wps:cNvSpPr/>
                            <wps:spPr>
                              <a:xfrm rot="0">
                                <a:off x="0" y="0"/>
                                <a:ext cx="882650" cy="245745"/>
                              </a:xfrm>
                              <a:prstGeom prst="rect"/>
                              <a:solidFill>
                                <a:srgbClr val="FFFFFF"/>
                              </a:solidFill>
                              <a:ln w="6350" cmpd="sng" cap="flat">
                                <a:noFill/>
                                <a:prstDash val="solid"/>
                                <a:round/>
                              </a:ln>
                            </wps:spPr>
                            <wps:txbx id="19">
                              <w:txbxContent>
                                <w:p>
                                  <w:pPr>
                                    <w:jc w:val="center"/>
                                    <w:rPr>
                                      <w:rFonts w:eastAsia="宋体"/>
                                      <w:sz w:val="20"/>
                                      <w:szCs w:val="22"/>
                                      <w:lang w:val="en-US" w:eastAsia="zh-CN"/>
                                    </w:rPr>
                                  </w:pPr>
                                  <w:r>
                                    <w:rPr>
                                      <w:rFonts w:hint="eastAsia"/>
                                      <w:sz w:val="20"/>
                                      <w:szCs w:val="22"/>
                                      <w:lang w:val="en-US" w:eastAsia="zh-CN"/>
                                    </w:rPr>
                                    <w:t>滤砖滤池</w:t>
                                  </w:r>
                                </w:p>
                              </w:txbxContent>
                            </wps:txbx>
                            <wps:bodyPr vert="horz" wrap="square" lIns="91440" tIns="45720" rIns="91440" bIns="45720" anchor="t" anchorCtr="0" upright="0">
                              <a:noAutofit/>
                            </wps:bodyPr>
                          </wps:wsp>
                        </a:graphicData>
                      </a:graphic>
                    </wp:anchor>
                  </w:drawing>
                </mc:Choice>
                <mc:Fallback>
                  <w:pict>
                    <v:rect type="#_x0000_t1" id="文本框 2" o:spid="_x0000_s20" fillcolor="#FFFFFF" stroked="f" strokeweight="0.5pt" style="position:absolute;margin-left:106.200005pt;margin-top:170.85pt;width:69.5pt;height:19.350002pt;z-index:88;mso-position-horizontal:absolute;mso-position-vertical:absolute;mso-wrap-style:square;">
                      <v:stroke/>
                      <v:textbox id="870" inset="2.54mm,1.27mm,2.54mm,1.27mm" o:insetmode="custom" style="layout-flow:horizontal;v-text-anchor:top;">
                        <w:txbxContent>
                          <w:p>
                            <w:pPr>
                              <w:jc w:val="center"/>
                              <w:rPr>
                                <w:rFonts w:eastAsia="宋体"/>
                                <w:sz w:val="20"/>
                                <w:szCs w:val="22"/>
                                <w:lang w:val="en-US" w:eastAsia="zh-CN"/>
                              </w:rPr>
                            </w:pPr>
                            <w:r>
                              <w:rPr>
                                <w:rFonts w:hint="eastAsia"/>
                                <w:sz w:val="20"/>
                                <w:szCs w:val="22"/>
                                <w:lang w:val="en-US" w:eastAsia="zh-CN"/>
                              </w:rPr>
                              <w:t>滤砖滤池</w:t>
                            </w:r>
                          </w:p>
                        </w:txbxContent>
                      </v:textbox>
                    </v:rect>
                  </w:pict>
                </mc:Fallback>
              </mc:AlternateContent>
            </w:r>
            <w:r>
              <w:rPr>
                <w:rFonts w:hint="eastAsia"/>
                <w:highlight w:val="none"/>
              </w:rPr>
              <w:object>
                <v:shape id="_x0000_i1026" type="#_x0000_t75" filled="f" style="width:318.0pt;height:294.0pt;" o:ole="">
                  <v:imagedata r:id="rId14" o:title="image16"/>
                  <o:lock aspectratio="t"/>
                  <w10:anchorLock/>
                </v:shape>
                <o:OLEObject Type="Embed" ProgID="Visio.Drawing.11" ShapeID="_x0000_i1026" DrawAspect="Content" ObjectID="_1393063352" r:id="rId15"/>
              </w:object>
            </w:r>
          </w:p>
          <w:p>
            <w:pPr>
              <w:ind w:firstLine="480"/>
              <w:jc w:val="center"/>
              <w:rPr>
                <w:b/>
                <w:bCs/>
                <w:szCs w:val="21"/>
                <w:u w:val="single"/>
                <w:highlight w:val="none"/>
              </w:rPr>
            </w:pPr>
            <w:r>
              <w:rPr>
                <w:b/>
                <w:bCs/>
                <w:szCs w:val="21"/>
                <w:u w:val="single"/>
                <w:highlight w:val="none"/>
              </w:rPr>
              <w:t>图2-</w:t>
            </w:r>
            <w:r>
              <w:rPr>
                <w:rFonts w:hint="eastAsia"/>
                <w:b/>
                <w:bCs/>
                <w:szCs w:val="21"/>
                <w:u w:val="single"/>
                <w:highlight w:val="none"/>
              </w:rPr>
              <w:t>5</w:t>
            </w:r>
            <w:r>
              <w:rPr>
                <w:b/>
                <w:bCs/>
                <w:szCs w:val="21"/>
                <w:u w:val="single"/>
                <w:highlight w:val="none"/>
              </w:rPr>
              <w:t xml:space="preserve">  项目工艺流程及产污节点图</w:t>
            </w:r>
          </w:p>
          <w:p>
            <w:pPr>
              <w:spacing w:line="360" w:lineRule="auto"/>
              <w:ind w:firstLineChars="200" w:firstLine="480"/>
              <w:rPr>
                <w:b/>
                <w:sz w:val="24"/>
                <w:u w:val="single"/>
                <w:highlight w:val="none"/>
              </w:rPr>
            </w:pPr>
            <w:r>
              <w:rPr>
                <w:b/>
                <w:sz w:val="24"/>
                <w:u w:val="single"/>
                <w:highlight w:val="none"/>
              </w:rPr>
              <w:t>工艺流程简述：</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sz w:val="24"/>
                <w:szCs w:val="24"/>
                <w:u w:val="single"/>
                <w:highlight w:val="none"/>
              </w:rPr>
              <w:t>（1）</w:t>
            </w:r>
            <w:r>
              <w:rPr>
                <w:rFonts w:eastAsia="宋体" w:hint="eastAsia"/>
                <w:sz w:val="24"/>
                <w:szCs w:val="24"/>
                <w:u w:val="single"/>
                <w:highlight w:val="none"/>
              </w:rPr>
              <w:t>管式静态混合</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本项目水源来自</w:t>
            </w:r>
            <w:r>
              <w:rPr>
                <w:rFonts w:eastAsia="宋体" w:hint="eastAsia"/>
                <w:sz w:val="24"/>
                <w:szCs w:val="24"/>
                <w:u w:val="single"/>
                <w:lang w:val="en-US" w:eastAsia="zh-CN"/>
                <w:highlight w:val="none"/>
              </w:rPr>
              <w:t>太青水库</w:t>
            </w:r>
            <w:r>
              <w:rPr>
                <w:rFonts w:eastAsia="宋体" w:hint="eastAsia"/>
                <w:sz w:val="24"/>
                <w:szCs w:val="24"/>
                <w:u w:val="single"/>
                <w:highlight w:val="none"/>
              </w:rPr>
              <w:t>，通过</w:t>
            </w:r>
            <w:r>
              <w:rPr>
                <w:rFonts w:eastAsia="宋体" w:hint="eastAsia"/>
                <w:sz w:val="24"/>
                <w:szCs w:val="24"/>
                <w:u w:val="single"/>
                <w:lang w:eastAsia="zh-CN"/>
                <w:highlight w:val="none"/>
              </w:rPr>
              <w:t>供水</w:t>
            </w:r>
            <w:r>
              <w:rPr>
                <w:rFonts w:eastAsia="宋体" w:hint="eastAsia"/>
                <w:sz w:val="24"/>
                <w:szCs w:val="24"/>
                <w:u w:val="single"/>
                <w:highlight w:val="none"/>
              </w:rPr>
              <w:t>主干管送至水厂，</w:t>
            </w:r>
            <w:r>
              <w:rPr>
                <w:rFonts w:eastAsia="宋体"/>
                <w:sz w:val="24"/>
                <w:szCs w:val="24"/>
                <w:u w:val="single"/>
                <w:highlight w:val="none"/>
              </w:rPr>
              <w:t>混合是整个絮凝过程重要环节，目的在于使投入水中的混凝剂能迅速而均匀的扩散于水体，使水中的胶体脱稳，提高凝聚效果。本项目采用管式静态混合器混合，管道静态混合器内置</w:t>
            </w:r>
            <w:r>
              <w:rPr>
                <w:rFonts w:eastAsia="宋体" w:hint="eastAsia"/>
                <w:sz w:val="24"/>
                <w:szCs w:val="24"/>
                <w:u w:val="single"/>
                <w:highlight w:val="none"/>
              </w:rPr>
              <w:t>。</w:t>
            </w:r>
            <w:r>
              <w:rPr>
                <w:rFonts w:eastAsia="宋体"/>
                <w:sz w:val="24"/>
                <w:szCs w:val="24"/>
                <w:u w:val="single"/>
                <w:highlight w:val="none"/>
              </w:rPr>
              <w:t>多节固定叶片，使水流成对分流，同时还产生涡旋反向旋转及交叉流动，能获 得较好的混合效果。</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hint="eastAsia"/>
                <w:sz w:val="24"/>
                <w:szCs w:val="24"/>
                <w:u w:val="single"/>
                <w:highlight w:val="none"/>
              </w:rPr>
              <w:t>（2）网格絮凝沉淀</w:t>
            </w:r>
          </w:p>
          <w:p>
            <w:pPr>
              <w:pStyle w:val="76"/>
              <w:adjustRightInd w:val="0"/>
              <w:snapToGrid w:val="0"/>
              <w:spacing w:line="360" w:lineRule="auto"/>
              <w:ind w:firstLineChars="200" w:firstLine="480"/>
              <w:jc w:val="both"/>
              <w:rPr>
                <w:rFonts w:cs="宋体" w:hAnsi="宋体" w:hint="eastAsia"/>
                <w:u w:val="single"/>
                <w:highlight w:val="none"/>
              </w:rPr>
            </w:pPr>
            <w:r>
              <w:rPr>
                <w:rFonts w:cs="宋体" w:hAnsi="宋体" w:hint="eastAsia"/>
                <w:u w:val="single"/>
                <w:highlight w:val="none"/>
              </w:rPr>
              <w:t>本项目采用絮凝时间短、絮凝效果好、水头损失小的网格絮凝池。与斜管沉淀池合建。网格絮凝池是在沿流程一定距离的过水断面中设置网格，通过网格的能量消耗完成絮凝过程。通过网格的孔隙时，水流收缩，过网孔后水流扩大，形成良好的絮凝条件。</w:t>
            </w:r>
          </w:p>
          <w:p>
            <w:pPr>
              <w:pStyle w:val="76"/>
              <w:adjustRightInd w:val="0"/>
              <w:snapToGrid w:val="0"/>
              <w:spacing w:line="360" w:lineRule="auto"/>
              <w:ind w:firstLineChars="200" w:firstLine="480"/>
              <w:jc w:val="both"/>
              <w:rPr>
                <w:rFonts w:ascii="Times New Roman" w:hAnsi="Times New Roman"/>
                <w:u w:val="single"/>
                <w:highlight w:val="none"/>
              </w:rPr>
            </w:pPr>
            <w:r>
              <w:rPr>
                <w:rFonts w:ascii="Times New Roman" w:hAnsi="Times New Roman"/>
                <w:u w:val="single"/>
                <w:highlight w:val="none"/>
              </w:rPr>
              <w:t>（3）斜管沉淀</w:t>
            </w:r>
          </w:p>
          <w:p>
            <w:pPr>
              <w:pStyle w:val="76"/>
              <w:adjustRightInd w:val="0"/>
              <w:snapToGrid w:val="0"/>
              <w:spacing w:line="360" w:lineRule="auto"/>
              <w:ind w:firstLineChars="200" w:firstLine="480"/>
              <w:jc w:val="both"/>
              <w:rPr>
                <w:rFonts w:ascii="Times New Roman" w:hAnsi="Times New Roman"/>
                <w:u w:val="single"/>
                <w:highlight w:val="none"/>
              </w:rPr>
            </w:pPr>
            <w:r>
              <w:rPr>
                <w:rFonts w:ascii="Times New Roman" w:hAnsi="Times New Roman"/>
                <w:u w:val="single"/>
                <w:highlight w:val="none"/>
              </w:rPr>
              <w:t>水经加混凝剂混凝后形成矾花，流到设备的沉淀池内进行沉淀，沉淀池采用斜板沉淀池，斜板沉淀池的每两块平行斜板间相、有一个很浅的沉淀池。使被处理的水与沉降的污泥在沉淀浅层中相互运动并分离。根据其相互运动的力一向可分为同向流、异向流和侧向流三种不同分离方式。斜板沉淀池运用“浅层沉淀”原理，缩短颗粒沉降距离，从而缩短了沉淀时间，并且增加了沉淀池的沉淀面积，沉淀下来的污泥排入泥斗，</w:t>
            </w:r>
            <w:r>
              <w:rPr>
                <w:rFonts w:ascii="Times New Roman" w:hAnsi="Times New Roman" w:hint="eastAsia"/>
                <w:u w:val="single"/>
                <w:highlight w:val="none"/>
              </w:rPr>
              <w:t>污泥</w:t>
            </w:r>
            <w:r>
              <w:rPr>
                <w:rFonts w:ascii="Times New Roman" w:hAnsi="Times New Roman"/>
                <w:u w:val="single"/>
                <w:highlight w:val="none"/>
              </w:rPr>
              <w:t>后期经压滤脱水后</w:t>
            </w:r>
            <w:r>
              <w:rPr>
                <w:rFonts w:hint="eastAsia"/>
                <w:szCs w:val="21"/>
                <w:u w:val="single"/>
                <w:highlight w:val="none"/>
              </w:rPr>
              <w:t>由</w:t>
            </w:r>
            <w:r>
              <w:rPr>
                <w:rFonts w:hint="eastAsia"/>
                <w:szCs w:val="21"/>
                <w:u w:val="single"/>
                <w:lang w:val="en-US" w:eastAsia="zh-CN"/>
                <w:highlight w:val="none"/>
              </w:rPr>
              <w:t>专门单位</w:t>
            </w:r>
            <w:r>
              <w:rPr>
                <w:rFonts w:hint="eastAsia"/>
                <w:szCs w:val="21"/>
                <w:u w:val="single"/>
                <w:highlight w:val="none"/>
              </w:rPr>
              <w:t>清运处理</w:t>
            </w:r>
            <w:r>
              <w:rPr>
                <w:rFonts w:ascii="Times New Roman" w:hAnsi="Times New Roman"/>
                <w:u w:val="single"/>
                <w:highlight w:val="none"/>
              </w:rPr>
              <w:t xml:space="preserve">，压滤水则返回至原水池用于制水。 </w:t>
            </w:r>
          </w:p>
          <w:p>
            <w:pPr>
              <w:pStyle w:val="76"/>
              <w:adjustRightInd w:val="0"/>
              <w:snapToGrid w:val="0"/>
              <w:spacing w:line="360" w:lineRule="auto"/>
              <w:ind w:firstLineChars="200" w:firstLine="480"/>
              <w:jc w:val="both"/>
              <w:rPr>
                <w:rFonts w:ascii="Times New Roman" w:eastAsia="宋体" w:cs="Times New Roman" w:hAnsi="Times New Roman"/>
                <w:u w:val="single"/>
                <w:lang w:val="en-US" w:eastAsia="zh-CN"/>
                <w:highlight w:val="none"/>
              </w:rPr>
            </w:pPr>
            <w:r>
              <w:rPr>
                <w:rFonts w:ascii="Times New Roman" w:cs="Times New Roman" w:hAnsi="Times New Roman"/>
                <w:u w:val="single"/>
                <w:highlight w:val="none"/>
              </w:rPr>
              <w:t>（4）</w:t>
            </w:r>
            <w:r>
              <w:rPr>
                <w:rFonts w:ascii="Times New Roman" w:cs="Times New Roman" w:hAnsi="Times New Roman" w:hint="eastAsia"/>
                <w:kern w:val="2"/>
                <w:u w:val="single"/>
                <w:lang w:val="en-US" w:eastAsia="zh-CN"/>
                <w:highlight w:val="none"/>
              </w:rPr>
              <w:t>滤砖滤池</w:t>
            </w:r>
          </w:p>
          <w:p>
            <w:pPr>
              <w:keepNext w:val="0"/>
              <w:keepLines w:val="0"/>
              <w:widowControl/>
              <w:suppressLineNumbers w:val="0"/>
              <w:spacing w:line="360" w:lineRule="auto"/>
              <w:ind w:firstLineChars="200" w:firstLine="480"/>
              <w:jc w:val="left"/>
              <w:rPr>
                <w:rFonts w:ascii="Times New Roman" w:eastAsia="宋体" w:cs="Times New Roman" w:hAnsi="Times New Roman"/>
                <w:color w:val="000000"/>
                <w:kern w:val="0"/>
                <w:sz w:val="24"/>
                <w:szCs w:val="24"/>
                <w:u w:val="single"/>
                <w:lang w:val="en-US" w:eastAsia="zh-CN" w:bidi="ar-SA"/>
                <w:highlight w:val="none"/>
              </w:rPr>
            </w:pPr>
            <w:r>
              <w:rPr>
                <w:rFonts w:hint="eastAsia"/>
                <w:sz w:val="24"/>
                <w:szCs w:val="32"/>
                <w:u w:val="single"/>
                <w:highlight w:val="none"/>
              </w:rPr>
              <w:t>过滤是指以石英砂等有空隙的粒状滤料层通过黏附作用截留水中悬浮颗粒，从而进一步去除水中细小悬浮杂质、有机物、细菌、病毒等，使水澄清的过程。</w:t>
            </w:r>
            <w:r>
              <w:rPr>
                <w:rFonts w:hint="eastAsia"/>
                <w:sz w:val="24"/>
                <w:szCs w:val="32"/>
                <w:u w:val="single"/>
                <w:lang w:val="en-US" w:eastAsia="zh-CN"/>
                <w:highlight w:val="none"/>
              </w:rPr>
              <w:t>本项目采用滤砖滤池进行过滤，</w:t>
            </w:r>
            <w:r>
              <w:rPr>
                <w:rFonts w:ascii="Times New Roman" w:eastAsia="宋体" w:cs="Times New Roman" w:hAnsi="Times New Roman"/>
                <w:color w:val="000000"/>
                <w:kern w:val="0"/>
                <w:sz w:val="24"/>
                <w:szCs w:val="24"/>
                <w:u w:val="single"/>
                <w:lang w:val="en-US" w:eastAsia="zh-CN" w:bidi="ar-SA"/>
                <w:highlight w:val="none"/>
              </w:rPr>
              <w:t xml:space="preserve">滤砖滤池采用 </w:t>
            </w:r>
            <w:r>
              <w:rPr>
                <w:rFonts w:ascii="Times New Roman" w:eastAsia="宋体" w:cs="Times New Roman" w:hAnsi="Times New Roman"/>
                <w:color w:val="000000"/>
                <w:kern w:val="0"/>
                <w:sz w:val="24"/>
                <w:szCs w:val="24"/>
                <w:u w:val="single"/>
                <w:lang w:val="en-US" w:eastAsia="zh-CN" w:bidi="ar-SA"/>
                <w:highlight w:val="none"/>
              </w:rPr>
              <w:t xml:space="preserve">HDPE </w:t>
            </w:r>
            <w:r>
              <w:rPr>
                <w:rFonts w:ascii="Times New Roman" w:eastAsia="宋体" w:cs="Times New Roman" w:hAnsi="Times New Roman" w:hint="eastAsia"/>
                <w:color w:val="000000"/>
                <w:kern w:val="0"/>
                <w:sz w:val="24"/>
                <w:szCs w:val="24"/>
                <w:u w:val="single"/>
                <w:lang w:val="en-US" w:eastAsia="zh-CN" w:bidi="ar-SA"/>
                <w:highlight w:val="none"/>
              </w:rPr>
              <w:t>滤砖代替传统的滤头滤板</w:t>
            </w:r>
            <w:r>
              <w:rPr>
                <w:rFonts w:cs="Times New Roman" w:hint="eastAsia"/>
                <w:color w:val="000000"/>
                <w:kern w:val="0"/>
                <w:sz w:val="24"/>
                <w:szCs w:val="24"/>
                <w:u w:val="single"/>
                <w:lang w:val="en-US" w:eastAsia="zh-CN" w:bidi="ar-SA"/>
                <w:highlight w:val="none"/>
              </w:rPr>
              <w:t>供水</w:t>
            </w:r>
            <w:r>
              <w:rPr>
                <w:rFonts w:ascii="Times New Roman" w:eastAsia="宋体" w:cs="Times New Roman" w:hAnsi="Times New Roman" w:hint="eastAsia"/>
                <w:color w:val="000000"/>
                <w:kern w:val="0"/>
                <w:sz w:val="24"/>
                <w:szCs w:val="24"/>
                <w:u w:val="single"/>
                <w:lang w:val="en-US" w:eastAsia="zh-CN" w:bidi="ar-SA"/>
                <w:highlight w:val="none"/>
              </w:rPr>
              <w:t>系统，其主要特点有：</w:t>
            </w:r>
            <w:r>
              <w:rPr>
                <w:rFonts w:ascii="Times New Roman" w:eastAsia="宋体" w:cs="Times New Roman" w:hAnsi="Times New Roman"/>
                <w:color w:val="000000"/>
                <w:kern w:val="0"/>
                <w:sz w:val="24"/>
                <w:szCs w:val="24"/>
                <w:u w:val="single"/>
                <w:lang w:val="en-US" w:eastAsia="zh-CN" w:bidi="ar-SA"/>
                <w:highlight w:val="none"/>
              </w:rPr>
              <w:t>1</w:t>
            </w:r>
            <w:r>
              <w:rPr>
                <w:rFonts w:ascii="Times New Roman" w:eastAsia="宋体" w:cs="Times New Roman" w:hAnsi="Times New Roman" w:hint="eastAsia"/>
                <w:color w:val="000000"/>
                <w:kern w:val="0"/>
                <w:sz w:val="24"/>
                <w:szCs w:val="24"/>
                <w:u w:val="single"/>
                <w:lang w:val="en-US" w:eastAsia="zh-CN" w:bidi="ar-SA"/>
                <w:highlight w:val="none"/>
              </w:rPr>
              <w:t>）</w:t>
            </w:r>
            <w:r>
              <w:rPr>
                <w:rFonts w:cs="Times New Roman" w:hint="eastAsia"/>
                <w:color w:val="000000"/>
                <w:kern w:val="0"/>
                <w:sz w:val="24"/>
                <w:szCs w:val="24"/>
                <w:u w:val="single"/>
                <w:lang w:val="en-US" w:eastAsia="zh-CN" w:bidi="ar-SA"/>
                <w:highlight w:val="none"/>
              </w:rPr>
              <w:t>供水</w:t>
            </w:r>
            <w:r>
              <w:rPr>
                <w:rFonts w:ascii="Times New Roman" w:eastAsia="宋体" w:cs="Times New Roman" w:hAnsi="Times New Roman" w:hint="eastAsia"/>
                <w:color w:val="000000"/>
                <w:kern w:val="0"/>
                <w:sz w:val="24"/>
                <w:szCs w:val="24"/>
                <w:u w:val="single"/>
                <w:lang w:val="en-US" w:eastAsia="zh-CN" w:bidi="ar-SA"/>
                <w:highlight w:val="none"/>
              </w:rPr>
              <w:t>、配气均匀，无死角。采用二段式滤砖系统进行</w:t>
            </w:r>
            <w:r>
              <w:rPr>
                <w:rFonts w:cs="Times New Roman" w:hint="eastAsia"/>
                <w:color w:val="000000"/>
                <w:kern w:val="0"/>
                <w:sz w:val="24"/>
                <w:szCs w:val="24"/>
                <w:u w:val="single"/>
                <w:lang w:val="en-US" w:eastAsia="zh-CN" w:bidi="ar-SA"/>
                <w:highlight w:val="none"/>
              </w:rPr>
              <w:t>供水</w:t>
            </w:r>
            <w:r>
              <w:rPr>
                <w:rFonts w:ascii="Times New Roman" w:eastAsia="宋体" w:cs="Times New Roman" w:hAnsi="Times New Roman" w:hint="eastAsia"/>
                <w:color w:val="000000"/>
                <w:kern w:val="0"/>
                <w:sz w:val="24"/>
                <w:szCs w:val="24"/>
                <w:u w:val="single"/>
                <w:lang w:val="en-US" w:eastAsia="zh-CN" w:bidi="ar-SA"/>
                <w:highlight w:val="none"/>
              </w:rPr>
              <w:t>配气，滤砖面层孔眼分布均匀，反冲洗无死角，避免了局部滤料结污结块现象；</w:t>
            </w:r>
            <w:r>
              <w:rPr>
                <w:rFonts w:ascii="Times New Roman" w:eastAsia="宋体" w:cs="Times New Roman" w:hAnsi="Times New Roman"/>
                <w:color w:val="000000"/>
                <w:kern w:val="0"/>
                <w:sz w:val="24"/>
                <w:szCs w:val="24"/>
                <w:u w:val="single"/>
                <w:lang w:val="en-US" w:eastAsia="zh-CN" w:bidi="ar-SA"/>
                <w:highlight w:val="none"/>
              </w:rPr>
              <w:t>2</w:t>
            </w:r>
            <w:r>
              <w:rPr>
                <w:rFonts w:ascii="Times New Roman" w:eastAsia="宋体" w:cs="Times New Roman" w:hAnsi="Times New Roman" w:hint="eastAsia"/>
                <w:color w:val="000000"/>
                <w:kern w:val="0"/>
                <w:sz w:val="24"/>
                <w:szCs w:val="24"/>
                <w:u w:val="single"/>
                <w:lang w:val="en-US" w:eastAsia="zh-CN" w:bidi="ar-SA"/>
                <w:highlight w:val="none"/>
              </w:rPr>
              <w:t>）采用均质滤料，滤料层厚度大，容污能力强；</w:t>
            </w:r>
            <w:r>
              <w:rPr>
                <w:rFonts w:ascii="Times New Roman" w:eastAsia="宋体" w:cs="Times New Roman" w:hAnsi="Times New Roman"/>
                <w:color w:val="000000"/>
                <w:kern w:val="0"/>
                <w:sz w:val="24"/>
                <w:szCs w:val="24"/>
                <w:u w:val="single"/>
                <w:lang w:val="en-US" w:eastAsia="zh-CN" w:bidi="ar-SA"/>
                <w:highlight w:val="none"/>
              </w:rPr>
              <w:t>3</w:t>
            </w:r>
            <w:r>
              <w:rPr>
                <w:rFonts w:ascii="Times New Roman" w:eastAsia="宋体" w:cs="Times New Roman" w:hAnsi="Times New Roman" w:hint="eastAsia"/>
                <w:color w:val="000000"/>
                <w:kern w:val="0"/>
                <w:sz w:val="24"/>
                <w:szCs w:val="24"/>
                <w:u w:val="single"/>
                <w:lang w:val="en-US" w:eastAsia="zh-CN" w:bidi="ar-SA"/>
                <w:highlight w:val="none"/>
              </w:rPr>
              <w:t>）滤料反冲洗净度高、生产周期长。滤砖滤池为气水反冲洗形式，。可提高产水量，延长生产周期；</w:t>
            </w:r>
            <w:r>
              <w:rPr>
                <w:rFonts w:ascii="Times New Roman" w:eastAsia="宋体" w:cs="Times New Roman" w:hAnsi="Times New Roman"/>
                <w:color w:val="000000"/>
                <w:kern w:val="0"/>
                <w:sz w:val="24"/>
                <w:szCs w:val="24"/>
                <w:u w:val="single"/>
                <w:lang w:val="en-US" w:eastAsia="zh-CN" w:bidi="ar-SA"/>
                <w:highlight w:val="none"/>
              </w:rPr>
              <w:t>4</w:t>
            </w:r>
            <w:r>
              <w:rPr>
                <w:rFonts w:ascii="Times New Roman" w:eastAsia="宋体" w:cs="Times New Roman" w:hAnsi="Times New Roman" w:hint="eastAsia"/>
                <w:color w:val="000000"/>
                <w:kern w:val="0"/>
                <w:sz w:val="24"/>
                <w:szCs w:val="24"/>
                <w:u w:val="single"/>
                <w:lang w:val="en-US" w:eastAsia="zh-CN" w:bidi="ar-SA"/>
                <w:highlight w:val="none"/>
              </w:rPr>
              <w:t>）反冲洗排水渠与进水渠为同一渠，反冲洗强度大且可调节，反冲洗时不会出现滤料流失现象；</w:t>
            </w:r>
            <w:r>
              <w:rPr>
                <w:rFonts w:ascii="Times New Roman" w:eastAsia="宋体" w:cs="Times New Roman" w:hAnsi="Times New Roman"/>
                <w:color w:val="000000"/>
                <w:kern w:val="0"/>
                <w:sz w:val="24"/>
                <w:szCs w:val="24"/>
                <w:u w:val="single"/>
                <w:lang w:val="en-US" w:eastAsia="zh-CN" w:bidi="ar-SA"/>
                <w:highlight w:val="none"/>
              </w:rPr>
              <w:t>5</w:t>
            </w:r>
            <w:r>
              <w:rPr>
                <w:rFonts w:ascii="Times New Roman" w:eastAsia="宋体" w:cs="Times New Roman" w:hAnsi="Times New Roman" w:hint="eastAsia"/>
                <w:color w:val="000000"/>
                <w:kern w:val="0"/>
                <w:sz w:val="24"/>
                <w:szCs w:val="24"/>
                <w:u w:val="single"/>
                <w:lang w:val="en-US" w:eastAsia="zh-CN" w:bidi="ar-SA"/>
                <w:highlight w:val="none"/>
              </w:rPr>
              <w:t>）运行自动化程度高，便于管理。</w:t>
            </w:r>
          </w:p>
          <w:p>
            <w:pPr>
              <w:snapToGrid w:val="0"/>
              <w:spacing w:line="360" w:lineRule="auto"/>
              <w:ind w:firstLineChars="200" w:firstLine="480"/>
              <w:contextualSpacing/>
              <w:rPr>
                <w:sz w:val="24"/>
                <w:u w:val="single"/>
                <w:highlight w:val="none"/>
              </w:rPr>
            </w:pPr>
            <w:r>
              <w:rPr>
                <w:sz w:val="24"/>
                <w:u w:val="single"/>
                <w:highlight w:val="none"/>
              </w:rPr>
              <w:t>（5）</w:t>
            </w:r>
            <w:r>
              <w:rPr>
                <w:rFonts w:hint="eastAsia"/>
                <w:sz w:val="24"/>
                <w:u w:val="single"/>
                <w:highlight w:val="none"/>
              </w:rPr>
              <w:t>清水池（含接触消毒）</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rPr>
                <w:rFonts w:ascii="Times New Roman" w:eastAsia="宋体" w:cs="Times New Roman" w:hAnsi="Times New Roman"/>
                <w:b w:val="0"/>
                <w:bCs w:val="0"/>
                <w:color w:val="auto"/>
                <w:kern w:val="2"/>
                <w:sz w:val="24"/>
                <w:szCs w:val="24"/>
                <w:u w:val="single"/>
                <w:vertAlign w:val="baseline"/>
                <w:lang w:val="en-US" w:eastAsia="zh-CN" w:bidi="ar-SA"/>
                <w:highlight w:val="none"/>
              </w:rPr>
            </w:pPr>
            <w:r>
              <w:rPr>
                <w:sz w:val="24"/>
                <w:u w:val="single"/>
                <w:highlight w:val="none"/>
              </w:rPr>
              <w:t>水经过滤后，浊度进一步降低，同时亦使残留细菌、病毒等失去浑浊物保护或依附，为滤后消毒创造良好条件。消毒并非把微生物全部消灭，只要求消灭致病微生物。虽然水经混凝、沉淀和过滤，可以除去大多数细菌和病毒，但消毒则起了保证饮用达到饮用水细菌学指标的作用，同时它使城市水管末梢保持一定余氯量，以控制细菌繁殖且预防污染。本项目消毒采用次氯酸钠，</w:t>
            </w:r>
            <w:r>
              <w:rPr>
                <w:rFonts w:hint="eastAsia"/>
                <w:color w:val="auto"/>
                <w:sz w:val="24"/>
                <w:szCs w:val="24"/>
                <w:u w:val="single"/>
                <w:lang w:val="en-US" w:eastAsia="zh-CN"/>
                <w:highlight w:val="none"/>
              </w:rPr>
              <w:t>采用氯化钠</w:t>
            </w:r>
            <w:r>
              <w:rPr>
                <w:rFonts w:hint="eastAsia"/>
                <w:color w:val="auto"/>
                <w:sz w:val="24"/>
                <w:szCs w:val="24"/>
                <w:u w:val="single"/>
                <w:highlight w:val="none"/>
              </w:rPr>
              <w:t>电解制备次氯酸钠消毒</w:t>
            </w:r>
            <w:r>
              <w:rPr>
                <w:rFonts w:hint="eastAsia"/>
                <w:color w:val="auto"/>
                <w:sz w:val="24"/>
                <w:szCs w:val="24"/>
                <w:u w:val="single"/>
                <w:lang w:eastAsia="zh-CN"/>
                <w:highlight w:val="none"/>
              </w:rPr>
              <w:t>，</w:t>
            </w:r>
            <w:r>
              <w:rPr>
                <w:rFonts w:hint="eastAsia"/>
                <w:color w:val="auto"/>
                <w:sz w:val="24"/>
                <w:szCs w:val="24"/>
                <w:u w:val="single"/>
                <w:lang w:val="en-US" w:eastAsia="zh-CN"/>
                <w:highlight w:val="none"/>
              </w:rPr>
              <w:t>电解方程</w:t>
            </w:r>
            <w:r>
              <w:rPr>
                <w:rFonts w:ascii="Times New Roman" w:eastAsia="宋体" w:cs="Times New Roman" w:hAnsi="Times New Roman"/>
                <w:b w:val="0"/>
                <w:bCs w:val="0"/>
                <w:color w:val="auto"/>
                <w:kern w:val="2"/>
                <w:sz w:val="24"/>
                <w:szCs w:val="24"/>
                <w:u w:val="single"/>
                <w:vertAlign w:val="baseline"/>
                <w:lang w:val="en-US" w:eastAsia="zh-CN" w:bidi="ar-SA"/>
                <w:highlight w:val="none"/>
              </w:rPr>
              <w:t>式：</w:t>
            </w:r>
          </w:p>
          <w:p>
            <w:pPr>
              <w:keepNext w:val="0"/>
              <w:keepLines w:val="0"/>
              <w:pageBreakBefore w:val="0"/>
              <w:widowControl w:val="0"/>
              <w:kinsoku/>
              <w:wordWrap/>
              <w:overflowPunct/>
              <w:topLinePunct w:val="0"/>
              <w:autoSpaceDE/>
              <w:autoSpaceDN/>
              <w:bidi w:val="0"/>
              <w:adjustRightInd w:val="0"/>
              <w:snapToGrid w:val="0"/>
              <w:spacing w:line="360" w:lineRule="auto"/>
              <w:ind w:leftChars="228" w:left="479" w:firstLine="0"/>
              <w:rPr>
                <w:rFonts w:ascii="Times New Roman" w:eastAsia="宋体" w:cs="Times New Roman" w:hAnsi="Times New Roman"/>
                <w:b w:val="0"/>
                <w:bCs w:val="0"/>
                <w:color w:val="auto"/>
                <w:kern w:val="2"/>
                <w:sz w:val="24"/>
                <w:szCs w:val="24"/>
                <w:u w:val="single"/>
                <w:vertAlign w:val="baseline"/>
                <w:lang w:val="en-US" w:eastAsia="zh-CN" w:bidi="ar-SA"/>
                <w:highlight w:val="none"/>
              </w:rPr>
            </w:pPr>
            <w:r>
              <w:rPr>
                <w:rFonts w:ascii="Times New Roman" w:eastAsia="宋体" w:cs="Times New Roman" w:hAnsi="Times New Roman"/>
                <w:b w:val="0"/>
                <w:bCs w:val="0"/>
                <w:color w:val="auto"/>
                <w:kern w:val="2"/>
                <w:sz w:val="24"/>
                <w:szCs w:val="24"/>
                <w:u w:val="single"/>
                <w:vertAlign w:val="baseline"/>
                <w:lang w:val="en-US" w:eastAsia="zh-CN" w:bidi="ar-SA"/>
                <w:highlight w:val="none"/>
              </w:rPr>
              <w:t>NaCl + H</w:t>
            </w:r>
            <w:r>
              <w:rPr>
                <w:rFonts w:ascii="Times New Roman" w:eastAsia="宋体" w:cs="Times New Roman" w:hAnsi="Times New Roman"/>
                <w:b w:val="0"/>
                <w:bCs w:val="0"/>
                <w:color w:val="auto"/>
                <w:kern w:val="2"/>
                <w:sz w:val="24"/>
                <w:szCs w:val="24"/>
                <w:u w:val="single"/>
                <w:vertAlign w:val="subscript"/>
                <w:lang w:val="en-US" w:eastAsia="zh-CN" w:bidi="ar-SA"/>
                <w:highlight w:val="none"/>
              </w:rPr>
              <w:t>2</w:t>
            </w:r>
            <w:r>
              <w:rPr>
                <w:rFonts w:ascii="Times New Roman" w:eastAsia="宋体" w:cs="Times New Roman" w:hAnsi="Times New Roman"/>
                <w:b w:val="0"/>
                <w:bCs w:val="0"/>
                <w:color w:val="auto"/>
                <w:kern w:val="2"/>
                <w:sz w:val="24"/>
                <w:szCs w:val="24"/>
                <w:u w:val="single"/>
                <w:vertAlign w:val="baseline"/>
                <w:lang w:val="en-US" w:eastAsia="zh-CN" w:bidi="ar-SA"/>
                <w:highlight w:val="none"/>
              </w:rPr>
              <w:t>O → NaClO + H</w:t>
            </w:r>
            <w:r>
              <w:rPr>
                <w:rFonts w:ascii="Times New Roman" w:eastAsia="宋体" w:cs="Times New Roman" w:hAnsi="Times New Roman"/>
                <w:b w:val="0"/>
                <w:bCs w:val="0"/>
                <w:color w:val="auto"/>
                <w:kern w:val="2"/>
                <w:sz w:val="24"/>
                <w:szCs w:val="24"/>
                <w:u w:val="single"/>
                <w:vertAlign w:val="subscript"/>
                <w:lang w:val="en-US" w:eastAsia="zh-CN" w:bidi="ar-SA"/>
                <w:highlight w:val="none"/>
              </w:rPr>
              <w:t>2</w:t>
            </w:r>
            <w:r>
              <w:rPr>
                <w:rFonts w:ascii="Times New Roman" w:eastAsia="宋体" w:cs="Times New Roman" w:hAnsi="Times New Roman"/>
                <w:b w:val="0"/>
                <w:bCs w:val="0"/>
                <w:color w:val="auto"/>
                <w:kern w:val="2"/>
                <w:sz w:val="24"/>
                <w:szCs w:val="24"/>
                <w:u w:val="single"/>
                <w:vertAlign w:val="baseline"/>
                <w:lang w:val="en-US" w:eastAsia="zh-CN" w:bidi="ar-SA"/>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228" w:left="479" w:firstLine="0"/>
              <w:rPr>
                <w:rFonts w:cs="Times New Roman" w:hint="eastAsia"/>
                <w:b w:val="0"/>
                <w:bCs w:val="0"/>
                <w:color w:val="auto"/>
                <w:kern w:val="2"/>
                <w:sz w:val="24"/>
                <w:szCs w:val="24"/>
                <w:u w:val="single"/>
                <w:vertAlign w:val="baseline"/>
                <w:lang w:val="en-US" w:eastAsia="zh-CN" w:bidi="ar-SA"/>
                <w:highlight w:val="none"/>
              </w:rPr>
            </w:pPr>
            <w:r>
              <w:rPr>
                <w:rFonts w:ascii="Times New Roman" w:eastAsia="宋体" w:cs="Times New Roman" w:hAnsi="Times New Roman"/>
                <w:b w:val="0"/>
                <w:bCs w:val="0"/>
                <w:color w:val="auto"/>
                <w:kern w:val="2"/>
                <w:sz w:val="24"/>
                <w:szCs w:val="24"/>
                <w:u w:val="single"/>
                <w:vertAlign w:val="baseline"/>
                <w:lang w:val="en-US" w:eastAsia="zh-CN" w:bidi="ar-SA"/>
                <w:highlight w:val="none"/>
              </w:rPr>
              <w:t>电极反应：阳极：2Cl</w:t>
            </w:r>
            <w:r>
              <w:rPr>
                <w:rFonts w:ascii="Times New Roman" w:eastAsia="宋体" w:cs="Times New Roman" w:hAnsi="Times New Roman"/>
                <w:b w:val="0"/>
                <w:bCs w:val="0"/>
                <w:color w:val="auto"/>
                <w:kern w:val="2"/>
                <w:sz w:val="24"/>
                <w:szCs w:val="24"/>
                <w:u w:val="single"/>
                <w:vertAlign w:val="superscript"/>
                <w:lang w:val="en-US" w:eastAsia="zh-CN" w:bidi="ar-SA"/>
                <w:highlight w:val="none"/>
              </w:rPr>
              <w:t xml:space="preserve">- </w:t>
            </w:r>
            <w:r>
              <w:rPr>
                <w:rFonts w:ascii="Times New Roman" w:eastAsia="宋体" w:cs="Times New Roman" w:hAnsi="Times New Roman"/>
                <w:b w:val="0"/>
                <w:bCs w:val="0"/>
                <w:color w:val="auto"/>
                <w:kern w:val="2"/>
                <w:sz w:val="24"/>
                <w:szCs w:val="24"/>
                <w:u w:val="single"/>
                <w:vertAlign w:val="baseline"/>
                <w:lang w:val="en-US" w:eastAsia="zh-CN" w:bidi="ar-SA"/>
                <w:highlight w:val="none"/>
              </w:rPr>
              <w:t>- 2e → Cl</w:t>
            </w:r>
            <w:r>
              <w:rPr>
                <w:rFonts w:ascii="Times New Roman" w:eastAsia="宋体" w:cs="Times New Roman" w:hAnsi="Times New Roman"/>
                <w:b w:val="0"/>
                <w:bCs w:val="0"/>
                <w:color w:val="auto"/>
                <w:kern w:val="2"/>
                <w:sz w:val="24"/>
                <w:szCs w:val="24"/>
                <w:u w:val="single"/>
                <w:vertAlign w:val="subscript"/>
                <w:lang w:val="en-US" w:eastAsia="zh-CN" w:bidi="ar-SA"/>
                <w:highlight w:val="none"/>
              </w:rPr>
              <w:t>2</w:t>
            </w:r>
            <w:r>
              <w:rPr>
                <w:rFonts w:cs="Times New Roman" w:hint="eastAsia"/>
                <w:b w:val="0"/>
                <w:bCs w:val="0"/>
                <w:color w:val="auto"/>
                <w:kern w:val="2"/>
                <w:sz w:val="24"/>
                <w:szCs w:val="24"/>
                <w:u w:val="single"/>
                <w:vertAlign w:val="baseline"/>
                <w:lang w:val="en-US" w:eastAsia="zh-CN" w:bidi="ar-SA"/>
                <w:highlight w:val="none"/>
              </w:rPr>
              <w:t>，</w:t>
            </w:r>
            <w:r>
              <w:rPr>
                <w:rFonts w:ascii="Times New Roman" w:eastAsia="宋体" w:cs="Times New Roman" w:hAnsi="Times New Roman"/>
                <w:b w:val="0"/>
                <w:bCs w:val="0"/>
                <w:color w:val="auto"/>
                <w:kern w:val="2"/>
                <w:sz w:val="24"/>
                <w:szCs w:val="24"/>
                <w:u w:val="single"/>
                <w:vertAlign w:val="baseline"/>
                <w:lang w:val="en-US" w:eastAsia="zh-CN" w:bidi="ar-SA"/>
                <w:highlight w:val="none"/>
              </w:rPr>
              <w:t>阴极：2H</w:t>
            </w:r>
            <w:r>
              <w:rPr>
                <w:rFonts w:ascii="Times New Roman" w:eastAsia="宋体" w:cs="Times New Roman" w:hAnsi="Times New Roman"/>
                <w:b w:val="0"/>
                <w:bCs w:val="0"/>
                <w:color w:val="auto"/>
                <w:kern w:val="2"/>
                <w:sz w:val="24"/>
                <w:szCs w:val="24"/>
                <w:u w:val="single"/>
                <w:vertAlign w:val="superscript"/>
                <w:lang w:val="en-US" w:eastAsia="zh-CN" w:bidi="ar-SA"/>
                <w:highlight w:val="none"/>
              </w:rPr>
              <w:t>+</w:t>
            </w:r>
            <w:r>
              <w:rPr>
                <w:rFonts w:ascii="Times New Roman" w:eastAsia="宋体" w:cs="Times New Roman" w:hAnsi="Times New Roman"/>
                <w:b w:val="0"/>
                <w:bCs w:val="0"/>
                <w:color w:val="auto"/>
                <w:kern w:val="2"/>
                <w:sz w:val="24"/>
                <w:szCs w:val="24"/>
                <w:u w:val="single"/>
                <w:vertAlign w:val="baseline"/>
                <w:lang w:val="en-US" w:eastAsia="zh-CN" w:bidi="ar-SA"/>
                <w:highlight w:val="none"/>
              </w:rPr>
              <w:t xml:space="preserve"> + 2e → H</w:t>
            </w:r>
            <w:r>
              <w:rPr>
                <w:rFonts w:ascii="Times New Roman" w:eastAsia="宋体" w:cs="Times New Roman" w:hAnsi="Times New Roman"/>
                <w:b w:val="0"/>
                <w:bCs w:val="0"/>
                <w:color w:val="auto"/>
                <w:kern w:val="2"/>
                <w:sz w:val="24"/>
                <w:szCs w:val="24"/>
                <w:u w:val="single"/>
                <w:vertAlign w:val="subscript"/>
                <w:lang w:val="en-US" w:eastAsia="zh-CN" w:bidi="ar-SA"/>
                <w:highlight w:val="none"/>
              </w:rPr>
              <w:t>2</w:t>
            </w:r>
            <w:r>
              <w:rPr>
                <w:rFonts w:cs="Times New Roman" w:hint="eastAsia"/>
                <w:b w:val="0"/>
                <w:bCs w:val="0"/>
                <w:color w:val="auto"/>
                <w:kern w:val="2"/>
                <w:sz w:val="24"/>
                <w:szCs w:val="24"/>
                <w:u w:val="single"/>
                <w:vertAlign w:val="baseline"/>
                <w:lang w:val="en-US" w:eastAsia="zh-CN" w:bidi="ar-SA"/>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228" w:left="479" w:firstLine="0"/>
              <w:rPr>
                <w:rFonts w:ascii="Times New Roman" w:eastAsia="宋体" w:cs="Times New Roman" w:hAnsi="Times New Roman"/>
                <w:b w:val="0"/>
                <w:bCs w:val="0"/>
                <w:color w:val="auto"/>
                <w:kern w:val="2"/>
                <w:sz w:val="24"/>
                <w:szCs w:val="24"/>
                <w:u w:val="single"/>
                <w:vertAlign w:val="baseline"/>
                <w:lang w:val="en-US" w:eastAsia="zh-CN" w:bidi="ar-SA"/>
                <w:highlight w:val="none"/>
              </w:rPr>
            </w:pPr>
            <w:r>
              <w:rPr>
                <w:rFonts w:ascii="Times New Roman" w:eastAsia="宋体" w:cs="Times New Roman" w:hAnsi="Times New Roman"/>
                <w:b w:val="0"/>
                <w:bCs w:val="0"/>
                <w:color w:val="auto"/>
                <w:kern w:val="2"/>
                <w:sz w:val="24"/>
                <w:szCs w:val="24"/>
                <w:u w:val="single"/>
                <w:vertAlign w:val="baseline"/>
                <w:lang w:val="en-US" w:eastAsia="zh-CN" w:bidi="ar-SA"/>
                <w:highlight w:val="none"/>
              </w:rPr>
              <w:t>溶液反应：2NaOH + Cl</w:t>
            </w:r>
            <w:r>
              <w:rPr>
                <w:rFonts w:ascii="Times New Roman" w:eastAsia="宋体" w:cs="Times New Roman" w:hAnsi="Times New Roman"/>
                <w:b w:val="0"/>
                <w:bCs w:val="0"/>
                <w:color w:val="auto"/>
                <w:kern w:val="2"/>
                <w:sz w:val="24"/>
                <w:szCs w:val="24"/>
                <w:u w:val="single"/>
                <w:vertAlign w:val="subscript"/>
                <w:lang w:val="en-US" w:eastAsia="zh-CN" w:bidi="ar-SA"/>
                <w:highlight w:val="none"/>
              </w:rPr>
              <w:t>2</w:t>
            </w:r>
            <w:r>
              <w:rPr>
                <w:rFonts w:ascii="Times New Roman" w:eastAsia="宋体" w:cs="Times New Roman" w:hAnsi="Times New Roman"/>
                <w:b w:val="0"/>
                <w:bCs w:val="0"/>
                <w:color w:val="auto"/>
                <w:kern w:val="2"/>
                <w:sz w:val="24"/>
                <w:szCs w:val="24"/>
                <w:u w:val="single"/>
                <w:vertAlign w:val="baseline"/>
                <w:lang w:val="en-US" w:eastAsia="zh-CN" w:bidi="ar-SA"/>
                <w:highlight w:val="none"/>
              </w:rPr>
              <w:t xml:space="preserve"> → NaCl + NaClO + H</w:t>
            </w:r>
            <w:r>
              <w:rPr>
                <w:rFonts w:ascii="Times New Roman" w:eastAsia="宋体" w:cs="Times New Roman" w:hAnsi="Times New Roman"/>
                <w:b w:val="0"/>
                <w:bCs w:val="0"/>
                <w:color w:val="auto"/>
                <w:kern w:val="2"/>
                <w:sz w:val="24"/>
                <w:szCs w:val="24"/>
                <w:u w:val="single"/>
                <w:vertAlign w:val="subscript"/>
                <w:lang w:val="en-US" w:eastAsia="zh-CN" w:bidi="ar-SA"/>
                <w:highlight w:val="none"/>
              </w:rPr>
              <w:t>2</w:t>
            </w:r>
            <w:r>
              <w:rPr>
                <w:rFonts w:ascii="Times New Roman" w:eastAsia="宋体" w:cs="Times New Roman" w:hAnsi="Times New Roman"/>
                <w:b w:val="0"/>
                <w:bCs w:val="0"/>
                <w:color w:val="auto"/>
                <w:kern w:val="2"/>
                <w:sz w:val="24"/>
                <w:szCs w:val="24"/>
                <w:u w:val="single"/>
                <w:vertAlign w:val="baseline"/>
                <w:lang w:val="en-US" w:eastAsia="zh-CN" w:bidi="ar-SA"/>
                <w:highlight w:val="none"/>
              </w:rPr>
              <w:t>O</w:t>
            </w:r>
            <w:r>
              <w:rPr>
                <w:rFonts w:cs="Times New Roman" w:hint="eastAsia"/>
                <w:b w:val="0"/>
                <w:bCs w:val="0"/>
                <w:color w:val="auto"/>
                <w:kern w:val="2"/>
                <w:sz w:val="24"/>
                <w:szCs w:val="24"/>
                <w:u w:val="single"/>
                <w:vertAlign w:val="baseline"/>
                <w:lang w:val="en-US" w:eastAsia="zh-CN" w:bidi="ar-SA"/>
                <w:highlight w:val="none"/>
              </w:rPr>
              <w:t>。</w:t>
            </w:r>
          </w:p>
          <w:p>
            <w:pPr>
              <w:snapToGrid w:val="0"/>
              <w:spacing w:line="360" w:lineRule="auto"/>
              <w:ind w:firstLineChars="200" w:firstLine="480"/>
              <w:contextualSpacing/>
              <w:rPr>
                <w:sz w:val="24"/>
                <w:u w:val="single"/>
                <w:highlight w:val="none"/>
              </w:rPr>
            </w:pPr>
            <w:r>
              <w:rPr>
                <w:rFonts w:hint="eastAsia"/>
                <w:b w:val="0"/>
                <w:bCs w:val="0"/>
                <w:color w:val="auto"/>
                <w:sz w:val="24"/>
                <w:szCs w:val="24"/>
                <w:u w:val="single"/>
                <w:highlight w:val="none"/>
              </w:rPr>
              <w:t>次氯酸钠消毒原理：在污水处理中的消毒原理主要有三种作用形式，其一，通过水的分解将次氯酸钠分解成次氯酸，并且通过NaClO+H</w:t>
            </w:r>
            <w:r>
              <w:rPr>
                <w:rFonts w:hint="eastAsia"/>
                <w:b w:val="0"/>
                <w:bCs w:val="0"/>
                <w:color w:val="auto"/>
                <w:sz w:val="24"/>
                <w:szCs w:val="24"/>
                <w:u w:val="single"/>
                <w:vertAlign w:val="subscript"/>
                <w:highlight w:val="none"/>
              </w:rPr>
              <w:t>2</w:t>
            </w:r>
            <w:r>
              <w:rPr>
                <w:rFonts w:hint="eastAsia"/>
                <w:b w:val="0"/>
                <w:bCs w:val="0"/>
                <w:color w:val="auto"/>
                <w:sz w:val="24"/>
                <w:szCs w:val="24"/>
                <w:u w:val="single"/>
                <w:highlight w:val="none"/>
              </w:rPr>
              <w:t>O= HClO+NaOH，HC</w:t>
            </w:r>
            <w:r>
              <w:rPr>
                <w:rFonts w:hint="eastAsia"/>
                <w:b w:val="0"/>
                <w:bCs w:val="0"/>
                <w:color w:val="auto"/>
                <w:sz w:val="24"/>
                <w:szCs w:val="24"/>
                <w:u w:val="single"/>
                <w:lang w:val="en-US" w:eastAsia="zh-CN"/>
                <w:highlight w:val="none"/>
              </w:rPr>
              <w:t>LO</w:t>
            </w:r>
            <w:r>
              <w:rPr>
                <w:rFonts w:hint="eastAsia"/>
                <w:b w:val="0"/>
                <w:bCs w:val="0"/>
                <w:color w:val="auto"/>
                <w:sz w:val="24"/>
                <w:szCs w:val="24"/>
                <w:u w:val="single"/>
                <w:highlight w:val="none"/>
              </w:rPr>
              <w:t>-→HCl+[O]的形式，将次氯酸分解成新生态氧。新生态氧是消毒的排头兵，利用新生态氧的极强氧化性，将污水中的病毒以及，变质蛋白质进行影响，导致质变，从而将污水中的病原致死。其二，次氯酸钠能够有效的在污水消毒中，将污水细菌病原的细胞、体蛋白、核酸、酶等有机高分子发生氧化反应，并利用R-NH-R+HCIO-→R</w:t>
            </w:r>
            <w:r>
              <w:rPr>
                <w:rFonts w:hint="eastAsia"/>
                <w:b w:val="0"/>
                <w:bCs w:val="0"/>
                <w:color w:val="auto"/>
                <w:sz w:val="24"/>
                <w:szCs w:val="24"/>
                <w:u w:val="single"/>
                <w:vertAlign w:val="subscript"/>
                <w:highlight w:val="none"/>
              </w:rPr>
              <w:t>2</w:t>
            </w:r>
            <w:r>
              <w:rPr>
                <w:rFonts w:hint="eastAsia"/>
                <w:b w:val="0"/>
                <w:bCs w:val="0"/>
                <w:color w:val="auto"/>
                <w:sz w:val="24"/>
                <w:szCs w:val="24"/>
                <w:u w:val="single"/>
                <w:highlight w:val="none"/>
              </w:rPr>
              <w:t>NCl+H</w:t>
            </w:r>
            <w:r>
              <w:rPr>
                <w:rFonts w:hint="eastAsia"/>
                <w:b w:val="0"/>
                <w:bCs w:val="0"/>
                <w:color w:val="auto"/>
                <w:sz w:val="24"/>
                <w:szCs w:val="24"/>
                <w:u w:val="single"/>
                <w:vertAlign w:val="subscript"/>
                <w:highlight w:val="none"/>
              </w:rPr>
              <w:t>2</w:t>
            </w:r>
            <w:r>
              <w:rPr>
                <w:rFonts w:hint="eastAsia"/>
                <w:b w:val="0"/>
                <w:bCs w:val="0"/>
                <w:color w:val="auto"/>
                <w:sz w:val="24"/>
                <w:szCs w:val="24"/>
                <w:u w:val="single"/>
                <w:highlight w:val="none"/>
              </w:rPr>
              <w:t>O的反应将病原杀死。其三，次氯酸能够通过水的作用分解成氯离子，在病菌与病毒体中产生作用，导致病毒细胞丧失活性。</w:t>
            </w:r>
          </w:p>
          <w:p>
            <w:pPr>
              <w:snapToGrid w:val="0"/>
              <w:spacing w:line="360" w:lineRule="auto"/>
              <w:ind w:firstLineChars="200" w:firstLine="480"/>
              <w:contextualSpacing/>
              <w:rPr>
                <w:color w:val="000000"/>
                <w:sz w:val="24"/>
                <w:u w:val="single"/>
                <w:highlight w:val="none"/>
              </w:rPr>
            </w:pPr>
            <w:r>
              <w:rPr>
                <w:rFonts w:hint="eastAsia"/>
                <w:sz w:val="24"/>
                <w:u w:val="single"/>
                <w:highlight w:val="none"/>
              </w:rPr>
              <w:t>本项目废水主要来自滤池反冲洗水、沉淀池排泥水。由于砂滤池的反冲洗废水水质较好、含固率较低，因此直接收集进入絮凝沉淀池回用；斜管</w:t>
            </w:r>
            <w:r>
              <w:rPr>
                <w:color w:val="000000"/>
                <w:sz w:val="24"/>
                <w:u w:val="single"/>
                <w:highlight w:val="none"/>
              </w:rPr>
              <w:t>沉淀池排泥水</w:t>
            </w:r>
            <w:r>
              <w:rPr>
                <w:rFonts w:hint="eastAsia"/>
                <w:color w:val="000000"/>
                <w:sz w:val="24"/>
                <w:u w:val="single"/>
                <w:lang w:val="en-US" w:eastAsia="zh-CN"/>
                <w:highlight w:val="none"/>
              </w:rPr>
              <w:t>进入回用排泥池</w:t>
            </w:r>
            <w:r>
              <w:rPr>
                <w:rFonts w:hint="eastAsia"/>
                <w:color w:val="000000"/>
                <w:sz w:val="24"/>
                <w:u w:val="single"/>
                <w:highlight w:val="none"/>
              </w:rPr>
              <w:t>后，上清液</w:t>
            </w:r>
            <w:r>
              <w:rPr>
                <w:rFonts w:hint="eastAsia"/>
                <w:sz w:val="24"/>
                <w:u w:val="single"/>
                <w:highlight w:val="none"/>
              </w:rPr>
              <w:t>进入絮凝沉淀池回用</w:t>
            </w:r>
            <w:r>
              <w:rPr>
                <w:rFonts w:hint="eastAsia"/>
                <w:color w:val="000000"/>
                <w:sz w:val="24"/>
                <w:u w:val="single"/>
                <w:highlight w:val="none"/>
              </w:rPr>
              <w:t>，</w:t>
            </w:r>
            <w:r>
              <w:rPr>
                <w:rFonts w:hint="eastAsia"/>
                <w:color w:val="000000"/>
                <w:sz w:val="24"/>
                <w:u w:val="single"/>
                <w:lang w:val="en-US" w:eastAsia="zh-CN"/>
                <w:highlight w:val="none"/>
              </w:rPr>
              <w:t>不外排；</w:t>
            </w:r>
            <w:r>
              <w:rPr>
                <w:rFonts w:hint="eastAsia"/>
                <w:color w:val="000000"/>
                <w:sz w:val="24"/>
                <w:u w:val="single"/>
                <w:highlight w:val="none"/>
              </w:rPr>
              <w:t>污泥</w:t>
            </w:r>
            <w:r>
              <w:rPr>
                <w:rFonts w:hint="eastAsia"/>
                <w:sz w:val="24"/>
                <w:u w:val="single"/>
                <w:highlight w:val="none"/>
              </w:rPr>
              <w:t>脱水处理</w:t>
            </w:r>
            <w:r>
              <w:rPr>
                <w:rFonts w:hint="eastAsia"/>
                <w:sz w:val="24"/>
                <w:u w:val="single"/>
                <w:lang w:val="en-US" w:eastAsia="zh-CN"/>
                <w:highlight w:val="none"/>
              </w:rPr>
              <w:t>后外运综合利用</w:t>
            </w:r>
            <w:r>
              <w:rPr>
                <w:rFonts w:hint="eastAsia"/>
                <w:sz w:val="24"/>
                <w:u w:val="single"/>
                <w:highlight w:val="none"/>
              </w:rPr>
              <w:t>。</w:t>
            </w:r>
          </w:p>
          <w:p>
            <w:pPr>
              <w:pStyle w:val="15"/>
              <w:spacing w:before="0" w:after="0" w:line="360" w:lineRule="auto"/>
              <w:rPr>
                <w:b/>
                <w:color w:val="000000"/>
                <w:kern w:val="2"/>
                <w:sz w:val="24"/>
                <w:szCs w:val="24"/>
                <w:highlight w:val="none"/>
              </w:rPr>
            </w:pPr>
            <w:r>
              <w:rPr>
                <w:b/>
                <w:color w:val="000000"/>
                <w:kern w:val="2"/>
                <w:sz w:val="24"/>
                <w:szCs w:val="24"/>
                <w:highlight w:val="none"/>
              </w:rPr>
              <w:t>3、运营期产污环节</w:t>
            </w:r>
          </w:p>
          <w:p>
            <w:pPr>
              <w:snapToGrid w:val="0"/>
              <w:spacing w:line="360" w:lineRule="auto"/>
              <w:ind w:firstLineChars="200" w:firstLine="480"/>
              <w:contextualSpacing/>
              <w:rPr>
                <w:sz w:val="21"/>
                <w:szCs w:val="21"/>
                <w:highlight w:val="none"/>
              </w:rPr>
            </w:pPr>
            <w:r>
              <w:rPr>
                <w:rFonts w:hint="eastAsia"/>
                <w:sz w:val="24"/>
                <w:highlight w:val="none"/>
              </w:rPr>
              <w:t>运营期产污环节详见下表。</w:t>
            </w:r>
          </w:p>
          <w:p>
            <w:pPr>
              <w:pStyle w:val="68"/>
              <w:tabs>
                <w:tab w:val="left" w:pos="0"/>
              </w:tabs>
              <w:rPr>
                <w:b w:val="0"/>
                <w:bCs/>
                <w:sz w:val="21"/>
                <w:szCs w:val="21"/>
                <w:highlight w:val="none"/>
              </w:rPr>
            </w:pPr>
            <w:r>
              <w:rPr>
                <w:sz w:val="21"/>
                <w:szCs w:val="21"/>
                <w:highlight w:val="none"/>
              </w:rPr>
              <w:t>表2-</w:t>
            </w:r>
            <w:r>
              <w:rPr>
                <w:rFonts w:hint="eastAsia"/>
                <w:sz w:val="21"/>
                <w:szCs w:val="21"/>
                <w:highlight w:val="none"/>
              </w:rPr>
              <w:t>14</w:t>
            </w:r>
            <w:r>
              <w:rPr>
                <w:sz w:val="21"/>
                <w:szCs w:val="21"/>
                <w:highlight w:val="none"/>
              </w:rPr>
              <w:t xml:space="preserve">  项目营运期产生污染物及产污节点分析</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6" w:space="0" w:color="auto"/>
              </w:tblBorders>
              <w:tblLayout w:type="fixed"/>
              <w:tblCellMar>
                <w:top w:w="0" w:type="dxa"/>
                <w:left w:w="108" w:type="dxa"/>
                <w:bottom w:w="0" w:type="dxa"/>
                <w:right w:w="108" w:type="dxa"/>
              </w:tblCellMar>
              <w:tblLook w:val="0600" w:firstRow="0" w:lastRow="0" w:firstColumn="0" w:lastColumn="0" w:noHBand="1" w:noVBand="1"/>
            </w:tblPr>
            <w:tblGrid>
              <w:gridCol w:w="805"/>
              <w:gridCol w:w="1087"/>
              <w:gridCol w:w="1720"/>
              <w:gridCol w:w="2927"/>
              <w:gridCol w:w="1644"/>
            </w:tblGrid>
            <w:tr>
              <w:trPr>
                <w:trHeight w:val="340"/>
                <w:tblHeader/>
              </w:trPr>
              <w:tc>
                <w:tcPr>
                  <w:tcW w:w="492" w:type="pct"/>
                  <w:vAlign w:val="center"/>
                </w:tcPr>
                <w:p>
                  <w:pPr>
                    <w:pStyle w:val="80"/>
                    <w:spacing w:line="240" w:lineRule="auto"/>
                    <w:rPr>
                      <w:highlight w:val="none"/>
                    </w:rPr>
                  </w:pPr>
                  <w:r>
                    <w:rPr>
                      <w:highlight w:val="none"/>
                    </w:rPr>
                    <w:t>时期</w:t>
                  </w:r>
                </w:p>
              </w:tc>
              <w:tc>
                <w:tcPr>
                  <w:tcW w:w="664" w:type="pct"/>
                  <w:vAlign w:val="center"/>
                </w:tcPr>
                <w:p>
                  <w:pPr>
                    <w:pStyle w:val="80"/>
                    <w:spacing w:line="240" w:lineRule="auto"/>
                    <w:rPr>
                      <w:highlight w:val="none"/>
                    </w:rPr>
                  </w:pPr>
                  <w:r>
                    <w:rPr>
                      <w:highlight w:val="none"/>
                    </w:rPr>
                    <w:t>污染类型</w:t>
                  </w:r>
                </w:p>
              </w:tc>
              <w:tc>
                <w:tcPr>
                  <w:tcW w:w="1051" w:type="pct"/>
                  <w:vAlign w:val="center"/>
                </w:tcPr>
                <w:p>
                  <w:pPr>
                    <w:pStyle w:val="80"/>
                    <w:spacing w:line="240" w:lineRule="auto"/>
                    <w:rPr>
                      <w:highlight w:val="none"/>
                    </w:rPr>
                  </w:pPr>
                  <w:r>
                    <w:rPr>
                      <w:highlight w:val="none"/>
                    </w:rPr>
                    <w:t>污染物</w:t>
                  </w:r>
                </w:p>
              </w:tc>
              <w:tc>
                <w:tcPr>
                  <w:tcW w:w="1788" w:type="pct"/>
                  <w:vAlign w:val="center"/>
                </w:tcPr>
                <w:p>
                  <w:pPr>
                    <w:pStyle w:val="80"/>
                    <w:spacing w:line="240" w:lineRule="auto"/>
                    <w:rPr>
                      <w:highlight w:val="none"/>
                    </w:rPr>
                  </w:pPr>
                  <w:r>
                    <w:rPr>
                      <w:highlight w:val="none"/>
                    </w:rPr>
                    <w:t>污染因子</w:t>
                  </w:r>
                </w:p>
              </w:tc>
              <w:tc>
                <w:tcPr>
                  <w:tcW w:w="1004" w:type="pct"/>
                  <w:vAlign w:val="center"/>
                </w:tcPr>
                <w:p>
                  <w:pPr>
                    <w:pStyle w:val="80"/>
                    <w:spacing w:line="240" w:lineRule="auto"/>
                    <w:rPr>
                      <w:highlight w:val="none"/>
                    </w:rPr>
                  </w:pPr>
                  <w:r>
                    <w:rPr>
                      <w:highlight w:val="none"/>
                    </w:rPr>
                    <w:t>产污节点（序）</w:t>
                  </w:r>
                </w:p>
              </w:tc>
            </w:tr>
            <w:tr>
              <w:trPr>
                <w:trHeight w:val="340"/>
                <w:tblHeader/>
              </w:trPr>
              <w:tc>
                <w:tcPr>
                  <w:tcW w:w="492" w:type="pct"/>
                  <w:vMerge w:val="restart"/>
                  <w:vAlign w:val="center"/>
                </w:tcPr>
                <w:p>
                  <w:pPr>
                    <w:pStyle w:val="47"/>
                    <w:spacing w:beforeLines="0" w:before="10" w:afterLines="0" w:after="10" w:line="240" w:lineRule="auto"/>
                    <w:ind w:left="0" w:right="0" w:firstLine="0"/>
                    <w:rPr>
                      <w:highlight w:val="none"/>
                    </w:rPr>
                  </w:pPr>
                  <w:r>
                    <w:rPr>
                      <w:rFonts w:ascii="Times New Roman" w:eastAsia="宋体" w:hAnsi="Times New Roman"/>
                      <w:sz w:val="21"/>
                      <w:szCs w:val="21"/>
                      <w:highlight w:val="none"/>
                    </w:rPr>
                    <w:t>营运期</w:t>
                  </w:r>
                </w:p>
              </w:tc>
              <w:tc>
                <w:tcPr>
                  <w:tcW w:w="664" w:type="pct"/>
                  <w:vAlign w:val="center"/>
                </w:tcPr>
                <w:p>
                  <w:pPr>
                    <w:pStyle w:val="47"/>
                    <w:spacing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废气</w:t>
                  </w:r>
                </w:p>
              </w:tc>
              <w:tc>
                <w:tcPr>
                  <w:tcW w:w="1051" w:type="pct"/>
                  <w:vAlign w:val="center"/>
                </w:tcPr>
                <w:p>
                  <w:pPr>
                    <w:pStyle w:val="47"/>
                    <w:spacing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污泥臭气</w:t>
                  </w:r>
                </w:p>
              </w:tc>
              <w:tc>
                <w:tcPr>
                  <w:tcW w:w="1788" w:type="pct"/>
                  <w:vAlign w:val="center"/>
                </w:tcPr>
                <w:p>
                  <w:pPr>
                    <w:pStyle w:val="47"/>
                    <w:spacing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臭气浓度</w:t>
                  </w:r>
                </w:p>
              </w:tc>
              <w:tc>
                <w:tcPr>
                  <w:tcW w:w="1004" w:type="pct"/>
                  <w:vAlign w:val="center"/>
                </w:tcPr>
                <w:p>
                  <w:pPr>
                    <w:pStyle w:val="47"/>
                    <w:spacing w:line="240" w:lineRule="auto"/>
                    <w:ind w:left="0" w:right="0" w:firstLine="0"/>
                    <w:rPr>
                      <w:rFonts w:ascii="Times New Roman" w:eastAsia="宋体" w:hAnsi="Times New Roman" w:hint="eastAsia"/>
                      <w:sz w:val="21"/>
                      <w:szCs w:val="21"/>
                      <w:lang w:eastAsia="zh-CN"/>
                      <w:highlight w:val="none"/>
                    </w:rPr>
                  </w:pPr>
                  <w:r>
                    <w:rPr>
                      <w:rFonts w:ascii="Times New Roman" w:eastAsia="宋体" w:hAnsi="Times New Roman" w:hint="eastAsia"/>
                      <w:sz w:val="21"/>
                      <w:szCs w:val="21"/>
                      <w:highlight w:val="none"/>
                    </w:rPr>
                    <w:t>污泥</w:t>
                  </w:r>
                  <w:r>
                    <w:rPr>
                      <w:rFonts w:ascii="Times New Roman" w:eastAsia="宋体" w:hAnsi="Times New Roman" w:hint="eastAsia"/>
                      <w:sz w:val="21"/>
                      <w:szCs w:val="21"/>
                      <w:lang w:val="en-US" w:eastAsia="zh-CN"/>
                      <w:highlight w:val="none"/>
                    </w:rPr>
                    <w:t>脱水</w:t>
                  </w:r>
                </w:p>
              </w:tc>
            </w:tr>
            <w:tr>
              <w:trPr>
                <w:trHeight w:val="340"/>
              </w:trPr>
              <w:tc>
                <w:tcPr>
                  <w:tcW w:w="492" w:type="pct"/>
                  <w:vMerge/>
                  <w:vAlign w:val="center"/>
                </w:tcPr>
                <w:p/>
              </w:tc>
              <w:tc>
                <w:tcPr>
                  <w:tcW w:w="664" w:type="pct"/>
                  <w:vMerge w:val="restart"/>
                  <w:vAlign w:val="center"/>
                </w:tcPr>
                <w:p>
                  <w:pPr>
                    <w:pStyle w:val="47"/>
                    <w:spacing w:line="240" w:lineRule="auto"/>
                    <w:ind w:left="0" w:right="0" w:firstLine="0"/>
                    <w:rPr>
                      <w:b/>
                      <w:bCs/>
                      <w:highlight w:val="none"/>
                    </w:rPr>
                  </w:pPr>
                  <w:r>
                    <w:rPr>
                      <w:rFonts w:ascii="Times New Roman" w:eastAsia="宋体" w:hAnsi="Times New Roman"/>
                      <w:sz w:val="21"/>
                      <w:szCs w:val="21"/>
                      <w:highlight w:val="none"/>
                    </w:rPr>
                    <w:t>废水</w:t>
                  </w:r>
                </w:p>
              </w:tc>
              <w:tc>
                <w:tcPr>
                  <w:tcW w:w="1051" w:type="pct"/>
                  <w:vAlign w:val="center"/>
                </w:tcPr>
                <w:p>
                  <w:pPr>
                    <w:pStyle w:val="47"/>
                    <w:spacing w:line="240" w:lineRule="auto"/>
                    <w:ind w:left="0" w:right="0" w:firstLine="0"/>
                    <w:rPr>
                      <w:b/>
                      <w:bCs/>
                      <w:highlight w:val="none"/>
                    </w:rPr>
                  </w:pPr>
                  <w:r>
                    <w:rPr>
                      <w:rFonts w:ascii="Times New Roman" w:eastAsia="宋体" w:hAnsi="Times New Roman"/>
                      <w:sz w:val="21"/>
                      <w:szCs w:val="21"/>
                      <w:highlight w:val="none"/>
                    </w:rPr>
                    <w:t>生活污水</w:t>
                  </w:r>
                </w:p>
              </w:tc>
              <w:tc>
                <w:tcPr>
                  <w:tcW w:w="1788" w:type="pct"/>
                  <w:vAlign w:val="center"/>
                </w:tcPr>
                <w:p>
                  <w:pPr>
                    <w:pStyle w:val="47"/>
                    <w:spacing w:line="240" w:lineRule="auto"/>
                    <w:ind w:left="0" w:right="0" w:firstLine="0"/>
                    <w:rPr>
                      <w:b/>
                      <w:bCs/>
                      <w:highlight w:val="none"/>
                    </w:rPr>
                  </w:pPr>
                  <w:r>
                    <w:rPr>
                      <w:rFonts w:ascii="Times New Roman" w:eastAsia="宋体" w:hAnsi="Times New Roman"/>
                      <w:sz w:val="21"/>
                      <w:szCs w:val="21"/>
                      <w:highlight w:val="none"/>
                    </w:rPr>
                    <w:t>COD、BOD</w:t>
                  </w:r>
                  <w:r>
                    <w:rPr>
                      <w:rFonts w:ascii="Times New Roman" w:eastAsia="宋体" w:hAnsi="Times New Roman"/>
                      <w:sz w:val="21"/>
                      <w:szCs w:val="21"/>
                      <w:vertAlign w:val="subscript"/>
                      <w:highlight w:val="none"/>
                    </w:rPr>
                    <w:t>5</w:t>
                  </w:r>
                  <w:r>
                    <w:rPr>
                      <w:rFonts w:ascii="Times New Roman" w:eastAsia="宋体" w:hAnsi="Times New Roman"/>
                      <w:sz w:val="21"/>
                      <w:szCs w:val="21"/>
                      <w:highlight w:val="none"/>
                    </w:rPr>
                    <w:t>、NH</w:t>
                  </w:r>
                  <w:r>
                    <w:rPr>
                      <w:rFonts w:ascii="Times New Roman" w:eastAsia="宋体" w:hAnsi="Times New Roman"/>
                      <w:sz w:val="21"/>
                      <w:szCs w:val="21"/>
                      <w:vertAlign w:val="subscript"/>
                      <w:highlight w:val="none"/>
                    </w:rPr>
                    <w:t>3</w:t>
                  </w:r>
                  <w:r>
                    <w:rPr>
                      <w:rFonts w:ascii="Times New Roman" w:eastAsia="宋体" w:hAnsi="Times New Roman"/>
                      <w:sz w:val="21"/>
                      <w:szCs w:val="21"/>
                      <w:highlight w:val="none"/>
                    </w:rPr>
                    <w:t>-N、SS</w:t>
                  </w:r>
                  <w:r>
                    <w:rPr>
                      <w:rFonts w:ascii="Times New Roman" w:eastAsia="宋体" w:hAnsi="Times New Roman" w:hint="eastAsia"/>
                      <w:sz w:val="21"/>
                      <w:szCs w:val="21"/>
                      <w:highlight w:val="none"/>
                    </w:rPr>
                    <w:t>等</w:t>
                  </w:r>
                </w:p>
              </w:tc>
              <w:tc>
                <w:tcPr>
                  <w:tcW w:w="1004" w:type="pct"/>
                  <w:vAlign w:val="center"/>
                </w:tcPr>
                <w:p>
                  <w:pPr>
                    <w:pStyle w:val="47"/>
                    <w:spacing w:line="240" w:lineRule="auto"/>
                    <w:ind w:left="0" w:right="0" w:firstLine="0"/>
                    <w:rPr>
                      <w:highlight w:val="none"/>
                    </w:rPr>
                  </w:pPr>
                  <w:r>
                    <w:rPr>
                      <w:rFonts w:ascii="Times New Roman" w:eastAsia="宋体" w:hAnsi="Times New Roman"/>
                      <w:sz w:val="21"/>
                      <w:szCs w:val="21"/>
                      <w:highlight w:val="none"/>
                    </w:rPr>
                    <w:t>职工生活</w:t>
                  </w:r>
                </w:p>
              </w:tc>
            </w:tr>
            <w:tr>
              <w:trPr>
                <w:trHeight w:val="340"/>
              </w:trPr>
              <w:tc>
                <w:tcPr>
                  <w:tcW w:w="492" w:type="pct"/>
                  <w:vMerge/>
                  <w:vAlign w:val="center"/>
                </w:tcPr>
                <w:p/>
              </w:tc>
              <w:tc>
                <w:tcPr>
                  <w:tcW w:w="664" w:type="pct"/>
                  <w:vMerge/>
                  <w:vAlign w:val="center"/>
                </w:tcPr>
                <w:p/>
              </w:tc>
              <w:tc>
                <w:tcPr>
                  <w:tcW w:w="1051"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滤池反冲洗水</w:t>
                  </w:r>
                </w:p>
              </w:tc>
              <w:tc>
                <w:tcPr>
                  <w:tcW w:w="1788"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SS</w:t>
                  </w:r>
                </w:p>
              </w:tc>
              <w:tc>
                <w:tcPr>
                  <w:tcW w:w="1004"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过滤</w:t>
                  </w:r>
                </w:p>
              </w:tc>
            </w:tr>
            <w:tr>
              <w:trPr>
                <w:trHeight w:val="340"/>
              </w:trPr>
              <w:tc>
                <w:tcPr>
                  <w:tcW w:w="492" w:type="pct"/>
                  <w:vMerge/>
                  <w:vAlign w:val="center"/>
                </w:tcPr>
                <w:p/>
              </w:tc>
              <w:tc>
                <w:tcPr>
                  <w:tcW w:w="664" w:type="pct"/>
                  <w:vMerge/>
                  <w:vAlign w:val="center"/>
                </w:tcPr>
                <w:p/>
              </w:tc>
              <w:tc>
                <w:tcPr>
                  <w:tcW w:w="1051"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沉淀池排泥水</w:t>
                  </w:r>
                </w:p>
              </w:tc>
              <w:tc>
                <w:tcPr>
                  <w:tcW w:w="1788"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SS</w:t>
                  </w:r>
                </w:p>
              </w:tc>
              <w:tc>
                <w:tcPr>
                  <w:tcW w:w="1004"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斜管</w:t>
                  </w:r>
                  <w:r>
                    <w:rPr>
                      <w:rFonts w:ascii="Times New Roman" w:eastAsia="宋体" w:hAnsi="Times New Roman"/>
                      <w:sz w:val="21"/>
                      <w:szCs w:val="21"/>
                      <w:highlight w:val="none"/>
                    </w:rPr>
                    <w:t>沉淀</w:t>
                  </w:r>
                </w:p>
              </w:tc>
            </w:tr>
            <w:tr>
              <w:trPr>
                <w:trHeight w:val="340"/>
              </w:trPr>
              <w:tc>
                <w:tcPr>
                  <w:tcW w:w="492" w:type="pct"/>
                  <w:vMerge/>
                  <w:vAlign w:val="center"/>
                </w:tcPr>
                <w:p/>
              </w:tc>
              <w:tc>
                <w:tcPr>
                  <w:tcW w:w="664" w:type="pct"/>
                  <w:vMerge w:val="restar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固废</w:t>
                  </w:r>
                </w:p>
              </w:tc>
              <w:tc>
                <w:tcPr>
                  <w:tcW w:w="1051"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生活垃圾</w:t>
                  </w:r>
                </w:p>
              </w:tc>
              <w:tc>
                <w:tcPr>
                  <w:tcW w:w="1788"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生活垃圾</w:t>
                  </w:r>
                </w:p>
              </w:tc>
              <w:tc>
                <w:tcPr>
                  <w:tcW w:w="1004"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职工生活</w:t>
                  </w:r>
                </w:p>
              </w:tc>
            </w:tr>
            <w:tr>
              <w:trPr>
                <w:trHeight w:val="340"/>
              </w:trPr>
              <w:tc>
                <w:tcPr>
                  <w:tcW w:w="492" w:type="pct"/>
                  <w:vMerge/>
                  <w:vAlign w:val="center"/>
                </w:tcPr>
                <w:p/>
              </w:tc>
              <w:tc>
                <w:tcPr>
                  <w:tcW w:w="664" w:type="pct"/>
                  <w:vMerge/>
                  <w:vAlign w:val="center"/>
                </w:tcPr>
                <w:p/>
              </w:tc>
              <w:tc>
                <w:tcPr>
                  <w:tcW w:w="1051"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沉淀池污泥</w:t>
                  </w:r>
                </w:p>
              </w:tc>
              <w:tc>
                <w:tcPr>
                  <w:tcW w:w="1788"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污泥</w:t>
                  </w:r>
                </w:p>
              </w:tc>
              <w:tc>
                <w:tcPr>
                  <w:tcW w:w="1004"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沉淀池</w:t>
                  </w:r>
                </w:p>
              </w:tc>
            </w:tr>
            <w:tr>
              <w:trPr>
                <w:trHeight w:val="340"/>
              </w:trPr>
              <w:tc>
                <w:tcPr>
                  <w:tcW w:w="492" w:type="pct"/>
                  <w:vMerge/>
                  <w:vAlign w:val="center"/>
                </w:tcPr>
                <w:p/>
              </w:tc>
              <w:tc>
                <w:tcPr>
                  <w:tcW w:w="664" w:type="pct"/>
                  <w:vMerge/>
                  <w:vAlign w:val="center"/>
                </w:tcPr>
                <w:p/>
              </w:tc>
              <w:tc>
                <w:tcPr>
                  <w:tcW w:w="1051"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废润滑油</w:t>
                  </w:r>
                </w:p>
              </w:tc>
              <w:tc>
                <w:tcPr>
                  <w:tcW w:w="1788"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废润滑油</w:t>
                  </w:r>
                </w:p>
              </w:tc>
              <w:tc>
                <w:tcPr>
                  <w:tcW w:w="1004"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设备维修</w:t>
                  </w:r>
                </w:p>
              </w:tc>
            </w:tr>
            <w:tr>
              <w:trPr>
                <w:trHeight w:val="340"/>
              </w:trPr>
              <w:tc>
                <w:tcPr>
                  <w:tcW w:w="492" w:type="pct"/>
                  <w:vMerge/>
                  <w:vAlign w:val="center"/>
                </w:tcPr>
                <w:p/>
              </w:tc>
              <w:tc>
                <w:tcPr>
                  <w:tcW w:w="664" w:type="pct"/>
                  <w:vMerge/>
                  <w:vAlign w:val="center"/>
                </w:tcPr>
                <w:p/>
              </w:tc>
              <w:tc>
                <w:tcPr>
                  <w:tcW w:w="1051"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废含油抹布</w:t>
                  </w:r>
                </w:p>
              </w:tc>
              <w:tc>
                <w:tcPr>
                  <w:tcW w:w="1788"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废含油抹布</w:t>
                  </w:r>
                </w:p>
              </w:tc>
              <w:tc>
                <w:tcPr>
                  <w:tcW w:w="1004"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设备维修</w:t>
                  </w:r>
                </w:p>
              </w:tc>
            </w:tr>
            <w:tr>
              <w:trPr>
                <w:trHeight w:val="340"/>
              </w:trPr>
              <w:tc>
                <w:tcPr>
                  <w:tcW w:w="492" w:type="pct"/>
                  <w:vMerge/>
                  <w:vAlign w:val="center"/>
                </w:tcPr>
                <w:p/>
              </w:tc>
              <w:tc>
                <w:tcPr>
                  <w:tcW w:w="664" w:type="pct"/>
                  <w:vMerge/>
                  <w:vAlign w:val="center"/>
                </w:tcPr>
                <w:p/>
              </w:tc>
              <w:tc>
                <w:tcPr>
                  <w:tcW w:w="1051"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废润滑油桶</w:t>
                  </w:r>
                </w:p>
              </w:tc>
              <w:tc>
                <w:tcPr>
                  <w:tcW w:w="1788"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废润滑油桶</w:t>
                  </w:r>
                </w:p>
              </w:tc>
              <w:tc>
                <w:tcPr>
                  <w:tcW w:w="1004"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设备维修</w:t>
                  </w:r>
                </w:p>
              </w:tc>
            </w:tr>
            <w:tr>
              <w:trPr>
                <w:trHeight w:val="340"/>
              </w:trPr>
              <w:tc>
                <w:tcPr>
                  <w:tcW w:w="492" w:type="pct"/>
                  <w:vMerge/>
                  <w:vAlign w:val="center"/>
                </w:tcPr>
                <w:p/>
              </w:tc>
              <w:tc>
                <w:tcPr>
                  <w:tcW w:w="664"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噪声</w:t>
                  </w:r>
                </w:p>
              </w:tc>
              <w:tc>
                <w:tcPr>
                  <w:tcW w:w="1051"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设备噪声</w:t>
                  </w:r>
                </w:p>
              </w:tc>
              <w:tc>
                <w:tcPr>
                  <w:tcW w:w="1788"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Leq（A）</w:t>
                  </w:r>
                </w:p>
              </w:tc>
              <w:tc>
                <w:tcPr>
                  <w:tcW w:w="1004" w:type="pct"/>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生产</w:t>
                  </w:r>
                </w:p>
              </w:tc>
            </w:tr>
          </w:tbl>
          <w:p>
            <w:pPr>
              <w:pStyle w:val="68"/>
              <w:tabs>
                <w:tab w:val="left" w:pos="0"/>
              </w:tabs>
              <w:rPr>
                <w:sz w:val="21"/>
                <w:szCs w:val="21"/>
                <w:highlight w:val="none"/>
              </w:rPr>
            </w:pPr>
          </w:p>
          <w:p>
            <w:pPr>
              <w:pStyle w:val="17"/>
              <w:spacing w:line="360" w:lineRule="auto"/>
              <w:jc w:val="both"/>
              <w:rPr>
                <w:rFonts w:eastAsia="宋体"/>
                <w:highlight w:val="none"/>
              </w:rPr>
            </w:pPr>
          </w:p>
        </w:tc>
      </w:tr>
      <w:tr>
        <w:trPr>
          <w:trHeight w:val="6317"/>
        </w:trPr>
        <w:tc>
          <w:tcPr>
            <w:tcW w:w="237" w:type="pct"/>
            <w:vAlign w:val="center"/>
          </w:tcPr>
          <w:p>
            <w:pPr>
              <w:pStyle w:val="34"/>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bCs/>
                <w:kern w:val="2"/>
                <w:szCs w:val="24"/>
                <w:highlight w:val="none"/>
              </w:rPr>
              <w:t>与项目有关的原有环境污染问题</w:t>
            </w:r>
          </w:p>
        </w:tc>
        <w:tc>
          <w:tcPr>
            <w:tcW w:w="4763" w:type="pct"/>
            <w:vAlign w:val="center"/>
          </w:tcPr>
          <w:p>
            <w:pPr>
              <w:spacing w:line="360" w:lineRule="auto"/>
              <w:ind w:firstLineChars="200" w:firstLine="480"/>
              <w:rPr>
                <w:highlight w:val="none"/>
              </w:rPr>
            </w:pPr>
            <w:r>
              <w:rPr>
                <w:rFonts w:hint="eastAsia"/>
                <w:sz w:val="24"/>
                <w:u w:val="single" w:color="auto"/>
                <w:highlight w:val="none"/>
              </w:rPr>
              <w:t>本项目</w:t>
            </w:r>
            <w:r>
              <w:rPr>
                <w:rFonts w:hint="eastAsia"/>
                <w:sz w:val="24"/>
                <w:u w:val="single" w:color="auto"/>
                <w:lang w:val="en-US" w:eastAsia="zh-CN"/>
                <w:highlight w:val="none"/>
              </w:rPr>
              <w:t>为新建项目，项目已于2025年10月开工建设，未建设完成。</w:t>
            </w:r>
            <w:r>
              <w:rPr>
                <w:rFonts w:hint="eastAsia"/>
                <w:sz w:val="24"/>
                <w:u w:val="single" w:color="auto"/>
                <w:highlight w:val="none"/>
              </w:rPr>
              <w:t>根据现场踏勘，</w:t>
            </w:r>
            <w:r>
              <w:rPr>
                <w:rFonts w:hint="eastAsia"/>
                <w:sz w:val="24"/>
                <w:u w:val="single" w:color="auto"/>
                <w:lang w:val="en-US" w:eastAsia="zh-CN"/>
                <w:highlight w:val="none"/>
              </w:rPr>
              <w:t>项目拟设</w:t>
            </w:r>
            <w:r>
              <w:rPr>
                <w:rFonts w:hint="eastAsia"/>
                <w:kern w:val="0"/>
                <w:sz w:val="24"/>
                <w:u w:val="single" w:color="auto"/>
                <w:lang w:eastAsia="zh-CN"/>
                <w:highlight w:val="none"/>
              </w:rPr>
              <w:t>取水口</w:t>
            </w:r>
            <w:r>
              <w:rPr>
                <w:rFonts w:hint="eastAsia"/>
                <w:kern w:val="0"/>
                <w:sz w:val="24"/>
                <w:u w:val="single" w:color="auto"/>
                <w:lang w:val="en-US" w:eastAsia="zh-CN"/>
                <w:highlight w:val="none"/>
              </w:rPr>
              <w:t>集雨</w:t>
            </w:r>
            <w:r>
              <w:rPr>
                <w:rFonts w:hint="eastAsia"/>
                <w:kern w:val="0"/>
                <w:sz w:val="24"/>
                <w:u w:val="single" w:color="auto"/>
                <w:highlight w:val="none"/>
              </w:rPr>
              <w:t>范围内无工业排水口，无规模养殖业，无生活源排水口，取水口上游沿岸以农业种植为主，区域农业种植多实现了科学配肥，农业面源污染较少</w:t>
            </w:r>
            <w:r>
              <w:rPr>
                <w:rFonts w:hint="eastAsia"/>
                <w:kern w:val="0"/>
                <w:sz w:val="24"/>
                <w:u w:val="single" w:color="auto"/>
                <w:lang w:eastAsia="zh-CN"/>
                <w:highlight w:val="none"/>
              </w:rPr>
              <w:t>，</w:t>
            </w:r>
            <w:r>
              <w:rPr>
                <w:rFonts w:hint="eastAsia"/>
                <w:sz w:val="24"/>
                <w:u w:val="single" w:color="auto"/>
                <w:highlight w:val="none"/>
              </w:rPr>
              <w:t>周围没有不利于本项目的污染因素存在，区域内无重大污染源，区域环境质量较好。项目</w:t>
            </w:r>
            <w:r>
              <w:rPr>
                <w:rFonts w:hint="eastAsia"/>
                <w:bCs/>
                <w:sz w:val="24"/>
                <w:u w:val="single" w:color="auto"/>
                <w:highlight w:val="none"/>
              </w:rPr>
              <w:t>无原有环境污染问题</w:t>
            </w:r>
            <w:r>
              <w:rPr>
                <w:rFonts w:hint="eastAsia"/>
                <w:sz w:val="24"/>
                <w:u w:val="single" w:color="auto"/>
                <w:highlight w:val="none"/>
              </w:rPr>
              <w:t>。</w:t>
            </w:r>
          </w:p>
        </w:tc>
      </w:tr>
    </w:tbl>
    <w:p>
      <w:pPr>
        <w:pStyle w:val="34"/>
        <w:jc w:val="center"/>
        <w:rPr>
          <w:rFonts w:ascii="Times New Roman" w:hAnsi="Times New Roman"/>
          <w:snapToGrid w:val="0"/>
          <w:sz w:val="36"/>
          <w:szCs w:val="36"/>
          <w:highlight w:val="none"/>
        </w:rPr>
        <w:sectPr>
          <w:pgSz w:w="11906" w:h="16838"/>
          <w:pgMar w:top="1701" w:right="1531" w:bottom="1701" w:left="1531" w:header="851" w:footer="851" w:gutter="0"/>
          <w:pgBorders>
            <w:top w:val="none" w:sz="0" w:space="0" w:color="auto"/>
            <w:left w:val="none" w:sz="0" w:space="0" w:color="auto"/>
            <w:bottom w:val="none" w:sz="0" w:space="0" w:color="auto"/>
            <w:right w:val="none" w:sz="0" w:space="0" w:color="auto"/>
          </w:pgBorders>
          <w:cols w:num="1" w:space="720"/>
          <w:docGrid w:linePitch="312" w:charSpace="0"/>
        </w:sectPr>
      </w:pPr>
    </w:p>
    <w:p>
      <w:pPr>
        <w:pStyle w:val="34"/>
        <w:spacing w:before="0" w:beforeAutospacing="0" w:after="0" w:afterAutospacing="0" w:line="360" w:lineRule="auto"/>
        <w:jc w:val="center"/>
        <w:outlineLvl w:val="0"/>
        <w:rPr>
          <w:rFonts w:ascii="Times New Roman" w:hAnsi="Times New Roman"/>
          <w:b/>
          <w:bCs/>
          <w:snapToGrid w:val="0"/>
          <w:sz w:val="30"/>
          <w:szCs w:val="30"/>
          <w:highlight w:val="none"/>
        </w:rPr>
      </w:pPr>
      <w:bookmarkStart w:id="14" w:name="_Toc23815"/>
      <w:r>
        <w:rPr>
          <w:rFonts w:ascii="Times New Roman" w:hAnsi="Times New Roman"/>
          <w:b/>
          <w:bCs/>
          <w:snapToGrid w:val="0"/>
          <w:sz w:val="30"/>
          <w:szCs w:val="30"/>
          <w:highlight w:val="none"/>
        </w:rPr>
        <w:t>三、区域环境质量现状、环境保护目标及评价标准</w:t>
      </w:r>
      <w:bookmarkEnd w:id="14"/>
    </w:p>
    <w:tbl>
      <w:tblPr>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785"/>
        <w:gridCol w:w="8040"/>
      </w:tblGrid>
      <w:tr>
        <w:trPr>
          <w:trHeight w:val="406"/>
        </w:trPr>
        <w:tc>
          <w:tcPr>
            <w:tcW w:w="800" w:type="dxa"/>
            <w:vAlign w:val="center"/>
          </w:tcPr>
          <w:p>
            <w:pPr>
              <w:adjustRightInd w:val="0"/>
              <w:snapToGrid w:val="0"/>
              <w:jc w:val="center"/>
              <w:rPr>
                <w:kern w:val="0"/>
                <w:sz w:val="24"/>
                <w:highlight w:val="none"/>
              </w:rPr>
            </w:pPr>
            <w:r>
              <w:rPr>
                <w:kern w:val="0"/>
                <w:sz w:val="24"/>
                <w:highlight w:val="none"/>
              </w:rPr>
              <w:t>区域</w:t>
            </w:r>
          </w:p>
          <w:p>
            <w:pPr>
              <w:adjustRightInd w:val="0"/>
              <w:snapToGrid w:val="0"/>
              <w:jc w:val="center"/>
              <w:rPr>
                <w:kern w:val="0"/>
                <w:sz w:val="24"/>
                <w:highlight w:val="none"/>
              </w:rPr>
            </w:pPr>
            <w:r>
              <w:rPr>
                <w:kern w:val="0"/>
                <w:sz w:val="24"/>
                <w:highlight w:val="none"/>
              </w:rPr>
              <w:t>环境</w:t>
            </w:r>
          </w:p>
          <w:p>
            <w:pPr>
              <w:adjustRightInd w:val="0"/>
              <w:snapToGrid w:val="0"/>
              <w:jc w:val="center"/>
              <w:rPr>
                <w:kern w:val="0"/>
                <w:sz w:val="24"/>
                <w:highlight w:val="none"/>
              </w:rPr>
            </w:pPr>
            <w:r>
              <w:rPr>
                <w:kern w:val="0"/>
                <w:sz w:val="24"/>
                <w:highlight w:val="none"/>
              </w:rPr>
              <w:t>质量</w:t>
            </w:r>
          </w:p>
          <w:p>
            <w:pPr>
              <w:adjustRightInd w:val="0"/>
              <w:snapToGrid w:val="0"/>
              <w:jc w:val="center"/>
              <w:rPr>
                <w:kern w:val="0"/>
                <w:szCs w:val="21"/>
                <w:highlight w:val="none"/>
              </w:rPr>
            </w:pPr>
            <w:r>
              <w:rPr>
                <w:kern w:val="0"/>
                <w:sz w:val="24"/>
                <w:highlight w:val="none"/>
              </w:rPr>
              <w:t>现状</w:t>
            </w:r>
          </w:p>
        </w:tc>
        <w:tc>
          <w:tcPr>
            <w:tcW w:w="8190" w:type="dxa"/>
            <w:vAlign w:val="center"/>
          </w:tcPr>
          <w:p>
            <w:pPr>
              <w:spacing w:line="360" w:lineRule="auto"/>
              <w:rPr>
                <w:b/>
                <w:bCs/>
                <w:sz w:val="24"/>
                <w:highlight w:val="none"/>
              </w:rPr>
            </w:pPr>
            <w:r>
              <w:rPr>
                <w:b/>
                <w:spacing w:val="4"/>
                <w:sz w:val="24"/>
                <w:highlight w:val="none"/>
              </w:rPr>
              <w:t>1、</w:t>
            </w:r>
            <w:r>
              <w:rPr>
                <w:b/>
                <w:bCs/>
                <w:sz w:val="24"/>
                <w:highlight w:val="none"/>
              </w:rPr>
              <w:t>环境空气质量现状调查与评价</w:t>
            </w:r>
          </w:p>
          <w:p>
            <w:pPr>
              <w:pStyle w:val="33"/>
              <w:adjustRightInd w:val="0"/>
              <w:snapToGrid w:val="0"/>
              <w:spacing w:after="0" w:line="360" w:lineRule="auto"/>
              <w:ind w:firstLineChars="200" w:firstLine="464"/>
              <w:jc w:val="left"/>
              <w:rPr>
                <w:color w:val="000000"/>
                <w:sz w:val="24"/>
                <w:highlight w:val="none"/>
              </w:rPr>
            </w:pPr>
            <w:r>
              <w:rPr>
                <w:rFonts w:hint="eastAsia"/>
                <w:spacing w:val="-4"/>
                <w:sz w:val="24"/>
                <w:highlight w:val="none"/>
              </w:rPr>
              <w:t>根据《建设项目环境影响报告表编制技术指南》(2021年版)，常规污染物引用与建设项目距离近的有效数据，包括近3年的规划环境影响评价的监测数据，国家、地方环境空气质量监测网数据或生态环境主管部门公开发布的质量数据等。本项目引用</w:t>
            </w:r>
            <w:r>
              <w:rPr>
                <w:rFonts w:hint="eastAsia"/>
                <w:spacing w:val="-4"/>
                <w:sz w:val="24"/>
                <w:lang w:val="en-US" w:eastAsia="zh-CN"/>
                <w:highlight w:val="none"/>
              </w:rPr>
              <w:t>常德市</w:t>
            </w:r>
            <w:r>
              <w:rPr>
                <w:rFonts w:hint="eastAsia"/>
                <w:spacing w:val="-4"/>
                <w:sz w:val="24"/>
                <w:highlight w:val="none"/>
              </w:rPr>
              <w:t>生态环境局发布的202</w:t>
            </w:r>
            <w:r>
              <w:rPr>
                <w:rFonts w:hint="eastAsia"/>
                <w:spacing w:val="-4"/>
                <w:sz w:val="24"/>
                <w:lang w:val="en-US" w:eastAsia="zh-CN"/>
                <w:highlight w:val="none"/>
              </w:rPr>
              <w:t>4</w:t>
            </w:r>
            <w:r>
              <w:rPr>
                <w:rFonts w:hint="eastAsia"/>
                <w:spacing w:val="-4"/>
                <w:sz w:val="24"/>
                <w:highlight w:val="none"/>
              </w:rPr>
              <w:t>年度</w:t>
            </w:r>
            <w:r>
              <w:rPr>
                <w:rFonts w:hint="eastAsia"/>
                <w:spacing w:val="-4"/>
                <w:sz w:val="24"/>
                <w:lang w:val="en-US" w:eastAsia="zh-CN"/>
                <w:highlight w:val="none"/>
              </w:rPr>
              <w:t>常德市澧县</w:t>
            </w:r>
            <w:r>
              <w:rPr>
                <w:rFonts w:hint="eastAsia"/>
                <w:spacing w:val="-4"/>
                <w:sz w:val="24"/>
                <w:highlight w:val="none"/>
              </w:rPr>
              <w:t>环境空气污染浓度均值统计数据，</w:t>
            </w:r>
            <w:r>
              <w:rPr>
                <w:sz w:val="24"/>
                <w:highlight w:val="none"/>
              </w:rPr>
              <w:t>统计数据如</w:t>
            </w:r>
            <w:r>
              <w:rPr>
                <w:rFonts w:hint="eastAsia"/>
                <w:sz w:val="24"/>
                <w:lang w:val="en-US" w:eastAsia="zh-CN"/>
                <w:highlight w:val="none"/>
              </w:rPr>
              <w:t>下</w:t>
            </w:r>
            <w:r>
              <w:rPr>
                <w:sz w:val="24"/>
                <w:highlight w:val="none"/>
              </w:rPr>
              <w:t>表所示</w:t>
            </w:r>
            <w:r>
              <w:rPr>
                <w:color w:val="000000"/>
                <w:sz w:val="24"/>
                <w:highlight w:val="none"/>
              </w:rPr>
              <w:t>。</w:t>
            </w:r>
          </w:p>
          <w:p>
            <w:pPr>
              <w:adjustRightInd w:val="0"/>
              <w:snapToGrid w:val="0"/>
              <w:jc w:val="center"/>
              <w:rPr>
                <w:b/>
                <w:bCs/>
                <w:color w:val="000000"/>
                <w:szCs w:val="21"/>
                <w:highlight w:val="none"/>
              </w:rPr>
            </w:pPr>
            <w:r>
              <w:rPr>
                <w:b/>
                <w:bCs/>
                <w:color w:val="000000"/>
                <w:szCs w:val="21"/>
                <w:highlight w:val="none"/>
              </w:rPr>
              <w:t>表</w:t>
            </w:r>
            <w:r>
              <w:rPr>
                <w:rFonts w:hint="eastAsia"/>
                <w:b/>
                <w:bCs/>
                <w:color w:val="000000"/>
                <w:szCs w:val="21"/>
                <w:highlight w:val="none"/>
              </w:rPr>
              <w:t>3-</w:t>
            </w:r>
            <w:r>
              <w:rPr>
                <w:rFonts w:hint="eastAsia"/>
                <w:b/>
                <w:bCs/>
                <w:color w:val="000000"/>
                <w:szCs w:val="21"/>
                <w:lang w:val="en-US" w:eastAsia="zh-CN"/>
                <w:highlight w:val="none"/>
              </w:rPr>
              <w:t>1</w:t>
            </w:r>
            <w:r>
              <w:rPr>
                <w:b/>
                <w:bCs/>
                <w:color w:val="000000"/>
                <w:szCs w:val="21"/>
                <w:highlight w:val="none"/>
              </w:rPr>
              <w:t xml:space="preserve">  </w:t>
            </w:r>
            <w:r>
              <w:rPr>
                <w:rFonts w:hint="eastAsia"/>
                <w:b/>
                <w:bCs/>
                <w:color w:val="000000"/>
                <w:szCs w:val="21"/>
                <w:lang w:val="en-US" w:eastAsia="zh-CN"/>
                <w:highlight w:val="none"/>
              </w:rPr>
              <w:t>澧县</w:t>
            </w:r>
            <w:r>
              <w:rPr>
                <w:b/>
                <w:bCs/>
                <w:color w:val="000000"/>
                <w:szCs w:val="21"/>
                <w:highlight w:val="none"/>
              </w:rPr>
              <w:t xml:space="preserve">环境空气质量现状监测结果 </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0" w:type="dxa"/>
                <w:bottom w:w="0" w:type="dxa"/>
                <w:right w:w="0" w:type="dxa"/>
              </w:tblCellMar>
              <w:tblLook w:val="0600" w:firstRow="0" w:lastRow="0" w:firstColumn="0" w:lastColumn="0" w:noHBand="1" w:noVBand="1"/>
            </w:tblPr>
            <w:tblGrid>
              <w:gridCol w:w="948"/>
              <w:gridCol w:w="2580"/>
              <w:gridCol w:w="1222"/>
              <w:gridCol w:w="957"/>
              <w:gridCol w:w="1084"/>
              <w:gridCol w:w="1028"/>
            </w:tblGrid>
            <w:tr>
              <w:trPr>
                <w:trHeight w:val="340"/>
              </w:trPr>
              <w:tc>
                <w:tcPr>
                  <w:tcW w:w="242" w:type="dxa"/>
                  <w:shd w:val="clear" w:color="auto" w:fill="auto"/>
                  <w:vAlign w:val="center"/>
                </w:tcPr>
                <w:p>
                  <w:pPr>
                    <w:pStyle w:val="47"/>
                    <w:spacing w:beforeLines="0" w:before="10" w:afterLines="0" w:after="10" w:line="240" w:lineRule="auto"/>
                    <w:ind w:left="0" w:right="0" w:firstLine="0"/>
                    <w:rPr>
                      <w:rFonts w:ascii="Times New Roman" w:eastAsia="宋体" w:hAnsi="Times New Roman"/>
                      <w:b/>
                      <w:bCs/>
                      <w:sz w:val="21"/>
                      <w:szCs w:val="21"/>
                      <w:highlight w:val="none"/>
                    </w:rPr>
                  </w:pPr>
                  <w:r>
                    <w:rPr>
                      <w:rFonts w:ascii="Times New Roman" w:eastAsia="宋体" w:hAnsi="Times New Roman"/>
                      <w:b/>
                      <w:bCs/>
                      <w:sz w:val="21"/>
                      <w:szCs w:val="21"/>
                      <w:highlight w:val="none"/>
                    </w:rPr>
                    <w:t>污染物</w:t>
                  </w:r>
                </w:p>
              </w:tc>
              <w:tc>
                <w:tcPr>
                  <w:tcW w:w="660" w:type="dxa"/>
                  <w:shd w:val="clear" w:color="auto" w:fill="auto"/>
                  <w:vAlign w:val="center"/>
                </w:tcPr>
                <w:p>
                  <w:pPr>
                    <w:pStyle w:val="47"/>
                    <w:spacing w:beforeLines="0" w:before="10" w:afterLines="0" w:after="10" w:line="240" w:lineRule="auto"/>
                    <w:ind w:left="0" w:right="0" w:firstLine="0"/>
                    <w:rPr>
                      <w:rFonts w:ascii="Times New Roman" w:eastAsia="宋体" w:hAnsi="Times New Roman"/>
                      <w:b/>
                      <w:bCs/>
                      <w:sz w:val="21"/>
                      <w:szCs w:val="21"/>
                      <w:highlight w:val="none"/>
                    </w:rPr>
                  </w:pPr>
                  <w:r>
                    <w:rPr>
                      <w:rFonts w:ascii="Times New Roman" w:eastAsia="宋体" w:hAnsi="Times New Roman"/>
                      <w:b/>
                      <w:bCs/>
                      <w:sz w:val="21"/>
                      <w:szCs w:val="21"/>
                      <w:highlight w:val="none"/>
                    </w:rPr>
                    <w:t>年评价指标</w:t>
                  </w:r>
                </w:p>
              </w:tc>
              <w:tc>
                <w:tcPr>
                  <w:tcW w:w="312" w:type="dxa"/>
                  <w:shd w:val="clear" w:color="auto" w:fill="auto"/>
                  <w:vAlign w:val="center"/>
                </w:tcPr>
                <w:p>
                  <w:pPr>
                    <w:pStyle w:val="47"/>
                    <w:spacing w:beforeLines="0" w:before="10" w:afterLines="0" w:after="10" w:line="240" w:lineRule="auto"/>
                    <w:ind w:left="0" w:right="0" w:firstLine="0"/>
                    <w:rPr>
                      <w:rFonts w:ascii="Times New Roman" w:eastAsia="宋体" w:hAnsi="Times New Roman"/>
                      <w:b/>
                      <w:bCs/>
                      <w:sz w:val="21"/>
                      <w:szCs w:val="21"/>
                      <w:highlight w:val="none"/>
                    </w:rPr>
                  </w:pPr>
                  <w:r>
                    <w:rPr>
                      <w:rFonts w:ascii="Times New Roman" w:eastAsia="宋体" w:hAnsi="Times New Roman"/>
                      <w:b/>
                      <w:bCs/>
                      <w:sz w:val="21"/>
                      <w:szCs w:val="21"/>
                      <w:highlight w:val="none"/>
                    </w:rPr>
                    <w:t>现状浓度（ug/m</w:t>
                  </w:r>
                  <w:r>
                    <w:rPr>
                      <w:rFonts w:ascii="Times New Roman" w:eastAsia="宋体" w:hAnsi="Times New Roman"/>
                      <w:b/>
                      <w:bCs/>
                      <w:sz w:val="21"/>
                      <w:szCs w:val="21"/>
                      <w:vertAlign w:val="superscript"/>
                      <w:highlight w:val="none"/>
                    </w:rPr>
                    <w:t>3</w:t>
                  </w:r>
                  <w:r>
                    <w:rPr>
                      <w:rFonts w:ascii="Times New Roman" w:eastAsia="宋体" w:hAnsi="Times New Roman"/>
                      <w:b/>
                      <w:bCs/>
                      <w:sz w:val="21"/>
                      <w:szCs w:val="21"/>
                      <w:highlight w:val="none"/>
                    </w:rPr>
                    <w:t>）</w:t>
                  </w:r>
                </w:p>
              </w:tc>
              <w:tc>
                <w:tcPr>
                  <w:tcW w:w="245" w:type="dxa"/>
                  <w:shd w:val="clear" w:color="auto" w:fill="auto"/>
                  <w:vAlign w:val="center"/>
                </w:tcPr>
                <w:p>
                  <w:pPr>
                    <w:pStyle w:val="47"/>
                    <w:spacing w:beforeLines="0" w:before="10" w:afterLines="0" w:after="10" w:line="240" w:lineRule="auto"/>
                    <w:ind w:left="0" w:right="0" w:firstLine="0"/>
                    <w:rPr>
                      <w:rFonts w:ascii="Times New Roman" w:eastAsia="宋体" w:hAnsi="Times New Roman"/>
                      <w:b/>
                      <w:bCs/>
                      <w:sz w:val="21"/>
                      <w:szCs w:val="21"/>
                      <w:highlight w:val="none"/>
                    </w:rPr>
                  </w:pPr>
                  <w:r>
                    <w:rPr>
                      <w:rFonts w:ascii="Times New Roman" w:eastAsia="宋体" w:hAnsi="Times New Roman"/>
                      <w:b/>
                      <w:bCs/>
                      <w:sz w:val="21"/>
                      <w:szCs w:val="21"/>
                      <w:highlight w:val="none"/>
                    </w:rPr>
                    <w:t>标准值（ug/m</w:t>
                  </w:r>
                  <w:r>
                    <w:rPr>
                      <w:rFonts w:ascii="Times New Roman" w:eastAsia="宋体" w:hAnsi="Times New Roman"/>
                      <w:b/>
                      <w:bCs/>
                      <w:sz w:val="21"/>
                      <w:szCs w:val="21"/>
                      <w:vertAlign w:val="superscript"/>
                      <w:highlight w:val="none"/>
                    </w:rPr>
                    <w:t>3</w:t>
                  </w:r>
                  <w:r>
                    <w:rPr>
                      <w:rFonts w:ascii="Times New Roman" w:eastAsia="宋体" w:hAnsi="Times New Roman"/>
                      <w:b/>
                      <w:bCs/>
                      <w:sz w:val="21"/>
                      <w:szCs w:val="21"/>
                      <w:highlight w:val="none"/>
                    </w:rPr>
                    <w:t>）</w:t>
                  </w:r>
                </w:p>
              </w:tc>
              <w:tc>
                <w:tcPr>
                  <w:tcW w:w="277" w:type="dxa"/>
                  <w:shd w:val="clear" w:color="auto" w:fill="auto"/>
                  <w:vAlign w:val="center"/>
                </w:tcPr>
                <w:p>
                  <w:pPr>
                    <w:pStyle w:val="47"/>
                    <w:spacing w:beforeLines="0" w:before="10" w:afterLines="0" w:after="10" w:line="240" w:lineRule="auto"/>
                    <w:ind w:left="0" w:right="0" w:firstLine="0"/>
                    <w:rPr>
                      <w:rFonts w:ascii="Times New Roman" w:eastAsia="宋体" w:hAnsi="Times New Roman"/>
                      <w:b/>
                      <w:bCs/>
                      <w:sz w:val="21"/>
                      <w:szCs w:val="21"/>
                      <w:highlight w:val="none"/>
                    </w:rPr>
                  </w:pPr>
                  <w:r>
                    <w:rPr>
                      <w:rFonts w:ascii="Times New Roman" w:eastAsia="宋体" w:hAnsi="Times New Roman"/>
                      <w:b/>
                      <w:bCs/>
                      <w:sz w:val="21"/>
                      <w:szCs w:val="21"/>
                      <w:highlight w:val="none"/>
                    </w:rPr>
                    <w:t>占标率%</w:t>
                  </w:r>
                </w:p>
              </w:tc>
              <w:tc>
                <w:tcPr>
                  <w:tcW w:w="263" w:type="dxa"/>
                  <w:shd w:val="clear" w:color="auto" w:fill="auto"/>
                  <w:vAlign w:val="center"/>
                </w:tcPr>
                <w:p>
                  <w:pPr>
                    <w:pStyle w:val="47"/>
                    <w:spacing w:beforeLines="0" w:before="10" w:afterLines="0" w:after="10" w:line="240" w:lineRule="auto"/>
                    <w:ind w:left="0" w:right="0" w:firstLine="0"/>
                    <w:rPr>
                      <w:rFonts w:ascii="Times New Roman" w:eastAsia="宋体" w:hAnsi="Times New Roman"/>
                      <w:b/>
                      <w:bCs/>
                      <w:sz w:val="21"/>
                      <w:szCs w:val="21"/>
                      <w:highlight w:val="none"/>
                    </w:rPr>
                  </w:pPr>
                  <w:r>
                    <w:rPr>
                      <w:rFonts w:ascii="Times New Roman" w:eastAsia="宋体" w:hAnsi="Times New Roman"/>
                      <w:b/>
                      <w:bCs/>
                      <w:sz w:val="21"/>
                      <w:szCs w:val="21"/>
                      <w:highlight w:val="none"/>
                    </w:rPr>
                    <w:t>达标情况</w:t>
                  </w:r>
                </w:p>
              </w:tc>
            </w:tr>
            <w:tr>
              <w:trPr>
                <w:trHeight w:val="340"/>
              </w:trPr>
              <w:tc>
                <w:tcPr>
                  <w:tcW w:w="24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SO</w:t>
                  </w:r>
                  <w:r>
                    <w:rPr>
                      <w:rFonts w:ascii="Times New Roman" w:eastAsia="宋体" w:hAnsi="Times New Roman"/>
                      <w:sz w:val="21"/>
                      <w:szCs w:val="21"/>
                      <w:vertAlign w:val="subscript"/>
                      <w:highlight w:val="none"/>
                    </w:rPr>
                    <w:t>2</w:t>
                  </w:r>
                </w:p>
              </w:tc>
              <w:tc>
                <w:tcPr>
                  <w:tcW w:w="660"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年平均质量浓度</w:t>
                  </w:r>
                </w:p>
              </w:tc>
              <w:tc>
                <w:tcPr>
                  <w:tcW w:w="312" w:type="dxa"/>
                  <w:shd w:val="clear" w:color="auto" w:fill="auto"/>
                  <w:vAlign w:val="center"/>
                </w:tcPr>
                <w:p>
                  <w:pPr>
                    <w:pStyle w:val="47"/>
                    <w:spacing w:beforeLines="0" w:before="10" w:afterLines="0" w:after="10" w:line="240" w:lineRule="auto"/>
                    <w:ind w:left="0" w:right="0" w:firstLine="0"/>
                    <w:rPr>
                      <w:rFonts w:ascii="Times New Roman" w:eastAsia="宋体" w:hAnsi="Times New Roman" w:hint="eastAsia"/>
                      <w:sz w:val="21"/>
                      <w:szCs w:val="21"/>
                      <w:lang w:eastAsia="zh-CN"/>
                      <w:highlight w:val="none"/>
                    </w:rPr>
                  </w:pPr>
                  <w:r>
                    <w:rPr>
                      <w:rFonts w:ascii="Times New Roman" w:eastAsia="宋体" w:hAnsi="Times New Roman" w:hint="eastAsia"/>
                      <w:sz w:val="21"/>
                      <w:szCs w:val="21"/>
                      <w:lang w:val="en-US" w:eastAsia="zh-CN"/>
                      <w:highlight w:val="none"/>
                    </w:rPr>
                    <w:t>5</w:t>
                  </w:r>
                </w:p>
              </w:tc>
              <w:tc>
                <w:tcPr>
                  <w:tcW w:w="245"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60</w:t>
                  </w:r>
                </w:p>
              </w:tc>
              <w:tc>
                <w:tcPr>
                  <w:tcW w:w="277"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lang w:val="en-US" w:eastAsia="zh-CN"/>
                      <w:highlight w:val="none"/>
                    </w:rPr>
                  </w:pPr>
                  <w:r>
                    <w:rPr>
                      <w:rFonts w:ascii="Times New Roman" w:eastAsia="宋体" w:hAnsi="Times New Roman" w:hint="eastAsia"/>
                      <w:sz w:val="21"/>
                      <w:szCs w:val="21"/>
                      <w:lang w:val="en-US" w:eastAsia="zh-CN"/>
                      <w:highlight w:val="none"/>
                    </w:rPr>
                    <w:t>8.33</w:t>
                  </w:r>
                </w:p>
              </w:tc>
              <w:tc>
                <w:tcPr>
                  <w:tcW w:w="263"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达标</w:t>
                  </w:r>
                </w:p>
              </w:tc>
            </w:tr>
            <w:tr>
              <w:trPr>
                <w:trHeight w:val="340"/>
              </w:trPr>
              <w:tc>
                <w:tcPr>
                  <w:tcW w:w="24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NO</w:t>
                  </w:r>
                  <w:r>
                    <w:rPr>
                      <w:rFonts w:ascii="Times New Roman" w:eastAsia="宋体" w:hAnsi="Times New Roman"/>
                      <w:sz w:val="21"/>
                      <w:szCs w:val="21"/>
                      <w:vertAlign w:val="subscript"/>
                      <w:highlight w:val="none"/>
                    </w:rPr>
                    <w:t>2</w:t>
                  </w:r>
                </w:p>
              </w:tc>
              <w:tc>
                <w:tcPr>
                  <w:tcW w:w="660"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年平均质量浓度</w:t>
                  </w:r>
                </w:p>
              </w:tc>
              <w:tc>
                <w:tcPr>
                  <w:tcW w:w="31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lang w:val="en-US" w:eastAsia="zh-CN"/>
                      <w:highlight w:val="none"/>
                    </w:rPr>
                  </w:pPr>
                  <w:r>
                    <w:rPr>
                      <w:rFonts w:ascii="Times New Roman" w:eastAsia="宋体" w:hAnsi="Times New Roman" w:hint="eastAsia"/>
                      <w:sz w:val="21"/>
                      <w:szCs w:val="21"/>
                      <w:lang w:val="en-US" w:eastAsia="zh-CN"/>
                      <w:highlight w:val="none"/>
                    </w:rPr>
                    <w:t>14</w:t>
                  </w:r>
                </w:p>
              </w:tc>
              <w:tc>
                <w:tcPr>
                  <w:tcW w:w="245"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40</w:t>
                  </w:r>
                </w:p>
              </w:tc>
              <w:tc>
                <w:tcPr>
                  <w:tcW w:w="277"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lang w:val="en-US" w:eastAsia="zh-CN"/>
                      <w:highlight w:val="none"/>
                    </w:rPr>
                  </w:pPr>
                  <w:r>
                    <w:rPr>
                      <w:rFonts w:ascii="Times New Roman" w:eastAsia="宋体" w:hAnsi="Times New Roman" w:hint="eastAsia"/>
                      <w:sz w:val="21"/>
                      <w:szCs w:val="21"/>
                      <w:lang w:val="en-US" w:eastAsia="zh-CN"/>
                      <w:highlight w:val="none"/>
                    </w:rPr>
                    <w:t>35</w:t>
                  </w:r>
                </w:p>
              </w:tc>
              <w:tc>
                <w:tcPr>
                  <w:tcW w:w="263"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达标</w:t>
                  </w:r>
                </w:p>
              </w:tc>
            </w:tr>
            <w:tr>
              <w:trPr>
                <w:trHeight w:val="340"/>
              </w:trPr>
              <w:tc>
                <w:tcPr>
                  <w:tcW w:w="24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CO</w:t>
                  </w:r>
                </w:p>
              </w:tc>
              <w:tc>
                <w:tcPr>
                  <w:tcW w:w="660"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百分位数日平均质量浓度</w:t>
                  </w:r>
                </w:p>
              </w:tc>
              <w:tc>
                <w:tcPr>
                  <w:tcW w:w="31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1</w:t>
                  </w:r>
                  <w:r>
                    <w:rPr>
                      <w:rFonts w:ascii="Times New Roman" w:eastAsia="宋体" w:hAnsi="Times New Roman" w:hint="eastAsia"/>
                      <w:sz w:val="21"/>
                      <w:szCs w:val="21"/>
                      <w:lang w:val="en-US" w:eastAsia="zh-CN"/>
                      <w:highlight w:val="none"/>
                    </w:rPr>
                    <w:t>0</w:t>
                  </w:r>
                  <w:r>
                    <w:rPr>
                      <w:rFonts w:ascii="Times New Roman" w:eastAsia="宋体" w:hAnsi="Times New Roman" w:hint="eastAsia"/>
                      <w:sz w:val="21"/>
                      <w:szCs w:val="21"/>
                      <w:highlight w:val="none"/>
                    </w:rPr>
                    <w:t>00</w:t>
                  </w:r>
                </w:p>
              </w:tc>
              <w:tc>
                <w:tcPr>
                  <w:tcW w:w="245"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4000</w:t>
                  </w:r>
                </w:p>
              </w:tc>
              <w:tc>
                <w:tcPr>
                  <w:tcW w:w="277"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lang w:val="en-US" w:eastAsia="zh-CN"/>
                      <w:highlight w:val="none"/>
                    </w:rPr>
                  </w:pPr>
                  <w:r>
                    <w:rPr>
                      <w:rFonts w:ascii="Times New Roman" w:eastAsia="宋体" w:hAnsi="Times New Roman" w:hint="eastAsia"/>
                      <w:sz w:val="21"/>
                      <w:szCs w:val="21"/>
                      <w:lang w:val="en-US" w:eastAsia="zh-CN"/>
                      <w:highlight w:val="none"/>
                    </w:rPr>
                    <w:t>25</w:t>
                  </w:r>
                </w:p>
              </w:tc>
              <w:tc>
                <w:tcPr>
                  <w:tcW w:w="263"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达标</w:t>
                  </w:r>
                </w:p>
              </w:tc>
            </w:tr>
            <w:tr>
              <w:trPr>
                <w:trHeight w:val="340"/>
              </w:trPr>
              <w:tc>
                <w:tcPr>
                  <w:tcW w:w="24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O</w:t>
                  </w:r>
                  <w:r>
                    <w:rPr>
                      <w:rFonts w:ascii="Times New Roman" w:eastAsia="宋体" w:hAnsi="Times New Roman"/>
                      <w:sz w:val="21"/>
                      <w:szCs w:val="21"/>
                      <w:vertAlign w:val="subscript"/>
                      <w:highlight w:val="none"/>
                    </w:rPr>
                    <w:t>3</w:t>
                  </w:r>
                </w:p>
              </w:tc>
              <w:tc>
                <w:tcPr>
                  <w:tcW w:w="660"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百分位数8h平均质量浓度</w:t>
                  </w:r>
                </w:p>
              </w:tc>
              <w:tc>
                <w:tcPr>
                  <w:tcW w:w="31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132</w:t>
                  </w:r>
                </w:p>
              </w:tc>
              <w:tc>
                <w:tcPr>
                  <w:tcW w:w="245"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160</w:t>
                  </w:r>
                </w:p>
              </w:tc>
              <w:tc>
                <w:tcPr>
                  <w:tcW w:w="277"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sz w:val="21"/>
                      <w:szCs w:val="21"/>
                      <w:highlight w:val="none"/>
                    </w:rPr>
                    <w:t>82.5</w:t>
                  </w:r>
                </w:p>
              </w:tc>
              <w:tc>
                <w:tcPr>
                  <w:tcW w:w="263"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达标</w:t>
                  </w:r>
                </w:p>
              </w:tc>
            </w:tr>
            <w:tr>
              <w:trPr>
                <w:trHeight w:val="340"/>
              </w:trPr>
              <w:tc>
                <w:tcPr>
                  <w:tcW w:w="24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PM</w:t>
                  </w:r>
                  <w:r>
                    <w:rPr>
                      <w:rFonts w:ascii="Times New Roman" w:eastAsia="宋体" w:hAnsi="Times New Roman"/>
                      <w:sz w:val="21"/>
                      <w:szCs w:val="21"/>
                      <w:vertAlign w:val="subscript"/>
                      <w:highlight w:val="none"/>
                    </w:rPr>
                    <w:t>10</w:t>
                  </w:r>
                </w:p>
              </w:tc>
              <w:tc>
                <w:tcPr>
                  <w:tcW w:w="660"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年平均质量浓度</w:t>
                  </w:r>
                </w:p>
              </w:tc>
              <w:tc>
                <w:tcPr>
                  <w:tcW w:w="31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lang w:val="en-US" w:eastAsia="zh-CN"/>
                      <w:highlight w:val="none"/>
                    </w:rPr>
                  </w:pPr>
                  <w:r>
                    <w:rPr>
                      <w:rFonts w:ascii="Times New Roman" w:eastAsia="宋体" w:hAnsi="Times New Roman" w:hint="eastAsia"/>
                      <w:sz w:val="21"/>
                      <w:szCs w:val="21"/>
                      <w:lang w:val="en-US" w:eastAsia="zh-CN"/>
                      <w:highlight w:val="none"/>
                    </w:rPr>
                    <w:t>56</w:t>
                  </w:r>
                </w:p>
              </w:tc>
              <w:tc>
                <w:tcPr>
                  <w:tcW w:w="245"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u w:val="single"/>
                      <w:highlight w:val="none"/>
                    </w:rPr>
                  </w:pPr>
                  <w:r>
                    <w:rPr>
                      <w:rFonts w:ascii="Times New Roman" w:eastAsia="宋体" w:hAnsi="Times New Roman" w:hint="eastAsia"/>
                      <w:sz w:val="21"/>
                      <w:szCs w:val="21"/>
                      <w:u w:val="single"/>
                      <w:lang w:val="en-US" w:eastAsia="zh-CN"/>
                      <w:highlight w:val="none"/>
                    </w:rPr>
                    <w:t>6</w:t>
                  </w:r>
                  <w:r>
                    <w:rPr>
                      <w:rFonts w:ascii="Times New Roman" w:eastAsia="宋体" w:hAnsi="Times New Roman"/>
                      <w:sz w:val="21"/>
                      <w:szCs w:val="21"/>
                      <w:u w:val="single"/>
                      <w:highlight w:val="none"/>
                    </w:rPr>
                    <w:t>0</w:t>
                  </w:r>
                </w:p>
              </w:tc>
              <w:tc>
                <w:tcPr>
                  <w:tcW w:w="277"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u w:val="single"/>
                      <w:lang w:val="en-US" w:eastAsia="zh-CN"/>
                      <w:highlight w:val="none"/>
                    </w:rPr>
                  </w:pPr>
                  <w:r>
                    <w:rPr>
                      <w:rFonts w:ascii="Times New Roman" w:eastAsia="宋体" w:hAnsi="Times New Roman" w:hint="eastAsia"/>
                      <w:sz w:val="21"/>
                      <w:szCs w:val="21"/>
                      <w:u w:val="single"/>
                      <w:lang w:val="en-US" w:eastAsia="zh-CN"/>
                      <w:highlight w:val="none"/>
                    </w:rPr>
                    <w:t>93.33</w:t>
                  </w:r>
                </w:p>
              </w:tc>
              <w:tc>
                <w:tcPr>
                  <w:tcW w:w="263"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u w:val="single"/>
                      <w:highlight w:val="none"/>
                    </w:rPr>
                  </w:pPr>
                  <w:r>
                    <w:rPr>
                      <w:rFonts w:ascii="Times New Roman" w:eastAsia="宋体" w:hAnsi="Times New Roman"/>
                      <w:sz w:val="21"/>
                      <w:szCs w:val="21"/>
                      <w:u w:val="single"/>
                      <w:highlight w:val="none"/>
                    </w:rPr>
                    <w:t>达标</w:t>
                  </w:r>
                </w:p>
              </w:tc>
            </w:tr>
            <w:tr>
              <w:trPr>
                <w:trHeight w:val="340"/>
              </w:trPr>
              <w:tc>
                <w:tcPr>
                  <w:tcW w:w="24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PM</w:t>
                  </w:r>
                  <w:r>
                    <w:rPr>
                      <w:rFonts w:ascii="Times New Roman" w:eastAsia="宋体" w:hAnsi="Times New Roman"/>
                      <w:sz w:val="21"/>
                      <w:szCs w:val="21"/>
                      <w:vertAlign w:val="subscript"/>
                      <w:highlight w:val="none"/>
                    </w:rPr>
                    <w:t>2.5</w:t>
                  </w:r>
                </w:p>
              </w:tc>
              <w:tc>
                <w:tcPr>
                  <w:tcW w:w="660"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sz w:val="21"/>
                      <w:szCs w:val="21"/>
                      <w:highlight w:val="none"/>
                    </w:rPr>
                    <w:t>年平均质量浓度</w:t>
                  </w:r>
                </w:p>
              </w:tc>
              <w:tc>
                <w:tcPr>
                  <w:tcW w:w="312"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lang w:val="en-US" w:eastAsia="zh-CN"/>
                      <w:highlight w:val="none"/>
                    </w:rPr>
                  </w:pPr>
                  <w:r>
                    <w:rPr>
                      <w:rFonts w:ascii="Times New Roman" w:eastAsia="宋体" w:hAnsi="Times New Roman" w:hint="eastAsia"/>
                      <w:sz w:val="21"/>
                      <w:szCs w:val="21"/>
                      <w:highlight w:val="none"/>
                    </w:rPr>
                    <w:t>3</w:t>
                  </w:r>
                  <w:r>
                    <w:rPr>
                      <w:rFonts w:ascii="Times New Roman" w:eastAsia="宋体" w:hAnsi="Times New Roman" w:hint="eastAsia"/>
                      <w:sz w:val="21"/>
                      <w:szCs w:val="21"/>
                      <w:lang w:val="en-US" w:eastAsia="zh-CN"/>
                      <w:highlight w:val="none"/>
                    </w:rPr>
                    <w:t>4.2</w:t>
                  </w:r>
                </w:p>
              </w:tc>
              <w:tc>
                <w:tcPr>
                  <w:tcW w:w="245" w:type="dxa"/>
                  <w:shd w:val="clear" w:color="auto" w:fill="auto"/>
                  <w:vAlign w:val="center"/>
                </w:tcPr>
                <w:p>
                  <w:pPr>
                    <w:pStyle w:val="47"/>
                    <w:spacing w:beforeLines="0" w:before="10" w:afterLines="0" w:after="10" w:line="240" w:lineRule="auto"/>
                    <w:ind w:left="0" w:right="0" w:firstLine="0"/>
                    <w:rPr>
                      <w:rFonts w:ascii="Times New Roman" w:eastAsia="宋体" w:hAnsi="Times New Roman" w:hint="eastAsia"/>
                      <w:sz w:val="21"/>
                      <w:szCs w:val="21"/>
                      <w:u w:val="single"/>
                      <w:lang w:eastAsia="zh-CN"/>
                      <w:highlight w:val="none"/>
                    </w:rPr>
                  </w:pPr>
                  <w:r>
                    <w:rPr>
                      <w:rFonts w:ascii="Times New Roman" w:eastAsia="宋体" w:hAnsi="Times New Roman"/>
                      <w:sz w:val="21"/>
                      <w:szCs w:val="21"/>
                      <w:u w:val="single"/>
                      <w:highlight w:val="none"/>
                    </w:rPr>
                    <w:t>3</w:t>
                  </w:r>
                  <w:r>
                    <w:rPr>
                      <w:rFonts w:ascii="Times New Roman" w:eastAsia="宋体" w:hAnsi="Times New Roman" w:hint="eastAsia"/>
                      <w:sz w:val="21"/>
                      <w:szCs w:val="21"/>
                      <w:u w:val="single"/>
                      <w:lang w:val="en-US" w:eastAsia="zh-CN"/>
                      <w:highlight w:val="none"/>
                    </w:rPr>
                    <w:t>0</w:t>
                  </w:r>
                </w:p>
              </w:tc>
              <w:tc>
                <w:tcPr>
                  <w:tcW w:w="277"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u w:val="single"/>
                      <w:lang w:val="en-US" w:eastAsia="zh-CN"/>
                      <w:highlight w:val="none"/>
                    </w:rPr>
                  </w:pPr>
                  <w:r>
                    <w:rPr>
                      <w:rFonts w:ascii="Times New Roman" w:eastAsia="宋体" w:hAnsi="Times New Roman" w:hint="eastAsia"/>
                      <w:sz w:val="21"/>
                      <w:szCs w:val="21"/>
                      <w:u w:val="single"/>
                      <w:lang w:val="en-US" w:eastAsia="zh-CN"/>
                      <w:highlight w:val="none"/>
                    </w:rPr>
                    <w:t>114</w:t>
                  </w:r>
                </w:p>
              </w:tc>
              <w:tc>
                <w:tcPr>
                  <w:tcW w:w="263" w:type="dxa"/>
                  <w:shd w:val="clear" w:color="auto" w:fill="auto"/>
                  <w:vAlign w:val="center"/>
                </w:tcPr>
                <w:p>
                  <w:pPr>
                    <w:pStyle w:val="47"/>
                    <w:spacing w:beforeLines="0" w:before="10" w:afterLines="0" w:after="10" w:line="240" w:lineRule="auto"/>
                    <w:ind w:left="0" w:right="0" w:firstLine="0"/>
                    <w:rPr>
                      <w:rFonts w:ascii="Times New Roman" w:eastAsia="宋体" w:hAnsi="Times New Roman"/>
                      <w:sz w:val="21"/>
                      <w:szCs w:val="21"/>
                      <w:u w:val="single"/>
                      <w:highlight w:val="none"/>
                    </w:rPr>
                  </w:pPr>
                  <w:r>
                    <w:rPr>
                      <w:rFonts w:ascii="Times New Roman" w:eastAsia="宋体" w:hAnsi="Times New Roman" w:hint="eastAsia"/>
                      <w:sz w:val="21"/>
                      <w:szCs w:val="21"/>
                      <w:u w:val="single"/>
                      <w:lang w:val="en-US" w:eastAsia="zh-CN"/>
                      <w:highlight w:val="none"/>
                    </w:rPr>
                    <w:t>不</w:t>
                  </w:r>
                  <w:r>
                    <w:rPr>
                      <w:rFonts w:ascii="Times New Roman" w:eastAsia="宋体" w:hAnsi="Times New Roman"/>
                      <w:sz w:val="21"/>
                      <w:szCs w:val="21"/>
                      <w:u w:val="single"/>
                      <w:highlight w:val="none"/>
                    </w:rPr>
                    <w:t>达标</w:t>
                  </w:r>
                </w:p>
              </w:tc>
            </w:tr>
          </w:tbl>
          <w:p>
            <w:pPr>
              <w:spacing w:line="360" w:lineRule="auto"/>
              <w:ind w:firstLineChars="200" w:firstLine="480"/>
              <w:rPr>
                <w:color w:val="000000"/>
                <w:sz w:val="24"/>
                <w:u w:val="single"/>
                <w:highlight w:val="none"/>
              </w:rPr>
            </w:pPr>
            <w:r>
              <w:rPr>
                <w:rFonts w:ascii="Times New Roman" w:eastAsia="宋体" w:cs="Times New Roman" w:hAnsi="Times New Roman"/>
                <w:color w:val="auto"/>
                <w:kern w:val="0"/>
                <w:sz w:val="24"/>
                <w:szCs w:val="24"/>
                <w:u w:val="none"/>
                <w:lang w:val="en-US" w:eastAsia="zh-CN"/>
                <w:highlight w:val="none"/>
              </w:rPr>
              <w:t>根据常规监测可知，</w:t>
            </w:r>
            <w:r>
              <w:rPr>
                <w:rFonts w:ascii="Times New Roman" w:eastAsia="宋体" w:cs="Times New Roman" w:hAnsi="Times New Roman"/>
                <w:color w:val="auto"/>
                <w:kern w:val="0"/>
                <w:sz w:val="24"/>
                <w:szCs w:val="24"/>
                <w:u w:val="single"/>
                <w:lang w:val="en-US" w:eastAsia="zh-CN"/>
                <w:highlight w:val="none"/>
              </w:rPr>
              <w:t>本项目所在区域</w:t>
            </w:r>
            <w:r>
              <w:rPr>
                <w:rFonts w:eastAsia="宋体" w:cs="Times New Roman" w:hint="eastAsia"/>
                <w:color w:val="auto"/>
                <w:kern w:val="0"/>
                <w:sz w:val="24"/>
                <w:szCs w:val="24"/>
                <w:u w:val="single"/>
                <w:lang w:val="en-US" w:eastAsia="zh-CN"/>
                <w:highlight w:val="none"/>
              </w:rPr>
              <w:t>澧县</w:t>
            </w:r>
            <w:r>
              <w:rPr>
                <w:rFonts w:ascii="Times New Roman" w:eastAsia="宋体" w:cs="Times New Roman" w:hAnsi="Times New Roman"/>
                <w:color w:val="auto"/>
                <w:kern w:val="0"/>
                <w:sz w:val="24"/>
                <w:szCs w:val="24"/>
                <w:u w:val="single"/>
                <w:lang w:val="en-US" w:eastAsia="zh-CN"/>
                <w:highlight w:val="none"/>
              </w:rPr>
              <w:t>SO</w:t>
            </w:r>
            <w:r>
              <w:rPr>
                <w:rFonts w:ascii="Times New Roman" w:eastAsia="宋体" w:cs="Times New Roman" w:hAnsi="Times New Roman"/>
                <w:color w:val="auto"/>
                <w:kern w:val="0"/>
                <w:sz w:val="24"/>
                <w:szCs w:val="24"/>
                <w:u w:val="single"/>
                <w:vertAlign w:val="subscript"/>
                <w:lang w:val="en-US" w:eastAsia="zh-CN"/>
                <w:highlight w:val="none"/>
              </w:rPr>
              <w:t>2</w:t>
            </w:r>
            <w:r>
              <w:rPr>
                <w:rFonts w:ascii="Times New Roman" w:eastAsia="宋体" w:cs="Times New Roman" w:hAnsi="Times New Roman"/>
                <w:color w:val="auto"/>
                <w:kern w:val="0"/>
                <w:sz w:val="24"/>
                <w:szCs w:val="24"/>
                <w:u w:val="single"/>
                <w:lang w:val="en-US" w:eastAsia="zh-CN"/>
                <w:highlight w:val="none"/>
              </w:rPr>
              <w:t>、NO</w:t>
            </w:r>
            <w:r>
              <w:rPr>
                <w:rFonts w:ascii="Times New Roman" w:eastAsia="宋体" w:cs="Times New Roman" w:hAnsi="Times New Roman"/>
                <w:color w:val="auto"/>
                <w:kern w:val="0"/>
                <w:sz w:val="24"/>
                <w:szCs w:val="24"/>
                <w:u w:val="single"/>
                <w:vertAlign w:val="subscript"/>
                <w:lang w:val="en-US" w:eastAsia="zh-CN"/>
                <w:highlight w:val="none"/>
              </w:rPr>
              <w:t>2</w:t>
            </w:r>
            <w:r>
              <w:rPr>
                <w:rFonts w:ascii="Times New Roman" w:eastAsia="宋体" w:cs="Times New Roman" w:hAnsi="Times New Roman"/>
                <w:color w:val="auto"/>
                <w:kern w:val="0"/>
                <w:sz w:val="24"/>
                <w:szCs w:val="24"/>
                <w:u w:val="single"/>
                <w:lang w:val="en-US" w:eastAsia="zh-CN"/>
                <w:highlight w:val="none"/>
              </w:rPr>
              <w:t>、PM</w:t>
            </w:r>
            <w:r>
              <w:rPr>
                <w:rFonts w:ascii="Times New Roman" w:eastAsia="宋体" w:cs="Times New Roman" w:hAnsi="Times New Roman"/>
                <w:color w:val="auto"/>
                <w:kern w:val="0"/>
                <w:sz w:val="24"/>
                <w:szCs w:val="24"/>
                <w:u w:val="single"/>
                <w:vertAlign w:val="subscript"/>
                <w:lang w:val="en-US" w:eastAsia="zh-CN"/>
                <w:highlight w:val="none"/>
              </w:rPr>
              <w:t>10</w:t>
            </w:r>
            <w:r>
              <w:rPr>
                <w:rFonts w:ascii="Times New Roman" w:eastAsia="宋体" w:cs="Times New Roman" w:hAnsi="Times New Roman"/>
                <w:color w:val="auto"/>
                <w:kern w:val="0"/>
                <w:sz w:val="24"/>
                <w:szCs w:val="24"/>
                <w:u w:val="single"/>
                <w:lang w:val="en-US" w:eastAsia="zh-CN"/>
                <w:highlight w:val="none"/>
              </w:rPr>
              <w:t>、CO和臭氧6项基本污染物均满足《环境空气质量标准》(GB3095-20</w:t>
            </w:r>
            <w:r>
              <w:rPr>
                <w:rFonts w:cs="Times New Roman" w:hint="eastAsia"/>
                <w:color w:val="auto"/>
                <w:kern w:val="0"/>
                <w:sz w:val="24"/>
                <w:szCs w:val="24"/>
                <w:u w:val="single"/>
                <w:lang w:val="en-US" w:eastAsia="zh-CN"/>
                <w:highlight w:val="none"/>
              </w:rPr>
              <w:t>26</w:t>
            </w:r>
            <w:r>
              <w:rPr>
                <w:rFonts w:ascii="Times New Roman" w:eastAsia="宋体" w:cs="Times New Roman" w:hAnsi="Times New Roman"/>
                <w:color w:val="auto"/>
                <w:kern w:val="0"/>
                <w:sz w:val="24"/>
                <w:szCs w:val="24"/>
                <w:u w:val="single"/>
                <w:lang w:val="en-US" w:eastAsia="zh-CN"/>
                <w:highlight w:val="none"/>
              </w:rPr>
              <w:t>)中标准</w:t>
            </w:r>
            <w:r>
              <w:rPr>
                <w:rFonts w:cs="Times New Roman" w:hint="eastAsia"/>
                <w:color w:val="auto"/>
                <w:kern w:val="0"/>
                <w:sz w:val="24"/>
                <w:szCs w:val="24"/>
                <w:u w:val="single"/>
                <w:lang w:val="en-US" w:eastAsia="zh-CN"/>
                <w:highlight w:val="none"/>
              </w:rPr>
              <w:t>，</w:t>
            </w:r>
            <w:r>
              <w:rPr>
                <w:rFonts w:ascii="Times New Roman" w:eastAsia="宋体" w:hAnsi="Times New Roman" w:hint="eastAsia"/>
                <w:spacing w:val="-4"/>
                <w:sz w:val="24"/>
                <w:u w:val="single"/>
                <w:highlight w:val="none"/>
              </w:rPr>
              <w:t>PM</w:t>
            </w:r>
            <w:r>
              <w:rPr>
                <w:rFonts w:ascii="Times New Roman" w:eastAsia="宋体" w:hAnsi="Times New Roman" w:hint="eastAsia"/>
                <w:spacing w:val="-4"/>
                <w:sz w:val="24"/>
                <w:u w:val="single"/>
                <w:vertAlign w:val="subscript"/>
                <w:highlight w:val="none"/>
              </w:rPr>
              <w:t>2.5</w:t>
            </w:r>
            <w:r>
              <w:rPr>
                <w:rFonts w:ascii="Times New Roman" w:eastAsia="宋体" w:hAnsi="Times New Roman" w:hint="eastAsia"/>
                <w:sz w:val="24"/>
                <w:u w:val="single"/>
                <w:highlight w:val="none"/>
              </w:rPr>
              <w:t>不</w:t>
            </w:r>
            <w:r>
              <w:rPr>
                <w:rFonts w:ascii="Times New Roman" w:eastAsia="宋体" w:cs="Times New Roman" w:hAnsi="Times New Roman"/>
                <w:color w:val="auto"/>
                <w:kern w:val="0"/>
                <w:sz w:val="24"/>
                <w:szCs w:val="24"/>
                <w:u w:val="single"/>
                <w:lang w:val="en-US" w:eastAsia="zh-CN"/>
                <w:highlight w:val="none"/>
              </w:rPr>
              <w:t>满足《环境空气质量标准》(GB3095-20</w:t>
            </w:r>
            <w:r>
              <w:rPr>
                <w:rFonts w:cs="Times New Roman" w:hint="eastAsia"/>
                <w:color w:val="auto"/>
                <w:kern w:val="0"/>
                <w:sz w:val="24"/>
                <w:szCs w:val="24"/>
                <w:u w:val="single"/>
                <w:lang w:val="en-US" w:eastAsia="zh-CN"/>
                <w:highlight w:val="none"/>
              </w:rPr>
              <w:t>26</w:t>
            </w:r>
            <w:r>
              <w:rPr>
                <w:rFonts w:ascii="Times New Roman" w:eastAsia="宋体" w:cs="Times New Roman" w:hAnsi="Times New Roman"/>
                <w:color w:val="auto"/>
                <w:kern w:val="0"/>
                <w:sz w:val="24"/>
                <w:szCs w:val="24"/>
                <w:u w:val="single"/>
                <w:lang w:val="en-US" w:eastAsia="zh-CN"/>
                <w:highlight w:val="none"/>
              </w:rPr>
              <w:t>)中标准</w:t>
            </w:r>
            <w:r>
              <w:rPr>
                <w:rFonts w:cs="Times New Roman" w:hint="eastAsia"/>
                <w:color w:val="auto"/>
                <w:kern w:val="0"/>
                <w:sz w:val="24"/>
                <w:szCs w:val="24"/>
                <w:u w:val="single"/>
                <w:lang w:val="en-US" w:eastAsia="zh-CN"/>
                <w:highlight w:val="none"/>
              </w:rPr>
              <w:t>。</w:t>
            </w:r>
            <w:r>
              <w:rPr>
                <w:rFonts w:ascii="Times New Roman" w:eastAsia="宋体" w:cs="Times New Roman" w:hAnsi="Times New Roman"/>
                <w:color w:val="auto"/>
                <w:kern w:val="0"/>
                <w:sz w:val="24"/>
                <w:szCs w:val="24"/>
                <w:u w:val="single"/>
                <w:lang w:val="en-US" w:eastAsia="zh-CN"/>
                <w:highlight w:val="none"/>
              </w:rPr>
              <w:t>因此，本项目空气质量为不达标区。</w:t>
            </w:r>
          </w:p>
          <w:p>
            <w:pPr>
              <w:spacing w:line="360" w:lineRule="auto"/>
              <w:rPr>
                <w:b/>
                <w:spacing w:val="4"/>
                <w:sz w:val="24"/>
                <w:highlight w:val="none"/>
              </w:rPr>
            </w:pPr>
            <w:r>
              <w:rPr>
                <w:b/>
                <w:spacing w:val="4"/>
                <w:sz w:val="24"/>
                <w:highlight w:val="none"/>
              </w:rPr>
              <w:t>2、水环境质量现状评价</w:t>
            </w:r>
          </w:p>
          <w:p>
            <w:pPr>
              <w:spacing w:line="360" w:lineRule="auto"/>
              <w:ind w:firstLineChars="200" w:firstLine="480"/>
              <w:rPr>
                <w:bCs/>
                <w:sz w:val="24"/>
                <w:highlight w:val="none"/>
              </w:rPr>
            </w:pPr>
            <w:r>
              <w:rPr>
                <w:bCs/>
                <w:sz w:val="24"/>
                <w:u w:val="single"/>
                <w:highlight w:val="none"/>
              </w:rPr>
              <w:t>为了解建设项目所在地的</w:t>
            </w:r>
            <w:r>
              <w:rPr>
                <w:rFonts w:hint="eastAsia"/>
                <w:bCs/>
                <w:sz w:val="24"/>
                <w:u w:val="single"/>
                <w:lang w:val="en-US" w:eastAsia="zh-CN"/>
                <w:highlight w:val="none"/>
              </w:rPr>
              <w:t>地表水</w:t>
            </w:r>
            <w:r>
              <w:rPr>
                <w:bCs/>
                <w:sz w:val="24"/>
                <w:u w:val="single"/>
                <w:highlight w:val="none"/>
              </w:rPr>
              <w:t>背景情况，对建设项目</w:t>
            </w:r>
            <w:r>
              <w:rPr>
                <w:rFonts w:hint="eastAsia"/>
                <w:bCs/>
                <w:sz w:val="24"/>
                <w:u w:val="single"/>
                <w:lang w:val="en-US" w:eastAsia="zh-CN"/>
                <w:highlight w:val="none"/>
              </w:rPr>
              <w:t>取水口处水质</w:t>
            </w:r>
            <w:r>
              <w:rPr>
                <w:bCs/>
                <w:sz w:val="24"/>
                <w:u w:val="single"/>
                <w:highlight w:val="none"/>
              </w:rPr>
              <w:t>进行现场监测</w:t>
            </w:r>
            <w:r>
              <w:rPr>
                <w:rFonts w:hint="eastAsia"/>
                <w:bCs/>
                <w:sz w:val="24"/>
                <w:u w:val="single"/>
                <w:lang w:eastAsia="zh-CN"/>
                <w:highlight w:val="none"/>
              </w:rPr>
              <w:t>，</w:t>
            </w:r>
            <w:r>
              <w:rPr>
                <w:rFonts w:hint="eastAsia"/>
                <w:bCs/>
                <w:sz w:val="24"/>
                <w:u w:val="single"/>
                <w:lang w:val="en-US" w:eastAsia="zh-CN"/>
                <w:highlight w:val="none"/>
              </w:rPr>
              <w:t>同时引用</w:t>
            </w:r>
            <w:r>
              <w:rPr>
                <w:rFonts w:ascii="Times New Roman" w:eastAsia="宋体" w:cs="Times New Roman" w:hAnsi="Times New Roman" w:hint="eastAsia"/>
                <w:color w:val="auto"/>
                <w:kern w:val="0"/>
                <w:sz w:val="24"/>
                <w:u w:val="single" w:color="auto"/>
                <w:lang w:val="en-US" w:eastAsia="zh-CN"/>
                <w:highlight w:val="none"/>
              </w:rPr>
              <w:t>湖南</w:t>
            </w:r>
            <w:r>
              <w:rPr>
                <w:rFonts w:cs="Times New Roman" w:hint="eastAsia"/>
                <w:color w:val="auto"/>
                <w:kern w:val="0"/>
                <w:sz w:val="24"/>
                <w:u w:val="single" w:color="auto"/>
                <w:lang w:val="en-US" w:eastAsia="zh-CN"/>
                <w:highlight w:val="none"/>
              </w:rPr>
              <w:t>博联</w:t>
            </w:r>
            <w:r>
              <w:rPr>
                <w:rFonts w:ascii="Times New Roman" w:eastAsia="宋体" w:cs="Times New Roman" w:hAnsi="Times New Roman" w:hint="eastAsia"/>
                <w:color w:val="auto"/>
                <w:kern w:val="0"/>
                <w:sz w:val="24"/>
                <w:u w:val="single" w:color="auto"/>
                <w:lang w:val="en-US" w:eastAsia="zh-CN"/>
                <w:highlight w:val="none"/>
              </w:rPr>
              <w:t>检测</w:t>
            </w:r>
            <w:r>
              <w:rPr>
                <w:rFonts w:cs="Times New Roman" w:hint="eastAsia"/>
                <w:color w:val="auto"/>
                <w:kern w:val="0"/>
                <w:sz w:val="24"/>
                <w:u w:val="single" w:color="auto"/>
                <w:lang w:val="en-US" w:eastAsia="zh-CN"/>
                <w:highlight w:val="none"/>
              </w:rPr>
              <w:t>集团</w:t>
            </w:r>
            <w:r>
              <w:rPr>
                <w:rFonts w:ascii="Times New Roman" w:eastAsia="宋体" w:cs="Times New Roman" w:hAnsi="Times New Roman" w:hint="eastAsia"/>
                <w:color w:val="auto"/>
                <w:kern w:val="0"/>
                <w:sz w:val="24"/>
                <w:u w:val="single" w:color="auto"/>
                <w:lang w:val="en-US" w:eastAsia="zh-CN"/>
                <w:highlight w:val="none"/>
              </w:rPr>
              <w:t>有限</w:t>
            </w:r>
            <w:r>
              <w:rPr>
                <w:rFonts w:cs="Times New Roman" w:hint="eastAsia"/>
                <w:color w:val="auto"/>
                <w:kern w:val="0"/>
                <w:sz w:val="24"/>
                <w:u w:val="single" w:color="auto"/>
                <w:lang w:val="en-US" w:eastAsia="zh-CN"/>
                <w:highlight w:val="none"/>
              </w:rPr>
              <w:t>责任</w:t>
            </w:r>
            <w:r>
              <w:rPr>
                <w:rFonts w:ascii="Times New Roman" w:eastAsia="宋体" w:cs="Times New Roman" w:hAnsi="Times New Roman" w:hint="eastAsia"/>
                <w:color w:val="auto"/>
                <w:kern w:val="0"/>
                <w:sz w:val="24"/>
                <w:u w:val="single" w:color="auto"/>
                <w:lang w:val="en-US" w:eastAsia="zh-CN"/>
                <w:highlight w:val="none"/>
              </w:rPr>
              <w:t>公司2024年12月23日</w:t>
            </w:r>
            <w:r>
              <w:rPr>
                <w:rFonts w:cs="Times New Roman" w:hint="eastAsia"/>
                <w:color w:val="auto"/>
                <w:kern w:val="0"/>
                <w:sz w:val="24"/>
                <w:u w:val="single" w:color="auto"/>
                <w:lang w:val="en-US" w:eastAsia="zh-CN"/>
                <w:highlight w:val="none"/>
              </w:rPr>
              <w:t>对太青水库进行的地表水环境质量现状监测（详见附件11）和</w:t>
            </w:r>
            <w:r>
              <w:rPr>
                <w:rFonts w:ascii="Times New Roman" w:eastAsia="宋体" w:cs="Times New Roman" w:hAnsi="Times New Roman" w:hint="eastAsia"/>
                <w:color w:val="000000"/>
                <w:sz w:val="24"/>
                <w:u w:val="single" w:color="auto"/>
                <w:highlight w:val="none"/>
              </w:rPr>
              <w:t>湖南华科环境检测技术服务有限公司</w:t>
            </w:r>
            <w:r>
              <w:rPr>
                <w:rFonts w:cs="Times New Roman" w:hint="eastAsia"/>
                <w:color w:val="000000"/>
                <w:sz w:val="24"/>
                <w:u w:val="single" w:color="auto"/>
                <w:lang w:val="en-US" w:eastAsia="zh-CN"/>
                <w:highlight w:val="none"/>
              </w:rPr>
              <w:t>2024年3月21日</w:t>
            </w:r>
            <w:r>
              <w:rPr>
                <w:rFonts w:cs="Times New Roman" w:hint="eastAsia"/>
                <w:color w:val="auto"/>
                <w:kern w:val="0"/>
                <w:sz w:val="24"/>
                <w:u w:val="single" w:color="auto"/>
                <w:lang w:val="en-US" w:eastAsia="zh-CN"/>
                <w:highlight w:val="none"/>
              </w:rPr>
              <w:t>对太青水库进行的地表水环境质量现状监测（叶绿素、透明度2项监测因子）</w:t>
            </w:r>
            <w:r>
              <w:rPr>
                <w:bCs/>
                <w:sz w:val="24"/>
                <w:highlight w:val="none"/>
              </w:rPr>
              <w:t>。</w:t>
            </w:r>
          </w:p>
          <w:p>
            <w:pPr>
              <w:spacing w:line="360" w:lineRule="auto"/>
              <w:ind w:firstLineChars="200" w:firstLine="480"/>
              <w:rPr>
                <w:sz w:val="24"/>
                <w:highlight w:val="none"/>
              </w:rPr>
            </w:pPr>
            <w:r>
              <w:rPr>
                <w:bCs/>
                <w:sz w:val="24"/>
                <w:highlight w:val="none"/>
              </w:rPr>
              <w:t>监测位置：</w:t>
            </w:r>
            <w:r>
              <w:rPr>
                <w:rFonts w:hint="eastAsia"/>
                <w:sz w:val="24"/>
                <w:lang w:val="en-US" w:eastAsia="zh-CN"/>
                <w:highlight w:val="none"/>
              </w:rPr>
              <w:t>太青水库本项目取水口处</w:t>
            </w:r>
            <w:r>
              <w:rPr>
                <w:rFonts w:hint="eastAsia"/>
                <w:sz w:val="24"/>
                <w:highlight w:val="none"/>
              </w:rPr>
              <w:t>设置</w:t>
            </w:r>
            <w:r>
              <w:rPr>
                <w:rFonts w:hint="eastAsia"/>
                <w:sz w:val="24"/>
                <w:lang w:val="en-US" w:eastAsia="zh-CN"/>
                <w:highlight w:val="none"/>
              </w:rPr>
              <w:t>1</w:t>
            </w:r>
            <w:r>
              <w:rPr>
                <w:rFonts w:hint="eastAsia"/>
                <w:sz w:val="24"/>
                <w:highlight w:val="none"/>
              </w:rPr>
              <w:t>个监测点</w:t>
            </w:r>
            <w:r>
              <w:rPr>
                <w:bCs/>
                <w:sz w:val="24"/>
                <w:highlight w:val="none"/>
              </w:rPr>
              <w:t>；</w:t>
            </w:r>
          </w:p>
          <w:p>
            <w:pPr>
              <w:spacing w:line="360" w:lineRule="auto"/>
              <w:ind w:firstLineChars="200" w:firstLine="480"/>
              <w:rPr>
                <w:bCs/>
                <w:sz w:val="24"/>
                <w:highlight w:val="none"/>
              </w:rPr>
            </w:pPr>
            <w:r>
              <w:rPr>
                <w:bCs/>
                <w:sz w:val="24"/>
                <w:highlight w:val="none"/>
              </w:rPr>
              <w:t>监测时间：</w:t>
            </w:r>
            <w:r>
              <w:rPr>
                <w:rFonts w:hint="eastAsia"/>
                <w:bCs/>
                <w:sz w:val="24"/>
                <w:highlight w:val="none"/>
              </w:rPr>
              <w:t>202</w:t>
            </w:r>
            <w:r>
              <w:rPr>
                <w:rFonts w:hint="eastAsia"/>
                <w:bCs/>
                <w:sz w:val="24"/>
                <w:lang w:val="en-US" w:eastAsia="zh-CN"/>
                <w:highlight w:val="none"/>
              </w:rPr>
              <w:t>5</w:t>
            </w:r>
            <w:r>
              <w:rPr>
                <w:rFonts w:hint="eastAsia"/>
                <w:bCs/>
                <w:sz w:val="24"/>
                <w:highlight w:val="none"/>
              </w:rPr>
              <w:t>年</w:t>
            </w:r>
            <w:r>
              <w:rPr>
                <w:rFonts w:hint="eastAsia"/>
                <w:bCs/>
                <w:sz w:val="24"/>
                <w:lang w:val="en-US" w:eastAsia="zh-CN"/>
                <w:highlight w:val="none"/>
              </w:rPr>
              <w:t>8</w:t>
            </w:r>
            <w:r>
              <w:rPr>
                <w:rFonts w:hint="eastAsia"/>
                <w:bCs/>
                <w:sz w:val="24"/>
                <w:highlight w:val="none"/>
              </w:rPr>
              <w:t>月</w:t>
            </w:r>
            <w:r>
              <w:rPr>
                <w:rFonts w:hint="eastAsia"/>
                <w:bCs/>
                <w:sz w:val="24"/>
                <w:lang w:val="en-US" w:eastAsia="zh-CN"/>
                <w:highlight w:val="none"/>
              </w:rPr>
              <w:t>6</w:t>
            </w:r>
            <w:r>
              <w:rPr>
                <w:rFonts w:hint="eastAsia"/>
                <w:bCs/>
                <w:sz w:val="24"/>
                <w:highlight w:val="none"/>
              </w:rPr>
              <w:t>日</w:t>
            </w:r>
            <w:r>
              <w:rPr>
                <w:rFonts w:hint="eastAsia"/>
                <w:bCs/>
                <w:sz w:val="24"/>
                <w:lang w:val="en-US" w:eastAsia="zh-CN"/>
                <w:highlight w:val="none"/>
              </w:rPr>
              <w:t>-2025年8月7日</w:t>
            </w:r>
            <w:r>
              <w:rPr>
                <w:rFonts w:hint="eastAsia"/>
                <w:bCs/>
                <w:sz w:val="24"/>
                <w:highlight w:val="none"/>
              </w:rPr>
              <w:t>；</w:t>
            </w:r>
          </w:p>
          <w:p>
            <w:pPr>
              <w:spacing w:line="360" w:lineRule="auto"/>
              <w:ind w:firstLineChars="200" w:firstLine="480"/>
              <w:rPr>
                <w:bCs/>
                <w:sz w:val="24"/>
                <w:highlight w:val="none"/>
              </w:rPr>
            </w:pPr>
            <w:r>
              <w:rPr>
                <w:bCs/>
                <w:sz w:val="24"/>
                <w:highlight w:val="none"/>
              </w:rPr>
              <w:t>监测频次：</w:t>
            </w:r>
            <w:r>
              <w:rPr>
                <w:rFonts w:hint="eastAsia"/>
                <w:bCs/>
                <w:sz w:val="24"/>
                <w:lang w:val="en-US" w:eastAsia="zh-CN"/>
                <w:highlight w:val="none"/>
              </w:rPr>
              <w:t>每天</w:t>
            </w:r>
            <w:r>
              <w:rPr>
                <w:bCs/>
                <w:sz w:val="24"/>
                <w:highlight w:val="none"/>
              </w:rPr>
              <w:t>监测一次</w:t>
            </w:r>
            <w:r>
              <w:rPr>
                <w:rFonts w:hint="eastAsia"/>
                <w:bCs/>
                <w:sz w:val="24"/>
                <w:highlight w:val="none"/>
              </w:rPr>
              <w:t>；</w:t>
            </w:r>
          </w:p>
          <w:p>
            <w:pPr>
              <w:spacing w:line="360" w:lineRule="auto"/>
              <w:ind w:firstLineChars="200" w:firstLine="480"/>
              <w:rPr>
                <w:sz w:val="24"/>
                <w:highlight w:val="none"/>
              </w:rPr>
            </w:pPr>
            <w:r>
              <w:rPr>
                <w:sz w:val="24"/>
                <w:highlight w:val="none"/>
              </w:rPr>
              <w:t>监测方法：执行</w:t>
            </w:r>
            <w:r>
              <w:rPr>
                <w:rFonts w:ascii="Times New Roman" w:eastAsia="宋体" w:cs="Times New Roman" w:hAnsi="Times New Roman" w:hint="eastAsia"/>
                <w:color w:val="000000"/>
                <w:sz w:val="24"/>
                <w:highlight w:val="none"/>
              </w:rPr>
              <w:t>《地表水环境质量标准》（GB3838-2002）</w:t>
            </w:r>
            <w:r>
              <w:rPr>
                <w:sz w:val="24"/>
                <w:highlight w:val="none"/>
              </w:rPr>
              <w:t>中的有关规定进行。</w:t>
            </w:r>
          </w:p>
          <w:p>
            <w:pPr>
              <w:spacing w:line="360" w:lineRule="auto"/>
              <w:ind w:firstLineChars="200" w:firstLine="480"/>
              <w:rPr>
                <w:rFonts w:ascii="Times New Roman" w:eastAsia="宋体" w:cs="Times New Roman" w:hAnsi="Times New Roman" w:hint="eastAsia"/>
                <w:color w:val="000000"/>
                <w:sz w:val="24"/>
                <w:highlight w:val="none"/>
              </w:rPr>
            </w:pPr>
            <w:r>
              <w:rPr>
                <w:sz w:val="24"/>
                <w:highlight w:val="none"/>
              </w:rPr>
              <w:t>项目</w:t>
            </w:r>
            <w:r>
              <w:rPr>
                <w:rFonts w:hint="eastAsia"/>
                <w:sz w:val="24"/>
                <w:lang w:val="en-US" w:eastAsia="zh-CN"/>
                <w:highlight w:val="none"/>
              </w:rPr>
              <w:t>地表水</w:t>
            </w:r>
            <w:r>
              <w:rPr>
                <w:sz w:val="24"/>
                <w:highlight w:val="none"/>
              </w:rPr>
              <w:t>环境监测点和监测结果见表3-</w:t>
            </w:r>
            <w:r>
              <w:rPr>
                <w:rFonts w:hint="eastAsia"/>
                <w:sz w:val="24"/>
                <w:lang w:val="en-US" w:eastAsia="zh-CN"/>
                <w:highlight w:val="none"/>
              </w:rPr>
              <w:t>2</w:t>
            </w:r>
            <w:r>
              <w:rPr>
                <w:sz w:val="24"/>
                <w:highlight w:val="none"/>
              </w:rPr>
              <w:t>。</w:t>
            </w:r>
          </w:p>
          <w:p>
            <w:pPr>
              <w:adjustRightInd w:val="0"/>
              <w:snapToGrid w:val="0"/>
              <w:jc w:val="center"/>
              <w:rPr>
                <w:b/>
                <w:bCs/>
                <w:szCs w:val="21"/>
                <w:highlight w:val="none"/>
              </w:rPr>
            </w:pPr>
            <w:r>
              <w:rPr>
                <w:b/>
                <w:bCs/>
                <w:szCs w:val="21"/>
                <w:highlight w:val="none"/>
              </w:rPr>
              <w:t xml:space="preserve">表3-2  </w:t>
            </w:r>
            <w:r>
              <w:rPr>
                <w:rFonts w:hint="eastAsia"/>
                <w:b/>
                <w:bCs/>
                <w:szCs w:val="21"/>
                <w:lang w:val="en-US" w:eastAsia="zh-CN"/>
                <w:highlight w:val="none"/>
              </w:rPr>
              <w:t>地表水监测结果</w:t>
            </w:r>
            <w:r>
              <w:rPr>
                <w:b/>
                <w:bCs/>
                <w:szCs w:val="21"/>
                <w:highlight w:val="none"/>
              </w:rPr>
              <w:t>一览表</w:t>
            </w:r>
          </w:p>
          <w:tbl>
            <w:tblPr>
              <w:jc w:val="left"/>
              <w:tblInd w:w="5" w:type="dxa"/>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782"/>
              <w:gridCol w:w="1928"/>
              <w:gridCol w:w="2386"/>
              <w:gridCol w:w="2721"/>
            </w:tblGrid>
            <w:tr>
              <w:trPr>
                <w:trHeight w:val="340"/>
              </w:trPr>
              <w:tc>
                <w:tcPr>
                  <w:tcW w:w="1733" w:type="pct"/>
                  <w:gridSpan w:val="2"/>
                  <w:vMerge w:val="restart"/>
                  <w:tcBorders>
                    <w:tl2br w:val="nil"/>
                    <w:tr2bl w:val="nil"/>
                  </w:tcBorders>
                  <w:vAlign w:val="center"/>
                </w:tcPr>
                <w:p>
                  <w:pPr>
                    <w:spacing w:line="240" w:lineRule="auto"/>
                    <w:jc w:val="center"/>
                    <w:rPr>
                      <w:rFonts w:ascii="Times New Roman" w:eastAsia="宋体" w:cs="Times New Roman" w:hAnsi="Times New Roman"/>
                      <w:color w:val="auto"/>
                      <w:sz w:val="21"/>
                      <w:szCs w:val="21"/>
                      <w:highlight w:val="none"/>
                    </w:rPr>
                  </w:pPr>
                  <w:r>
                    <w:rPr>
                      <w:rFonts w:ascii="Times New Roman" w:eastAsia="宋体" w:cs="Times New Roman" w:hAnsi="Times New Roman"/>
                      <w:color w:val="auto"/>
                      <w:sz w:val="21"/>
                      <w:szCs w:val="21"/>
                      <w:highlight w:val="none"/>
                    </w:rPr>
                    <mc:AlternateContent>
                      <mc:Choice Requires="wps">
                        <w:drawing>
                          <wp:anchor distT="0" distB="0" distL="114300" distR="114300" simplePos="0" relativeHeight="96" behindDoc="0" locked="0" layoutInCell="1" hidden="0" allowOverlap="1">
                            <wp:simplePos x="0" y="0"/>
                            <wp:positionH relativeFrom="column">
                              <wp:posOffset>358775</wp:posOffset>
                            </wp:positionH>
                            <wp:positionV relativeFrom="paragraph">
                              <wp:posOffset>24765</wp:posOffset>
                            </wp:positionV>
                            <wp:extent cx="511175" cy="252729"/>
                            <wp:wrapNone/>
                            <wp:docPr id="49" name="Text Box 2118"/>
                            <wp:cNvGraphicFramePr>
                              <a:graphicFrameLocks noChangeAspect="0"/>
                            </wp:cNvGraphicFramePr>
                            <a:graphic>
                              <a:graphicData uri="http://schemas.microsoft.com/office/word/2010/wordprocessingShape">
                                <wps:wsp>
                                  <wps:cNvSpPr/>
                                  <wps:spPr>
                                    <a:xfrm rot="0">
                                      <a:off x="0" y="0"/>
                                      <a:ext cx="511175" cy="252729"/>
                                    </a:xfrm>
                                    <a:prstGeom prst="rect"/>
                                    <a:noFill/>
                                    <a:ln w="9525" cmpd="sng" cap="flat">
                                      <a:noFill/>
                                      <a:prstDash val="solid"/>
                                      <a:round/>
                                    </a:ln>
                                  </wps:spPr>
                                  <wps:txbx id="23">
                                    <w:txbxContent>
                                      <w:p>
                                        <w:pPr>
                                          <w:pStyle w:val="34"/>
                                          <w:kinsoku/>
                                          <w:ind w:left="0"/>
                                          <w:jc w:val="left"/>
                                          <w:rPr>
                                            <w:rFonts w:eastAsia="宋体" w:hint="eastAsia"/>
                                            <w:sz w:val="21"/>
                                            <w:szCs w:val="16"/>
                                            <w:lang w:val="en-US" w:eastAsia="zh-CN"/>
                                          </w:rPr>
                                        </w:pPr>
                                        <w:r>
                                          <w:rPr>
                                            <w:rFonts w:ascii="宋体" w:eastAsia="宋体" w:hAnsi="宋体" w:hint="eastAsia"/>
                                            <w:color w:val="000000"/>
                                            <w:kern w:val="24"/>
                                            <w:sz w:val="21"/>
                                            <w:szCs w:val="21"/>
                                            <w:lang w:val="en-US" w:eastAsia="zh-CN"/>
                                          </w:rPr>
                                          <w:t>数 据</w:t>
                                        </w:r>
                                      </w:p>
                                    </w:txbxContent>
                                  </wps:txbx>
                                  <wps:bodyPr vert="horz" wrap="square" lIns="27432" tIns="18288" rIns="0" bIns="0" anchor="t" anchorCtr="0" upright="1">
                                    <a:noAutofit/>
                                  </wps:bodyPr>
                                </wps:wsp>
                              </a:graphicData>
                            </a:graphic>
                          </wp:anchor>
                        </w:drawing>
                      </mc:Choice>
                      <mc:Fallback>
                        <w:pict>
                          <v:rect type="#_x0000_t1" id="Text Box 2118" o:spid="_x0000_s24" filled="f" stroked="f" style="position:absolute;margin-left:28.25pt;margin-top:1.95pt;width:40.25pt;height:19.9pt;z-index:96;mso-position-horizontal:absolute;mso-position-vertical:absolute;mso-wrap-style:square;">
                            <v:stroke/>
                            <v:textbox id="873" inset="0.762mm,0.508mm,0mm,0mm" o:insetmode="custom" style="layout-flow:horizontal;v-text-anchor:top;">
                              <w:txbxContent>
                                <w:p>
                                  <w:pPr>
                                    <w:pStyle w:val="34"/>
                                    <w:kinsoku/>
                                    <w:ind w:left="0"/>
                                    <w:jc w:val="left"/>
                                    <w:rPr>
                                      <w:rFonts w:eastAsia="宋体" w:hint="eastAsia"/>
                                      <w:sz w:val="21"/>
                                      <w:szCs w:val="16"/>
                                      <w:lang w:val="en-US" w:eastAsia="zh-CN"/>
                                    </w:rPr>
                                  </w:pPr>
                                  <w:r>
                                    <w:rPr>
                                      <w:rFonts w:ascii="宋体" w:eastAsia="宋体" w:hAnsi="宋体" w:hint="eastAsia"/>
                                      <w:color w:val="000000"/>
                                      <w:kern w:val="24"/>
                                      <w:sz w:val="21"/>
                                      <w:szCs w:val="21"/>
                                      <w:lang w:val="en-US" w:eastAsia="zh-CN"/>
                                    </w:rPr>
                                    <w:t>数 据</w:t>
                                  </w:r>
                                </w:p>
                              </w:txbxContent>
                            </v:textbox>
                          </v:rect>
                        </w:pict>
                      </mc:Fallback>
                    </mc:AlternateContent>
                  </w:r>
                  <w:r>
                    <w:rPr>
                      <w:rFonts w:ascii="Times New Roman" w:eastAsia="宋体" w:cs="Times New Roman" w:hAnsi="Times New Roman"/>
                      <w:color w:val="auto"/>
                      <w:sz w:val="21"/>
                      <w:szCs w:val="21"/>
                      <w:highlight w:val="none"/>
                    </w:rPr>
                    <mc:AlternateContent>
                      <mc:Choice Requires="wps">
                        <w:drawing>
                          <wp:anchor distT="0" distB="0" distL="114300" distR="114300" simplePos="0" relativeHeight="98" behindDoc="0" locked="0" layoutInCell="1" hidden="0" allowOverlap="1">
                            <wp:simplePos x="0" y="0"/>
                            <wp:positionH relativeFrom="column">
                              <wp:posOffset>1206500</wp:posOffset>
                            </wp:positionH>
                            <wp:positionV relativeFrom="paragraph">
                              <wp:posOffset>20955</wp:posOffset>
                            </wp:positionV>
                            <wp:extent cx="476250" cy="238759"/>
                            <wp:wrapNone/>
                            <wp:docPr id="48" name="Text Box 2118"/>
                            <wp:cNvGraphicFramePr>
                              <a:graphicFrameLocks noChangeAspect="0"/>
                            </wp:cNvGraphicFramePr>
                            <a:graphic>
                              <a:graphicData uri="http://schemas.microsoft.com/office/word/2010/wordprocessingShape">
                                <wps:wsp>
                                  <wps:cNvSpPr/>
                                  <wps:spPr>
                                    <a:xfrm rot="0">
                                      <a:off x="0" y="0"/>
                                      <a:ext cx="476250" cy="238759"/>
                                    </a:xfrm>
                                    <a:prstGeom prst="rect"/>
                                    <a:noFill/>
                                    <a:ln w="9525" cmpd="sng" cap="flat">
                                      <a:noFill/>
                                      <a:prstDash val="solid"/>
                                      <a:round/>
                                    </a:ln>
                                  </wps:spPr>
                                  <wps:txbx id="25">
                                    <w:txbxContent>
                                      <w:p>
                                        <w:pPr>
                                          <w:pStyle w:val="34"/>
                                          <w:kinsoku/>
                                          <w:ind w:left="0"/>
                                          <w:jc w:val="left"/>
                                          <w:rPr>
                                            <w:sz w:val="21"/>
                                            <w:szCs w:val="16"/>
                                          </w:rPr>
                                        </w:pPr>
                                        <w:r>
                                          <w:rPr>
                                            <w:rFonts w:ascii="宋体" w:eastAsia="宋体" w:hAnsi="宋体"/>
                                            <w:color w:val="000000"/>
                                            <w:kern w:val="24"/>
                                            <w:sz w:val="21"/>
                                            <w:szCs w:val="21"/>
                                          </w:rPr>
                                          <w:t>时 间</w:t>
                                        </w:r>
                                      </w:p>
                                    </w:txbxContent>
                                  </wps:txbx>
                                  <wps:bodyPr vert="horz" wrap="square" lIns="27432" tIns="18288" rIns="0" bIns="0" anchor="t" anchorCtr="0" upright="1">
                                    <a:noAutofit/>
                                  </wps:bodyPr>
                                </wps:wsp>
                              </a:graphicData>
                            </a:graphic>
                          </wp:anchor>
                        </w:drawing>
                      </mc:Choice>
                      <mc:Fallback>
                        <w:pict>
                          <v:rect type="#_x0000_t1" id="Text Box 2118" o:spid="_x0000_s26" filled="f" stroked="f" style="position:absolute;margin-left:95.0pt;margin-top:1.65pt;width:37.5pt;height:18.8pt;z-index:98;mso-position-horizontal:absolute;mso-position-vertical:absolute;mso-wrap-style:square;">
                            <v:stroke/>
                            <v:textbox id="874" inset="0.762mm,0.508mm,0mm,0mm" o:insetmode="custom" style="layout-flow:horizontal;v-text-anchor:top;">
                              <w:txbxContent>
                                <w:p>
                                  <w:pPr>
                                    <w:pStyle w:val="34"/>
                                    <w:kinsoku/>
                                    <w:ind w:left="0"/>
                                    <w:jc w:val="left"/>
                                    <w:rPr>
                                      <w:sz w:val="21"/>
                                      <w:szCs w:val="16"/>
                                    </w:rPr>
                                  </w:pPr>
                                  <w:r>
                                    <w:rPr>
                                      <w:rFonts w:ascii="宋体" w:eastAsia="宋体" w:hAnsi="宋体"/>
                                      <w:color w:val="000000"/>
                                      <w:kern w:val="24"/>
                                      <w:sz w:val="21"/>
                                      <w:szCs w:val="21"/>
                                    </w:rPr>
                                    <w:t>时 间</w:t>
                                  </w:r>
                                </w:p>
                              </w:txbxContent>
                            </v:textbox>
                          </v:rect>
                        </w:pict>
                      </mc:Fallback>
                    </mc:AlternateContent>
                  </w:r>
                  <w:r>
                    <w:rPr>
                      <w:rFonts w:ascii="Times New Roman" w:eastAsia="宋体" w:cs="Times New Roman" w:hAnsi="Times New Roman"/>
                      <w:color w:val="auto"/>
                      <w:sz w:val="21"/>
                      <w:szCs w:val="21"/>
                      <w:highlight w:val="none"/>
                    </w:rPr>
                    <mc:AlternateContent>
                      <mc:Choice Requires="wps">
                        <w:drawing>
                          <wp:anchor distT="0" distB="0" distL="114300" distR="114300" simplePos="0" relativeHeight="92" behindDoc="0" locked="0" layoutInCell="1" hidden="0" allowOverlap="1">
                            <wp:simplePos x="0" y="0"/>
                            <wp:positionH relativeFrom="column">
                              <wp:posOffset>735965</wp:posOffset>
                            </wp:positionH>
                            <wp:positionV relativeFrom="paragraph">
                              <wp:posOffset>1270</wp:posOffset>
                            </wp:positionV>
                            <wp:extent cx="956310" cy="433705"/>
                            <wp:effectExtent l="1905" t="4444" r="1905" b="19050"/>
                            <wp:wrapNone/>
                            <wp:docPr id="50" name="直接连接符 50"/>
                            <wp:cNvGraphicFramePr>
                              <a:graphicFrameLocks noChangeAspect="0"/>
                            </wp:cNvGraphicFramePr>
                            <a:graphic>
                              <a:graphicData uri="http://schemas.microsoft.com/office/word/2010/wordprocessingShape">
                                <wps:wsp>
                                  <wps:cNvSpPr/>
                                  <wps:spPr>
                                    <a:xfrm rot="0">
                                      <a:off x="0" y="0"/>
                                      <a:ext cx="956310" cy="433705"/>
                                    </a:xfrm>
                                    <a:prstGeom prst="line"/>
                                    <a:ln w="6350" cmpd="sng" cap="flat">
                                      <a:solidFill>
                                        <a:srgbClr val="000000"/>
                                      </a:solidFill>
                                      <a:prstDash val="solid"/>
                                      <a:miter/>
                                    </a:ln>
                                  </wps:spPr>
                                  <wps:style>
                                    <a:lnRef idx="1">
                                      <a:schemeClr val="accent1"/>
                                    </a:lnRef>
                                    <a:fillRef idx="0">
                                      <a:schemeClr val="accent1"/>
                                    </a:fillRef>
                                    <a:effectRef idx="0">
                                      <a:schemeClr val="accent1"/>
                                    </a:effectRef>
                                    <a:fontRef idx="minor">
                                      <a:schemeClr val="tx1"/>
                                    </a:fontRef>
                                  </wps:style>
                                  <wps:bodyPr vert="horz" wrap="square" lIns="91440" tIns="45720" rIns="91440" bIns="45720" anchor="t" anchorCtr="0" upright="0">
                                    <a:noAutofit/>
                                  </wps:bodyPr>
                                </wps:wsp>
                              </a:graphicData>
                            </a:graphic>
                          </wp:anchor>
                        </w:drawing>
                      </mc:Choice>
                      <mc:Fallback>
                        <w:pict>
                          <v:line type="#_x0000_t20" id="直接连接符 50" o:spid="_x0000_s27" from="57.95pt,0.1pt" to="133.25002pt,34.25pt" filled="f" stroked="t" strokeweight="0.5pt" style="position:absolute;z-index:92;mso-position-horizontal:absolute;mso-position-vertical:absolute;visibility:visible;">
                            <v:stroke color="#000000"/>
                          </v:line>
                        </w:pict>
                      </mc:Fallback>
                    </mc:AlternateContent>
                  </w:r>
                </w:p>
                <w:p>
                  <w:pPr>
                    <w:spacing w:line="240" w:lineRule="auto"/>
                    <w:ind w:firstLineChars="300" w:firstLine="630"/>
                    <w:jc w:val="center"/>
                    <w:rPr>
                      <w:rFonts w:ascii="Times New Roman" w:eastAsia="宋体" w:cs="Times New Roman" w:hAnsi="Times New Roman"/>
                      <w:color w:val="auto"/>
                      <w:sz w:val="21"/>
                      <w:szCs w:val="21"/>
                      <w:highlight w:val="none"/>
                    </w:rPr>
                  </w:pPr>
                  <w:r>
                    <w:rPr>
                      <w:rFonts w:ascii="Times New Roman" w:eastAsia="宋体" w:cs="Times New Roman" w:hAnsi="Times New Roman"/>
                      <w:color w:val="auto"/>
                      <w:sz w:val="21"/>
                      <w:szCs w:val="21"/>
                      <w:highlight w:val="none"/>
                    </w:rPr>
                    <mc:AlternateContent>
                      <mc:Choice Requires="wps">
                        <w:drawing>
                          <wp:anchor distT="0" distB="0" distL="114300" distR="114300" simplePos="0" relativeHeight="94" behindDoc="0" locked="0" layoutInCell="1" hidden="0" allowOverlap="1">
                            <wp:simplePos x="0" y="0"/>
                            <wp:positionH relativeFrom="column">
                              <wp:posOffset>-16510</wp:posOffset>
                            </wp:positionH>
                            <wp:positionV relativeFrom="paragraph">
                              <wp:posOffset>72390</wp:posOffset>
                            </wp:positionV>
                            <wp:extent cx="467359" cy="226695"/>
                            <wp:wrapNone/>
                            <wp:docPr id="51" name="Text Box 2118"/>
                            <wp:cNvGraphicFramePr>
                              <a:graphicFrameLocks noChangeAspect="0"/>
                            </wp:cNvGraphicFramePr>
                            <a:graphic>
                              <a:graphicData uri="http://schemas.microsoft.com/office/word/2010/wordprocessingShape">
                                <wps:wsp>
                                  <wps:cNvSpPr/>
                                  <wps:spPr>
                                    <a:xfrm flipH="1" rot="21600000">
                                      <a:off x="0" y="0"/>
                                      <a:ext cx="467359" cy="226695"/>
                                    </a:xfrm>
                                    <a:prstGeom prst="rect"/>
                                    <a:noFill/>
                                    <a:ln w="9525" cmpd="sng" cap="flat">
                                      <a:noFill/>
                                      <a:prstDash val="solid"/>
                                      <a:round/>
                                    </a:ln>
                                  </wps:spPr>
                                  <wps:txbx id="28">
                                    <w:txbxContent>
                                      <w:p>
                                        <w:pPr>
                                          <w:pStyle w:val="34"/>
                                          <w:kinsoku/>
                                          <w:ind w:left="0"/>
                                          <w:jc w:val="left"/>
                                          <w:rPr>
                                            <w:sz w:val="21"/>
                                            <w:szCs w:val="16"/>
                                          </w:rPr>
                                        </w:pPr>
                                        <w:r>
                                          <w:rPr>
                                            <w:rFonts w:ascii="宋体" w:eastAsia="宋体" w:hAnsi="宋体"/>
                                            <w:color w:val="000000"/>
                                            <w:kern w:val="24"/>
                                            <w:sz w:val="21"/>
                                            <w:szCs w:val="21"/>
                                          </w:rPr>
                                          <w:t>项 目</w:t>
                                        </w:r>
                                      </w:p>
                                    </w:txbxContent>
                                  </wps:txbx>
                                  <wps:bodyPr vert="horz" wrap="square" lIns="27432" tIns="18288" rIns="0" bIns="0" anchor="t" anchorCtr="0" upright="1">
                                    <a:noAutofit/>
                                  </wps:bodyPr>
                                </wps:wsp>
                              </a:graphicData>
                            </a:graphic>
                          </wp:anchor>
                        </w:drawing>
                      </mc:Choice>
                      <mc:Fallback>
                        <w:pict>
                          <v:rect type="#_x0000_t1" id="Text Box 2118" o:spid="_x0000_s29" filled="f" stroked="f" style="position:absolute;margin-left:-1.3pt;margin-top:5.7pt;width:36.8pt;height:17.85pt;flip:x;z-index:94;mso-position-horizontal:absolute;mso-position-vertical:absolute;mso-wrap-style:square;">
                            <v:stroke/>
                            <v:textbox id="875" inset="0.762mm,0.508mm,0mm,0mm" o:insetmode="custom" style="layout-flow:horizontal;v-text-anchor:top;">
                              <w:txbxContent>
                                <w:p>
                                  <w:pPr>
                                    <w:pStyle w:val="34"/>
                                    <w:kinsoku/>
                                    <w:ind w:left="0"/>
                                    <w:jc w:val="left"/>
                                    <w:rPr>
                                      <w:sz w:val="21"/>
                                      <w:szCs w:val="16"/>
                                    </w:rPr>
                                  </w:pPr>
                                  <w:r>
                                    <w:rPr>
                                      <w:rFonts w:ascii="宋体" w:eastAsia="宋体" w:hAnsi="宋体"/>
                                      <w:color w:val="000000"/>
                                      <w:kern w:val="24"/>
                                      <w:sz w:val="21"/>
                                      <w:szCs w:val="21"/>
                                    </w:rPr>
                                    <w:t>项 目</w:t>
                                  </w:r>
                                </w:p>
                              </w:txbxContent>
                            </v:textbox>
                          </v:rect>
                        </w:pict>
                      </mc:Fallback>
                    </mc:AlternateContent>
                  </w:r>
                  <w:r>
                    <w:rPr>
                      <w:rFonts w:ascii="Times New Roman" w:eastAsia="宋体" w:cs="Times New Roman" w:hAnsi="Times New Roman"/>
                      <w:color w:val="auto"/>
                      <w:sz w:val="21"/>
                      <w:szCs w:val="21"/>
                      <w:highlight w:val="none"/>
                    </w:rPr>
                    <mc:AlternateContent>
                      <mc:Choice Requires="wps">
                        <w:drawing>
                          <wp:anchor distT="0" distB="0" distL="114300" distR="114300" simplePos="0" relativeHeight="90" behindDoc="0" locked="0" layoutInCell="1" hidden="0" allowOverlap="1">
                            <wp:simplePos x="0" y="0"/>
                            <wp:positionH relativeFrom="column">
                              <wp:posOffset>-65405</wp:posOffset>
                            </wp:positionH>
                            <wp:positionV relativeFrom="paragraph">
                              <wp:posOffset>-2540</wp:posOffset>
                            </wp:positionV>
                            <wp:extent cx="1757679" cy="290195"/>
                            <wp:effectExtent l="635" t="4444" r="9525" b="10160"/>
                            <wp:wrapNone/>
                            <wp:docPr id="52" name="直接连接符 52"/>
                            <wp:cNvGraphicFramePr>
                              <a:graphicFrameLocks noChangeAspect="0"/>
                            </wp:cNvGraphicFramePr>
                            <a:graphic>
                              <a:graphicData uri="http://schemas.microsoft.com/office/word/2010/wordprocessingShape">
                                <wps:wsp>
                                  <wps:cNvSpPr/>
                                  <wps:spPr>
                                    <a:xfrm rot="0">
                                      <a:off x="0" y="0"/>
                                      <a:ext cx="1757679" cy="290195"/>
                                    </a:xfrm>
                                    <a:prstGeom prst="line"/>
                                    <a:ln w="6350" cmpd="sng" cap="flat">
                                      <a:solidFill>
                                        <a:srgbClr val="000000"/>
                                      </a:solidFill>
                                      <a:prstDash val="solid"/>
                                      <a:miter/>
                                    </a:ln>
                                  </wps:spPr>
                                  <wps:style>
                                    <a:lnRef idx="1">
                                      <a:schemeClr val="accent1"/>
                                    </a:lnRef>
                                    <a:fillRef idx="0">
                                      <a:schemeClr val="accent1"/>
                                    </a:fillRef>
                                    <a:effectRef idx="0">
                                      <a:schemeClr val="accent1"/>
                                    </a:effectRef>
                                    <a:fontRef idx="minor">
                                      <a:schemeClr val="tx1"/>
                                    </a:fontRef>
                                  </wps:style>
                                  <wps:bodyPr vert="horz" wrap="square" lIns="91440" tIns="45720" rIns="91440" bIns="45720" anchor="t" anchorCtr="0" upright="0">
                                    <a:noAutofit/>
                                  </wps:bodyPr>
                                </wps:wsp>
                              </a:graphicData>
                            </a:graphic>
                          </wp:anchor>
                        </w:drawing>
                      </mc:Choice>
                      <mc:Fallback>
                        <w:pict>
                          <v:line type="#_x0000_t20" id="直接连接符 52" o:spid="_x0000_s30" from="-5.15pt,-0.2pt" to="133.25pt,22.65pt" filled="f" stroked="t" strokeweight="0.5pt" style="position:absolute;z-index:90;mso-position-horizontal:absolute;mso-position-vertical:absolute;visibility:visible;">
                            <v:stroke color="#000000"/>
                          </v:line>
                        </w:pict>
                      </mc:Fallback>
                    </mc:AlternateContent>
                  </w:r>
                </w:p>
              </w:tc>
              <w:tc>
                <w:tcPr>
                  <w:tcW w:w="1526" w:type="pct"/>
                  <w:tcBorders>
                    <w:tl2br w:val="nil"/>
                    <w:tr2bl w:val="nil"/>
                  </w:tcBorders>
                  <w:vAlign w:val="center"/>
                </w:tcPr>
                <w:p>
                  <w:pPr>
                    <w:spacing w:line="240" w:lineRule="auto"/>
                    <w:jc w:val="center"/>
                    <w:rPr>
                      <w:rFonts w:ascii="Times New Roman" w:eastAsia="宋体" w:cs="Times New Roman" w:hAnsi="Times New Roman"/>
                      <w:color w:val="auto"/>
                      <w:sz w:val="21"/>
                      <w:szCs w:val="21"/>
                      <w:lang w:val="en-US" w:eastAsia="zh-CN"/>
                      <w:highlight w:val="none"/>
                    </w:rPr>
                  </w:pPr>
                  <w:r>
                    <w:rPr>
                      <w:rFonts w:ascii="Times New Roman" w:eastAsia="宋体" w:cs="Times New Roman" w:hAnsi="Times New Roman"/>
                      <w:color w:val="auto"/>
                      <w:sz w:val="21"/>
                      <w:szCs w:val="21"/>
                      <w:lang w:val="en-US" w:eastAsia="zh-CN"/>
                      <w:highlight w:val="none"/>
                    </w:rPr>
                    <w:t>2025年08月06日</w:t>
                  </w:r>
                </w:p>
              </w:tc>
              <w:tc>
                <w:tcPr>
                  <w:tcW w:w="1740" w:type="pct"/>
                  <w:tcBorders>
                    <w:tl2br w:val="nil"/>
                    <w:tr2bl w:val="nil"/>
                  </w:tcBorders>
                  <w:vAlign w:val="center"/>
                </w:tcPr>
                <w:p>
                  <w:pPr>
                    <w:spacing w:line="240" w:lineRule="auto"/>
                    <w:jc w:val="center"/>
                    <w:rPr>
                      <w:rFonts w:ascii="Times New Roman" w:eastAsia="宋体" w:cs="Times New Roman" w:hAnsi="Times New Roman"/>
                      <w:color w:val="auto"/>
                      <w:sz w:val="21"/>
                      <w:szCs w:val="21"/>
                      <w:lang w:val="en-US" w:eastAsia="zh-CN"/>
                      <w:highlight w:val="none"/>
                    </w:rPr>
                  </w:pPr>
                  <w:r>
                    <w:rPr>
                      <w:rFonts w:ascii="Times New Roman" w:eastAsia="宋体" w:cs="Times New Roman" w:hAnsi="Times New Roman"/>
                      <w:color w:val="auto"/>
                      <w:sz w:val="21"/>
                      <w:szCs w:val="21"/>
                      <w:lang w:val="en-US" w:eastAsia="zh-CN"/>
                      <w:highlight w:val="none"/>
                    </w:rPr>
                    <w:t>2025年08月07日</w:t>
                  </w:r>
                </w:p>
              </w:tc>
            </w:tr>
            <w:tr>
              <w:trPr>
                <w:trHeight w:val="340"/>
              </w:trPr>
              <w:tc>
                <w:tcPr>
                  <w:tcW w:w="1733" w:type="pct"/>
                  <w:gridSpan w:val="2"/>
                  <w:vMerge/>
                  <w:tcBorders>
                    <w:tl2br w:val="nil"/>
                    <w:tr2bl w:val="nil"/>
                  </w:tcBorders>
                  <w:vAlign w:val="center"/>
                </w:tcPr>
                <w:p/>
              </w:tc>
              <w:tc>
                <w:tcPr>
                  <w:tcW w:w="3266" w:type="pct"/>
                  <w:gridSpan w:val="2"/>
                  <w:tcBorders>
                    <w:tl2br w:val="nil"/>
                    <w:tr2bl w:val="nil"/>
                  </w:tcBorders>
                  <w:vAlign w:val="center"/>
                </w:tcPr>
                <w:p>
                  <w:pPr>
                    <w:widowControl/>
                    <w:spacing w:line="240" w:lineRule="auto"/>
                    <w:jc w:val="center"/>
                    <w:rPr>
                      <w:rFonts w:ascii="Times New Roman" w:eastAsia="宋体" w:cs="Times New Roman" w:hAnsi="Times New Roman"/>
                      <w:kern w:val="0"/>
                      <w:sz w:val="21"/>
                      <w:szCs w:val="21"/>
                      <w:lang w:val="en-US" w:eastAsia="zh-CN"/>
                      <w:highlight w:val="none"/>
                    </w:rPr>
                  </w:pPr>
                  <w:r>
                    <w:rPr>
                      <w:rFonts w:ascii="Times New Roman" w:eastAsia="宋体" w:cs="Times New Roman" w:hAnsi="Times New Roman"/>
                      <w:kern w:val="0"/>
                      <w:sz w:val="21"/>
                      <w:szCs w:val="21"/>
                      <w:lang w:val="en-US" w:eastAsia="zh-CN"/>
                      <w:highlight w:val="none"/>
                    </w:rPr>
                    <w:t>W1太</w:t>
                  </w:r>
                  <w:r>
                    <w:rPr>
                      <w:rFonts w:ascii="Times New Roman" w:eastAsia="宋体" w:cs="Times New Roman" w:hAnsi="Times New Roman"/>
                      <w:sz w:val="21"/>
                      <w:szCs w:val="21"/>
                      <w:lang w:val="en-US" w:eastAsia="zh-CN"/>
                      <w:highlight w:val="none"/>
                    </w:rPr>
                    <w:t>青</w:t>
                  </w:r>
                  <w:r>
                    <w:rPr>
                      <w:rFonts w:ascii="Times New Roman" w:eastAsia="宋体" w:cs="Times New Roman" w:hAnsi="Times New Roman"/>
                      <w:kern w:val="0"/>
                      <w:sz w:val="21"/>
                      <w:szCs w:val="21"/>
                      <w:lang w:val="en-US" w:eastAsia="zh-CN"/>
                      <w:highlight w:val="none"/>
                    </w:rPr>
                    <w:t>水库</w:t>
                  </w:r>
                </w:p>
              </w:tc>
            </w:tr>
            <w:tr>
              <w:trPr>
                <w:cantSplit/>
                <w:trHeight w:val="340"/>
              </w:trPr>
              <w:tc>
                <w:tcPr>
                  <w:tcW w:w="500" w:type="pct"/>
                  <w:vMerge w:val="restart"/>
                  <w:tcBorders>
                    <w:tl2br w:val="nil"/>
                    <w:tr2bl w:val="nil"/>
                  </w:tcBorders>
                  <w:vAlign w:val="center"/>
                </w:tcPr>
                <w:p>
                  <w:pPr>
                    <w:widowControl/>
                    <w:spacing w:line="240" w:lineRule="auto"/>
                    <w:jc w:val="center"/>
                    <w:rPr>
                      <w:rFonts w:ascii="Times New Roman" w:eastAsia="宋体" w:cs="Times New Roman" w:hAnsi="Times New Roman"/>
                      <w:kern w:val="0"/>
                      <w:sz w:val="21"/>
                      <w:szCs w:val="21"/>
                      <w:lang w:val="en-US" w:eastAsia="zh-CN"/>
                      <w:highlight w:val="none"/>
                    </w:rPr>
                  </w:pPr>
                  <w:r>
                    <w:rPr>
                      <w:rFonts w:ascii="Times New Roman" w:eastAsia="宋体" w:cs="Times New Roman" w:hAnsi="Times New Roman"/>
                      <w:kern w:val="0"/>
                      <w:sz w:val="21"/>
                      <w:szCs w:val="21"/>
                      <w:lang w:val="en-US" w:eastAsia="zh-CN"/>
                      <w:highlight w:val="none"/>
                    </w:rPr>
                    <w:t>地表水</w:t>
                  </w: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水温（℃）</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33.5</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32.7</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pH（无量纲）</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7.51</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7.47</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溶解氧</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6.45</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6.56</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高锰酸盐指数</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3.1</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3.2</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化学需氧量</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13</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14</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五日生化需氧量</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2.5</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2.7</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氨氮</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0.078</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0.068</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总磷</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0.02</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0.02</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总氮</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0.45</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0.43</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铜</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0.05L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0.05L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锌</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0.05L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0.05L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硒（μg/L）</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0.4L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0.4L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砷（μg/L）</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0.3L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0.3L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汞（μg/L）</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0.04L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0.04L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镉（μg/L）</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0.1L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0.1L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六价铬</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0.004L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0.004L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kern w:val="0"/>
                      <w:sz w:val="21"/>
                      <w:szCs w:val="21"/>
                      <w:lang w:val="en-US" w:eastAsia="zh-CN" w:bidi="ar-SA"/>
                      <w:highlight w:val="none"/>
                    </w:rPr>
                  </w:pPr>
                  <w:r>
                    <w:rPr>
                      <w:rFonts w:ascii="Times New Roman" w:eastAsia="宋体" w:cs="Times New Roman" w:hAnsi="Times New Roman"/>
                      <w:i w:val="0"/>
                      <w:iCs w:val="0"/>
                      <w:color w:val="000000"/>
                      <w:kern w:val="0"/>
                      <w:sz w:val="21"/>
                      <w:szCs w:val="21"/>
                      <w:u w:val="none"/>
                      <w:lang w:val="en-US" w:eastAsia="zh-CN"/>
                      <w:highlight w:val="none"/>
                    </w:rPr>
                    <w:t>铅（μg/L）</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1L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1L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铁</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0.03L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0.03L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锰</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0.01L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0.01L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氰化物</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0.001L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0.001L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硫化物</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0.01L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0.01L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挥发酚</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0.0003L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0.0003L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石油类</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0.01L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0.01L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阴离子表面活性剂</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0.05L</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0.05L</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粪大肠菌群（MPN/L）</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1.70*10</w:t>
                  </w:r>
                  <w:r>
                    <w:rPr>
                      <w:rFonts w:ascii="Times New Roman" w:eastAsia="宋体" w:cs="Times New Roman" w:hAnsi="Times New Roman"/>
                      <w:i w:val="0"/>
                      <w:iCs w:val="0"/>
                      <w:color w:val="000000"/>
                      <w:kern w:val="0"/>
                      <w:sz w:val="21"/>
                      <w:szCs w:val="21"/>
                      <w:u w:val="none"/>
                      <w:vertAlign w:val="superscript"/>
                      <w:lang w:val="en-US" w:eastAsia="zh-CN"/>
                      <w:highlight w:val="none"/>
                    </w:rPr>
                    <w:t>2</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1.90*10</w:t>
                  </w:r>
                  <w:r>
                    <w:rPr>
                      <w:rFonts w:ascii="Times New Roman" w:eastAsia="宋体" w:cs="Times New Roman" w:hAnsi="Times New Roman"/>
                      <w:i w:val="0"/>
                      <w:iCs w:val="0"/>
                      <w:color w:val="000000"/>
                      <w:kern w:val="0"/>
                      <w:sz w:val="21"/>
                      <w:szCs w:val="21"/>
                      <w:u w:val="none"/>
                      <w:vertAlign w:val="superscript"/>
                      <w:lang w:val="en-US" w:eastAsia="zh-CN"/>
                      <w:highlight w:val="none"/>
                    </w:rPr>
                    <w:t>2</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氟化物</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0.124</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0.134</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auto"/>
                      <w:kern w:val="0"/>
                      <w:sz w:val="21"/>
                      <w:szCs w:val="21"/>
                      <w:u w:val="none"/>
                      <w:lang w:val="en-US" w:eastAsia="zh-CN"/>
                      <w:highlight w:val="none"/>
                    </w:rPr>
                    <w:t>硫酸盐</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14.5</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15.2</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硝酸盐</w:t>
                  </w:r>
                </w:p>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（以N计）</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0.633</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0.666</w:t>
                  </w:r>
                </w:p>
              </w:tc>
            </w:tr>
            <w:tr>
              <w:trPr>
                <w:cantSplit/>
                <w:trHeight w:val="340"/>
              </w:trPr>
              <w:tc>
                <w:tcPr>
                  <w:tcW w:w="500" w:type="pct"/>
                  <w:vMerge/>
                  <w:tcBorders>
                    <w:tl2br w:val="nil"/>
                    <w:tr2bl w:val="nil"/>
                  </w:tcBorders>
                  <w:vAlign w:val="center"/>
                </w:tcPr>
                <w:p/>
              </w:tc>
              <w:tc>
                <w:tcPr>
                  <w:tcW w:w="123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氯化物</w:t>
                  </w:r>
                </w:p>
              </w:tc>
              <w:tc>
                <w:tcPr>
                  <w:tcW w:w="1526"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5.25</w:t>
                  </w:r>
                </w:p>
              </w:tc>
              <w:tc>
                <w:tcPr>
                  <w:tcW w:w="1740" w:type="pct"/>
                  <w:tcBorders>
                    <w:tl2br w:val="nil"/>
                    <w:tr2bl w:val="nil"/>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i w:val="0"/>
                      <w:iCs w:val="0"/>
                      <w:color w:val="000000"/>
                      <w:kern w:val="0"/>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highlight w:val="none"/>
                    </w:rPr>
                    <w:t>5.52</w:t>
                  </w:r>
                </w:p>
              </w:tc>
            </w:tr>
          </w:tbl>
          <w:p>
            <w:pPr>
              <w:spacing w:line="360" w:lineRule="auto"/>
              <w:ind w:firstLineChars="200" w:firstLine="480"/>
              <w:rPr>
                <w:rFonts w:ascii="Times New Roman" w:eastAsia="宋体" w:cs="Times New Roman" w:hAnsi="Times New Roman" w:hint="eastAsia"/>
                <w:color w:val="000000"/>
                <w:sz w:val="24"/>
                <w:u w:val="single" w:color="auto"/>
                <w:highlight w:val="none"/>
              </w:rPr>
            </w:pPr>
          </w:p>
          <w:p>
            <w:pPr>
              <w:spacing w:line="360" w:lineRule="auto"/>
              <w:ind w:firstLineChars="200" w:firstLine="480"/>
              <w:rPr>
                <w:rFonts w:eastAsia="宋体" w:hint="eastAsia"/>
                <w:sz w:val="24"/>
                <w:lang w:val="en-US" w:eastAsia="zh-CN"/>
                <w:highlight w:val="none"/>
              </w:rPr>
            </w:pPr>
            <w:r>
              <w:rPr>
                <w:rFonts w:ascii="Times New Roman" w:eastAsia="宋体" w:cs="Times New Roman" w:hAnsi="Times New Roman" w:hint="eastAsia"/>
                <w:color w:val="000000"/>
                <w:sz w:val="24"/>
                <w:u w:val="single" w:color="auto"/>
                <w:highlight w:val="none"/>
              </w:rPr>
              <w:t>根据</w:t>
            </w:r>
            <w:r>
              <w:rPr>
                <w:rFonts w:cs="Times New Roman" w:hint="eastAsia"/>
                <w:color w:val="000000"/>
                <w:sz w:val="24"/>
                <w:u w:val="single" w:color="auto"/>
                <w:lang w:val="en-US" w:eastAsia="zh-CN"/>
                <w:highlight w:val="none"/>
              </w:rPr>
              <w:t>上述监测</w:t>
            </w:r>
            <w:r>
              <w:rPr>
                <w:rFonts w:ascii="Times New Roman" w:eastAsia="宋体" w:cs="Times New Roman" w:hAnsi="Times New Roman" w:hint="eastAsia"/>
                <w:color w:val="000000"/>
                <w:sz w:val="24"/>
                <w:u w:val="single" w:color="auto"/>
                <w:highlight w:val="none"/>
              </w:rPr>
              <w:t>结果</w:t>
            </w:r>
            <w:r>
              <w:rPr>
                <w:rFonts w:cs="Times New Roman" w:hint="eastAsia"/>
                <w:color w:val="000000"/>
                <w:sz w:val="24"/>
                <w:u w:val="single" w:color="auto"/>
                <w:lang w:eastAsia="zh-CN"/>
                <w:highlight w:val="none"/>
              </w:rPr>
              <w:t>，</w:t>
            </w:r>
            <w:r>
              <w:rPr>
                <w:rFonts w:cs="Times New Roman" w:hint="eastAsia"/>
                <w:color w:val="000000"/>
                <w:sz w:val="24"/>
                <w:u w:val="single" w:color="auto"/>
                <w:lang w:val="en-US" w:eastAsia="zh-CN"/>
                <w:highlight w:val="none"/>
              </w:rPr>
              <w:t>太青水库水质</w:t>
            </w:r>
            <w:r>
              <w:rPr>
                <w:rFonts w:ascii="Times New Roman" w:eastAsia="宋体" w:cs="Times New Roman" w:hAnsi="Times New Roman" w:hint="eastAsia"/>
                <w:color w:val="000000"/>
                <w:sz w:val="24"/>
                <w:u w:val="single" w:color="auto"/>
                <w:lang w:val="en-US" w:eastAsia="zh-CN"/>
                <w:highlight w:val="none"/>
              </w:rPr>
              <w:t>均</w:t>
            </w:r>
            <w:r>
              <w:rPr>
                <w:rFonts w:ascii="Times New Roman" w:eastAsia="宋体" w:cs="Times New Roman" w:hAnsi="Times New Roman" w:hint="eastAsia"/>
                <w:color w:val="000000"/>
                <w:sz w:val="24"/>
                <w:u w:val="single" w:color="auto"/>
                <w:highlight w:val="none"/>
              </w:rPr>
              <w:t>能达到《地表水环境质量标准》（GB3838-2002）Ⅱ类水质标准</w:t>
            </w:r>
            <w:r>
              <w:rPr>
                <w:rFonts w:eastAsia="宋体" w:cs="Times New Roman" w:hint="eastAsia"/>
                <w:color w:val="000000"/>
                <w:sz w:val="24"/>
                <w:u w:val="single" w:color="auto"/>
                <w:lang w:eastAsia="zh-CN"/>
                <w:highlight w:val="none"/>
              </w:rPr>
              <w:t>；</w:t>
            </w:r>
            <w:r>
              <w:rPr>
                <w:rFonts w:cs="Times New Roman" w:hint="eastAsia"/>
                <w:color w:val="000000"/>
                <w:sz w:val="24"/>
                <w:u w:val="single" w:color="auto"/>
                <w:lang w:val="en-US" w:eastAsia="zh-CN"/>
                <w:highlight w:val="none"/>
              </w:rPr>
              <w:t>又根据</w:t>
            </w:r>
            <w:r>
              <w:rPr>
                <w:rFonts w:ascii="Times New Roman" w:eastAsia="宋体" w:cs="Times New Roman" w:hAnsi="Times New Roman" w:hint="eastAsia"/>
                <w:color w:val="auto"/>
                <w:kern w:val="0"/>
                <w:sz w:val="24"/>
                <w:u w:val="single" w:color="auto"/>
                <w:lang w:val="en-US" w:eastAsia="zh-CN"/>
                <w:highlight w:val="none"/>
              </w:rPr>
              <w:t>湖南</w:t>
            </w:r>
            <w:r>
              <w:rPr>
                <w:rFonts w:cs="Times New Roman" w:hint="eastAsia"/>
                <w:color w:val="auto"/>
                <w:kern w:val="0"/>
                <w:sz w:val="24"/>
                <w:u w:val="single" w:color="auto"/>
                <w:lang w:val="en-US" w:eastAsia="zh-CN"/>
                <w:highlight w:val="none"/>
              </w:rPr>
              <w:t>博联</w:t>
            </w:r>
            <w:r>
              <w:rPr>
                <w:rFonts w:ascii="Times New Roman" w:eastAsia="宋体" w:cs="Times New Roman" w:hAnsi="Times New Roman" w:hint="eastAsia"/>
                <w:color w:val="auto"/>
                <w:kern w:val="0"/>
                <w:sz w:val="24"/>
                <w:u w:val="single" w:color="auto"/>
                <w:lang w:val="en-US" w:eastAsia="zh-CN"/>
                <w:highlight w:val="none"/>
              </w:rPr>
              <w:t>检测</w:t>
            </w:r>
            <w:r>
              <w:rPr>
                <w:rFonts w:cs="Times New Roman" w:hint="eastAsia"/>
                <w:color w:val="auto"/>
                <w:kern w:val="0"/>
                <w:sz w:val="24"/>
                <w:u w:val="single" w:color="auto"/>
                <w:lang w:val="en-US" w:eastAsia="zh-CN"/>
                <w:highlight w:val="none"/>
              </w:rPr>
              <w:t>集团</w:t>
            </w:r>
            <w:r>
              <w:rPr>
                <w:rFonts w:ascii="Times New Roman" w:eastAsia="宋体" w:cs="Times New Roman" w:hAnsi="Times New Roman" w:hint="eastAsia"/>
                <w:color w:val="auto"/>
                <w:kern w:val="0"/>
                <w:sz w:val="24"/>
                <w:u w:val="single" w:color="auto"/>
                <w:lang w:val="en-US" w:eastAsia="zh-CN"/>
                <w:highlight w:val="none"/>
              </w:rPr>
              <w:t>有限</w:t>
            </w:r>
            <w:r>
              <w:rPr>
                <w:rFonts w:cs="Times New Roman" w:hint="eastAsia"/>
                <w:color w:val="auto"/>
                <w:kern w:val="0"/>
                <w:sz w:val="24"/>
                <w:u w:val="single" w:color="auto"/>
                <w:lang w:val="en-US" w:eastAsia="zh-CN"/>
                <w:highlight w:val="none"/>
              </w:rPr>
              <w:t>责任</w:t>
            </w:r>
            <w:r>
              <w:rPr>
                <w:rFonts w:ascii="Times New Roman" w:eastAsia="宋体" w:cs="Times New Roman" w:hAnsi="Times New Roman" w:hint="eastAsia"/>
                <w:color w:val="auto"/>
                <w:kern w:val="0"/>
                <w:sz w:val="24"/>
                <w:u w:val="single" w:color="auto"/>
                <w:lang w:val="en-US" w:eastAsia="zh-CN"/>
                <w:highlight w:val="none"/>
              </w:rPr>
              <w:t>公司</w:t>
            </w:r>
            <w:r>
              <w:rPr>
                <w:rFonts w:cs="Times New Roman" w:hint="eastAsia"/>
                <w:color w:val="auto"/>
                <w:kern w:val="0"/>
                <w:sz w:val="24"/>
                <w:u w:val="single" w:color="auto"/>
                <w:lang w:val="en-US" w:eastAsia="zh-CN"/>
                <w:highlight w:val="none"/>
              </w:rPr>
              <w:t>对太青水库进行的地表水环境质量现状监测（详见附件11）和</w:t>
            </w:r>
            <w:r>
              <w:rPr>
                <w:rFonts w:ascii="Times New Roman" w:eastAsia="宋体" w:cs="Times New Roman" w:hAnsi="Times New Roman" w:hint="eastAsia"/>
                <w:color w:val="000000"/>
                <w:sz w:val="24"/>
                <w:u w:val="single" w:color="auto"/>
                <w:highlight w:val="none"/>
              </w:rPr>
              <w:t>湖南华科环境检测技术服务有限公司</w:t>
            </w:r>
            <w:r>
              <w:rPr>
                <w:rFonts w:cs="Times New Roman" w:hint="eastAsia"/>
                <w:color w:val="000000"/>
                <w:sz w:val="24"/>
                <w:u w:val="single" w:color="auto"/>
                <w:lang w:val="en-US" w:eastAsia="zh-CN"/>
                <w:highlight w:val="none"/>
              </w:rPr>
              <w:t>2024年3月21日</w:t>
            </w:r>
            <w:r>
              <w:rPr>
                <w:rFonts w:cs="Times New Roman" w:hint="eastAsia"/>
                <w:color w:val="auto"/>
                <w:kern w:val="0"/>
                <w:sz w:val="24"/>
                <w:u w:val="single" w:color="auto"/>
                <w:lang w:val="en-US" w:eastAsia="zh-CN"/>
                <w:highlight w:val="none"/>
              </w:rPr>
              <w:t>对太青水库进行的地表水环境质量现状监测（叶绿素：6×10</w:t>
            </w:r>
            <w:r>
              <w:rPr>
                <w:rFonts w:cs="Times New Roman" w:hint="eastAsia"/>
                <w:color w:val="auto"/>
                <w:kern w:val="0"/>
                <w:sz w:val="24"/>
                <w:u w:val="single" w:color="auto"/>
                <w:vertAlign w:val="superscript"/>
                <w:lang w:val="en-US" w:eastAsia="zh-CN"/>
                <w:highlight w:val="none"/>
              </w:rPr>
              <w:t>-3</w:t>
            </w:r>
            <w:r>
              <w:rPr>
                <w:rFonts w:cs="Times New Roman" w:hint="eastAsia"/>
                <w:color w:val="auto"/>
                <w:kern w:val="0"/>
                <w:sz w:val="24"/>
                <w:u w:val="single" w:color="auto"/>
                <w:lang w:val="en-US" w:eastAsia="zh-CN"/>
                <w:highlight w:val="none"/>
              </w:rPr>
              <w:t>mg/L、透明度：55cm）</w:t>
            </w:r>
            <w:r>
              <w:rPr>
                <w:rFonts w:ascii="Times New Roman" w:eastAsia="宋体" w:cs="Times New Roman" w:hAnsi="Times New Roman"/>
                <w:color w:val="auto"/>
                <w:kern w:val="0"/>
                <w:sz w:val="24"/>
                <w:u w:val="single" w:color="auto"/>
                <w:highlight w:val="none"/>
              </w:rPr>
              <w:t>，</w:t>
            </w:r>
            <w:r>
              <w:rPr>
                <w:rFonts w:ascii="Times New Roman" w:eastAsia="宋体" w:cs="Times New Roman" w:hAnsi="Times New Roman" w:hint="eastAsia"/>
                <w:color w:val="000000"/>
                <w:sz w:val="24"/>
                <w:u w:val="single" w:color="auto"/>
                <w:highlight w:val="none"/>
              </w:rPr>
              <w:t>地表水环境现状的监测因子为《地表水环境质量标准》（GB3838-2002）表1中24项、表2中5项、表3中80项</w:t>
            </w:r>
            <w:r>
              <w:rPr>
                <w:rFonts w:cs="Times New Roman" w:hint="eastAsia"/>
                <w:color w:val="000000"/>
                <w:sz w:val="24"/>
                <w:u w:val="single" w:color="auto"/>
                <w:lang w:eastAsia="zh-CN"/>
                <w:highlight w:val="none"/>
              </w:rPr>
              <w:t>、</w:t>
            </w:r>
            <w:r>
              <w:rPr>
                <w:rFonts w:cs="Times New Roman" w:hint="eastAsia"/>
                <w:color w:val="auto"/>
                <w:kern w:val="0"/>
                <w:sz w:val="24"/>
                <w:u w:val="single" w:color="auto"/>
                <w:lang w:val="en-US" w:eastAsia="zh-CN"/>
                <w:highlight w:val="none"/>
              </w:rPr>
              <w:t>叶绿素、透明度</w:t>
            </w:r>
            <w:r>
              <w:rPr>
                <w:rFonts w:ascii="Times New Roman" w:eastAsia="宋体" w:cs="Times New Roman" w:hAnsi="Times New Roman" w:hint="eastAsia"/>
                <w:color w:val="000000"/>
                <w:sz w:val="24"/>
                <w:u w:val="single" w:color="auto"/>
                <w:highlight w:val="none"/>
              </w:rPr>
              <w:t>，合计</w:t>
            </w:r>
            <w:r>
              <w:rPr>
                <w:rFonts w:cs="Times New Roman" w:hint="eastAsia"/>
                <w:color w:val="000000"/>
                <w:sz w:val="24"/>
                <w:u w:val="single" w:color="auto"/>
                <w:lang w:val="en-US" w:eastAsia="zh-CN"/>
                <w:highlight w:val="none"/>
              </w:rPr>
              <w:t>111</w:t>
            </w:r>
            <w:r>
              <w:rPr>
                <w:rFonts w:ascii="Times New Roman" w:eastAsia="宋体" w:cs="Times New Roman" w:hAnsi="Times New Roman" w:hint="eastAsia"/>
                <w:color w:val="000000"/>
                <w:sz w:val="24"/>
                <w:u w:val="single" w:color="auto"/>
                <w:highlight w:val="none"/>
              </w:rPr>
              <w:t>项</w:t>
            </w:r>
            <w:r>
              <w:rPr>
                <w:rFonts w:cs="Times New Roman" w:hint="eastAsia"/>
                <w:color w:val="000000"/>
                <w:sz w:val="24"/>
                <w:u w:val="single" w:color="auto"/>
                <w:lang w:val="en-US" w:eastAsia="zh-CN"/>
                <w:highlight w:val="none"/>
              </w:rPr>
              <w:t>均满足</w:t>
            </w:r>
            <w:r>
              <w:rPr>
                <w:color w:val="000000"/>
                <w:kern w:val="0"/>
                <w:sz w:val="24"/>
                <w:u w:val="single" w:color="auto"/>
                <w:highlight w:val="none"/>
              </w:rPr>
              <w:t>《地表水环境质量标准》（GB3838-2002）Ⅱ类标准</w:t>
            </w:r>
            <w:r>
              <w:rPr>
                <w:rFonts w:ascii="Times New Roman" w:eastAsia="宋体" w:cs="Times New Roman" w:hAnsi="Times New Roman" w:hint="eastAsia"/>
                <w:color w:val="000000"/>
                <w:sz w:val="24"/>
                <w:u w:val="single" w:color="auto"/>
                <w:highlight w:val="none"/>
              </w:rPr>
              <w:t>。</w:t>
            </w:r>
          </w:p>
          <w:p>
            <w:pPr>
              <w:spacing w:line="360" w:lineRule="auto"/>
              <w:rPr>
                <w:b/>
                <w:bCs/>
                <w:sz w:val="24"/>
                <w:highlight w:val="none"/>
              </w:rPr>
            </w:pPr>
            <w:r>
              <w:rPr>
                <w:b/>
                <w:bCs/>
                <w:sz w:val="24"/>
                <w:highlight w:val="none"/>
              </w:rPr>
              <w:t>3、声环境现状评价</w:t>
            </w:r>
          </w:p>
          <w:p>
            <w:pPr>
              <w:spacing w:line="360" w:lineRule="auto"/>
              <w:ind w:firstLineChars="200" w:firstLine="480"/>
              <w:rPr>
                <w:bCs/>
                <w:sz w:val="24"/>
                <w:highlight w:val="none"/>
              </w:rPr>
            </w:pPr>
            <w:r>
              <w:rPr>
                <w:bCs/>
                <w:sz w:val="24"/>
                <w:highlight w:val="none"/>
              </w:rPr>
              <w:t>为了解建设项目所在地的声环境背景情况，对建设项目周围噪声现状进行现场监测。</w:t>
            </w:r>
          </w:p>
          <w:p>
            <w:pPr>
              <w:spacing w:line="360" w:lineRule="auto"/>
              <w:ind w:firstLineChars="200" w:firstLine="480"/>
              <w:rPr>
                <w:sz w:val="24"/>
                <w:highlight w:val="none"/>
              </w:rPr>
            </w:pPr>
            <w:r>
              <w:rPr>
                <w:bCs/>
                <w:sz w:val="24"/>
                <w:highlight w:val="none"/>
              </w:rPr>
              <w:t>监测位置：</w:t>
            </w:r>
            <w:r>
              <w:rPr>
                <w:rFonts w:hint="eastAsia"/>
                <w:sz w:val="24"/>
                <w:highlight w:val="none"/>
              </w:rPr>
              <w:t>共设置</w:t>
            </w:r>
            <w:r>
              <w:rPr>
                <w:rFonts w:hint="eastAsia"/>
                <w:sz w:val="24"/>
                <w:lang w:val="en-US" w:eastAsia="zh-CN"/>
                <w:highlight w:val="none"/>
              </w:rPr>
              <w:t>9</w:t>
            </w:r>
            <w:r>
              <w:rPr>
                <w:rFonts w:hint="eastAsia"/>
                <w:sz w:val="24"/>
                <w:highlight w:val="none"/>
              </w:rPr>
              <w:t>个监测点</w:t>
            </w:r>
            <w:r>
              <w:rPr>
                <w:bCs/>
                <w:sz w:val="24"/>
                <w:highlight w:val="none"/>
              </w:rPr>
              <w:t>；</w:t>
            </w:r>
          </w:p>
          <w:p>
            <w:pPr>
              <w:spacing w:line="360" w:lineRule="auto"/>
              <w:ind w:firstLineChars="200" w:firstLine="480"/>
              <w:rPr>
                <w:bCs/>
                <w:sz w:val="24"/>
                <w:highlight w:val="none"/>
              </w:rPr>
            </w:pPr>
            <w:r>
              <w:rPr>
                <w:bCs/>
                <w:sz w:val="24"/>
                <w:highlight w:val="none"/>
              </w:rPr>
              <w:t>监测时间：</w:t>
            </w:r>
            <w:r>
              <w:rPr>
                <w:rFonts w:hint="eastAsia"/>
                <w:bCs/>
                <w:sz w:val="24"/>
                <w:highlight w:val="none"/>
              </w:rPr>
              <w:t>202</w:t>
            </w:r>
            <w:r>
              <w:rPr>
                <w:rFonts w:hint="eastAsia"/>
                <w:bCs/>
                <w:sz w:val="24"/>
                <w:lang w:val="en-US" w:eastAsia="zh-CN"/>
                <w:highlight w:val="none"/>
              </w:rPr>
              <w:t>5</w:t>
            </w:r>
            <w:r>
              <w:rPr>
                <w:rFonts w:hint="eastAsia"/>
                <w:bCs/>
                <w:sz w:val="24"/>
                <w:highlight w:val="none"/>
              </w:rPr>
              <w:t>年</w:t>
            </w:r>
            <w:r>
              <w:rPr>
                <w:rFonts w:hint="eastAsia"/>
                <w:bCs/>
                <w:sz w:val="24"/>
                <w:lang w:val="en-US" w:eastAsia="zh-CN"/>
                <w:highlight w:val="none"/>
              </w:rPr>
              <w:t>8</w:t>
            </w:r>
            <w:r>
              <w:rPr>
                <w:rFonts w:hint="eastAsia"/>
                <w:bCs/>
                <w:sz w:val="24"/>
                <w:highlight w:val="none"/>
              </w:rPr>
              <w:t>月</w:t>
            </w:r>
            <w:r>
              <w:rPr>
                <w:rFonts w:hint="eastAsia"/>
                <w:bCs/>
                <w:sz w:val="24"/>
                <w:lang w:val="en-US" w:eastAsia="zh-CN"/>
                <w:highlight w:val="none"/>
              </w:rPr>
              <w:t>6</w:t>
            </w:r>
            <w:r>
              <w:rPr>
                <w:rFonts w:hint="eastAsia"/>
                <w:bCs/>
                <w:sz w:val="24"/>
                <w:highlight w:val="none"/>
              </w:rPr>
              <w:t>日；</w:t>
            </w:r>
          </w:p>
          <w:p>
            <w:pPr>
              <w:spacing w:line="360" w:lineRule="auto"/>
              <w:ind w:firstLineChars="200" w:firstLine="480"/>
              <w:rPr>
                <w:bCs/>
                <w:sz w:val="24"/>
                <w:highlight w:val="none"/>
              </w:rPr>
            </w:pPr>
            <w:r>
              <w:rPr>
                <w:bCs/>
                <w:sz w:val="24"/>
                <w:highlight w:val="none"/>
              </w:rPr>
              <w:t>监测频次：各监测点昼</w:t>
            </w:r>
            <w:r>
              <w:rPr>
                <w:rFonts w:hint="eastAsia"/>
                <w:bCs/>
                <w:sz w:val="24"/>
                <w:lang w:eastAsia="zh-CN"/>
                <w:highlight w:val="none"/>
              </w:rPr>
              <w:t>、</w:t>
            </w:r>
            <w:r>
              <w:rPr>
                <w:rFonts w:hint="eastAsia"/>
                <w:bCs/>
                <w:sz w:val="24"/>
                <w:lang w:val="en-US" w:eastAsia="zh-CN"/>
                <w:highlight w:val="none"/>
              </w:rPr>
              <w:t>夜</w:t>
            </w:r>
            <w:r>
              <w:rPr>
                <w:bCs/>
                <w:sz w:val="24"/>
                <w:highlight w:val="none"/>
              </w:rPr>
              <w:t>间</w:t>
            </w:r>
            <w:r>
              <w:rPr>
                <w:rFonts w:hint="eastAsia"/>
                <w:bCs/>
                <w:sz w:val="24"/>
                <w:lang w:val="en-US" w:eastAsia="zh-CN"/>
                <w:highlight w:val="none"/>
              </w:rPr>
              <w:t>各</w:t>
            </w:r>
            <w:r>
              <w:rPr>
                <w:bCs/>
                <w:sz w:val="24"/>
                <w:highlight w:val="none"/>
              </w:rPr>
              <w:t>监测一次</w:t>
            </w:r>
            <w:r>
              <w:rPr>
                <w:rFonts w:hint="eastAsia"/>
                <w:bCs/>
                <w:sz w:val="24"/>
                <w:highlight w:val="none"/>
              </w:rPr>
              <w:t>；</w:t>
            </w:r>
          </w:p>
          <w:p>
            <w:pPr>
              <w:spacing w:line="360" w:lineRule="auto"/>
              <w:ind w:firstLineChars="200" w:firstLine="480"/>
              <w:rPr>
                <w:sz w:val="24"/>
                <w:highlight w:val="none"/>
              </w:rPr>
            </w:pPr>
            <w:r>
              <w:rPr>
                <w:sz w:val="24"/>
                <w:highlight w:val="none"/>
              </w:rPr>
              <w:t>监测方法：执行《声环境质量标准》（GB3096-2008）中的有关规定进行。</w:t>
            </w:r>
          </w:p>
          <w:p>
            <w:pPr>
              <w:spacing w:line="360" w:lineRule="auto"/>
              <w:ind w:firstLineChars="200" w:firstLine="480"/>
              <w:rPr>
                <w:sz w:val="24"/>
                <w:highlight w:val="none"/>
              </w:rPr>
            </w:pPr>
            <w:r>
              <w:rPr>
                <w:sz w:val="24"/>
                <w:highlight w:val="none"/>
              </w:rPr>
              <w:t>项目声环境监测点和监测结果见表3-</w:t>
            </w:r>
            <w:r>
              <w:rPr>
                <w:rFonts w:hint="eastAsia"/>
                <w:sz w:val="24"/>
                <w:lang w:val="en-US" w:eastAsia="zh-CN"/>
                <w:highlight w:val="none"/>
              </w:rPr>
              <w:t>4</w:t>
            </w:r>
            <w:r>
              <w:rPr>
                <w:sz w:val="24"/>
                <w:highlight w:val="none"/>
              </w:rPr>
              <w:t>。</w:t>
            </w:r>
          </w:p>
          <w:p>
            <w:pPr>
              <w:jc w:val="center"/>
              <w:rPr>
                <w:b/>
                <w:szCs w:val="21"/>
                <w:highlight w:val="none"/>
              </w:rPr>
            </w:pPr>
            <w:r>
              <w:rPr>
                <w:b/>
                <w:szCs w:val="21"/>
                <w:highlight w:val="none"/>
              </w:rPr>
              <w:t>表3-</w:t>
            </w:r>
            <w:r>
              <w:rPr>
                <w:rFonts w:hint="eastAsia"/>
                <w:b/>
                <w:szCs w:val="21"/>
                <w:lang w:val="en-US" w:eastAsia="zh-CN"/>
                <w:highlight w:val="none"/>
              </w:rPr>
              <w:t>3</w:t>
            </w:r>
            <w:r>
              <w:rPr>
                <w:b/>
                <w:szCs w:val="21"/>
                <w:highlight w:val="none"/>
              </w:rPr>
              <w:t xml:space="preserve">  声环境现状监测结果</w:t>
            </w:r>
            <w:r>
              <w:rPr>
                <w:rFonts w:hint="eastAsia"/>
                <w:b/>
                <w:szCs w:val="21"/>
                <w:highlight w:val="none"/>
              </w:rPr>
              <w:t xml:space="preserve">  </w:t>
            </w:r>
            <w:r>
              <w:rPr>
                <w:b/>
                <w:szCs w:val="21"/>
                <w:highlight w:val="none"/>
              </w:rPr>
              <w:t>单位：dB(A)</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539"/>
              <w:gridCol w:w="1613"/>
              <w:gridCol w:w="1235"/>
              <w:gridCol w:w="1434"/>
              <w:gridCol w:w="1015"/>
              <w:gridCol w:w="983"/>
            </w:tblGrid>
            <w:tr>
              <w:trPr>
                <w:trHeight w:val="340"/>
              </w:trPr>
              <w:tc>
                <w:tcPr>
                  <w:tcW w:w="1244" w:type="pct"/>
                  <w:vAlign w:val="center"/>
                </w:tcPr>
                <w:p>
                  <w:pPr>
                    <w:adjustRightInd w:val="0"/>
                    <w:snapToGrid w:val="0"/>
                    <w:jc w:val="center"/>
                    <w:rPr>
                      <w:b/>
                      <w:szCs w:val="21"/>
                      <w:highlight w:val="none"/>
                    </w:rPr>
                  </w:pPr>
                  <w:r>
                    <w:rPr>
                      <w:b/>
                      <w:szCs w:val="21"/>
                      <w:highlight w:val="none"/>
                    </w:rPr>
                    <w:t>测点名称</w:t>
                  </w:r>
                </w:p>
              </w:tc>
              <w:tc>
                <w:tcPr>
                  <w:tcW w:w="1356" w:type="pct"/>
                  <w:gridSpan w:val="2"/>
                  <w:vAlign w:val="center"/>
                </w:tcPr>
                <w:p>
                  <w:pPr>
                    <w:adjustRightInd w:val="0"/>
                    <w:snapToGrid w:val="0"/>
                    <w:jc w:val="center"/>
                    <w:rPr>
                      <w:b/>
                      <w:szCs w:val="21"/>
                      <w:highlight w:val="none"/>
                    </w:rPr>
                  </w:pPr>
                  <w:r>
                    <w:rPr>
                      <w:b/>
                      <w:szCs w:val="21"/>
                      <w:highlight w:val="none"/>
                    </w:rPr>
                    <w:t>测试时间</w:t>
                  </w:r>
                </w:p>
              </w:tc>
              <w:tc>
                <w:tcPr>
                  <w:tcW w:w="993" w:type="pct"/>
                  <w:vAlign w:val="center"/>
                </w:tcPr>
                <w:p>
                  <w:pPr>
                    <w:adjustRightInd w:val="0"/>
                    <w:snapToGrid w:val="0"/>
                    <w:jc w:val="center"/>
                    <w:rPr>
                      <w:b/>
                      <w:szCs w:val="21"/>
                      <w:highlight w:val="none"/>
                    </w:rPr>
                  </w:pPr>
                  <w:r>
                    <w:rPr>
                      <w:b/>
                      <w:szCs w:val="21"/>
                      <w:highlight w:val="none"/>
                    </w:rPr>
                    <w:t>测试结果/Leq</w:t>
                  </w:r>
                </w:p>
              </w:tc>
              <w:tc>
                <w:tcPr>
                  <w:tcW w:w="722" w:type="pct"/>
                  <w:vAlign w:val="center"/>
                </w:tcPr>
                <w:p>
                  <w:pPr>
                    <w:adjustRightInd w:val="0"/>
                    <w:snapToGrid w:val="0"/>
                    <w:jc w:val="center"/>
                    <w:rPr>
                      <w:b/>
                      <w:szCs w:val="21"/>
                      <w:highlight w:val="none"/>
                    </w:rPr>
                  </w:pPr>
                  <w:r>
                    <w:rPr>
                      <w:rFonts w:hint="eastAsia"/>
                      <w:b/>
                      <w:szCs w:val="21"/>
                      <w:highlight w:val="none"/>
                    </w:rPr>
                    <w:t>执行标准</w:t>
                  </w:r>
                </w:p>
              </w:tc>
              <w:tc>
                <w:tcPr>
                  <w:tcW w:w="682" w:type="pct"/>
                  <w:vAlign w:val="center"/>
                </w:tcPr>
                <w:p>
                  <w:pPr>
                    <w:adjustRightInd w:val="0"/>
                    <w:snapToGrid w:val="0"/>
                    <w:jc w:val="center"/>
                    <w:rPr>
                      <w:b/>
                      <w:szCs w:val="21"/>
                      <w:highlight w:val="none"/>
                    </w:rPr>
                  </w:pPr>
                  <w:r>
                    <w:rPr>
                      <w:rFonts w:hint="eastAsia"/>
                      <w:b/>
                      <w:szCs w:val="21"/>
                      <w:highlight w:val="none"/>
                    </w:rPr>
                    <w:t>达标情况</w:t>
                  </w:r>
                </w:p>
              </w:tc>
            </w:tr>
            <w:tr>
              <w:trPr>
                <w:trHeight w:val="340"/>
              </w:trPr>
              <w:tc>
                <w:tcPr>
                  <w:tcW w:w="1244" w:type="pct"/>
                  <w:vMerge w:val="restart"/>
                  <w:vAlign w:val="center"/>
                </w:tcPr>
                <w:p>
                  <w:pPr>
                    <w:widowControl/>
                    <w:spacing w:line="240" w:lineRule="auto"/>
                    <w:jc w:val="center"/>
                    <w:rPr>
                      <w:rFonts w:ascii="Times New Roman" w:cs="Times New Roman" w:hAnsi="Times New Roman"/>
                      <w:szCs w:val="21"/>
                      <w:highlight w:val="none"/>
                    </w:rPr>
                  </w:pPr>
                  <w:r>
                    <w:rPr>
                      <w:rFonts w:ascii="Times New Roman" w:eastAsia="宋体" w:cs="Times New Roman" w:hAnsi="Times New Roman"/>
                      <w:kern w:val="0"/>
                      <w:sz w:val="21"/>
                      <w:szCs w:val="21"/>
                      <w:lang w:val="en-US" w:eastAsia="zh-CN"/>
                      <w:highlight w:val="none"/>
                    </w:rPr>
                    <w:t>N1太青水厂北侧最近居民点</w:t>
                  </w:r>
                </w:p>
              </w:tc>
              <w:tc>
                <w:tcPr>
                  <w:tcW w:w="813" w:type="pct"/>
                  <w:vMerge w:val="restart"/>
                  <w:vAlign w:val="center"/>
                </w:tcPr>
                <w:p>
                  <w:pPr>
                    <w:adjustRightInd w:val="0"/>
                    <w:snapToGrid w:val="0"/>
                    <w:jc w:val="center"/>
                    <w:rPr>
                      <w:rFonts w:eastAsia="宋体"/>
                      <w:bCs/>
                      <w:szCs w:val="21"/>
                      <w:lang w:val="en-US" w:eastAsia="zh-CN"/>
                      <w:highlight w:val="none"/>
                    </w:rPr>
                  </w:pPr>
                  <w:r>
                    <w:rPr>
                      <w:rFonts w:hint="eastAsia"/>
                      <w:bCs/>
                      <w:szCs w:val="21"/>
                      <w:lang w:val="en-US" w:eastAsia="zh-CN"/>
                      <w:highlight w:val="none"/>
                    </w:rPr>
                    <w:t>2025.8.6</w:t>
                  </w:r>
                </w:p>
              </w:tc>
              <w:tc>
                <w:tcPr>
                  <w:tcW w:w="543" w:type="pct"/>
                  <w:vAlign w:val="center"/>
                </w:tcPr>
                <w:p>
                  <w:pPr>
                    <w:adjustRightInd w:val="0"/>
                    <w:snapToGrid w:val="0"/>
                    <w:jc w:val="center"/>
                    <w:rPr>
                      <w:szCs w:val="21"/>
                      <w:highlight w:val="none"/>
                    </w:rPr>
                  </w:pPr>
                  <w:r>
                    <w:rPr>
                      <w:rFonts w:hint="eastAsia"/>
                      <w:szCs w:val="21"/>
                      <w:highlight w:val="none"/>
                    </w:rPr>
                    <w:t>昼间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48.6</w:t>
                  </w:r>
                </w:p>
              </w:tc>
              <w:tc>
                <w:tcPr>
                  <w:tcW w:w="722" w:type="pct"/>
                  <w:vAlign w:val="center"/>
                </w:tcPr>
                <w:p>
                  <w:pPr>
                    <w:adjustRightInd w:val="0"/>
                    <w:snapToGrid w:val="0"/>
                    <w:jc w:val="center"/>
                    <w:rPr>
                      <w:szCs w:val="21"/>
                      <w:highlight w:val="none"/>
                    </w:rPr>
                  </w:pPr>
                  <w:r>
                    <w:rPr>
                      <w:szCs w:val="21"/>
                      <w:highlight w:val="none"/>
                    </w:rPr>
                    <w:t>60</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ign w:val="center"/>
                </w:tcPr>
                <w:p/>
              </w:tc>
              <w:tc>
                <w:tcPr>
                  <w:tcW w:w="813" w:type="pct"/>
                  <w:vMerge/>
                  <w:vAlign w:val="center"/>
                </w:tcPr>
                <w:p/>
              </w:tc>
              <w:tc>
                <w:tcPr>
                  <w:tcW w:w="543" w:type="pct"/>
                  <w:vAlign w:val="center"/>
                </w:tcPr>
                <w:p>
                  <w:pPr>
                    <w:adjustRightInd w:val="0"/>
                    <w:snapToGrid w:val="0"/>
                    <w:jc w:val="center"/>
                    <w:rPr>
                      <w:szCs w:val="21"/>
                      <w:highlight w:val="none"/>
                    </w:rPr>
                  </w:pPr>
                  <w:r>
                    <w:rPr>
                      <w:rFonts w:hint="eastAsia"/>
                      <w:szCs w:val="21"/>
                      <w:highlight w:val="none"/>
                    </w:rPr>
                    <w:t>夜间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44.8</w:t>
                  </w:r>
                </w:p>
              </w:tc>
              <w:tc>
                <w:tcPr>
                  <w:tcW w:w="722" w:type="pct"/>
                  <w:vAlign w:val="center"/>
                </w:tcPr>
                <w:p>
                  <w:pPr>
                    <w:adjustRightInd w:val="0"/>
                    <w:snapToGrid w:val="0"/>
                    <w:jc w:val="center"/>
                    <w:rPr>
                      <w:szCs w:val="21"/>
                      <w:highlight w:val="none"/>
                    </w:rPr>
                  </w:pPr>
                  <w:r>
                    <w:rPr>
                      <w:szCs w:val="21"/>
                      <w:highlight w:val="none"/>
                    </w:rPr>
                    <w:t>50</w:t>
                  </w:r>
                  <w:r>
                    <w:rPr>
                      <w:rFonts w:hint="eastAsia"/>
                      <w:szCs w:val="21"/>
                      <w:highlight w:val="none"/>
                    </w:rPr>
                    <w:t xml:space="preserve"> </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restart"/>
                  <w:vAlign w:val="center"/>
                </w:tcPr>
                <w:p>
                  <w:pPr>
                    <w:widowControl/>
                    <w:spacing w:line="240" w:lineRule="auto"/>
                    <w:jc w:val="center"/>
                    <w:rPr>
                      <w:rFonts w:ascii="Times New Roman" w:cs="Times New Roman" w:hAnsi="Times New Roman"/>
                      <w:szCs w:val="21"/>
                      <w:highlight w:val="none"/>
                    </w:rPr>
                  </w:pPr>
                  <w:r>
                    <w:rPr>
                      <w:rFonts w:ascii="Times New Roman" w:eastAsia="宋体" w:cs="Times New Roman" w:hAnsi="Times New Roman"/>
                      <w:kern w:val="0"/>
                      <w:sz w:val="21"/>
                      <w:szCs w:val="21"/>
                      <w:lang w:val="en-US" w:eastAsia="zh-CN"/>
                      <w:highlight w:val="none"/>
                    </w:rPr>
                    <w:t>N2探裕-遇市村加压泵站东侧最近居民点</w:t>
                  </w:r>
                </w:p>
              </w:tc>
              <w:tc>
                <w:tcPr>
                  <w:tcW w:w="813" w:type="pct"/>
                  <w:vMerge w:val="restart"/>
                  <w:vAlign w:val="center"/>
                </w:tcPr>
                <w:p>
                  <w:pPr>
                    <w:adjustRightInd w:val="0"/>
                    <w:snapToGrid w:val="0"/>
                    <w:jc w:val="center"/>
                    <w:rPr>
                      <w:bCs/>
                      <w:szCs w:val="21"/>
                      <w:highlight w:val="none"/>
                    </w:rPr>
                  </w:pPr>
                  <w:r>
                    <w:rPr>
                      <w:rFonts w:hint="eastAsia"/>
                      <w:bCs/>
                      <w:szCs w:val="21"/>
                      <w:lang w:val="en-US" w:eastAsia="zh-CN"/>
                      <w:highlight w:val="none"/>
                    </w:rPr>
                    <w:t>2025.8.6</w:t>
                  </w:r>
                </w:p>
              </w:tc>
              <w:tc>
                <w:tcPr>
                  <w:tcW w:w="543" w:type="pct"/>
                  <w:vAlign w:val="center"/>
                </w:tcPr>
                <w:p>
                  <w:pPr>
                    <w:adjustRightInd w:val="0"/>
                    <w:snapToGrid w:val="0"/>
                    <w:jc w:val="center"/>
                    <w:rPr>
                      <w:szCs w:val="21"/>
                      <w:highlight w:val="none"/>
                    </w:rPr>
                  </w:pPr>
                  <w:r>
                    <w:rPr>
                      <w:rFonts w:hint="eastAsia"/>
                      <w:szCs w:val="21"/>
                      <w:highlight w:val="none"/>
                    </w:rPr>
                    <w:t>昼间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48.5</w:t>
                  </w:r>
                </w:p>
              </w:tc>
              <w:tc>
                <w:tcPr>
                  <w:tcW w:w="722" w:type="pct"/>
                  <w:vAlign w:val="center"/>
                </w:tcPr>
                <w:p>
                  <w:pPr>
                    <w:adjustRightInd w:val="0"/>
                    <w:snapToGrid w:val="0"/>
                    <w:jc w:val="center"/>
                    <w:rPr>
                      <w:szCs w:val="21"/>
                      <w:highlight w:val="none"/>
                    </w:rPr>
                  </w:pPr>
                  <w:r>
                    <w:rPr>
                      <w:szCs w:val="21"/>
                      <w:highlight w:val="none"/>
                    </w:rPr>
                    <w:t>60</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ign w:val="center"/>
                </w:tcPr>
                <w:p/>
              </w:tc>
              <w:tc>
                <w:tcPr>
                  <w:tcW w:w="813" w:type="pct"/>
                  <w:vMerge/>
                  <w:vAlign w:val="center"/>
                </w:tcPr>
                <w:p/>
              </w:tc>
              <w:tc>
                <w:tcPr>
                  <w:tcW w:w="543" w:type="pct"/>
                  <w:vAlign w:val="center"/>
                </w:tcPr>
                <w:p>
                  <w:pPr>
                    <w:adjustRightInd w:val="0"/>
                    <w:snapToGrid w:val="0"/>
                    <w:jc w:val="center"/>
                    <w:rPr>
                      <w:szCs w:val="21"/>
                      <w:highlight w:val="none"/>
                    </w:rPr>
                  </w:pPr>
                  <w:r>
                    <w:rPr>
                      <w:rFonts w:hint="eastAsia"/>
                      <w:szCs w:val="21"/>
                      <w:highlight w:val="none"/>
                    </w:rPr>
                    <w:t>夜间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44.1</w:t>
                  </w:r>
                </w:p>
              </w:tc>
              <w:tc>
                <w:tcPr>
                  <w:tcW w:w="722" w:type="pct"/>
                  <w:vAlign w:val="center"/>
                </w:tcPr>
                <w:p>
                  <w:pPr>
                    <w:adjustRightInd w:val="0"/>
                    <w:snapToGrid w:val="0"/>
                    <w:jc w:val="center"/>
                    <w:rPr>
                      <w:szCs w:val="21"/>
                      <w:highlight w:val="none"/>
                    </w:rPr>
                  </w:pPr>
                  <w:r>
                    <w:rPr>
                      <w:szCs w:val="21"/>
                      <w:highlight w:val="none"/>
                    </w:rPr>
                    <w:t>50</w:t>
                  </w:r>
                  <w:r>
                    <w:rPr>
                      <w:rFonts w:hint="eastAsia"/>
                      <w:szCs w:val="21"/>
                      <w:highlight w:val="none"/>
                    </w:rPr>
                    <w:t xml:space="preserve"> </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restart"/>
                  <w:vAlign w:val="center"/>
                </w:tcPr>
                <w:p>
                  <w:pPr>
                    <w:widowControl/>
                    <w:spacing w:line="240" w:lineRule="auto"/>
                    <w:jc w:val="center"/>
                    <w:rPr>
                      <w:rFonts w:ascii="Times New Roman" w:cs="Times New Roman" w:hAnsi="Times New Roman"/>
                      <w:szCs w:val="21"/>
                      <w:highlight w:val="none"/>
                    </w:rPr>
                  </w:pPr>
                  <w:r>
                    <w:rPr>
                      <w:rFonts w:ascii="Times New Roman" w:eastAsia="宋体" w:cs="Times New Roman" w:hAnsi="Times New Roman"/>
                      <w:kern w:val="0"/>
                      <w:sz w:val="21"/>
                      <w:szCs w:val="21"/>
                      <w:lang w:val="en-US" w:eastAsia="zh-CN"/>
                      <w:highlight w:val="none"/>
                    </w:rPr>
                    <w:t>N3东门村加压泵站东北侧最近居民点</w:t>
                  </w:r>
                </w:p>
              </w:tc>
              <w:tc>
                <w:tcPr>
                  <w:tcW w:w="813" w:type="pct"/>
                  <w:vMerge w:val="restart"/>
                  <w:vAlign w:val="center"/>
                </w:tcPr>
                <w:p>
                  <w:pPr>
                    <w:adjustRightInd w:val="0"/>
                    <w:snapToGrid w:val="0"/>
                    <w:jc w:val="center"/>
                    <w:rPr>
                      <w:bCs/>
                      <w:szCs w:val="21"/>
                      <w:highlight w:val="none"/>
                    </w:rPr>
                  </w:pPr>
                  <w:r>
                    <w:rPr>
                      <w:rFonts w:hint="eastAsia"/>
                      <w:bCs/>
                      <w:szCs w:val="21"/>
                      <w:lang w:val="en-US" w:eastAsia="zh-CN"/>
                      <w:highlight w:val="none"/>
                    </w:rPr>
                    <w:t>2025.8.6</w:t>
                  </w:r>
                </w:p>
              </w:tc>
              <w:tc>
                <w:tcPr>
                  <w:tcW w:w="543" w:type="pct"/>
                  <w:vAlign w:val="center"/>
                </w:tcPr>
                <w:p>
                  <w:pPr>
                    <w:adjustRightInd w:val="0"/>
                    <w:snapToGrid w:val="0"/>
                    <w:jc w:val="center"/>
                    <w:rPr>
                      <w:szCs w:val="21"/>
                      <w:highlight w:val="none"/>
                    </w:rPr>
                  </w:pPr>
                  <w:r>
                    <w:rPr>
                      <w:rFonts w:hint="eastAsia"/>
                      <w:szCs w:val="21"/>
                      <w:highlight w:val="none"/>
                    </w:rPr>
                    <w:t>昼间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48.4</w:t>
                  </w:r>
                </w:p>
              </w:tc>
              <w:tc>
                <w:tcPr>
                  <w:tcW w:w="722" w:type="pct"/>
                  <w:vAlign w:val="center"/>
                </w:tcPr>
                <w:p>
                  <w:pPr>
                    <w:adjustRightInd w:val="0"/>
                    <w:snapToGrid w:val="0"/>
                    <w:jc w:val="center"/>
                    <w:rPr>
                      <w:szCs w:val="21"/>
                      <w:highlight w:val="none"/>
                    </w:rPr>
                  </w:pPr>
                  <w:r>
                    <w:rPr>
                      <w:szCs w:val="21"/>
                      <w:highlight w:val="none"/>
                    </w:rPr>
                    <w:t>60</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ign w:val="center"/>
                </w:tcPr>
                <w:p/>
              </w:tc>
              <w:tc>
                <w:tcPr>
                  <w:tcW w:w="813" w:type="pct"/>
                  <w:vMerge/>
                  <w:vAlign w:val="center"/>
                </w:tcPr>
                <w:p/>
              </w:tc>
              <w:tc>
                <w:tcPr>
                  <w:tcW w:w="543" w:type="pct"/>
                  <w:vAlign w:val="center"/>
                </w:tcPr>
                <w:p>
                  <w:pPr>
                    <w:adjustRightInd w:val="0"/>
                    <w:snapToGrid w:val="0"/>
                    <w:jc w:val="center"/>
                    <w:rPr>
                      <w:szCs w:val="21"/>
                      <w:highlight w:val="none"/>
                    </w:rPr>
                  </w:pPr>
                  <w:r>
                    <w:rPr>
                      <w:rFonts w:hint="eastAsia"/>
                      <w:szCs w:val="21"/>
                      <w:highlight w:val="none"/>
                    </w:rPr>
                    <w:t>夜间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44.6</w:t>
                  </w:r>
                </w:p>
              </w:tc>
              <w:tc>
                <w:tcPr>
                  <w:tcW w:w="722" w:type="pct"/>
                  <w:vAlign w:val="center"/>
                </w:tcPr>
                <w:p>
                  <w:pPr>
                    <w:adjustRightInd w:val="0"/>
                    <w:snapToGrid w:val="0"/>
                    <w:jc w:val="center"/>
                    <w:rPr>
                      <w:szCs w:val="21"/>
                      <w:highlight w:val="none"/>
                    </w:rPr>
                  </w:pPr>
                  <w:r>
                    <w:rPr>
                      <w:szCs w:val="21"/>
                      <w:highlight w:val="none"/>
                    </w:rPr>
                    <w:t>50</w:t>
                  </w:r>
                  <w:r>
                    <w:rPr>
                      <w:rFonts w:hint="eastAsia"/>
                      <w:szCs w:val="21"/>
                      <w:highlight w:val="none"/>
                    </w:rPr>
                    <w:t xml:space="preserve"> </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restart"/>
                  <w:vAlign w:val="center"/>
                </w:tcPr>
                <w:p>
                  <w:pPr>
                    <w:widowControl/>
                    <w:spacing w:line="240" w:lineRule="auto"/>
                    <w:jc w:val="center"/>
                    <w:rPr>
                      <w:rFonts w:ascii="Times New Roman" w:cs="Times New Roman" w:hAnsi="Times New Roman"/>
                      <w:szCs w:val="21"/>
                      <w:highlight w:val="none"/>
                    </w:rPr>
                  </w:pPr>
                  <w:r>
                    <w:rPr>
                      <w:rFonts w:ascii="Times New Roman" w:eastAsia="宋体" w:cs="Times New Roman" w:hAnsi="Times New Roman"/>
                      <w:kern w:val="0"/>
                      <w:sz w:val="21"/>
                      <w:szCs w:val="21"/>
                      <w:lang w:val="en-US" w:eastAsia="zh-CN"/>
                      <w:highlight w:val="none"/>
                    </w:rPr>
                    <w:t>N4东门村加压泵站南侧最近居民点</w:t>
                  </w:r>
                </w:p>
              </w:tc>
              <w:tc>
                <w:tcPr>
                  <w:tcW w:w="813" w:type="pct"/>
                  <w:vMerge w:val="restart"/>
                  <w:vAlign w:val="center"/>
                </w:tcPr>
                <w:p>
                  <w:pPr>
                    <w:adjustRightInd w:val="0"/>
                    <w:snapToGrid w:val="0"/>
                    <w:jc w:val="center"/>
                    <w:rPr>
                      <w:bCs/>
                      <w:szCs w:val="21"/>
                      <w:highlight w:val="none"/>
                    </w:rPr>
                  </w:pPr>
                  <w:r>
                    <w:rPr>
                      <w:rFonts w:hint="eastAsia"/>
                      <w:bCs/>
                      <w:szCs w:val="21"/>
                      <w:lang w:val="en-US" w:eastAsia="zh-CN"/>
                      <w:highlight w:val="none"/>
                    </w:rPr>
                    <w:t>2025.8.6</w:t>
                  </w:r>
                </w:p>
              </w:tc>
              <w:tc>
                <w:tcPr>
                  <w:tcW w:w="543" w:type="pct"/>
                  <w:vAlign w:val="center"/>
                </w:tcPr>
                <w:p>
                  <w:pPr>
                    <w:adjustRightInd w:val="0"/>
                    <w:snapToGrid w:val="0"/>
                    <w:jc w:val="center"/>
                    <w:rPr>
                      <w:szCs w:val="21"/>
                      <w:highlight w:val="none"/>
                    </w:rPr>
                  </w:pPr>
                  <w:r>
                    <w:rPr>
                      <w:rFonts w:hint="eastAsia"/>
                      <w:szCs w:val="21"/>
                      <w:highlight w:val="none"/>
                    </w:rPr>
                    <w:t>昼间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49.0</w:t>
                  </w:r>
                </w:p>
              </w:tc>
              <w:tc>
                <w:tcPr>
                  <w:tcW w:w="722" w:type="pct"/>
                  <w:vAlign w:val="center"/>
                </w:tcPr>
                <w:p>
                  <w:pPr>
                    <w:adjustRightInd w:val="0"/>
                    <w:snapToGrid w:val="0"/>
                    <w:jc w:val="center"/>
                    <w:rPr>
                      <w:szCs w:val="21"/>
                      <w:highlight w:val="none"/>
                    </w:rPr>
                  </w:pPr>
                  <w:r>
                    <w:rPr>
                      <w:szCs w:val="21"/>
                      <w:highlight w:val="none"/>
                    </w:rPr>
                    <w:t>60</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ign w:val="center"/>
                </w:tcPr>
                <w:p/>
              </w:tc>
              <w:tc>
                <w:tcPr>
                  <w:tcW w:w="813" w:type="pct"/>
                  <w:vMerge/>
                  <w:vAlign w:val="center"/>
                </w:tcPr>
                <w:p/>
              </w:tc>
              <w:tc>
                <w:tcPr>
                  <w:tcW w:w="543" w:type="pct"/>
                  <w:vAlign w:val="center"/>
                </w:tcPr>
                <w:p>
                  <w:pPr>
                    <w:adjustRightInd w:val="0"/>
                    <w:snapToGrid w:val="0"/>
                    <w:jc w:val="center"/>
                    <w:rPr>
                      <w:szCs w:val="21"/>
                      <w:highlight w:val="none"/>
                    </w:rPr>
                  </w:pPr>
                  <w:r>
                    <w:rPr>
                      <w:rFonts w:hint="eastAsia"/>
                      <w:szCs w:val="21"/>
                      <w:highlight w:val="none"/>
                    </w:rPr>
                    <w:t>夜间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44.7</w:t>
                  </w:r>
                </w:p>
              </w:tc>
              <w:tc>
                <w:tcPr>
                  <w:tcW w:w="722" w:type="pct"/>
                  <w:vAlign w:val="center"/>
                </w:tcPr>
                <w:p>
                  <w:pPr>
                    <w:adjustRightInd w:val="0"/>
                    <w:snapToGrid w:val="0"/>
                    <w:jc w:val="center"/>
                    <w:rPr>
                      <w:szCs w:val="21"/>
                      <w:highlight w:val="none"/>
                    </w:rPr>
                  </w:pPr>
                  <w:r>
                    <w:rPr>
                      <w:szCs w:val="21"/>
                      <w:highlight w:val="none"/>
                    </w:rPr>
                    <w:t>50</w:t>
                  </w:r>
                  <w:r>
                    <w:rPr>
                      <w:rFonts w:hint="eastAsia"/>
                      <w:szCs w:val="21"/>
                      <w:highlight w:val="none"/>
                    </w:rPr>
                    <w:t xml:space="preserve"> </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restart"/>
                  <w:vAlign w:val="center"/>
                </w:tcPr>
                <w:p>
                  <w:pPr>
                    <w:widowControl/>
                    <w:spacing w:line="240" w:lineRule="auto"/>
                    <w:jc w:val="center"/>
                    <w:rPr>
                      <w:rFonts w:ascii="Times New Roman" w:cs="Times New Roman" w:hAnsi="Times New Roman"/>
                      <w:szCs w:val="21"/>
                      <w:highlight w:val="none"/>
                    </w:rPr>
                  </w:pPr>
                  <w:r>
                    <w:rPr>
                      <w:rFonts w:ascii="Times New Roman" w:eastAsia="宋体" w:cs="Times New Roman" w:hAnsi="Times New Roman"/>
                      <w:kern w:val="0"/>
                      <w:sz w:val="21"/>
                      <w:szCs w:val="21"/>
                      <w:lang w:val="en-US" w:eastAsia="zh-CN"/>
                      <w:highlight w:val="none"/>
                    </w:rPr>
                    <w:t>N5干管D加压泵站北侧最近居民点</w:t>
                  </w:r>
                </w:p>
              </w:tc>
              <w:tc>
                <w:tcPr>
                  <w:tcW w:w="813" w:type="pct"/>
                  <w:vMerge w:val="restart"/>
                  <w:vAlign w:val="center"/>
                </w:tcPr>
                <w:p>
                  <w:pPr>
                    <w:adjustRightInd w:val="0"/>
                    <w:snapToGrid w:val="0"/>
                    <w:jc w:val="center"/>
                    <w:rPr>
                      <w:bCs/>
                      <w:szCs w:val="21"/>
                      <w:highlight w:val="none"/>
                    </w:rPr>
                  </w:pPr>
                  <w:r>
                    <w:rPr>
                      <w:rFonts w:hint="eastAsia"/>
                      <w:bCs/>
                      <w:szCs w:val="21"/>
                      <w:lang w:val="en-US" w:eastAsia="zh-CN"/>
                      <w:highlight w:val="none"/>
                    </w:rPr>
                    <w:t>2025.8.6</w:t>
                  </w:r>
                </w:p>
              </w:tc>
              <w:tc>
                <w:tcPr>
                  <w:tcW w:w="543" w:type="pct"/>
                  <w:vAlign w:val="center"/>
                </w:tcPr>
                <w:p>
                  <w:pPr>
                    <w:adjustRightInd w:val="0"/>
                    <w:snapToGrid w:val="0"/>
                    <w:jc w:val="center"/>
                    <w:rPr>
                      <w:szCs w:val="21"/>
                      <w:highlight w:val="none"/>
                    </w:rPr>
                  </w:pPr>
                  <w:r>
                    <w:rPr>
                      <w:rFonts w:hint="eastAsia"/>
                      <w:szCs w:val="21"/>
                      <w:highlight w:val="none"/>
                    </w:rPr>
                    <w:t>昼间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48.7</w:t>
                  </w:r>
                </w:p>
              </w:tc>
              <w:tc>
                <w:tcPr>
                  <w:tcW w:w="722" w:type="pct"/>
                  <w:vAlign w:val="center"/>
                </w:tcPr>
                <w:p>
                  <w:pPr>
                    <w:adjustRightInd w:val="0"/>
                    <w:snapToGrid w:val="0"/>
                    <w:jc w:val="center"/>
                    <w:rPr>
                      <w:szCs w:val="21"/>
                      <w:highlight w:val="none"/>
                    </w:rPr>
                  </w:pPr>
                  <w:r>
                    <w:rPr>
                      <w:szCs w:val="21"/>
                      <w:highlight w:val="none"/>
                    </w:rPr>
                    <w:t>60</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ign w:val="center"/>
                </w:tcPr>
                <w:p/>
              </w:tc>
              <w:tc>
                <w:tcPr>
                  <w:tcW w:w="813" w:type="pct"/>
                  <w:vMerge/>
                  <w:vAlign w:val="center"/>
                </w:tcPr>
                <w:p/>
              </w:tc>
              <w:tc>
                <w:tcPr>
                  <w:tcW w:w="543" w:type="pct"/>
                  <w:vAlign w:val="center"/>
                </w:tcPr>
                <w:p>
                  <w:pPr>
                    <w:adjustRightInd w:val="0"/>
                    <w:snapToGrid w:val="0"/>
                    <w:jc w:val="center"/>
                    <w:rPr>
                      <w:szCs w:val="21"/>
                      <w:highlight w:val="none"/>
                    </w:rPr>
                  </w:pPr>
                  <w:r>
                    <w:rPr>
                      <w:rFonts w:hint="eastAsia"/>
                      <w:szCs w:val="21"/>
                      <w:highlight w:val="none"/>
                    </w:rPr>
                    <w:t>夜间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45.1</w:t>
                  </w:r>
                </w:p>
              </w:tc>
              <w:tc>
                <w:tcPr>
                  <w:tcW w:w="722" w:type="pct"/>
                  <w:vAlign w:val="center"/>
                </w:tcPr>
                <w:p>
                  <w:pPr>
                    <w:adjustRightInd w:val="0"/>
                    <w:snapToGrid w:val="0"/>
                    <w:jc w:val="center"/>
                    <w:rPr>
                      <w:szCs w:val="21"/>
                      <w:highlight w:val="none"/>
                    </w:rPr>
                  </w:pPr>
                  <w:r>
                    <w:rPr>
                      <w:szCs w:val="21"/>
                      <w:highlight w:val="none"/>
                    </w:rPr>
                    <w:t>50</w:t>
                  </w:r>
                  <w:r>
                    <w:rPr>
                      <w:rFonts w:hint="eastAsia"/>
                      <w:szCs w:val="21"/>
                      <w:highlight w:val="none"/>
                    </w:rPr>
                    <w:t xml:space="preserve"> </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restart"/>
                  <w:vAlign w:val="center"/>
                </w:tcPr>
                <w:p>
                  <w:pPr>
                    <w:widowControl/>
                    <w:spacing w:line="240" w:lineRule="auto"/>
                    <w:jc w:val="center"/>
                    <w:rPr>
                      <w:rFonts w:ascii="Times New Roman" w:cs="Times New Roman" w:hAnsi="Times New Roman"/>
                      <w:szCs w:val="21"/>
                      <w:highlight w:val="none"/>
                    </w:rPr>
                  </w:pPr>
                  <w:r>
                    <w:rPr>
                      <w:rFonts w:ascii="Times New Roman" w:eastAsia="宋体" w:cs="Times New Roman" w:hAnsi="Times New Roman"/>
                      <w:kern w:val="0"/>
                      <w:sz w:val="21"/>
                      <w:szCs w:val="21"/>
                      <w:lang w:val="en-US" w:eastAsia="zh-CN"/>
                      <w:highlight w:val="none"/>
                    </w:rPr>
                    <w:t>N6干管D加压泵站西侧最近居民点</w:t>
                  </w:r>
                </w:p>
              </w:tc>
              <w:tc>
                <w:tcPr>
                  <w:tcW w:w="813" w:type="pct"/>
                  <w:vMerge w:val="restart"/>
                  <w:vAlign w:val="center"/>
                </w:tcPr>
                <w:p>
                  <w:pPr>
                    <w:adjustRightInd w:val="0"/>
                    <w:snapToGrid w:val="0"/>
                    <w:jc w:val="center"/>
                    <w:rPr>
                      <w:bCs/>
                      <w:szCs w:val="21"/>
                      <w:highlight w:val="none"/>
                    </w:rPr>
                  </w:pPr>
                  <w:r>
                    <w:rPr>
                      <w:rFonts w:hint="eastAsia"/>
                      <w:bCs/>
                      <w:szCs w:val="21"/>
                      <w:lang w:val="en-US" w:eastAsia="zh-CN"/>
                      <w:highlight w:val="none"/>
                    </w:rPr>
                    <w:t>2025.8.6</w:t>
                  </w:r>
                </w:p>
              </w:tc>
              <w:tc>
                <w:tcPr>
                  <w:tcW w:w="543" w:type="pct"/>
                  <w:vAlign w:val="center"/>
                </w:tcPr>
                <w:p>
                  <w:pPr>
                    <w:adjustRightInd w:val="0"/>
                    <w:snapToGrid w:val="0"/>
                    <w:jc w:val="center"/>
                    <w:rPr>
                      <w:szCs w:val="21"/>
                      <w:highlight w:val="none"/>
                    </w:rPr>
                  </w:pPr>
                  <w:r>
                    <w:rPr>
                      <w:rFonts w:hint="eastAsia"/>
                      <w:szCs w:val="21"/>
                      <w:highlight w:val="none"/>
                    </w:rPr>
                    <w:t>昼间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48.0</w:t>
                  </w:r>
                </w:p>
              </w:tc>
              <w:tc>
                <w:tcPr>
                  <w:tcW w:w="722" w:type="pct"/>
                  <w:vAlign w:val="center"/>
                </w:tcPr>
                <w:p>
                  <w:pPr>
                    <w:adjustRightInd w:val="0"/>
                    <w:snapToGrid w:val="0"/>
                    <w:jc w:val="center"/>
                    <w:rPr>
                      <w:szCs w:val="21"/>
                      <w:highlight w:val="none"/>
                    </w:rPr>
                  </w:pPr>
                  <w:r>
                    <w:rPr>
                      <w:szCs w:val="21"/>
                      <w:highlight w:val="none"/>
                    </w:rPr>
                    <w:t>60</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ign w:val="center"/>
                </w:tcPr>
                <w:p/>
              </w:tc>
              <w:tc>
                <w:tcPr>
                  <w:tcW w:w="813" w:type="pct"/>
                  <w:vMerge/>
                  <w:vAlign w:val="center"/>
                </w:tcPr>
                <w:p/>
              </w:tc>
              <w:tc>
                <w:tcPr>
                  <w:tcW w:w="543" w:type="pct"/>
                  <w:vAlign w:val="center"/>
                </w:tcPr>
                <w:p>
                  <w:pPr>
                    <w:adjustRightInd w:val="0"/>
                    <w:snapToGrid w:val="0"/>
                    <w:jc w:val="center"/>
                    <w:rPr>
                      <w:szCs w:val="21"/>
                      <w:highlight w:val="none"/>
                    </w:rPr>
                  </w:pPr>
                  <w:r>
                    <w:rPr>
                      <w:rFonts w:hint="eastAsia"/>
                      <w:szCs w:val="21"/>
                      <w:highlight w:val="none"/>
                    </w:rPr>
                    <w:t>夜间</w:t>
                  </w:r>
                </w:p>
              </w:tc>
              <w:tc>
                <w:tcPr>
                  <w:tcW w:w="3962" w:type="pct"/>
                  <w:vAlign w:val="center"/>
                </w:tcPr>
                <w:p>
                  <w:pPr>
                    <w:widowControl/>
                    <w:spacing w:line="240" w:lineRule="auto"/>
                    <w:jc w:val="center"/>
                    <w:rPr>
                      <w:szCs w:val="21"/>
                      <w:highlight w:val="none"/>
                    </w:rPr>
                  </w:pPr>
                  <w:r>
                    <w:rPr>
                      <w:rFonts w:cs="宋体" w:hint="eastAsia"/>
                      <w:kern w:val="0"/>
                      <w:sz w:val="21"/>
                      <w:szCs w:val="21"/>
                      <w:lang w:val="en-US" w:eastAsia="zh-CN"/>
                      <w:highlight w:val="none"/>
                    </w:rPr>
                    <w:t>45.9</w:t>
                  </w:r>
                </w:p>
              </w:tc>
              <w:tc>
                <w:tcPr>
                  <w:tcW w:w="722" w:type="pct"/>
                  <w:vAlign w:val="center"/>
                </w:tcPr>
                <w:p>
                  <w:pPr>
                    <w:adjustRightInd w:val="0"/>
                    <w:snapToGrid w:val="0"/>
                    <w:jc w:val="center"/>
                    <w:rPr>
                      <w:szCs w:val="21"/>
                      <w:highlight w:val="none"/>
                    </w:rPr>
                  </w:pPr>
                  <w:r>
                    <w:rPr>
                      <w:szCs w:val="21"/>
                      <w:highlight w:val="none"/>
                    </w:rPr>
                    <w:t>50</w:t>
                  </w:r>
                  <w:r>
                    <w:rPr>
                      <w:rFonts w:hint="eastAsia"/>
                      <w:szCs w:val="21"/>
                      <w:highlight w:val="none"/>
                    </w:rPr>
                    <w:t xml:space="preserve"> </w:t>
                  </w:r>
                </w:p>
              </w:tc>
              <w:tc>
                <w:tcPr>
                  <w:tcW w:w="682" w:type="pct"/>
                  <w:vAlign w:val="center"/>
                </w:tcPr>
                <w:p>
                  <w:pPr>
                    <w:adjustRightInd w:val="0"/>
                    <w:snapToGrid w:val="0"/>
                    <w:jc w:val="center"/>
                    <w:rPr>
                      <w:szCs w:val="21"/>
                      <w:highlight w:val="none"/>
                    </w:rPr>
                  </w:pPr>
                  <w:r>
                    <w:rPr>
                      <w:rFonts w:hint="eastAsia"/>
                      <w:szCs w:val="21"/>
                      <w:highlight w:val="none"/>
                    </w:rPr>
                    <w:t>达标</w:t>
                  </w:r>
                </w:p>
              </w:tc>
            </w:tr>
            <w:tr>
              <w:trPr>
                <w:trHeight w:val="340"/>
              </w:trPr>
              <w:tc>
                <w:tcPr>
                  <w:tcW w:w="1244" w:type="pct"/>
                  <w:vMerge w:val="restart"/>
                  <w:vAlign w:val="center"/>
                </w:tcPr>
                <w:p>
                  <w:pPr>
                    <w:widowControl/>
                    <w:spacing w:line="240" w:lineRule="auto"/>
                    <w:jc w:val="center"/>
                    <w:rPr>
                      <w:rFonts w:ascii="Times New Roman" w:cs="Times New Roman" w:hAnsi="Times New Roman"/>
                      <w:szCs w:val="21"/>
                      <w:highlight w:val="none"/>
                    </w:rPr>
                  </w:pPr>
                  <w:r>
                    <w:rPr>
                      <w:rFonts w:ascii="Times New Roman" w:eastAsia="宋体" w:cs="Times New Roman" w:hAnsi="Times New Roman"/>
                      <w:kern w:val="0"/>
                      <w:sz w:val="21"/>
                      <w:szCs w:val="21"/>
                      <w:lang w:val="en-US" w:eastAsia="zh-CN"/>
                      <w:highlight w:val="none"/>
                    </w:rPr>
                    <w:t>N7三岔湾加压泵站西侧最近居民点</w:t>
                  </w:r>
                </w:p>
              </w:tc>
              <w:tc>
                <w:tcPr>
                  <w:tcW w:w="813" w:type="pct"/>
                  <w:vMerge w:val="restart"/>
                  <w:vAlign w:val="center"/>
                </w:tcPr>
                <w:p>
                  <w:pPr>
                    <w:adjustRightInd w:val="0"/>
                    <w:snapToGrid w:val="0"/>
                    <w:jc w:val="center"/>
                    <w:rPr>
                      <w:bCs/>
                      <w:szCs w:val="21"/>
                      <w:highlight w:val="none"/>
                    </w:rPr>
                  </w:pPr>
                  <w:r>
                    <w:rPr>
                      <w:rFonts w:hint="eastAsia"/>
                      <w:bCs/>
                      <w:szCs w:val="21"/>
                      <w:lang w:val="en-US" w:eastAsia="zh-CN"/>
                      <w:highlight w:val="none"/>
                    </w:rPr>
                    <w:t>2025.8.6</w:t>
                  </w:r>
                </w:p>
              </w:tc>
              <w:tc>
                <w:tcPr>
                  <w:tcW w:w="2167" w:type="pct"/>
                  <w:vAlign w:val="center"/>
                </w:tcPr>
                <w:p>
                  <w:pPr>
                    <w:adjustRightInd w:val="0"/>
                    <w:snapToGrid w:val="0"/>
                    <w:jc w:val="center"/>
                    <w:rPr>
                      <w:rFonts w:hint="eastAsia"/>
                      <w:szCs w:val="21"/>
                      <w:highlight w:val="none"/>
                    </w:rPr>
                  </w:pPr>
                  <w:r>
                    <w:rPr>
                      <w:rFonts w:hint="eastAsia"/>
                      <w:szCs w:val="21"/>
                      <w:highlight w:val="none"/>
                    </w:rPr>
                    <w:t>昼间</w:t>
                  </w:r>
                </w:p>
              </w:tc>
              <w:tc>
                <w:tcPr>
                  <w:tcW w:w="3962" w:type="pct"/>
                  <w:vAlign w:val="center"/>
                </w:tcPr>
                <w:p>
                  <w:pPr>
                    <w:widowControl/>
                    <w:spacing w:line="240" w:lineRule="auto"/>
                    <w:jc w:val="center"/>
                    <w:rPr>
                      <w:rFonts w:cs="宋体" w:hint="eastAsia"/>
                      <w:color w:val="auto"/>
                      <w:kern w:val="0"/>
                      <w:sz w:val="21"/>
                      <w:szCs w:val="21"/>
                      <w:lang w:val="en-US" w:eastAsia="zh-CN"/>
                      <w:highlight w:val="none"/>
                    </w:rPr>
                  </w:pPr>
                  <w:r>
                    <w:rPr>
                      <w:rFonts w:cs="宋体" w:hint="eastAsia"/>
                      <w:kern w:val="0"/>
                      <w:sz w:val="21"/>
                      <w:szCs w:val="21"/>
                      <w:lang w:val="en-US" w:eastAsia="zh-CN"/>
                      <w:highlight w:val="none"/>
                    </w:rPr>
                    <w:t>48.4</w:t>
                  </w:r>
                </w:p>
              </w:tc>
              <w:tc>
                <w:tcPr>
                  <w:tcW w:w="2880" w:type="pct"/>
                  <w:vAlign w:val="center"/>
                </w:tcPr>
                <w:p>
                  <w:pPr>
                    <w:adjustRightInd w:val="0"/>
                    <w:snapToGrid w:val="0"/>
                    <w:jc w:val="center"/>
                    <w:rPr>
                      <w:szCs w:val="21"/>
                      <w:highlight w:val="none"/>
                    </w:rPr>
                  </w:pPr>
                  <w:r>
                    <w:rPr>
                      <w:szCs w:val="21"/>
                      <w:highlight w:val="none"/>
                    </w:rPr>
                    <w:t>60</w:t>
                  </w:r>
                </w:p>
              </w:tc>
              <w:tc>
                <w:tcPr>
                  <w:tcW w:w="2720" w:type="pct"/>
                  <w:vAlign w:val="center"/>
                </w:tcPr>
                <w:p>
                  <w:pPr>
                    <w:adjustRightInd w:val="0"/>
                    <w:snapToGrid w:val="0"/>
                    <w:jc w:val="center"/>
                    <w:rPr>
                      <w:rFonts w:hint="eastAsia"/>
                      <w:szCs w:val="21"/>
                      <w:highlight w:val="none"/>
                    </w:rPr>
                  </w:pPr>
                  <w:r>
                    <w:rPr>
                      <w:rFonts w:hint="eastAsia"/>
                      <w:szCs w:val="21"/>
                      <w:highlight w:val="none"/>
                    </w:rPr>
                    <w:t>达标</w:t>
                  </w:r>
                </w:p>
              </w:tc>
            </w:tr>
            <w:tr>
              <w:trPr>
                <w:trHeight w:val="340"/>
              </w:trPr>
              <w:tc>
                <w:tcPr>
                  <w:tcW w:w="1244" w:type="pct"/>
                  <w:vMerge/>
                  <w:vAlign w:val="center"/>
                </w:tcPr>
                <w:p/>
              </w:tc>
              <w:tc>
                <w:tcPr>
                  <w:tcW w:w="813" w:type="pct"/>
                  <w:vMerge/>
                  <w:vAlign w:val="center"/>
                </w:tcPr>
                <w:p/>
              </w:tc>
              <w:tc>
                <w:tcPr>
                  <w:tcW w:w="2167" w:type="pct"/>
                  <w:vAlign w:val="center"/>
                </w:tcPr>
                <w:p>
                  <w:pPr>
                    <w:adjustRightInd w:val="0"/>
                    <w:snapToGrid w:val="0"/>
                    <w:jc w:val="center"/>
                    <w:rPr>
                      <w:rFonts w:hint="eastAsia"/>
                      <w:szCs w:val="21"/>
                      <w:highlight w:val="none"/>
                    </w:rPr>
                  </w:pPr>
                  <w:r>
                    <w:rPr>
                      <w:rFonts w:hint="eastAsia"/>
                      <w:szCs w:val="21"/>
                      <w:highlight w:val="none"/>
                    </w:rPr>
                    <w:t>夜间</w:t>
                  </w:r>
                </w:p>
              </w:tc>
              <w:tc>
                <w:tcPr>
                  <w:tcW w:w="3962" w:type="pct"/>
                  <w:vAlign w:val="center"/>
                </w:tcPr>
                <w:p>
                  <w:pPr>
                    <w:widowControl/>
                    <w:spacing w:line="240" w:lineRule="auto"/>
                    <w:jc w:val="center"/>
                    <w:rPr>
                      <w:rFonts w:cs="宋体" w:hint="eastAsia"/>
                      <w:color w:val="auto"/>
                      <w:kern w:val="0"/>
                      <w:sz w:val="21"/>
                      <w:szCs w:val="21"/>
                      <w:lang w:val="en-US" w:eastAsia="zh-CN"/>
                      <w:highlight w:val="none"/>
                    </w:rPr>
                  </w:pPr>
                  <w:r>
                    <w:rPr>
                      <w:rFonts w:cs="宋体" w:hint="eastAsia"/>
                      <w:kern w:val="0"/>
                      <w:sz w:val="21"/>
                      <w:szCs w:val="21"/>
                      <w:lang w:val="en-US" w:eastAsia="zh-CN"/>
                      <w:highlight w:val="none"/>
                    </w:rPr>
                    <w:t>45.0</w:t>
                  </w:r>
                </w:p>
              </w:tc>
              <w:tc>
                <w:tcPr>
                  <w:tcW w:w="2880" w:type="pct"/>
                  <w:vAlign w:val="center"/>
                </w:tcPr>
                <w:p>
                  <w:pPr>
                    <w:adjustRightInd w:val="0"/>
                    <w:snapToGrid w:val="0"/>
                    <w:jc w:val="center"/>
                    <w:rPr>
                      <w:szCs w:val="21"/>
                      <w:highlight w:val="none"/>
                    </w:rPr>
                  </w:pPr>
                  <w:r>
                    <w:rPr>
                      <w:szCs w:val="21"/>
                      <w:highlight w:val="none"/>
                    </w:rPr>
                    <w:t>50</w:t>
                  </w:r>
                  <w:r>
                    <w:rPr>
                      <w:rFonts w:hint="eastAsia"/>
                      <w:szCs w:val="21"/>
                      <w:highlight w:val="none"/>
                    </w:rPr>
                    <w:t xml:space="preserve"> </w:t>
                  </w:r>
                </w:p>
              </w:tc>
              <w:tc>
                <w:tcPr>
                  <w:tcW w:w="2720" w:type="pct"/>
                  <w:vAlign w:val="center"/>
                </w:tcPr>
                <w:p>
                  <w:pPr>
                    <w:adjustRightInd w:val="0"/>
                    <w:snapToGrid w:val="0"/>
                    <w:jc w:val="center"/>
                    <w:rPr>
                      <w:rFonts w:hint="eastAsia"/>
                      <w:szCs w:val="21"/>
                      <w:highlight w:val="none"/>
                    </w:rPr>
                  </w:pPr>
                  <w:r>
                    <w:rPr>
                      <w:rFonts w:hint="eastAsia"/>
                      <w:szCs w:val="21"/>
                      <w:highlight w:val="none"/>
                    </w:rPr>
                    <w:t>达标</w:t>
                  </w:r>
                </w:p>
              </w:tc>
            </w:tr>
            <w:tr>
              <w:trPr>
                <w:trHeight w:val="340"/>
              </w:trPr>
              <w:tc>
                <w:tcPr>
                  <w:tcW w:w="1244" w:type="pct"/>
                  <w:vMerge w:val="restart"/>
                  <w:vAlign w:val="center"/>
                </w:tcPr>
                <w:p>
                  <w:pPr>
                    <w:widowControl/>
                    <w:spacing w:line="240" w:lineRule="auto"/>
                    <w:jc w:val="center"/>
                    <w:rPr>
                      <w:rFonts w:ascii="Times New Roman" w:cs="Times New Roman" w:hAnsi="Times New Roman"/>
                      <w:szCs w:val="21"/>
                      <w:highlight w:val="none"/>
                    </w:rPr>
                  </w:pPr>
                  <w:r>
                    <w:rPr>
                      <w:rFonts w:ascii="Times New Roman" w:eastAsia="宋体" w:cs="Times New Roman" w:hAnsi="Times New Roman"/>
                      <w:kern w:val="0"/>
                      <w:sz w:val="21"/>
                      <w:szCs w:val="21"/>
                      <w:lang w:val="en-US" w:eastAsia="zh-CN"/>
                      <w:highlight w:val="none"/>
                    </w:rPr>
                    <w:t>N8楠木加压泵站东侧最近居民点</w:t>
                  </w:r>
                </w:p>
              </w:tc>
              <w:tc>
                <w:tcPr>
                  <w:tcW w:w="813" w:type="pct"/>
                  <w:vMerge w:val="restart"/>
                  <w:vAlign w:val="center"/>
                </w:tcPr>
                <w:p>
                  <w:pPr>
                    <w:adjustRightInd w:val="0"/>
                    <w:snapToGrid w:val="0"/>
                    <w:jc w:val="center"/>
                    <w:rPr>
                      <w:bCs/>
                      <w:szCs w:val="21"/>
                      <w:highlight w:val="none"/>
                    </w:rPr>
                  </w:pPr>
                  <w:r>
                    <w:rPr>
                      <w:rFonts w:hint="eastAsia"/>
                      <w:bCs/>
                      <w:szCs w:val="21"/>
                      <w:lang w:val="en-US" w:eastAsia="zh-CN"/>
                      <w:highlight w:val="none"/>
                    </w:rPr>
                    <w:t>2025.8.6</w:t>
                  </w:r>
                </w:p>
              </w:tc>
              <w:tc>
                <w:tcPr>
                  <w:tcW w:w="2167" w:type="pct"/>
                  <w:vAlign w:val="center"/>
                </w:tcPr>
                <w:p>
                  <w:pPr>
                    <w:adjustRightInd w:val="0"/>
                    <w:snapToGrid w:val="0"/>
                    <w:jc w:val="center"/>
                    <w:rPr>
                      <w:rFonts w:hint="eastAsia"/>
                      <w:szCs w:val="21"/>
                      <w:highlight w:val="none"/>
                    </w:rPr>
                  </w:pPr>
                  <w:r>
                    <w:rPr>
                      <w:rFonts w:hint="eastAsia"/>
                      <w:szCs w:val="21"/>
                      <w:highlight w:val="none"/>
                    </w:rPr>
                    <w:t>昼间</w:t>
                  </w:r>
                </w:p>
              </w:tc>
              <w:tc>
                <w:tcPr>
                  <w:tcW w:w="3962" w:type="pct"/>
                  <w:vAlign w:val="center"/>
                </w:tcPr>
                <w:p>
                  <w:pPr>
                    <w:widowControl/>
                    <w:spacing w:line="240" w:lineRule="auto"/>
                    <w:jc w:val="center"/>
                    <w:rPr>
                      <w:rFonts w:cs="宋体" w:hint="eastAsia"/>
                      <w:color w:val="auto"/>
                      <w:kern w:val="0"/>
                      <w:sz w:val="21"/>
                      <w:szCs w:val="21"/>
                      <w:lang w:val="en-US" w:eastAsia="zh-CN"/>
                      <w:highlight w:val="none"/>
                    </w:rPr>
                  </w:pPr>
                  <w:r>
                    <w:rPr>
                      <w:rFonts w:cs="宋体" w:hint="eastAsia"/>
                      <w:kern w:val="0"/>
                      <w:sz w:val="21"/>
                      <w:szCs w:val="21"/>
                      <w:lang w:val="en-US" w:eastAsia="zh-CN"/>
                      <w:highlight w:val="none"/>
                    </w:rPr>
                    <w:t>48.7</w:t>
                  </w:r>
                </w:p>
              </w:tc>
              <w:tc>
                <w:tcPr>
                  <w:tcW w:w="2880" w:type="pct"/>
                  <w:vAlign w:val="center"/>
                </w:tcPr>
                <w:p>
                  <w:pPr>
                    <w:adjustRightInd w:val="0"/>
                    <w:snapToGrid w:val="0"/>
                    <w:jc w:val="center"/>
                    <w:rPr>
                      <w:szCs w:val="21"/>
                      <w:highlight w:val="none"/>
                    </w:rPr>
                  </w:pPr>
                  <w:r>
                    <w:rPr>
                      <w:szCs w:val="21"/>
                      <w:highlight w:val="none"/>
                    </w:rPr>
                    <w:t>60</w:t>
                  </w:r>
                </w:p>
              </w:tc>
              <w:tc>
                <w:tcPr>
                  <w:tcW w:w="2720" w:type="pct"/>
                  <w:vAlign w:val="center"/>
                </w:tcPr>
                <w:p>
                  <w:pPr>
                    <w:adjustRightInd w:val="0"/>
                    <w:snapToGrid w:val="0"/>
                    <w:jc w:val="center"/>
                    <w:rPr>
                      <w:rFonts w:hint="eastAsia"/>
                      <w:szCs w:val="21"/>
                      <w:highlight w:val="none"/>
                    </w:rPr>
                  </w:pPr>
                  <w:r>
                    <w:rPr>
                      <w:rFonts w:hint="eastAsia"/>
                      <w:szCs w:val="21"/>
                      <w:highlight w:val="none"/>
                    </w:rPr>
                    <w:t>达标</w:t>
                  </w:r>
                </w:p>
              </w:tc>
            </w:tr>
            <w:tr>
              <w:trPr>
                <w:trHeight w:val="340"/>
              </w:trPr>
              <w:tc>
                <w:tcPr>
                  <w:tcW w:w="1244" w:type="pct"/>
                  <w:vMerge/>
                  <w:vAlign w:val="center"/>
                </w:tcPr>
                <w:p/>
              </w:tc>
              <w:tc>
                <w:tcPr>
                  <w:tcW w:w="813" w:type="pct"/>
                  <w:vMerge/>
                  <w:vAlign w:val="center"/>
                </w:tcPr>
                <w:p/>
              </w:tc>
              <w:tc>
                <w:tcPr>
                  <w:tcW w:w="2167" w:type="pct"/>
                  <w:vAlign w:val="center"/>
                </w:tcPr>
                <w:p>
                  <w:pPr>
                    <w:adjustRightInd w:val="0"/>
                    <w:snapToGrid w:val="0"/>
                    <w:jc w:val="center"/>
                    <w:rPr>
                      <w:rFonts w:hint="eastAsia"/>
                      <w:szCs w:val="21"/>
                      <w:highlight w:val="none"/>
                    </w:rPr>
                  </w:pPr>
                  <w:r>
                    <w:rPr>
                      <w:rFonts w:hint="eastAsia"/>
                      <w:szCs w:val="21"/>
                      <w:highlight w:val="none"/>
                    </w:rPr>
                    <w:t>夜间</w:t>
                  </w:r>
                </w:p>
              </w:tc>
              <w:tc>
                <w:tcPr>
                  <w:tcW w:w="3962" w:type="pct"/>
                  <w:vAlign w:val="center"/>
                </w:tcPr>
                <w:p>
                  <w:pPr>
                    <w:widowControl/>
                    <w:spacing w:line="240" w:lineRule="auto"/>
                    <w:jc w:val="center"/>
                    <w:rPr>
                      <w:rFonts w:cs="宋体" w:hint="eastAsia"/>
                      <w:color w:val="auto"/>
                      <w:kern w:val="0"/>
                      <w:sz w:val="21"/>
                      <w:szCs w:val="21"/>
                      <w:lang w:val="en-US" w:eastAsia="zh-CN"/>
                      <w:highlight w:val="none"/>
                    </w:rPr>
                  </w:pPr>
                  <w:r>
                    <w:rPr>
                      <w:rFonts w:cs="宋体" w:hint="eastAsia"/>
                      <w:kern w:val="0"/>
                      <w:sz w:val="21"/>
                      <w:szCs w:val="21"/>
                      <w:lang w:val="en-US" w:eastAsia="zh-CN"/>
                      <w:highlight w:val="none"/>
                    </w:rPr>
                    <w:t>45.5</w:t>
                  </w:r>
                </w:p>
              </w:tc>
              <w:tc>
                <w:tcPr>
                  <w:tcW w:w="2880" w:type="pct"/>
                  <w:vAlign w:val="center"/>
                </w:tcPr>
                <w:p>
                  <w:pPr>
                    <w:adjustRightInd w:val="0"/>
                    <w:snapToGrid w:val="0"/>
                    <w:jc w:val="center"/>
                    <w:rPr>
                      <w:szCs w:val="21"/>
                      <w:highlight w:val="none"/>
                    </w:rPr>
                  </w:pPr>
                  <w:r>
                    <w:rPr>
                      <w:szCs w:val="21"/>
                      <w:highlight w:val="none"/>
                    </w:rPr>
                    <w:t>50</w:t>
                  </w:r>
                  <w:r>
                    <w:rPr>
                      <w:rFonts w:hint="eastAsia"/>
                      <w:szCs w:val="21"/>
                      <w:highlight w:val="none"/>
                    </w:rPr>
                    <w:t xml:space="preserve"> </w:t>
                  </w:r>
                </w:p>
              </w:tc>
              <w:tc>
                <w:tcPr>
                  <w:tcW w:w="2720" w:type="pct"/>
                  <w:vAlign w:val="center"/>
                </w:tcPr>
                <w:p>
                  <w:pPr>
                    <w:adjustRightInd w:val="0"/>
                    <w:snapToGrid w:val="0"/>
                    <w:jc w:val="center"/>
                    <w:rPr>
                      <w:rFonts w:hint="eastAsia"/>
                      <w:szCs w:val="21"/>
                      <w:highlight w:val="none"/>
                    </w:rPr>
                  </w:pPr>
                  <w:r>
                    <w:rPr>
                      <w:rFonts w:hint="eastAsia"/>
                      <w:szCs w:val="21"/>
                      <w:highlight w:val="none"/>
                    </w:rPr>
                    <w:t>达标</w:t>
                  </w:r>
                </w:p>
              </w:tc>
            </w:tr>
            <w:tr>
              <w:trPr>
                <w:trHeight w:val="340"/>
              </w:trPr>
              <w:tc>
                <w:tcPr>
                  <w:tcW w:w="1244" w:type="pct"/>
                  <w:vMerge w:val="restart"/>
                  <w:vAlign w:val="center"/>
                </w:tcPr>
                <w:p>
                  <w:pPr>
                    <w:widowControl/>
                    <w:spacing w:line="240" w:lineRule="auto"/>
                    <w:jc w:val="center"/>
                    <w:rPr>
                      <w:rFonts w:ascii="Times New Roman" w:cs="Times New Roman" w:hAnsi="Times New Roman"/>
                      <w:szCs w:val="21"/>
                      <w:highlight w:val="none"/>
                    </w:rPr>
                  </w:pPr>
                  <w:r>
                    <w:rPr>
                      <w:rFonts w:ascii="Times New Roman" w:eastAsia="宋体" w:cs="Times New Roman" w:hAnsi="Times New Roman"/>
                      <w:kern w:val="0"/>
                      <w:sz w:val="21"/>
                      <w:szCs w:val="21"/>
                      <w:lang w:val="en-US" w:eastAsia="zh-CN"/>
                      <w:highlight w:val="none"/>
                    </w:rPr>
                    <w:t>N9古台加压泵站西南侧最近居民点</w:t>
                  </w:r>
                </w:p>
              </w:tc>
              <w:tc>
                <w:tcPr>
                  <w:tcW w:w="813" w:type="pct"/>
                  <w:vMerge w:val="restart"/>
                  <w:vAlign w:val="center"/>
                </w:tcPr>
                <w:p>
                  <w:pPr>
                    <w:adjustRightInd w:val="0"/>
                    <w:snapToGrid w:val="0"/>
                    <w:jc w:val="center"/>
                    <w:rPr>
                      <w:bCs/>
                      <w:szCs w:val="21"/>
                      <w:highlight w:val="none"/>
                    </w:rPr>
                  </w:pPr>
                  <w:r>
                    <w:rPr>
                      <w:rFonts w:hint="eastAsia"/>
                      <w:bCs/>
                      <w:szCs w:val="21"/>
                      <w:lang w:val="en-US" w:eastAsia="zh-CN"/>
                      <w:highlight w:val="none"/>
                    </w:rPr>
                    <w:t>2025.8.6</w:t>
                  </w:r>
                </w:p>
              </w:tc>
              <w:tc>
                <w:tcPr>
                  <w:tcW w:w="2167" w:type="pct"/>
                  <w:vAlign w:val="center"/>
                </w:tcPr>
                <w:p>
                  <w:pPr>
                    <w:adjustRightInd w:val="0"/>
                    <w:snapToGrid w:val="0"/>
                    <w:jc w:val="center"/>
                    <w:rPr>
                      <w:rFonts w:hint="eastAsia"/>
                      <w:szCs w:val="21"/>
                      <w:highlight w:val="none"/>
                    </w:rPr>
                  </w:pPr>
                  <w:r>
                    <w:rPr>
                      <w:rFonts w:hint="eastAsia"/>
                      <w:szCs w:val="21"/>
                      <w:highlight w:val="none"/>
                    </w:rPr>
                    <w:t>昼间</w:t>
                  </w:r>
                </w:p>
              </w:tc>
              <w:tc>
                <w:tcPr>
                  <w:tcW w:w="3962" w:type="pct"/>
                  <w:vAlign w:val="center"/>
                </w:tcPr>
                <w:p>
                  <w:pPr>
                    <w:widowControl/>
                    <w:spacing w:line="240" w:lineRule="auto"/>
                    <w:jc w:val="center"/>
                    <w:rPr>
                      <w:rFonts w:cs="宋体" w:hint="eastAsia"/>
                      <w:color w:val="auto"/>
                      <w:kern w:val="0"/>
                      <w:sz w:val="21"/>
                      <w:szCs w:val="21"/>
                      <w:lang w:val="en-US" w:eastAsia="zh-CN"/>
                      <w:highlight w:val="none"/>
                    </w:rPr>
                  </w:pPr>
                  <w:r>
                    <w:rPr>
                      <w:rFonts w:cs="宋体" w:hint="eastAsia"/>
                      <w:kern w:val="0"/>
                      <w:sz w:val="21"/>
                      <w:szCs w:val="21"/>
                      <w:lang w:val="en-US" w:eastAsia="zh-CN"/>
                      <w:highlight w:val="none"/>
                    </w:rPr>
                    <w:t>48.1</w:t>
                  </w:r>
                </w:p>
              </w:tc>
              <w:tc>
                <w:tcPr>
                  <w:tcW w:w="2880" w:type="pct"/>
                  <w:vAlign w:val="center"/>
                </w:tcPr>
                <w:p>
                  <w:pPr>
                    <w:adjustRightInd w:val="0"/>
                    <w:snapToGrid w:val="0"/>
                    <w:jc w:val="center"/>
                    <w:rPr>
                      <w:szCs w:val="21"/>
                      <w:highlight w:val="none"/>
                    </w:rPr>
                  </w:pPr>
                  <w:r>
                    <w:rPr>
                      <w:szCs w:val="21"/>
                      <w:highlight w:val="none"/>
                    </w:rPr>
                    <w:t>60</w:t>
                  </w:r>
                </w:p>
              </w:tc>
              <w:tc>
                <w:tcPr>
                  <w:tcW w:w="2720" w:type="pct"/>
                  <w:vAlign w:val="center"/>
                </w:tcPr>
                <w:p>
                  <w:pPr>
                    <w:adjustRightInd w:val="0"/>
                    <w:snapToGrid w:val="0"/>
                    <w:jc w:val="center"/>
                    <w:rPr>
                      <w:rFonts w:hint="eastAsia"/>
                      <w:szCs w:val="21"/>
                      <w:highlight w:val="none"/>
                    </w:rPr>
                  </w:pPr>
                  <w:r>
                    <w:rPr>
                      <w:rFonts w:hint="eastAsia"/>
                      <w:szCs w:val="21"/>
                      <w:highlight w:val="none"/>
                    </w:rPr>
                    <w:t>达标</w:t>
                  </w:r>
                </w:p>
              </w:tc>
            </w:tr>
            <w:tr>
              <w:trPr>
                <w:trHeight w:val="340"/>
              </w:trPr>
              <w:tc>
                <w:tcPr>
                  <w:tcW w:w="1244" w:type="pct"/>
                  <w:vMerge/>
                  <w:vAlign w:val="center"/>
                </w:tcPr>
                <w:p/>
              </w:tc>
              <w:tc>
                <w:tcPr>
                  <w:tcW w:w="813" w:type="pct"/>
                  <w:vMerge/>
                  <w:vAlign w:val="center"/>
                </w:tcPr>
                <w:p/>
              </w:tc>
              <w:tc>
                <w:tcPr>
                  <w:tcW w:w="2167" w:type="pct"/>
                  <w:vAlign w:val="center"/>
                </w:tcPr>
                <w:p>
                  <w:pPr>
                    <w:adjustRightInd w:val="0"/>
                    <w:snapToGrid w:val="0"/>
                    <w:jc w:val="center"/>
                    <w:rPr>
                      <w:rFonts w:hint="eastAsia"/>
                      <w:szCs w:val="21"/>
                      <w:highlight w:val="none"/>
                    </w:rPr>
                  </w:pPr>
                  <w:r>
                    <w:rPr>
                      <w:rFonts w:hint="eastAsia"/>
                      <w:szCs w:val="21"/>
                      <w:highlight w:val="none"/>
                    </w:rPr>
                    <w:t>夜间</w:t>
                  </w:r>
                </w:p>
              </w:tc>
              <w:tc>
                <w:tcPr>
                  <w:tcW w:w="3962" w:type="pct"/>
                  <w:vAlign w:val="center"/>
                </w:tcPr>
                <w:p>
                  <w:pPr>
                    <w:widowControl/>
                    <w:spacing w:line="240" w:lineRule="auto"/>
                    <w:jc w:val="center"/>
                    <w:rPr>
                      <w:rFonts w:cs="宋体" w:hint="eastAsia"/>
                      <w:color w:val="auto"/>
                      <w:kern w:val="0"/>
                      <w:sz w:val="21"/>
                      <w:szCs w:val="21"/>
                      <w:lang w:val="en-US" w:eastAsia="zh-CN"/>
                      <w:highlight w:val="none"/>
                    </w:rPr>
                  </w:pPr>
                  <w:r>
                    <w:rPr>
                      <w:rFonts w:cs="宋体" w:hint="eastAsia"/>
                      <w:kern w:val="0"/>
                      <w:sz w:val="21"/>
                      <w:szCs w:val="21"/>
                      <w:lang w:val="en-US" w:eastAsia="zh-CN"/>
                      <w:highlight w:val="none"/>
                    </w:rPr>
                    <w:t>45.5</w:t>
                  </w:r>
                </w:p>
              </w:tc>
              <w:tc>
                <w:tcPr>
                  <w:tcW w:w="2880" w:type="pct"/>
                  <w:vAlign w:val="center"/>
                </w:tcPr>
                <w:p>
                  <w:pPr>
                    <w:adjustRightInd w:val="0"/>
                    <w:snapToGrid w:val="0"/>
                    <w:jc w:val="center"/>
                    <w:rPr>
                      <w:szCs w:val="21"/>
                      <w:highlight w:val="none"/>
                    </w:rPr>
                  </w:pPr>
                  <w:r>
                    <w:rPr>
                      <w:szCs w:val="21"/>
                      <w:highlight w:val="none"/>
                    </w:rPr>
                    <w:t>50</w:t>
                  </w:r>
                  <w:r>
                    <w:rPr>
                      <w:rFonts w:hint="eastAsia"/>
                      <w:szCs w:val="21"/>
                      <w:highlight w:val="none"/>
                    </w:rPr>
                    <w:t xml:space="preserve"> </w:t>
                  </w:r>
                </w:p>
              </w:tc>
              <w:tc>
                <w:tcPr>
                  <w:tcW w:w="2720" w:type="pct"/>
                  <w:vAlign w:val="center"/>
                </w:tcPr>
                <w:p>
                  <w:pPr>
                    <w:adjustRightInd w:val="0"/>
                    <w:snapToGrid w:val="0"/>
                    <w:jc w:val="center"/>
                    <w:rPr>
                      <w:rFonts w:hint="eastAsia"/>
                      <w:szCs w:val="21"/>
                      <w:highlight w:val="none"/>
                    </w:rPr>
                  </w:pPr>
                  <w:r>
                    <w:rPr>
                      <w:rFonts w:hint="eastAsia"/>
                      <w:szCs w:val="21"/>
                      <w:highlight w:val="none"/>
                    </w:rPr>
                    <w:t>达标</w:t>
                  </w:r>
                </w:p>
              </w:tc>
            </w:tr>
          </w:tbl>
          <w:p>
            <w:pPr>
              <w:spacing w:line="360" w:lineRule="auto"/>
              <w:ind w:firstLineChars="200" w:firstLine="480"/>
              <w:rPr>
                <w:sz w:val="24"/>
                <w:highlight w:val="none"/>
              </w:rPr>
            </w:pPr>
            <w:r>
              <w:rPr>
                <w:sz w:val="24"/>
                <w:highlight w:val="none"/>
              </w:rPr>
              <w:t>根</w:t>
            </w:r>
            <w:r>
              <w:rPr>
                <w:bCs/>
                <w:sz w:val="24"/>
                <w:highlight w:val="none"/>
              </w:rPr>
              <w:t>据监测结果可知，</w:t>
            </w:r>
            <w:r>
              <w:rPr>
                <w:rFonts w:hint="eastAsia"/>
                <w:sz w:val="24"/>
                <w:highlight w:val="none"/>
              </w:rPr>
              <w:t>项目</w:t>
            </w:r>
            <w:r>
              <w:rPr>
                <w:rFonts w:hint="eastAsia"/>
                <w:sz w:val="24"/>
                <w:lang w:val="en-US" w:eastAsia="zh-CN"/>
                <w:highlight w:val="none"/>
              </w:rPr>
              <w:t>敏感点</w:t>
            </w:r>
            <w:r>
              <w:rPr>
                <w:rFonts w:hint="eastAsia"/>
                <w:sz w:val="24"/>
                <w:highlight w:val="none"/>
              </w:rPr>
              <w:t>各</w:t>
            </w:r>
            <w:r>
              <w:rPr>
                <w:sz w:val="24"/>
                <w:highlight w:val="none"/>
              </w:rPr>
              <w:t>监测点</w:t>
            </w:r>
            <w:r>
              <w:rPr>
                <w:rFonts w:hint="eastAsia"/>
                <w:sz w:val="24"/>
                <w:highlight w:val="none"/>
              </w:rPr>
              <w:t>昼夜间</w:t>
            </w:r>
            <w:r>
              <w:rPr>
                <w:sz w:val="24"/>
                <w:highlight w:val="none"/>
              </w:rPr>
              <w:t>噪声值</w:t>
            </w:r>
            <w:r>
              <w:rPr>
                <w:rFonts w:hint="eastAsia"/>
                <w:sz w:val="24"/>
                <w:highlight w:val="none"/>
              </w:rPr>
              <w:t>均</w:t>
            </w:r>
            <w:r>
              <w:rPr>
                <w:sz w:val="24"/>
                <w:highlight w:val="none"/>
              </w:rPr>
              <w:t>满足《声环境质量标准》（GB3096-2008）2类标准，项目区域声环境质量较好。</w:t>
            </w:r>
          </w:p>
          <w:p>
            <w:pPr>
              <w:spacing w:line="360" w:lineRule="auto"/>
              <w:rPr>
                <w:b/>
                <w:bCs/>
                <w:sz w:val="24"/>
                <w:highlight w:val="none"/>
              </w:rPr>
            </w:pPr>
            <w:r>
              <w:rPr>
                <w:b/>
                <w:bCs/>
                <w:sz w:val="24"/>
                <w:highlight w:val="none"/>
              </w:rPr>
              <w:t>4、生态环境现状</w:t>
            </w:r>
          </w:p>
          <w:p>
            <w:pPr>
              <w:autoSpaceDE w:val="0"/>
              <w:autoSpaceDN w:val="0"/>
              <w:adjustRightInd w:val="0"/>
              <w:spacing w:line="360" w:lineRule="auto"/>
              <w:ind w:firstLineChars="200" w:firstLine="480"/>
              <w:rPr>
                <w:rFonts w:ascii="Times New Roman" w:eastAsia="宋体" w:cs="Times New Roman" w:hAnsi="Times New Roman" w:hint="eastAsia"/>
                <w:color w:val="auto"/>
                <w:kern w:val="0"/>
                <w:sz w:val="24"/>
                <w:u w:val="none" w:color="auto"/>
                <w:lang w:eastAsia="zh-CN"/>
                <w:highlight w:val="none"/>
              </w:rPr>
            </w:pPr>
            <w:r>
              <w:rPr>
                <w:rFonts w:cs="Times New Roman" w:hint="eastAsia"/>
                <w:color w:val="auto"/>
                <w:sz w:val="24"/>
                <w:lang w:val="en-US" w:eastAsia="zh-CN"/>
                <w:highlight w:val="none"/>
              </w:rPr>
              <w:t>本</w:t>
            </w:r>
            <w:r>
              <w:rPr>
                <w:rFonts w:ascii="Times New Roman" w:eastAsia="宋体" w:cs="Times New Roman" w:hAnsi="Times New Roman" w:hint="eastAsia"/>
                <w:color w:val="auto"/>
                <w:sz w:val="24"/>
                <w:lang w:val="en-US" w:eastAsia="zh-CN"/>
                <w:highlight w:val="none"/>
              </w:rPr>
              <w:t>项目位于澧县</w:t>
            </w:r>
            <w:r>
              <w:rPr>
                <w:rFonts w:ascii="Times New Roman" w:eastAsia="宋体" w:cs="Times New Roman" w:hAnsi="Times New Roman" w:hint="eastAsia"/>
                <w:sz w:val="24"/>
                <w:lang w:val="en-US" w:eastAsia="zh-CN"/>
                <w:highlight w:val="none"/>
              </w:rPr>
              <w:t>甘溪滩镇和火连坡镇</w:t>
            </w:r>
            <w:r>
              <w:rPr>
                <w:rFonts w:ascii="Times New Roman" w:eastAsia="宋体" w:cs="Times New Roman" w:hAnsi="Times New Roman" w:hint="eastAsia"/>
                <w:color w:val="auto"/>
                <w:sz w:val="24"/>
                <w:lang w:val="en-US" w:eastAsia="zh-CN"/>
                <w:highlight w:val="none"/>
              </w:rPr>
              <w:t>，</w:t>
            </w:r>
            <w:r>
              <w:rPr>
                <w:rFonts w:ascii="Times New Roman" w:cs="Times New Roman" w:hAnsi="Times New Roman"/>
                <w:color w:val="auto"/>
                <w:kern w:val="0"/>
                <w:sz w:val="24"/>
                <w:u w:val="none" w:color="auto"/>
                <w:highlight w:val="none"/>
              </w:rPr>
              <w:t>本项目不涉及自然保护区、森林公园、风景名胜区、湿地公园、水产种质资源保护区、水源涵养区等生态保护红线</w:t>
            </w:r>
            <w:r>
              <w:rPr>
                <w:rFonts w:cs="Times New Roman" w:hint="eastAsia"/>
                <w:color w:val="auto"/>
                <w:kern w:val="0"/>
                <w:sz w:val="24"/>
                <w:u w:val="none" w:color="auto"/>
                <w:lang w:eastAsia="zh-CN"/>
                <w:highlight w:val="none"/>
              </w:rPr>
              <w:t>。</w:t>
            </w:r>
          </w:p>
          <w:p>
            <w:pPr>
              <w:spacing w:line="360" w:lineRule="auto"/>
              <w:ind w:firstLineChars="200" w:firstLine="480"/>
              <w:rPr>
                <w:rFonts w:ascii="Times New Roman" w:cs="Times New Roman" w:hAnsi="Times New Roman"/>
                <w:bCs/>
                <w:color w:val="auto"/>
                <w:sz w:val="24"/>
                <w:u w:val="none"/>
                <w:highlight w:val="none"/>
              </w:rPr>
            </w:pPr>
            <w:r>
              <w:rPr>
                <w:rFonts w:ascii="Times New Roman" w:cs="Times New Roman" w:hAnsi="Times New Roman" w:hint="eastAsia"/>
                <w:bCs/>
                <w:color w:val="auto"/>
                <w:sz w:val="24"/>
                <w:u w:val="none"/>
                <w:lang w:val="en-US" w:eastAsia="zh-CN"/>
                <w:highlight w:val="none"/>
              </w:rPr>
              <w:t>①</w:t>
            </w:r>
            <w:r>
              <w:rPr>
                <w:rFonts w:ascii="Times New Roman" w:cs="Times New Roman" w:hAnsi="Times New Roman"/>
                <w:bCs/>
                <w:color w:val="auto"/>
                <w:sz w:val="24"/>
                <w:u w:val="none"/>
                <w:highlight w:val="none"/>
              </w:rPr>
              <w:t>陆生生态现状</w:t>
            </w:r>
          </w:p>
          <w:p>
            <w:pPr>
              <w:spacing w:line="360" w:lineRule="auto"/>
              <w:ind w:firstLineChars="200" w:firstLine="480"/>
              <w:rPr>
                <w:rFonts w:ascii="Times New Roman" w:cs="Times New Roman" w:hAnsi="Times New Roman"/>
                <w:bCs/>
                <w:color w:val="auto"/>
                <w:sz w:val="24"/>
                <w:u w:val="none"/>
                <w:highlight w:val="none"/>
              </w:rPr>
            </w:pPr>
            <w:r>
              <w:rPr>
                <w:rFonts w:ascii="Times New Roman" w:cs="Times New Roman" w:hAnsi="Times New Roman"/>
                <w:bCs/>
                <w:color w:val="auto"/>
                <w:sz w:val="24"/>
                <w:u w:val="none"/>
                <w:highlight w:val="none"/>
              </w:rPr>
              <w:t>根据现场调查，</w:t>
            </w:r>
            <w:r>
              <w:rPr>
                <w:rFonts w:cs="Times New Roman" w:hint="eastAsia"/>
                <w:bCs/>
                <w:color w:val="auto"/>
                <w:sz w:val="24"/>
                <w:u w:val="none"/>
                <w:lang w:val="en-US" w:eastAsia="zh-CN"/>
                <w:highlight w:val="none"/>
              </w:rPr>
              <w:t>本项目</w:t>
            </w:r>
            <w:r>
              <w:rPr>
                <w:rFonts w:ascii="Times New Roman" w:cs="Times New Roman" w:hAnsi="Times New Roman"/>
                <w:bCs/>
                <w:color w:val="auto"/>
                <w:sz w:val="24"/>
                <w:u w:val="none"/>
                <w:highlight w:val="none"/>
              </w:rPr>
              <w:t>水厂</w:t>
            </w:r>
            <w:r>
              <w:rPr>
                <w:rFonts w:ascii="Times New Roman" w:eastAsia="宋体" w:cs="Times New Roman" w:hAnsi="Times New Roman"/>
                <w:bCs/>
                <w:color w:val="auto"/>
                <w:sz w:val="24"/>
                <w:u w:val="none"/>
                <w:highlight w:val="none"/>
              </w:rPr>
              <w:t>调查范围内未发现有国家级和湖南省级野生重点保护植物分布，也无古树名木分布；野</w:t>
            </w:r>
            <w:r>
              <w:rPr>
                <w:rFonts w:ascii="Times New Roman" w:cs="Times New Roman" w:hAnsi="Times New Roman"/>
                <w:bCs/>
                <w:color w:val="auto"/>
                <w:sz w:val="24"/>
                <w:u w:val="none"/>
                <w:highlight w:val="none"/>
              </w:rPr>
              <w:t>生动物主要是以田鼠等为主的啮齿类小型动物，无珍稀物种和保护植。</w:t>
            </w:r>
          </w:p>
          <w:p>
            <w:pPr>
              <w:spacing w:line="360" w:lineRule="auto"/>
              <w:ind w:firstLineChars="200" w:firstLine="480"/>
              <w:rPr>
                <w:rFonts w:ascii="Times New Roman" w:cs="Times New Roman" w:hAnsi="Times New Roman"/>
                <w:bCs/>
                <w:color w:val="auto"/>
                <w:sz w:val="24"/>
                <w:u w:val="none"/>
                <w:highlight w:val="none"/>
              </w:rPr>
            </w:pPr>
            <w:r>
              <w:rPr>
                <w:rFonts w:ascii="Times New Roman" w:cs="Times New Roman" w:hAnsi="Times New Roman" w:hint="eastAsia"/>
                <w:bCs/>
                <w:color w:val="auto"/>
                <w:sz w:val="24"/>
                <w:u w:val="none"/>
                <w:lang w:val="en-US" w:eastAsia="zh-CN"/>
                <w:highlight w:val="none"/>
              </w:rPr>
              <w:t>②</w:t>
            </w:r>
            <w:r>
              <w:rPr>
                <w:rFonts w:ascii="Times New Roman" w:cs="Times New Roman" w:hAnsi="Times New Roman"/>
                <w:bCs/>
                <w:color w:val="auto"/>
                <w:sz w:val="24"/>
                <w:u w:val="none"/>
                <w:highlight w:val="none"/>
              </w:rPr>
              <w:t>水生生物现状</w:t>
            </w:r>
          </w:p>
          <w:p>
            <w:pPr>
              <w:spacing w:line="360" w:lineRule="auto"/>
              <w:ind w:firstLineChars="200" w:firstLine="480"/>
              <w:rPr>
                <w:sz w:val="24"/>
                <w:highlight w:val="none"/>
              </w:rPr>
            </w:pPr>
            <w:r>
              <w:rPr>
                <w:rFonts w:ascii="Times New Roman" w:cs="Times New Roman" w:hAnsi="Times New Roman"/>
                <w:bCs/>
                <w:color w:val="auto"/>
                <w:sz w:val="24"/>
                <w:u w:val="none"/>
                <w:highlight w:val="none"/>
              </w:rPr>
              <w:t>根据现场调查，项目评价范围内不涉及重点保护鱼类，无鱼类自然保护区。浮游植物主要有蓝藻门的伪鱼腥藻，弯行小尖头藻，蓝纤维藻，微囊藻，平裂藻，鱼腥藻，色球藻，细鞘丝藻等；浮游动物以原生动物为主，枝角类、桡足类、轮虫次之，它们都是鱼苗的天然饵料；水域底栖动物约26种，其中鲨昆虫11种，寡毛类5种，软体动物10种；天然鱼类</w:t>
            </w:r>
            <w:r>
              <w:rPr>
                <w:rFonts w:cs="Times New Roman" w:hint="eastAsia"/>
                <w:bCs/>
                <w:color w:val="auto"/>
                <w:sz w:val="24"/>
                <w:u w:val="none"/>
                <w:lang w:val="en-US" w:eastAsia="zh-CN"/>
                <w:highlight w:val="none"/>
              </w:rPr>
              <w:t>主要为</w:t>
            </w:r>
            <w:r>
              <w:rPr>
                <w:rFonts w:ascii="Times New Roman" w:cs="Times New Roman" w:hAnsi="Times New Roman"/>
                <w:bCs/>
                <w:color w:val="auto"/>
                <w:sz w:val="24"/>
                <w:u w:val="none"/>
                <w:highlight w:val="none"/>
              </w:rPr>
              <w:t>青、草、鲢、鳙、鲤、鲫、鳊、鲴等家常鱼类品种，种质优良</w:t>
            </w:r>
            <w:r>
              <w:rPr>
                <w:rFonts w:ascii="Times New Roman" w:cs="Times New Roman" w:hAnsi="Times New Roman" w:hint="eastAsia"/>
                <w:bCs/>
                <w:color w:val="auto"/>
                <w:sz w:val="24"/>
                <w:u w:val="none"/>
                <w:lang w:eastAsia="zh-CN"/>
                <w:highlight w:val="none"/>
              </w:rPr>
              <w:t>。</w:t>
            </w:r>
          </w:p>
          <w:p>
            <w:pPr>
              <w:spacing w:line="360" w:lineRule="auto"/>
              <w:rPr>
                <w:b/>
                <w:bCs/>
                <w:sz w:val="24"/>
                <w:highlight w:val="none"/>
              </w:rPr>
            </w:pPr>
            <w:r>
              <w:rPr>
                <w:rFonts w:hint="eastAsia"/>
                <w:b/>
                <w:bCs/>
                <w:sz w:val="24"/>
                <w:highlight w:val="none"/>
              </w:rPr>
              <w:t>5、地下水、土壤环境</w:t>
            </w:r>
          </w:p>
          <w:p>
            <w:pPr>
              <w:spacing w:line="360" w:lineRule="auto"/>
              <w:ind w:firstLineChars="200" w:firstLine="480"/>
              <w:rPr>
                <w:b/>
                <w:bCs/>
                <w:sz w:val="24"/>
                <w:highlight w:val="none"/>
              </w:rPr>
            </w:pPr>
            <w:r>
              <w:rPr>
                <w:sz w:val="24"/>
                <w:highlight w:val="none"/>
              </w:rPr>
              <w:t>根据《建设项目环境影响报告表编制技术指南（污染影响类）（试行）》，本项目可不开展土壤、地下水环境现状调查。</w:t>
            </w:r>
          </w:p>
          <w:p>
            <w:pPr>
              <w:spacing w:line="360" w:lineRule="auto"/>
              <w:rPr>
                <w:b/>
                <w:bCs/>
                <w:sz w:val="24"/>
                <w:highlight w:val="none"/>
              </w:rPr>
            </w:pPr>
            <w:r>
              <w:rPr>
                <w:rFonts w:hint="eastAsia"/>
                <w:b/>
                <w:bCs/>
                <w:sz w:val="24"/>
                <w:highlight w:val="none"/>
              </w:rPr>
              <w:t>6、</w:t>
            </w:r>
            <w:r>
              <w:rPr>
                <w:b/>
                <w:bCs/>
                <w:sz w:val="24"/>
                <w:highlight w:val="none"/>
              </w:rPr>
              <w:t>电磁辐射</w:t>
            </w:r>
          </w:p>
          <w:p>
            <w:pPr>
              <w:spacing w:line="360" w:lineRule="auto"/>
              <w:ind w:firstLineChars="200" w:firstLine="480"/>
              <w:rPr>
                <w:sz w:val="24"/>
                <w:highlight w:val="none"/>
              </w:rPr>
            </w:pPr>
            <w:r>
              <w:rPr>
                <w:sz w:val="24"/>
                <w:highlight w:val="none"/>
              </w:rPr>
              <w:t>本项目不涉及电磁辐射设备，不进行电磁辐射影响评价，因此无需进行电磁辐射环境现状调查。</w:t>
            </w:r>
          </w:p>
        </w:tc>
      </w:tr>
      <w:tr>
        <w:trPr>
          <w:trHeight w:val="1365"/>
        </w:trPr>
        <w:tc>
          <w:tcPr>
            <w:tcW w:w="800" w:type="dxa"/>
            <w:vAlign w:val="center"/>
          </w:tcPr>
          <w:p>
            <w:pPr>
              <w:adjustRightInd w:val="0"/>
              <w:snapToGrid w:val="0"/>
              <w:jc w:val="center"/>
              <w:rPr>
                <w:kern w:val="0"/>
                <w:sz w:val="24"/>
                <w:highlight w:val="none"/>
              </w:rPr>
            </w:pPr>
            <w:r>
              <w:rPr>
                <w:kern w:val="0"/>
                <w:sz w:val="24"/>
                <w:highlight w:val="none"/>
              </w:rPr>
              <w:t>环境</w:t>
            </w:r>
          </w:p>
          <w:p>
            <w:pPr>
              <w:adjustRightInd w:val="0"/>
              <w:snapToGrid w:val="0"/>
              <w:jc w:val="center"/>
              <w:rPr>
                <w:kern w:val="0"/>
                <w:sz w:val="24"/>
                <w:highlight w:val="none"/>
              </w:rPr>
            </w:pPr>
            <w:r>
              <w:rPr>
                <w:kern w:val="0"/>
                <w:sz w:val="24"/>
                <w:highlight w:val="none"/>
              </w:rPr>
              <w:t>保护</w:t>
            </w:r>
          </w:p>
          <w:p>
            <w:pPr>
              <w:adjustRightInd w:val="0"/>
              <w:snapToGrid w:val="0"/>
              <w:jc w:val="center"/>
              <w:rPr>
                <w:kern w:val="0"/>
                <w:szCs w:val="21"/>
                <w:highlight w:val="none"/>
              </w:rPr>
            </w:pPr>
            <w:r>
              <w:rPr>
                <w:kern w:val="0"/>
                <w:sz w:val="24"/>
                <w:highlight w:val="none"/>
              </w:rPr>
              <w:t>目标</w:t>
            </w:r>
          </w:p>
        </w:tc>
        <w:tc>
          <w:tcPr>
            <w:tcW w:w="8190" w:type="dxa"/>
            <w:vAlign w:val="center"/>
          </w:tcPr>
          <w:p>
            <w:pPr>
              <w:spacing w:line="360" w:lineRule="auto"/>
              <w:rPr>
                <w:b/>
                <w:bCs/>
                <w:sz w:val="24"/>
                <w:highlight w:val="none"/>
              </w:rPr>
            </w:pPr>
            <w:r>
              <w:rPr>
                <w:b/>
                <w:bCs/>
                <w:sz w:val="24"/>
                <w:highlight w:val="none"/>
              </w:rPr>
              <w:t>1、大气环境</w:t>
            </w:r>
          </w:p>
          <w:p>
            <w:pPr>
              <w:adjustRightInd w:val="0"/>
              <w:snapToGrid w:val="0"/>
              <w:spacing w:line="360" w:lineRule="auto"/>
              <w:ind w:firstLineChars="200" w:firstLine="480"/>
              <w:rPr>
                <w:b/>
                <w:szCs w:val="21"/>
                <w:u w:val="none"/>
                <w:highlight w:val="none"/>
              </w:rPr>
            </w:pPr>
            <w:r>
              <w:rPr>
                <w:sz w:val="24"/>
                <w:u w:val="none"/>
                <w:highlight w:val="none"/>
              </w:rPr>
              <w:t>根据对项目所在地的实地踏勘，本项目厂界外500m范围内大气环境保护目标如下。</w:t>
            </w:r>
          </w:p>
          <w:p>
            <w:pPr>
              <w:jc w:val="center"/>
              <w:rPr>
                <w:b/>
                <w:szCs w:val="21"/>
                <w:u w:val="none"/>
                <w:highlight w:val="none"/>
              </w:rPr>
            </w:pPr>
            <w:r>
              <w:rPr>
                <w:b/>
                <w:szCs w:val="21"/>
                <w:u w:val="none"/>
                <w:highlight w:val="none"/>
              </w:rPr>
              <w:t>表3-</w:t>
            </w:r>
            <w:r>
              <w:rPr>
                <w:rFonts w:hint="eastAsia"/>
                <w:b/>
                <w:szCs w:val="21"/>
                <w:u w:val="none"/>
                <w:lang w:val="en-US" w:eastAsia="zh-CN"/>
                <w:highlight w:val="none"/>
              </w:rPr>
              <w:t>4</w:t>
            </w:r>
            <w:r>
              <w:rPr>
                <w:b/>
                <w:szCs w:val="21"/>
                <w:u w:val="none"/>
                <w:highlight w:val="none"/>
              </w:rPr>
              <w:t xml:space="preserve">  大气环境保护目标一览表</w:t>
            </w:r>
            <w:r>
              <w:rPr>
                <w:rFonts w:hint="eastAsia"/>
                <w:b/>
                <w:szCs w:val="21"/>
                <w:u w:val="none"/>
                <w:highlight w:val="none"/>
              </w:rPr>
              <w:t>（水厂）</w:t>
            </w:r>
          </w:p>
          <w:tbl>
            <w:tblPr>
              <w:jc w:val="center"/>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top w:w="0" w:type="dxa"/>
                <w:left w:w="0" w:type="dxa"/>
                <w:bottom w:w="0" w:type="dxa"/>
                <w:right w:w="0" w:type="dxa"/>
              </w:tblCellMar>
              <w:tblLook w:val="0600" w:firstRow="0" w:lastRow="0" w:firstColumn="0" w:lastColumn="0" w:noHBand="1" w:noVBand="1"/>
            </w:tblPr>
            <w:tblGrid>
              <w:gridCol w:w="1117"/>
              <w:gridCol w:w="1059"/>
              <w:gridCol w:w="1061"/>
              <w:gridCol w:w="765"/>
              <w:gridCol w:w="1399"/>
              <w:gridCol w:w="678"/>
              <w:gridCol w:w="954"/>
              <w:gridCol w:w="785"/>
            </w:tblGrid>
            <w:tr>
              <w:trPr>
                <w:trHeight w:val="283"/>
              </w:trPr>
              <w:tc>
                <w:tcPr>
                  <w:tcW w:w="286" w:type="dxa"/>
                  <w:vMerge w:val="restart"/>
                  <w:tcBorders>
                    <w:tl2br w:val="nil"/>
                    <w:tr2bl w:val="nil"/>
                  </w:tcBorders>
                  <w:vAlign w:val="center"/>
                </w:tcPr>
                <w:p>
                  <w:pPr>
                    <w:pStyle w:val="71"/>
                    <w:adjustRightInd w:val="0"/>
                    <w:snapToGrid w:val="0"/>
                    <w:rPr>
                      <w:rFonts w:ascii="Times New Roman" w:cs="Times New Roman" w:hAnsi="Times New Roman"/>
                      <w:b/>
                      <w:bCs/>
                      <w:u w:val="none"/>
                      <w:highlight w:val="none"/>
                    </w:rPr>
                  </w:pPr>
                  <w:r>
                    <w:rPr>
                      <w:rFonts w:ascii="Times New Roman" w:cs="Times New Roman" w:hAnsi="Times New Roman"/>
                      <w:b/>
                      <w:bCs/>
                      <w:u w:val="none"/>
                      <w:highlight w:val="none"/>
                    </w:rPr>
                    <w:t>名称</w:t>
                  </w:r>
                </w:p>
              </w:tc>
              <w:tc>
                <w:tcPr>
                  <w:tcW w:w="542" w:type="dxa"/>
                  <w:gridSpan w:val="2"/>
                  <w:tcBorders>
                    <w:tl2br w:val="nil"/>
                    <w:tr2bl w:val="nil"/>
                  </w:tcBorders>
                  <w:vAlign w:val="center"/>
                </w:tcPr>
                <w:p>
                  <w:pPr>
                    <w:pStyle w:val="71"/>
                    <w:adjustRightInd w:val="0"/>
                    <w:snapToGrid w:val="0"/>
                    <w:rPr>
                      <w:rFonts w:ascii="Times New Roman" w:cs="Times New Roman" w:hAnsi="Times New Roman"/>
                      <w:b/>
                      <w:bCs/>
                      <w:u w:val="none"/>
                      <w:highlight w:val="none"/>
                    </w:rPr>
                  </w:pPr>
                  <w:r>
                    <w:rPr>
                      <w:rFonts w:ascii="Times New Roman" w:cs="Times New Roman" w:hAnsi="Times New Roman"/>
                      <w:b/>
                      <w:bCs/>
                      <w:u w:val="none"/>
                      <w:highlight w:val="none"/>
                    </w:rPr>
                    <w:t>坐标</w:t>
                  </w:r>
                </w:p>
              </w:tc>
              <w:tc>
                <w:tcPr>
                  <w:tcW w:w="196" w:type="dxa"/>
                  <w:vMerge w:val="restart"/>
                  <w:tcBorders>
                    <w:tl2br w:val="nil"/>
                    <w:tr2bl w:val="nil"/>
                  </w:tcBorders>
                  <w:vAlign w:val="center"/>
                </w:tcPr>
                <w:p>
                  <w:pPr>
                    <w:pStyle w:val="71"/>
                    <w:adjustRightInd w:val="0"/>
                    <w:snapToGrid w:val="0"/>
                    <w:rPr>
                      <w:rFonts w:ascii="Times New Roman" w:cs="Times New Roman" w:hAnsi="Times New Roman"/>
                      <w:b/>
                      <w:bCs/>
                      <w:u w:val="none"/>
                      <w:highlight w:val="none"/>
                    </w:rPr>
                  </w:pPr>
                  <w:r>
                    <w:rPr>
                      <w:rFonts w:ascii="Times New Roman" w:cs="Times New Roman" w:hAnsi="Times New Roman"/>
                      <w:b/>
                      <w:bCs/>
                      <w:u w:val="none"/>
                      <w:highlight w:val="none"/>
                    </w:rPr>
                    <w:t>保护对象</w:t>
                  </w:r>
                </w:p>
              </w:tc>
              <w:tc>
                <w:tcPr>
                  <w:tcW w:w="358" w:type="dxa"/>
                  <w:vMerge w:val="restart"/>
                  <w:tcBorders>
                    <w:tl2br w:val="nil"/>
                    <w:tr2bl w:val="nil"/>
                  </w:tcBorders>
                  <w:vAlign w:val="center"/>
                </w:tcPr>
                <w:p>
                  <w:pPr>
                    <w:pStyle w:val="71"/>
                    <w:adjustRightInd w:val="0"/>
                    <w:snapToGrid w:val="0"/>
                    <w:rPr>
                      <w:rFonts w:ascii="Times New Roman" w:cs="Times New Roman" w:hAnsi="Times New Roman"/>
                      <w:b/>
                      <w:bCs/>
                      <w:u w:val="none"/>
                      <w:highlight w:val="none"/>
                    </w:rPr>
                  </w:pPr>
                  <w:r>
                    <w:rPr>
                      <w:rFonts w:ascii="Times New Roman" w:cs="Times New Roman" w:hAnsi="Times New Roman"/>
                      <w:b/>
                      <w:bCs/>
                      <w:u w:val="none"/>
                      <w:highlight w:val="none"/>
                    </w:rPr>
                    <w:t>保护内容</w:t>
                  </w:r>
                </w:p>
              </w:tc>
              <w:tc>
                <w:tcPr>
                  <w:tcW w:w="173" w:type="dxa"/>
                  <w:vMerge w:val="restart"/>
                  <w:tcBorders>
                    <w:tl2br w:val="nil"/>
                    <w:tr2bl w:val="nil"/>
                  </w:tcBorders>
                  <w:vAlign w:val="center"/>
                </w:tcPr>
                <w:p>
                  <w:pPr>
                    <w:pStyle w:val="71"/>
                    <w:adjustRightInd w:val="0"/>
                    <w:snapToGrid w:val="0"/>
                    <w:rPr>
                      <w:rFonts w:ascii="Times New Roman" w:cs="Times New Roman" w:hAnsi="Times New Roman"/>
                      <w:b/>
                      <w:bCs/>
                      <w:u w:val="none"/>
                      <w:highlight w:val="none"/>
                    </w:rPr>
                  </w:pPr>
                  <w:r>
                    <w:rPr>
                      <w:rFonts w:ascii="Times New Roman" w:cs="Times New Roman" w:hAnsi="Times New Roman"/>
                      <w:b/>
                      <w:bCs/>
                      <w:u w:val="none"/>
                      <w:highlight w:val="none"/>
                    </w:rPr>
                    <w:t>相对厂址方位</w:t>
                  </w:r>
                </w:p>
              </w:tc>
              <w:tc>
                <w:tcPr>
                  <w:tcW w:w="244" w:type="dxa"/>
                  <w:vMerge w:val="restart"/>
                  <w:tcBorders>
                    <w:tl2br w:val="nil"/>
                    <w:tr2bl w:val="nil"/>
                  </w:tcBorders>
                  <w:vAlign w:val="center"/>
                </w:tcPr>
                <w:p>
                  <w:pPr>
                    <w:pStyle w:val="71"/>
                    <w:adjustRightInd w:val="0"/>
                    <w:snapToGrid w:val="0"/>
                    <w:rPr>
                      <w:rFonts w:ascii="Times New Roman" w:cs="Times New Roman" w:hAnsi="Times New Roman"/>
                      <w:b/>
                      <w:bCs/>
                      <w:u w:val="none"/>
                      <w:highlight w:val="none"/>
                    </w:rPr>
                  </w:pPr>
                  <w:r>
                    <w:rPr>
                      <w:rFonts w:ascii="Times New Roman" w:cs="Times New Roman" w:hAnsi="Times New Roman"/>
                      <w:b/>
                      <w:bCs/>
                      <w:u w:val="none"/>
                      <w:highlight w:val="none"/>
                    </w:rPr>
                    <w:t>相对厂界距离/m</w:t>
                  </w:r>
                </w:p>
              </w:tc>
              <w:tc>
                <w:tcPr>
                  <w:tcW w:w="201" w:type="dxa"/>
                  <w:vMerge w:val="restart"/>
                  <w:tcBorders>
                    <w:tl2br w:val="nil"/>
                    <w:tr2bl w:val="nil"/>
                  </w:tcBorders>
                  <w:vAlign w:val="center"/>
                </w:tcPr>
                <w:p>
                  <w:pPr>
                    <w:pStyle w:val="71"/>
                    <w:adjustRightInd w:val="0"/>
                    <w:snapToGrid w:val="0"/>
                    <w:rPr>
                      <w:rFonts w:ascii="Times New Roman" w:cs="Times New Roman" w:hAnsi="Times New Roman"/>
                      <w:b/>
                      <w:bCs/>
                      <w:u w:val="none"/>
                      <w:highlight w:val="none"/>
                    </w:rPr>
                  </w:pPr>
                  <w:r>
                    <w:rPr>
                      <w:rFonts w:ascii="Times New Roman" w:cs="Times New Roman" w:hAnsi="Times New Roman" w:hint="eastAsia"/>
                      <w:b/>
                      <w:bCs/>
                      <w:u w:val="none"/>
                      <w:highlight w:val="none"/>
                    </w:rPr>
                    <w:t>保护级别</w:t>
                  </w:r>
                </w:p>
              </w:tc>
            </w:tr>
            <w:tr>
              <w:trPr>
                <w:trHeight w:val="283"/>
              </w:trPr>
              <w:tc>
                <w:tcPr>
                  <w:tcW w:w="286" w:type="dxa"/>
                  <w:vMerge/>
                  <w:tcBorders>
                    <w:tl2br w:val="nil"/>
                    <w:tr2bl w:val="nil"/>
                  </w:tcBorders>
                  <w:vAlign w:val="center"/>
                </w:tcPr>
                <w:p/>
              </w:tc>
              <w:tc>
                <w:tcPr>
                  <w:tcW w:w="271" w:type="dxa"/>
                  <w:tcBorders>
                    <w:tl2br w:val="nil"/>
                    <w:tr2bl w:val="nil"/>
                  </w:tcBorders>
                  <w:vAlign w:val="center"/>
                </w:tcPr>
                <w:p>
                  <w:pPr>
                    <w:pStyle w:val="71"/>
                    <w:adjustRightInd w:val="0"/>
                    <w:snapToGrid w:val="0"/>
                    <w:rPr>
                      <w:rFonts w:ascii="Times New Roman" w:cs="Times New Roman" w:hAnsi="Times New Roman"/>
                      <w:b/>
                      <w:bCs/>
                      <w:u w:val="none"/>
                      <w:highlight w:val="none"/>
                    </w:rPr>
                  </w:pPr>
                  <w:r>
                    <w:rPr>
                      <w:rFonts w:ascii="Times New Roman" w:cs="Times New Roman" w:hAnsi="Times New Roman"/>
                      <w:b/>
                      <w:bCs/>
                      <w:u w:val="none"/>
                      <w:highlight w:val="none"/>
                    </w:rPr>
                    <w:t>经度</w:t>
                  </w:r>
                </w:p>
              </w:tc>
              <w:tc>
                <w:tcPr>
                  <w:tcW w:w="271" w:type="dxa"/>
                  <w:tcBorders>
                    <w:tl2br w:val="nil"/>
                    <w:tr2bl w:val="nil"/>
                  </w:tcBorders>
                  <w:vAlign w:val="center"/>
                </w:tcPr>
                <w:p>
                  <w:pPr>
                    <w:pStyle w:val="71"/>
                    <w:adjustRightInd w:val="0"/>
                    <w:snapToGrid w:val="0"/>
                    <w:rPr>
                      <w:rFonts w:ascii="Times New Roman" w:cs="Times New Roman" w:hAnsi="Times New Roman"/>
                      <w:b/>
                      <w:bCs/>
                      <w:u w:val="none"/>
                      <w:highlight w:val="none"/>
                    </w:rPr>
                  </w:pPr>
                  <w:r>
                    <w:rPr>
                      <w:rFonts w:ascii="Times New Roman" w:cs="Times New Roman" w:hAnsi="Times New Roman"/>
                      <w:b/>
                      <w:bCs/>
                      <w:u w:val="none"/>
                      <w:highlight w:val="none"/>
                    </w:rPr>
                    <w:t>纬度</w:t>
                  </w:r>
                </w:p>
              </w:tc>
              <w:tc>
                <w:tcPr>
                  <w:tcW w:w="196" w:type="dxa"/>
                  <w:vMerge/>
                  <w:tcBorders>
                    <w:tl2br w:val="nil"/>
                    <w:tr2bl w:val="nil"/>
                  </w:tcBorders>
                  <w:vAlign w:val="center"/>
                </w:tcPr>
                <w:p/>
              </w:tc>
              <w:tc>
                <w:tcPr>
                  <w:tcW w:w="358" w:type="dxa"/>
                  <w:vMerge/>
                  <w:tcBorders>
                    <w:tl2br w:val="nil"/>
                    <w:tr2bl w:val="nil"/>
                  </w:tcBorders>
                  <w:vAlign w:val="center"/>
                </w:tcPr>
                <w:p/>
              </w:tc>
              <w:tc>
                <w:tcPr>
                  <w:tcW w:w="173" w:type="dxa"/>
                  <w:vMerge/>
                  <w:tcBorders>
                    <w:tl2br w:val="nil"/>
                    <w:tr2bl w:val="nil"/>
                  </w:tcBorders>
                  <w:vAlign w:val="center"/>
                </w:tcPr>
                <w:p/>
              </w:tc>
              <w:tc>
                <w:tcPr>
                  <w:tcW w:w="244" w:type="dxa"/>
                  <w:vMerge/>
                  <w:tcBorders>
                    <w:tl2br w:val="nil"/>
                    <w:tr2bl w:val="nil"/>
                  </w:tcBorders>
                  <w:vAlign w:val="center"/>
                </w:tcPr>
                <w:p/>
              </w:tc>
              <w:tc>
                <w:tcPr>
                  <w:tcW w:w="201" w:type="dxa"/>
                  <w:vMerge/>
                  <w:tcBorders>
                    <w:tl2br w:val="nil"/>
                    <w:tr2bl w:val="nil"/>
                  </w:tcBorders>
                  <w:vAlign w:val="center"/>
                </w:tcPr>
                <w:p/>
              </w:tc>
            </w:tr>
            <w:tr>
              <w:trPr>
                <w:trHeight w:val="283"/>
              </w:trPr>
              <w:tc>
                <w:tcPr>
                  <w:tcW w:w="286" w:type="dxa"/>
                  <w:vMerge w:val="restart"/>
                  <w:tcBorders>
                    <w:tl2br w:val="nil"/>
                    <w:tr2bl w:val="nil"/>
                  </w:tcBorders>
                  <w:vAlign w:val="center"/>
                </w:tcPr>
                <w:p>
                  <w:pPr>
                    <w:pStyle w:val="71"/>
                    <w:adjustRightInd w:val="0"/>
                    <w:snapToGrid w:val="0"/>
                    <w:rPr>
                      <w:rFonts w:ascii="Times New Roman" w:cs="Times New Roman" w:hAnsi="Times New Roman"/>
                      <w:szCs w:val="21"/>
                      <w:u w:val="none"/>
                      <w:highlight w:val="none"/>
                    </w:rPr>
                  </w:pPr>
                  <w:r>
                    <w:rPr>
                      <w:rFonts w:ascii="Times New Roman" w:cs="Times New Roman" w:hAnsi="Times New Roman" w:hint="eastAsia"/>
                      <w:szCs w:val="21"/>
                      <w:u w:val="none"/>
                      <w:lang w:val="en-US" w:eastAsia="zh-CN"/>
                      <w:highlight w:val="none"/>
                    </w:rPr>
                    <w:t>田冲村</w:t>
                  </w:r>
                  <w:r>
                    <w:rPr>
                      <w:rFonts w:ascii="Times New Roman" w:cs="Times New Roman" w:hAnsi="Times New Roman" w:hint="eastAsia"/>
                      <w:szCs w:val="21"/>
                      <w:u w:val="none"/>
                      <w:highlight w:val="none"/>
                    </w:rPr>
                    <w:t>居民</w:t>
                  </w:r>
                </w:p>
              </w:tc>
              <w:tc>
                <w:tcPr>
                  <w:tcW w:w="271"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highlight w:val="none"/>
                    </w:rPr>
                    <w:t>11</w:t>
                  </w:r>
                  <w:r>
                    <w:rPr>
                      <w:rFonts w:ascii="Times New Roman" w:cs="Times New Roman" w:hAnsi="Times New Roman" w:hint="eastAsia"/>
                      <w:u w:val="none"/>
                      <w:lang w:val="en-US" w:eastAsia="zh-CN"/>
                      <w:highlight w:val="none"/>
                    </w:rPr>
                    <w:t>1</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285201</w:t>
                  </w:r>
                </w:p>
              </w:tc>
              <w:tc>
                <w:tcPr>
                  <w:tcW w:w="271"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highlight w:val="none"/>
                    </w:rPr>
                    <w:t>29.</w:t>
                  </w:r>
                  <w:r>
                    <w:rPr>
                      <w:rFonts w:ascii="Times New Roman" w:cs="Times New Roman" w:hAnsi="Times New Roman" w:hint="eastAsia"/>
                      <w:u w:val="none"/>
                      <w:lang w:val="en-US" w:eastAsia="zh-CN"/>
                      <w:highlight w:val="none"/>
                    </w:rPr>
                    <w:t>892681</w:t>
                  </w:r>
                </w:p>
              </w:tc>
              <w:tc>
                <w:tcPr>
                  <w:tcW w:w="196" w:type="dxa"/>
                  <w:tcBorders>
                    <w:tl2br w:val="nil"/>
                    <w:tr2bl w:val="nil"/>
                  </w:tcBorders>
                  <w:vAlign w:val="center"/>
                </w:tcPr>
                <w:p>
                  <w:pPr>
                    <w:pStyle w:val="71"/>
                    <w:adjustRightInd w:val="0"/>
                    <w:snapToGrid w:val="0"/>
                    <w:rPr>
                      <w:rFonts w:ascii="Times New Roman" w:cs="Times New Roman" w:hAnsi="Times New Roman"/>
                      <w:u w:val="none"/>
                      <w:highlight w:val="none"/>
                    </w:rPr>
                  </w:pPr>
                  <w:r>
                    <w:rPr>
                      <w:rFonts w:ascii="Times New Roman" w:cs="Times New Roman" w:hAnsi="Times New Roman"/>
                      <w:u w:val="none"/>
                      <w:highlight w:val="none"/>
                    </w:rPr>
                    <w:t>居民</w:t>
                  </w:r>
                </w:p>
              </w:tc>
              <w:tc>
                <w:tcPr>
                  <w:tcW w:w="358"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3</w:t>
                  </w:r>
                  <w:r>
                    <w:rPr>
                      <w:rFonts w:ascii="Times New Roman" w:cs="Times New Roman" w:hAnsi="Times New Roman"/>
                      <w:u w:val="none"/>
                      <w:highlight w:val="none"/>
                    </w:rPr>
                    <w:t>户</w:t>
                  </w:r>
                  <w:r>
                    <w:rPr>
                      <w:rFonts w:ascii="Times New Roman" w:cs="Times New Roman" w:hAnsi="Times New Roman" w:hint="eastAsia"/>
                      <w:u w:val="none"/>
                      <w:lang w:val="en-US" w:eastAsia="zh-CN"/>
                      <w:highlight w:val="none"/>
                    </w:rPr>
                    <w:t>10人</w:t>
                  </w:r>
                </w:p>
              </w:tc>
              <w:tc>
                <w:tcPr>
                  <w:tcW w:w="173" w:type="dxa"/>
                  <w:tcBorders>
                    <w:tl2br w:val="nil"/>
                    <w:tr2bl w:val="nil"/>
                  </w:tcBorders>
                  <w:vAlign w:val="center"/>
                </w:tcPr>
                <w:p>
                  <w:pPr>
                    <w:pStyle w:val="71"/>
                    <w:adjustRightInd w:val="0"/>
                    <w:snapToGrid w:val="0"/>
                    <w:rPr>
                      <w:rFonts w:ascii="Times New Roman" w:cs="Times New Roman" w:hAnsi="Times New Roman"/>
                      <w:szCs w:val="22"/>
                      <w:u w:val="none"/>
                      <w:highlight w:val="none"/>
                    </w:rPr>
                  </w:pPr>
                  <w:r>
                    <w:rPr>
                      <w:rFonts w:ascii="Times New Roman" w:cs="Times New Roman" w:hAnsi="Times New Roman" w:hint="eastAsia"/>
                      <w:szCs w:val="22"/>
                      <w:u w:val="none"/>
                      <w:highlight w:val="none"/>
                    </w:rPr>
                    <w:t>北侧</w:t>
                  </w:r>
                </w:p>
              </w:tc>
              <w:tc>
                <w:tcPr>
                  <w:tcW w:w="244" w:type="dxa"/>
                  <w:tcBorders>
                    <w:tl2br w:val="nil"/>
                    <w:tr2bl w:val="nil"/>
                  </w:tcBorders>
                  <w:vAlign w:val="center"/>
                </w:tcPr>
                <w:p>
                  <w:pPr>
                    <w:pStyle w:val="71"/>
                    <w:adjustRightInd w:val="0"/>
                    <w:snapToGrid w:val="0"/>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1</w:t>
                  </w:r>
                  <w:r>
                    <w:rPr>
                      <w:rFonts w:ascii="Times New Roman" w:cs="Times New Roman" w:hAnsi="Times New Roman" w:hint="eastAsia"/>
                      <w:u w:val="none"/>
                      <w:highlight w:val="none"/>
                    </w:rPr>
                    <w:t>5~</w:t>
                  </w:r>
                  <w:r>
                    <w:rPr>
                      <w:rFonts w:ascii="Times New Roman" w:cs="Times New Roman" w:hAnsi="Times New Roman" w:hint="eastAsia"/>
                      <w:u w:val="none"/>
                      <w:lang w:val="en-US" w:eastAsia="zh-CN"/>
                      <w:highlight w:val="none"/>
                    </w:rPr>
                    <w:t>60</w:t>
                  </w:r>
                  <w:r>
                    <w:rPr>
                      <w:rFonts w:ascii="Times New Roman" w:cs="Times New Roman" w:hAnsi="Times New Roman" w:hint="eastAsia"/>
                      <w:u w:val="none"/>
                      <w:highlight w:val="none"/>
                    </w:rPr>
                    <w:t>m</w:t>
                  </w:r>
                </w:p>
              </w:tc>
              <w:tc>
                <w:tcPr>
                  <w:tcW w:w="201" w:type="dxa"/>
                  <w:vMerge w:val="restart"/>
                  <w:tcBorders>
                    <w:tl2br w:val="nil"/>
                    <w:tr2bl w:val="nil"/>
                  </w:tcBorders>
                  <w:vAlign w:val="center"/>
                </w:tcPr>
                <w:p>
                  <w:pPr>
                    <w:pStyle w:val="71"/>
                    <w:adjustRightInd w:val="0"/>
                    <w:snapToGrid w:val="0"/>
                    <w:rPr>
                      <w:rFonts w:ascii="Times New Roman" w:cs="Times New Roman" w:hAnsi="Times New Roman"/>
                      <w:u w:val="none"/>
                      <w:highlight w:val="none"/>
                    </w:rPr>
                  </w:pPr>
                  <w:r>
                    <w:rPr>
                      <w:rFonts w:ascii="Times New Roman" w:cs="Times New Roman" w:hAnsi="Times New Roman"/>
                      <w:u w:val="none"/>
                      <w:highlight w:val="none"/>
                    </w:rPr>
                    <w:t>GB3095-2012</w:t>
                  </w:r>
                  <w:r>
                    <w:rPr>
                      <w:rFonts w:ascii="Times New Roman" w:cs="Times New Roman" w:hAnsi="Times New Roman" w:hint="eastAsia"/>
                      <w:u w:val="none"/>
                      <w:highlight w:val="none"/>
                    </w:rPr>
                    <w:t>中二级标准</w:t>
                  </w:r>
                </w:p>
              </w:tc>
            </w:tr>
            <w:tr>
              <w:trPr>
                <w:trHeight w:val="283"/>
              </w:trPr>
              <w:tc>
                <w:tcPr>
                  <w:tcW w:w="286" w:type="dxa"/>
                  <w:vMerge/>
                  <w:tcBorders>
                    <w:tl2br w:val="nil"/>
                    <w:tr2bl w:val="nil"/>
                  </w:tcBorders>
                  <w:vAlign w:val="center"/>
                </w:tcPr>
                <w:p/>
              </w:tc>
              <w:tc>
                <w:tcPr>
                  <w:tcW w:w="271"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highlight w:val="none"/>
                    </w:rPr>
                    <w:t>11</w:t>
                  </w:r>
                  <w:r>
                    <w:rPr>
                      <w:rFonts w:ascii="Times New Roman" w:cs="Times New Roman" w:hAnsi="Times New Roman" w:hint="eastAsia"/>
                      <w:u w:val="none"/>
                      <w:lang w:val="en-US" w:eastAsia="zh-CN"/>
                      <w:highlight w:val="none"/>
                    </w:rPr>
                    <w:t>1.286933</w:t>
                  </w:r>
                </w:p>
              </w:tc>
              <w:tc>
                <w:tcPr>
                  <w:tcW w:w="271"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highlight w:val="none"/>
                    </w:rPr>
                    <w:t>29.</w:t>
                  </w:r>
                  <w:r>
                    <w:rPr>
                      <w:rFonts w:ascii="Times New Roman" w:cs="Times New Roman" w:hAnsi="Times New Roman" w:hint="eastAsia"/>
                      <w:u w:val="none"/>
                      <w:lang w:val="en-US" w:eastAsia="zh-CN"/>
                      <w:highlight w:val="none"/>
                    </w:rPr>
                    <w:t>891082</w:t>
                  </w:r>
                </w:p>
              </w:tc>
              <w:tc>
                <w:tcPr>
                  <w:tcW w:w="196" w:type="dxa"/>
                  <w:tcBorders>
                    <w:tl2br w:val="nil"/>
                    <w:tr2bl w:val="nil"/>
                  </w:tcBorders>
                  <w:vAlign w:val="center"/>
                </w:tcPr>
                <w:p>
                  <w:pPr>
                    <w:pStyle w:val="71"/>
                    <w:adjustRightInd w:val="0"/>
                    <w:snapToGrid w:val="0"/>
                    <w:rPr>
                      <w:rFonts w:ascii="Times New Roman" w:cs="Times New Roman" w:hAnsi="Times New Roman"/>
                      <w:u w:val="none"/>
                      <w:highlight w:val="none"/>
                    </w:rPr>
                  </w:pPr>
                  <w:r>
                    <w:rPr>
                      <w:rFonts w:ascii="Times New Roman" w:cs="Times New Roman" w:hAnsi="Times New Roman"/>
                      <w:u w:val="none"/>
                      <w:highlight w:val="none"/>
                    </w:rPr>
                    <w:t>居民</w:t>
                  </w:r>
                </w:p>
              </w:tc>
              <w:tc>
                <w:tcPr>
                  <w:tcW w:w="358"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5</w:t>
                  </w:r>
                  <w:r>
                    <w:rPr>
                      <w:rFonts w:ascii="Times New Roman" w:cs="Times New Roman" w:hAnsi="Times New Roman"/>
                      <w:u w:val="none"/>
                      <w:highlight w:val="none"/>
                    </w:rPr>
                    <w:t>0户</w:t>
                  </w:r>
                  <w:r>
                    <w:rPr>
                      <w:rFonts w:ascii="Times New Roman" w:cs="Times New Roman" w:hAnsi="Times New Roman" w:hint="eastAsia"/>
                      <w:u w:val="none"/>
                      <w:lang w:val="en-US" w:eastAsia="zh-CN"/>
                      <w:highlight w:val="none"/>
                    </w:rPr>
                    <w:t>150人</w:t>
                  </w:r>
                </w:p>
              </w:tc>
              <w:tc>
                <w:tcPr>
                  <w:tcW w:w="173" w:type="dxa"/>
                  <w:tcBorders>
                    <w:tl2br w:val="nil"/>
                    <w:tr2bl w:val="nil"/>
                  </w:tcBorders>
                  <w:vAlign w:val="center"/>
                </w:tcPr>
                <w:p>
                  <w:pPr>
                    <w:pStyle w:val="71"/>
                    <w:adjustRightInd w:val="0"/>
                    <w:snapToGrid w:val="0"/>
                    <w:rPr>
                      <w:rFonts w:ascii="Times New Roman" w:cs="Times New Roman" w:hAnsi="Times New Roman"/>
                      <w:szCs w:val="22"/>
                      <w:u w:val="none"/>
                      <w:highlight w:val="none"/>
                    </w:rPr>
                  </w:pPr>
                  <w:r>
                    <w:rPr>
                      <w:rFonts w:ascii="Times New Roman" w:cs="Times New Roman" w:hAnsi="Times New Roman" w:hint="eastAsia"/>
                      <w:szCs w:val="22"/>
                      <w:u w:val="none"/>
                      <w:lang w:val="en-US" w:eastAsia="zh-CN"/>
                      <w:highlight w:val="none"/>
                    </w:rPr>
                    <w:t>东南</w:t>
                  </w:r>
                  <w:r>
                    <w:rPr>
                      <w:rFonts w:ascii="Times New Roman" w:cs="Times New Roman" w:hAnsi="Times New Roman" w:hint="eastAsia"/>
                      <w:szCs w:val="22"/>
                      <w:u w:val="none"/>
                      <w:highlight w:val="none"/>
                    </w:rPr>
                    <w:t>侧</w:t>
                  </w:r>
                </w:p>
              </w:tc>
              <w:tc>
                <w:tcPr>
                  <w:tcW w:w="244" w:type="dxa"/>
                  <w:tcBorders>
                    <w:tl2br w:val="nil"/>
                    <w:tr2bl w:val="nil"/>
                  </w:tcBorders>
                  <w:vAlign w:val="center"/>
                </w:tcPr>
                <w:p>
                  <w:pPr>
                    <w:pStyle w:val="71"/>
                    <w:adjustRightInd w:val="0"/>
                    <w:snapToGrid w:val="0"/>
                    <w:rPr>
                      <w:rFonts w:ascii="Times New Roman" w:cs="Times New Roman" w:hAnsi="Times New Roman"/>
                      <w:szCs w:val="22"/>
                      <w:u w:val="none"/>
                      <w:highlight w:val="none"/>
                    </w:rPr>
                  </w:pPr>
                  <w:r>
                    <w:rPr>
                      <w:rFonts w:ascii="Times New Roman" w:cs="Times New Roman" w:hAnsi="Times New Roman" w:hint="eastAsia"/>
                      <w:u w:val="none"/>
                      <w:lang w:val="en-US" w:eastAsia="zh-CN"/>
                      <w:highlight w:val="none"/>
                    </w:rPr>
                    <w:t>160</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500</w:t>
                  </w:r>
                  <w:r>
                    <w:rPr>
                      <w:rFonts w:ascii="Times New Roman" w:cs="Times New Roman" w:hAnsi="Times New Roman" w:hint="eastAsia"/>
                      <w:u w:val="none"/>
                      <w:highlight w:val="none"/>
                    </w:rPr>
                    <w:t>m</w:t>
                  </w:r>
                </w:p>
              </w:tc>
              <w:tc>
                <w:tcPr>
                  <w:tcW w:w="201" w:type="dxa"/>
                  <w:vMerge/>
                  <w:tcBorders>
                    <w:tl2br w:val="nil"/>
                    <w:tr2bl w:val="nil"/>
                  </w:tcBorders>
                  <w:vAlign w:val="center"/>
                </w:tcPr>
                <w:p/>
              </w:tc>
            </w:tr>
            <w:tr>
              <w:trPr>
                <w:trHeight w:val="283"/>
              </w:trPr>
              <w:tc>
                <w:tcPr>
                  <w:tcW w:w="286" w:type="dxa"/>
                  <w:vMerge/>
                  <w:tcBorders>
                    <w:tl2br w:val="nil"/>
                    <w:tr2bl w:val="nil"/>
                  </w:tcBorders>
                  <w:vAlign w:val="center"/>
                </w:tcPr>
                <w:p/>
              </w:tc>
              <w:tc>
                <w:tcPr>
                  <w:tcW w:w="271"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highlight w:val="none"/>
                    </w:rPr>
                    <w:t>11</w:t>
                  </w:r>
                  <w:r>
                    <w:rPr>
                      <w:rFonts w:ascii="Times New Roman" w:cs="Times New Roman" w:hAnsi="Times New Roman" w:hint="eastAsia"/>
                      <w:u w:val="none"/>
                      <w:lang w:val="en-US" w:eastAsia="zh-CN"/>
                      <w:highlight w:val="none"/>
                    </w:rPr>
                    <w:t>1.286906</w:t>
                  </w:r>
                </w:p>
              </w:tc>
              <w:tc>
                <w:tcPr>
                  <w:tcW w:w="271"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highlight w:val="none"/>
                    </w:rPr>
                    <w:t>29.</w:t>
                  </w:r>
                  <w:r>
                    <w:rPr>
                      <w:rFonts w:ascii="Times New Roman" w:cs="Times New Roman" w:hAnsi="Times New Roman" w:hint="eastAsia"/>
                      <w:u w:val="none"/>
                      <w:lang w:val="en-US" w:eastAsia="zh-CN"/>
                      <w:highlight w:val="none"/>
                    </w:rPr>
                    <w:t>889990</w:t>
                  </w:r>
                </w:p>
              </w:tc>
              <w:tc>
                <w:tcPr>
                  <w:tcW w:w="196" w:type="dxa"/>
                  <w:tcBorders>
                    <w:tl2br w:val="nil"/>
                    <w:tr2bl w:val="nil"/>
                  </w:tcBorders>
                  <w:vAlign w:val="center"/>
                </w:tcPr>
                <w:p>
                  <w:pPr>
                    <w:pStyle w:val="71"/>
                    <w:adjustRightInd w:val="0"/>
                    <w:snapToGrid w:val="0"/>
                    <w:rPr>
                      <w:rFonts w:ascii="Times New Roman" w:eastAsia="宋体" w:cs="Times New Roman" w:hAnsi="Times New Roman" w:hint="eastAsia"/>
                      <w:u w:val="none"/>
                      <w:lang w:eastAsia="zh-CN"/>
                      <w:highlight w:val="none"/>
                    </w:rPr>
                  </w:pPr>
                  <w:r>
                    <w:rPr>
                      <w:rFonts w:ascii="Times New Roman" w:cs="Times New Roman" w:hAnsi="Times New Roman"/>
                      <w:u w:val="none"/>
                      <w:highlight w:val="none"/>
                    </w:rPr>
                    <w:t>居民</w:t>
                  </w:r>
                </w:p>
              </w:tc>
              <w:tc>
                <w:tcPr>
                  <w:tcW w:w="358"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16户48人</w:t>
                  </w:r>
                </w:p>
              </w:tc>
              <w:tc>
                <w:tcPr>
                  <w:tcW w:w="173" w:type="dxa"/>
                  <w:tcBorders>
                    <w:tl2br w:val="nil"/>
                    <w:tr2bl w:val="nil"/>
                  </w:tcBorders>
                  <w:vAlign w:val="center"/>
                </w:tcPr>
                <w:p>
                  <w:pPr>
                    <w:pStyle w:val="71"/>
                    <w:adjustRightInd w:val="0"/>
                    <w:snapToGrid w:val="0"/>
                    <w:rPr>
                      <w:rFonts w:ascii="Times New Roman" w:cs="Times New Roman" w:hAnsi="Times New Roman"/>
                      <w:szCs w:val="22"/>
                      <w:u w:val="none"/>
                      <w:highlight w:val="none"/>
                    </w:rPr>
                  </w:pPr>
                  <w:r>
                    <w:rPr>
                      <w:rFonts w:ascii="Times New Roman" w:cs="Times New Roman" w:hAnsi="Times New Roman" w:hint="eastAsia"/>
                      <w:szCs w:val="22"/>
                      <w:u w:val="none"/>
                      <w:lang w:val="en-US" w:eastAsia="zh-CN"/>
                      <w:highlight w:val="none"/>
                    </w:rPr>
                    <w:t>南</w:t>
                  </w:r>
                  <w:r>
                    <w:rPr>
                      <w:rFonts w:ascii="Times New Roman" w:cs="Times New Roman" w:hAnsi="Times New Roman" w:hint="eastAsia"/>
                      <w:szCs w:val="22"/>
                      <w:u w:val="none"/>
                      <w:highlight w:val="none"/>
                    </w:rPr>
                    <w:t>侧</w:t>
                  </w:r>
                </w:p>
              </w:tc>
              <w:tc>
                <w:tcPr>
                  <w:tcW w:w="244" w:type="dxa"/>
                  <w:tcBorders>
                    <w:tl2br w:val="nil"/>
                    <w:tr2bl w:val="nil"/>
                  </w:tcBorders>
                  <w:vAlign w:val="center"/>
                </w:tcPr>
                <w:p>
                  <w:pPr>
                    <w:pStyle w:val="71"/>
                    <w:adjustRightInd w:val="0"/>
                    <w:snapToGrid w:val="0"/>
                    <w:rPr>
                      <w:rFonts w:ascii="Times New Roman" w:cs="Times New Roman" w:hAnsi="Times New Roman"/>
                      <w:szCs w:val="22"/>
                      <w:u w:val="none"/>
                      <w:highlight w:val="none"/>
                    </w:rPr>
                  </w:pPr>
                  <w:r>
                    <w:rPr>
                      <w:rFonts w:ascii="Times New Roman" w:cs="Times New Roman" w:hAnsi="Times New Roman" w:hint="eastAsia"/>
                      <w:u w:val="none"/>
                      <w:lang w:val="en-US" w:eastAsia="zh-CN"/>
                      <w:highlight w:val="none"/>
                    </w:rPr>
                    <w:t>260</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w:t>
                  </w:r>
                  <w:r>
                    <w:rPr>
                      <w:rFonts w:ascii="Times New Roman" w:cs="Times New Roman" w:hAnsi="Times New Roman" w:hint="eastAsia"/>
                      <w:u w:val="none"/>
                      <w:highlight w:val="none"/>
                    </w:rPr>
                    <w:t>0m</w:t>
                  </w:r>
                </w:p>
              </w:tc>
              <w:tc>
                <w:tcPr>
                  <w:tcW w:w="201" w:type="dxa"/>
                  <w:vMerge/>
                  <w:tcBorders>
                    <w:tl2br w:val="nil"/>
                    <w:tr2bl w:val="nil"/>
                  </w:tcBorders>
                  <w:vAlign w:val="center"/>
                </w:tcPr>
                <w:p/>
              </w:tc>
            </w:tr>
            <w:tr>
              <w:trPr>
                <w:trHeight w:val="283"/>
              </w:trPr>
              <w:tc>
                <w:tcPr>
                  <w:tcW w:w="286" w:type="dxa"/>
                  <w:vMerge/>
                  <w:tcBorders>
                    <w:tl2br w:val="nil"/>
                    <w:tr2bl w:val="nil"/>
                  </w:tcBorders>
                  <w:vAlign w:val="center"/>
                </w:tcPr>
                <w:p/>
              </w:tc>
              <w:tc>
                <w:tcPr>
                  <w:tcW w:w="271"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highlight w:val="none"/>
                    </w:rPr>
                    <w:t>11</w:t>
                  </w:r>
                  <w:r>
                    <w:rPr>
                      <w:rFonts w:ascii="Times New Roman" w:cs="Times New Roman" w:hAnsi="Times New Roman" w:hint="eastAsia"/>
                      <w:u w:val="none"/>
                      <w:lang w:val="en-US" w:eastAsia="zh-CN"/>
                      <w:highlight w:val="none"/>
                    </w:rPr>
                    <w:t>1.282942</w:t>
                  </w:r>
                </w:p>
              </w:tc>
              <w:tc>
                <w:tcPr>
                  <w:tcW w:w="271"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highlight w:val="none"/>
                    </w:rPr>
                    <w:t>29.</w:t>
                  </w:r>
                  <w:r>
                    <w:rPr>
                      <w:rFonts w:ascii="Times New Roman" w:cs="Times New Roman" w:hAnsi="Times New Roman" w:hint="eastAsia"/>
                      <w:u w:val="none"/>
                      <w:lang w:val="en-US" w:eastAsia="zh-CN"/>
                      <w:highlight w:val="none"/>
                    </w:rPr>
                    <w:t>894453</w:t>
                  </w:r>
                </w:p>
              </w:tc>
              <w:tc>
                <w:tcPr>
                  <w:tcW w:w="196" w:type="dxa"/>
                  <w:tcBorders>
                    <w:tl2br w:val="nil"/>
                    <w:tr2bl w:val="nil"/>
                  </w:tcBorders>
                  <w:vAlign w:val="center"/>
                </w:tcPr>
                <w:p>
                  <w:pPr>
                    <w:pStyle w:val="71"/>
                    <w:adjustRightInd w:val="0"/>
                    <w:snapToGrid w:val="0"/>
                    <w:rPr>
                      <w:rFonts w:ascii="Times New Roman" w:cs="Times New Roman" w:hAnsi="Times New Roman"/>
                      <w:u w:val="none"/>
                      <w:highlight w:val="none"/>
                    </w:rPr>
                  </w:pPr>
                  <w:r>
                    <w:rPr>
                      <w:rFonts w:ascii="Times New Roman" w:cs="Times New Roman" w:hAnsi="Times New Roman"/>
                      <w:u w:val="none"/>
                      <w:highlight w:val="none"/>
                    </w:rPr>
                    <w:t>居民</w:t>
                  </w:r>
                </w:p>
              </w:tc>
              <w:tc>
                <w:tcPr>
                  <w:tcW w:w="358" w:type="dxa"/>
                  <w:tcBorders>
                    <w:tl2br w:val="nil"/>
                    <w:tr2bl w:val="nil"/>
                  </w:tcBorders>
                  <w:vAlign w:val="center"/>
                </w:tcPr>
                <w:p>
                  <w:pPr>
                    <w:pStyle w:val="71"/>
                    <w:adjustRightInd w:val="0"/>
                    <w:snapToGrid w:val="0"/>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12</w:t>
                  </w:r>
                  <w:r>
                    <w:rPr>
                      <w:rFonts w:ascii="Times New Roman" w:cs="Times New Roman" w:hAnsi="Times New Roman"/>
                      <w:u w:val="none"/>
                      <w:highlight w:val="none"/>
                    </w:rPr>
                    <w:t>户</w:t>
                  </w:r>
                  <w:r>
                    <w:rPr>
                      <w:rFonts w:ascii="Times New Roman" w:cs="Times New Roman" w:hAnsi="Times New Roman" w:hint="eastAsia"/>
                      <w:u w:val="none"/>
                      <w:lang w:val="en-US" w:eastAsia="zh-CN"/>
                      <w:highlight w:val="none"/>
                    </w:rPr>
                    <w:t>36人</w:t>
                  </w:r>
                </w:p>
              </w:tc>
              <w:tc>
                <w:tcPr>
                  <w:tcW w:w="173" w:type="dxa"/>
                  <w:tcBorders>
                    <w:tl2br w:val="nil"/>
                    <w:tr2bl w:val="nil"/>
                  </w:tcBorders>
                  <w:vAlign w:val="center"/>
                </w:tcPr>
                <w:p>
                  <w:pPr>
                    <w:pStyle w:val="71"/>
                    <w:adjustRightInd w:val="0"/>
                    <w:snapToGrid w:val="0"/>
                    <w:rPr>
                      <w:rFonts w:ascii="Times New Roman" w:eastAsia="宋体" w:cs="Times New Roman" w:hAnsi="Times New Roman"/>
                      <w:szCs w:val="22"/>
                      <w:u w:val="none"/>
                      <w:lang w:val="en-US" w:eastAsia="zh-CN"/>
                      <w:highlight w:val="none"/>
                    </w:rPr>
                  </w:pPr>
                  <w:r>
                    <w:rPr>
                      <w:rFonts w:ascii="Times New Roman" w:cs="Times New Roman" w:hAnsi="Times New Roman" w:hint="eastAsia"/>
                      <w:szCs w:val="22"/>
                      <w:u w:val="none"/>
                      <w:lang w:val="en-US" w:eastAsia="zh-CN"/>
                      <w:highlight w:val="none"/>
                    </w:rPr>
                    <w:t>西北侧</w:t>
                  </w:r>
                </w:p>
              </w:tc>
              <w:tc>
                <w:tcPr>
                  <w:tcW w:w="244" w:type="dxa"/>
                  <w:tcBorders>
                    <w:tl2br w:val="nil"/>
                    <w:tr2bl w:val="nil"/>
                  </w:tcBorders>
                  <w:vAlign w:val="center"/>
                </w:tcPr>
                <w:p>
                  <w:pPr>
                    <w:pStyle w:val="71"/>
                    <w:adjustRightInd w:val="0"/>
                    <w:snapToGrid w:val="0"/>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22</w:t>
                  </w:r>
                  <w:r>
                    <w:rPr>
                      <w:rFonts w:ascii="Times New Roman" w:cs="Times New Roman" w:hAnsi="Times New Roman" w:hint="eastAsia"/>
                      <w:u w:val="none"/>
                      <w:highlight w:val="none"/>
                    </w:rPr>
                    <w:t>0~500m</w:t>
                  </w:r>
                </w:p>
              </w:tc>
              <w:tc>
                <w:tcPr>
                  <w:tcW w:w="201" w:type="dxa"/>
                  <w:vMerge/>
                  <w:tcBorders>
                    <w:tl2br w:val="nil"/>
                    <w:tr2bl w:val="nil"/>
                  </w:tcBorders>
                  <w:vAlign w:val="center"/>
                </w:tcPr>
                <w:p/>
              </w:tc>
            </w:tr>
          </w:tbl>
          <w:p>
            <w:pPr>
              <w:spacing w:before="240"/>
              <w:jc w:val="center"/>
              <w:rPr>
                <w:b/>
                <w:szCs w:val="21"/>
                <w:u w:val="none"/>
                <w:highlight w:val="none"/>
              </w:rPr>
            </w:pPr>
            <w:r>
              <w:rPr>
                <w:b/>
                <w:szCs w:val="21"/>
                <w:u w:val="none"/>
                <w:highlight w:val="none"/>
              </w:rPr>
              <w:t>表3-</w:t>
            </w:r>
            <w:r>
              <w:rPr>
                <w:rFonts w:hint="eastAsia"/>
                <w:b/>
                <w:szCs w:val="21"/>
                <w:u w:val="none"/>
                <w:lang w:val="en-US" w:eastAsia="zh-CN"/>
                <w:highlight w:val="none"/>
              </w:rPr>
              <w:t>5</w:t>
            </w:r>
            <w:r>
              <w:rPr>
                <w:b/>
                <w:szCs w:val="21"/>
                <w:u w:val="none"/>
                <w:highlight w:val="none"/>
              </w:rPr>
              <w:t xml:space="preserve">  大气环境保护目标一览表</w:t>
            </w:r>
            <w:r>
              <w:rPr>
                <w:rFonts w:hint="eastAsia"/>
                <w:b/>
                <w:szCs w:val="21"/>
                <w:u w:val="none"/>
                <w:highlight w:val="none"/>
              </w:rPr>
              <w:t>（</w:t>
            </w:r>
            <w:r>
              <w:rPr>
                <w:rFonts w:hint="eastAsia"/>
                <w:b/>
                <w:szCs w:val="21"/>
                <w:u w:val="none"/>
                <w:lang w:val="en-US" w:eastAsia="zh-CN"/>
                <w:highlight w:val="none"/>
              </w:rPr>
              <w:t>输</w:t>
            </w:r>
            <w:r>
              <w:rPr>
                <w:rFonts w:hint="eastAsia"/>
                <w:b/>
                <w:szCs w:val="21"/>
                <w:u w:val="none"/>
                <w:lang w:eastAsia="zh-CN"/>
                <w:highlight w:val="none"/>
              </w:rPr>
              <w:t>供水</w:t>
            </w:r>
            <w:r>
              <w:rPr>
                <w:rFonts w:hint="eastAsia"/>
                <w:b/>
                <w:szCs w:val="21"/>
                <w:u w:val="none"/>
                <w:highlight w:val="none"/>
              </w:rPr>
              <w:t>主干管及</w:t>
            </w:r>
            <w:r>
              <w:rPr>
                <w:rFonts w:hint="eastAsia"/>
                <w:b/>
                <w:szCs w:val="21"/>
                <w:u w:val="none"/>
                <w:lang w:val="en-US" w:eastAsia="zh-CN"/>
                <w:highlight w:val="none"/>
              </w:rPr>
              <w:t>加压</w:t>
            </w:r>
            <w:r>
              <w:rPr>
                <w:rFonts w:hint="eastAsia"/>
                <w:b/>
                <w:szCs w:val="21"/>
                <w:u w:val="none"/>
                <w:highlight w:val="none"/>
              </w:rPr>
              <w:t>泵站）</w:t>
            </w:r>
          </w:p>
          <w:tbl>
            <w:tblPr>
              <w:jc w:val="center"/>
              <w:tblW w:w="4944"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top w:w="0" w:type="dxa"/>
                <w:left w:w="0" w:type="dxa"/>
                <w:bottom w:w="0" w:type="dxa"/>
                <w:right w:w="0" w:type="dxa"/>
              </w:tblCellMar>
              <w:tblLook w:val="0600" w:firstRow="0" w:lastRow="0" w:firstColumn="0" w:lastColumn="0" w:noHBand="1" w:noVBand="1"/>
            </w:tblPr>
            <w:tblGrid>
              <w:gridCol w:w="1503"/>
              <w:gridCol w:w="2256"/>
              <w:gridCol w:w="1532"/>
              <w:gridCol w:w="564"/>
              <w:gridCol w:w="991"/>
              <w:gridCol w:w="881"/>
            </w:tblGrid>
            <w:tr>
              <w:trPr>
                <w:trHeight w:val="340"/>
              </w:trPr>
              <w:tc>
                <w:tcPr>
                  <w:tcW w:w="972"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hint="eastAsia"/>
                      <w:b/>
                      <w:bCs/>
                      <w:u w:val="none"/>
                      <w:highlight w:val="none"/>
                    </w:rPr>
                    <w:t>名称</w:t>
                  </w:r>
                </w:p>
              </w:tc>
              <w:tc>
                <w:tcPr>
                  <w:tcW w:w="1459"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保护对象</w:t>
                  </w:r>
                </w:p>
              </w:tc>
              <w:tc>
                <w:tcPr>
                  <w:tcW w:w="991"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保护内容</w:t>
                  </w:r>
                </w:p>
              </w:tc>
              <w:tc>
                <w:tcPr>
                  <w:tcW w:w="365"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相对</w:t>
                  </w:r>
                  <w:r>
                    <w:rPr>
                      <w:rFonts w:ascii="Times New Roman" w:cs="Times New Roman" w:hAnsi="Times New Roman" w:hint="eastAsia"/>
                      <w:b/>
                      <w:bCs/>
                      <w:u w:val="none"/>
                      <w:highlight w:val="none"/>
                    </w:rPr>
                    <w:t>位置</w:t>
                  </w:r>
                </w:p>
              </w:tc>
              <w:tc>
                <w:tcPr>
                  <w:tcW w:w="641"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相对</w:t>
                  </w:r>
                  <w:r>
                    <w:rPr>
                      <w:rFonts w:ascii="Times New Roman" w:cs="Times New Roman" w:hAnsi="Times New Roman" w:hint="eastAsia"/>
                      <w:b/>
                      <w:bCs/>
                      <w:u w:val="none"/>
                      <w:highlight w:val="none"/>
                    </w:rPr>
                    <w:t>管线</w:t>
                  </w:r>
                  <w:r>
                    <w:rPr>
                      <w:rFonts w:ascii="Times New Roman" w:cs="Times New Roman" w:hAnsi="Times New Roman"/>
                      <w:b/>
                      <w:bCs/>
                      <w:u w:val="none"/>
                      <w:highlight w:val="none"/>
                    </w:rPr>
                    <w:t>距离</w:t>
                  </w:r>
                </w:p>
              </w:tc>
              <w:tc>
                <w:tcPr>
                  <w:tcW w:w="570"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hint="eastAsia"/>
                      <w:b/>
                      <w:bCs/>
                      <w:u w:val="none"/>
                      <w:highlight w:val="none"/>
                    </w:rPr>
                    <w:t>保护级别</w:t>
                  </w:r>
                </w:p>
              </w:tc>
            </w:tr>
            <w:tr>
              <w:trPr>
                <w:trHeight w:val="340"/>
              </w:trPr>
              <w:tc>
                <w:tcPr>
                  <w:tcW w:w="972" w:type="pct"/>
                  <w:tcBorders>
                    <w:tl2br w:val="nil"/>
                    <w:tr2bl w:val="nil"/>
                  </w:tcBorders>
                  <w:vAlign w:val="center"/>
                </w:tcPr>
                <w:p>
                  <w:pPr>
                    <w:pStyle w:val="71"/>
                    <w:rPr>
                      <w:rFonts w:ascii="Times New Roman" w:eastAsia="宋体" w:cs="Times New Roman" w:hAnsi="Times New Roman"/>
                      <w:b w:val="0"/>
                      <w:bCs w:val="0"/>
                      <w:u w:val="none"/>
                      <w:lang w:val="en-US" w:eastAsia="zh-CN"/>
                      <w:highlight w:val="none"/>
                    </w:rPr>
                  </w:pPr>
                  <w:r>
                    <w:rPr>
                      <w:rFonts w:ascii="Times New Roman" w:cs="Times New Roman" w:hAnsi="Times New Roman" w:hint="eastAsia"/>
                      <w:b w:val="0"/>
                      <w:bCs w:val="0"/>
                      <w:u w:val="none"/>
                      <w:lang w:val="en-US" w:eastAsia="zh-CN"/>
                      <w:highlight w:val="none"/>
                    </w:rPr>
                    <w:t>输水管</w:t>
                  </w:r>
                </w:p>
              </w:tc>
              <w:tc>
                <w:tcPr>
                  <w:tcW w:w="1459" w:type="pct"/>
                  <w:tcBorders>
                    <w:tl2br w:val="nil"/>
                    <w:tr2bl w:val="nil"/>
                  </w:tcBorders>
                  <w:vAlign w:val="center"/>
                </w:tcPr>
                <w:p>
                  <w:pPr>
                    <w:pStyle w:val="71"/>
                    <w:rPr>
                      <w:rFonts w:ascii="Times New Roman" w:cs="Times New Roman" w:hAnsi="Times New Roman"/>
                      <w:b w:val="0"/>
                      <w:bCs w:val="0"/>
                      <w:u w:val="none"/>
                      <w:highlight w:val="none"/>
                    </w:rPr>
                  </w:pPr>
                  <w:r>
                    <w:rPr>
                      <w:rFonts w:ascii="Times New Roman" w:cs="Times New Roman" w:hAnsi="Times New Roman" w:hint="eastAsia"/>
                      <w:u w:val="none"/>
                      <w:lang w:val="en-US" w:eastAsia="zh-CN"/>
                      <w:highlight w:val="none"/>
                    </w:rPr>
                    <w:t>田冲村居民</w:t>
                  </w:r>
                </w:p>
              </w:tc>
              <w:tc>
                <w:tcPr>
                  <w:tcW w:w="991" w:type="pct"/>
                  <w:tcBorders>
                    <w:tl2br w:val="nil"/>
                    <w:tr2bl w:val="nil"/>
                  </w:tcBorders>
                  <w:vAlign w:val="center"/>
                </w:tcPr>
                <w:p>
                  <w:pPr>
                    <w:pStyle w:val="71"/>
                    <w:rPr>
                      <w:rFonts w:ascii="Times New Roman" w:eastAsia="宋体" w:cs="Times New Roman" w:hAnsi="Times New Roman"/>
                      <w:b w:val="0"/>
                      <w:bCs w:val="0"/>
                      <w:u w:val="none"/>
                      <w:lang w:val="en-US" w:eastAsia="zh-CN"/>
                      <w:highlight w:val="none"/>
                    </w:rPr>
                  </w:pPr>
                  <w:r>
                    <w:rPr>
                      <w:rFonts w:ascii="Times New Roman" w:cs="Times New Roman" w:hAnsi="Times New Roman" w:hint="eastAsia"/>
                      <w:b w:val="0"/>
                      <w:bCs w:val="0"/>
                      <w:u w:val="none"/>
                      <w:lang w:val="en-US" w:eastAsia="zh-CN"/>
                      <w:highlight w:val="none"/>
                    </w:rPr>
                    <w:t>约90人</w:t>
                  </w:r>
                </w:p>
              </w:tc>
              <w:tc>
                <w:tcPr>
                  <w:tcW w:w="365" w:type="pct"/>
                  <w:vMerge w:val="restart"/>
                  <w:tcBorders>
                    <w:tl2br w:val="nil"/>
                    <w:tr2bl w:val="nil"/>
                  </w:tcBorders>
                  <w:vAlign w:val="center"/>
                </w:tcPr>
                <w:p>
                  <w:pPr>
                    <w:pStyle w:val="71"/>
                    <w:rPr>
                      <w:rFonts w:ascii="Times New Roman" w:cs="Times New Roman" w:hAnsi="Times New Roman"/>
                      <w:szCs w:val="22"/>
                      <w:u w:val="none"/>
                      <w:highlight w:val="none"/>
                    </w:rPr>
                  </w:pPr>
                  <w:r>
                    <w:rPr>
                      <w:rFonts w:ascii="Times New Roman" w:cs="Times New Roman" w:hAnsi="Times New Roman" w:hint="eastAsia"/>
                      <w:szCs w:val="22"/>
                      <w:u w:val="none"/>
                      <w:highlight w:val="none"/>
                    </w:rPr>
                    <w:t>施工管道两侧、泵站四周</w:t>
                  </w:r>
                </w:p>
              </w:tc>
              <w:tc>
                <w:tcPr>
                  <w:tcW w:w="641" w:type="pct"/>
                  <w:vMerge w:val="restar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200m范围内</w:t>
                  </w:r>
                </w:p>
              </w:tc>
              <w:tc>
                <w:tcPr>
                  <w:tcW w:w="570" w:type="pct"/>
                  <w:vMerge w:val="restar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GB3095-2012</w:t>
                  </w:r>
                  <w:r>
                    <w:rPr>
                      <w:rFonts w:ascii="Times New Roman" w:cs="Times New Roman" w:hAnsi="Times New Roman" w:hint="eastAsia"/>
                      <w:u w:val="none"/>
                      <w:highlight w:val="none"/>
                    </w:rPr>
                    <w:t>中二级标准</w:t>
                  </w:r>
                </w:p>
              </w:tc>
            </w:tr>
            <w:tr>
              <w:trPr>
                <w:trHeight w:val="340"/>
              </w:trPr>
              <w:tc>
                <w:tcPr>
                  <w:tcW w:w="972" w:type="pct"/>
                  <w:vMerge w:val="restar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eastAsia="zh-CN"/>
                      <w:highlight w:val="none"/>
                    </w:rPr>
                    <w:t>供水</w:t>
                  </w:r>
                  <w:r>
                    <w:rPr>
                      <w:rFonts w:ascii="Times New Roman" w:cs="Times New Roman" w:hAnsi="Times New Roman" w:hint="eastAsia"/>
                      <w:u w:val="none"/>
                      <w:lang w:val="en-US" w:eastAsia="zh-CN"/>
                      <w:highlight w:val="none"/>
                    </w:rPr>
                    <w:t>主</w:t>
                  </w:r>
                  <w:r>
                    <w:rPr>
                      <w:rFonts w:ascii="Times New Roman" w:cs="Times New Roman" w:hAnsi="Times New Roman" w:hint="eastAsia"/>
                      <w:u w:val="none"/>
                      <w:highlight w:val="none"/>
                    </w:rPr>
                    <w:t>干管</w:t>
                  </w:r>
                </w:p>
              </w:tc>
              <w:tc>
                <w:tcPr>
                  <w:tcW w:w="1459" w:type="pct"/>
                  <w:tcBorders>
                    <w:tl2br w:val="nil"/>
                    <w:tr2bl w:val="nil"/>
                  </w:tcBorders>
                  <w:vAlign w:val="center"/>
                </w:tcPr>
                <w:p>
                  <w:pPr>
                    <w:pStyle w:val="71"/>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田冲村居民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500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田冲小学</w:t>
                  </w:r>
                </w:p>
              </w:tc>
              <w:tc>
                <w:tcPr>
                  <w:tcW w:w="991" w:type="pct"/>
                  <w:tcBorders>
                    <w:tl2br w:val="nil"/>
                    <w:tr2bl w:val="nil"/>
                  </w:tcBorders>
                  <w:vAlign w:val="center"/>
                </w:tcPr>
                <w:p>
                  <w:pPr>
                    <w:pStyle w:val="71"/>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师生约100人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河口村居民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约</w:t>
                  </w:r>
                  <w:r>
                    <w:rPr>
                      <w:rFonts w:ascii="Times New Roman" w:cs="Times New Roman" w:hAnsi="Times New Roman" w:hint="eastAsia"/>
                      <w:u w:val="none"/>
                      <w:lang w:val="en-US" w:eastAsia="zh-CN"/>
                      <w:highlight w:val="none"/>
                    </w:rPr>
                    <w:t>3</w:t>
                  </w:r>
                  <w:r>
                    <w:rPr>
                      <w:rFonts w:ascii="Times New Roman" w:cs="Times New Roman" w:hAnsi="Times New Roman" w:hint="eastAsia"/>
                      <w:u w:val="none"/>
                      <w:highlight w:val="none"/>
                    </w:rPr>
                    <w:t>0</w:t>
                  </w:r>
                  <w:r>
                    <w:rPr>
                      <w:rFonts w:ascii="Times New Roman" w:cs="Times New Roman" w:hAnsi="Times New Roman" w:hint="eastAsia"/>
                      <w:u w:val="none"/>
                      <w:lang w:val="en-US" w:eastAsia="zh-CN"/>
                      <w:highlight w:val="none"/>
                    </w:rPr>
                    <w:t>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东门村居民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540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探裕村居民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260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遇市村居民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350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金华寺社区居民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1200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甘溪滩镇居民、学校、医院、行政办公等</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3000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芦茅村居民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320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楠木村居民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280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澧淞村居民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330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古台村居民</w:t>
                  </w:r>
                </w:p>
              </w:tc>
              <w:tc>
                <w:tcPr>
                  <w:tcW w:w="991"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220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vMerge/>
                  <w:tcBorders>
                    <w:tl2br w:val="nil"/>
                    <w:tr2bl w:val="nil"/>
                  </w:tcBorders>
                  <w:vAlign w:val="center"/>
                </w:tcPr>
                <w:p/>
              </w:tc>
              <w:tc>
                <w:tcPr>
                  <w:tcW w:w="1459" w:type="pct"/>
                  <w:tcBorders>
                    <w:tl2br w:val="nil"/>
                    <w:tr2bl w:val="nil"/>
                  </w:tcBorders>
                  <w:vAlign w:val="center"/>
                </w:tcPr>
                <w:p>
                  <w:pPr>
                    <w:pStyle w:val="71"/>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金山村居民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约</w:t>
                  </w:r>
                  <w:r>
                    <w:rPr>
                      <w:rFonts w:ascii="Times New Roman" w:cs="Times New Roman" w:hAnsi="Times New Roman" w:hint="eastAsia"/>
                      <w:u w:val="none"/>
                      <w:highlight w:val="none"/>
                    </w:rPr>
                    <w:t>100人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tcBorders>
                    <w:tl2br w:val="nil"/>
                    <w:tr2bl w:val="nil"/>
                  </w:tcBorders>
                  <w:vAlign w:val="center"/>
                </w:tcPr>
                <w:p>
                  <w:pPr>
                    <w:pStyle w:val="71"/>
                    <w:rPr>
                      <w:rFonts w:ascii="Times New Roman" w:eastAsia="宋体" w:cs="Times New Roman" w:hAnsi="Times New Roman"/>
                      <w:u w:val="none"/>
                      <w:lang w:val="en-US" w:eastAsia="zh-CN"/>
                      <w:highlight w:val="none"/>
                    </w:rPr>
                  </w:pPr>
                  <w:r>
                    <w:rPr>
                      <w:rFonts w:ascii="Times New Roman" w:eastAsia="宋体" w:cs="Times New Roman" w:hAnsi="Times New Roman" w:hint="eastAsia"/>
                      <w:u w:val="none"/>
                      <w:lang w:val="en-US" w:eastAsia="zh-CN"/>
                      <w:highlight w:val="none"/>
                    </w:rPr>
                    <w:t>探裕-遇市村加压泵站</w:t>
                  </w:r>
                </w:p>
              </w:tc>
              <w:tc>
                <w:tcPr>
                  <w:tcW w:w="1459" w:type="pct"/>
                  <w:tcBorders>
                    <w:tl2br w:val="nil"/>
                    <w:tr2bl w:val="nil"/>
                  </w:tcBorders>
                  <w:vAlign w:val="center"/>
                </w:tcPr>
                <w:p>
                  <w:pPr>
                    <w:pStyle w:val="71"/>
                    <w:rPr>
                      <w:rFonts w:ascii="Times New Roman" w:eastAsia="宋体" w:cs="Times New Roman" w:hAnsi="Times New Roman"/>
                      <w:u w:val="none"/>
                      <w:lang w:val="en-US" w:eastAsia="zh-CN"/>
                      <w:highlight w:val="none"/>
                    </w:rPr>
                  </w:pPr>
                  <w:r>
                    <w:rPr>
                      <w:rFonts w:ascii="Times New Roman" w:eastAsia="宋体" w:cs="Times New Roman" w:hAnsi="Times New Roman" w:hint="eastAsia"/>
                      <w:u w:val="none"/>
                      <w:lang w:val="en-US" w:eastAsia="zh-CN"/>
                      <w:highlight w:val="none"/>
                    </w:rPr>
                    <w:t>遇市村</w:t>
                  </w:r>
                  <w:r>
                    <w:rPr>
                      <w:rFonts w:ascii="Times New Roman" w:cs="Times New Roman" w:hAnsi="Times New Roman" w:hint="eastAsia"/>
                      <w:u w:val="none"/>
                      <w:lang w:val="en-US" w:eastAsia="zh-CN"/>
                      <w:highlight w:val="none"/>
                    </w:rPr>
                    <w:t>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100户300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tcBorders>
                    <w:tl2br w:val="nil"/>
                    <w:tr2bl w:val="nil"/>
                  </w:tcBorders>
                  <w:vAlign w:val="center"/>
                </w:tcPr>
                <w:p>
                  <w:pPr>
                    <w:pStyle w:val="71"/>
                    <w:rPr>
                      <w:rFonts w:ascii="Times New Roman" w:eastAsia="宋体" w:cs="Times New Roman" w:hAnsi="Times New Roman" w:hint="eastAsia"/>
                      <w:u w:val="none"/>
                      <w:lang w:val="en-US" w:eastAsia="zh-CN"/>
                      <w:highlight w:val="none"/>
                    </w:rPr>
                  </w:pPr>
                  <w:r>
                    <w:rPr>
                      <w:rFonts w:ascii="Times New Roman" w:eastAsia="宋体" w:cs="Times New Roman" w:hAnsi="Times New Roman" w:hint="eastAsia"/>
                      <w:u w:val="none"/>
                      <w:lang w:val="en-US" w:eastAsia="zh-CN"/>
                      <w:highlight w:val="none"/>
                    </w:rPr>
                    <w:t>东门村加压泵站</w:t>
                  </w: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东门村居民</w:t>
                  </w:r>
                </w:p>
              </w:tc>
              <w:tc>
                <w:tcPr>
                  <w:tcW w:w="991"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20户60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tcBorders>
                    <w:tl2br w:val="nil"/>
                    <w:tr2bl w:val="nil"/>
                  </w:tcBorders>
                  <w:vAlign w:val="center"/>
                </w:tcPr>
                <w:p>
                  <w:pPr>
                    <w:pStyle w:val="71"/>
                    <w:rPr>
                      <w:rFonts w:ascii="Times New Roman" w:eastAsia="宋体" w:cs="Times New Roman" w:hAnsi="Times New Roman" w:hint="eastAsia"/>
                      <w:u w:val="none"/>
                      <w:lang w:val="en-US" w:eastAsia="zh-CN"/>
                      <w:highlight w:val="none"/>
                    </w:rPr>
                  </w:pPr>
                  <w:r>
                    <w:rPr>
                      <w:rFonts w:ascii="Times New Roman" w:eastAsia="宋体" w:cs="Times New Roman" w:hAnsi="Times New Roman" w:hint="eastAsia"/>
                      <w:u w:val="none"/>
                      <w:lang w:val="en-US" w:eastAsia="zh-CN"/>
                      <w:highlight w:val="none"/>
                    </w:rPr>
                    <w:t>干管D加压泵站</w:t>
                  </w: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刘家坪居民</w:t>
                  </w:r>
                </w:p>
              </w:tc>
              <w:tc>
                <w:tcPr>
                  <w:tcW w:w="991"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20户60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tcBorders>
                    <w:tl2br w:val="nil"/>
                    <w:tr2bl w:val="nil"/>
                  </w:tcBorders>
                  <w:vAlign w:val="center"/>
                </w:tcPr>
                <w:p>
                  <w:pPr>
                    <w:pStyle w:val="71"/>
                    <w:rPr>
                      <w:rFonts w:ascii="Times New Roman" w:eastAsia="宋体" w:cs="Times New Roman" w:hAnsi="Times New Roman" w:hint="eastAsia"/>
                      <w:u w:val="none"/>
                      <w:lang w:val="en-US" w:eastAsia="zh-CN"/>
                      <w:highlight w:val="none"/>
                    </w:rPr>
                  </w:pPr>
                  <w:r>
                    <w:rPr>
                      <w:rFonts w:ascii="Times New Roman" w:eastAsia="宋体" w:cs="Times New Roman" w:hAnsi="Times New Roman" w:hint="eastAsia"/>
                      <w:u w:val="none"/>
                      <w:lang w:val="en-US" w:eastAsia="zh-CN"/>
                      <w:highlight w:val="none"/>
                    </w:rPr>
                    <w:t>三岔湾加压泵站</w:t>
                  </w: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eastAsia="宋体" w:cs="Times New Roman" w:hAnsi="Times New Roman" w:hint="eastAsia"/>
                      <w:u w:val="none"/>
                      <w:lang w:val="en-US" w:eastAsia="zh-CN"/>
                      <w:highlight w:val="none"/>
                    </w:rPr>
                    <w:t>三岔湾居民</w:t>
                  </w:r>
                </w:p>
              </w:tc>
              <w:tc>
                <w:tcPr>
                  <w:tcW w:w="991"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18户54</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tcBorders>
                    <w:tl2br w:val="nil"/>
                    <w:tr2bl w:val="nil"/>
                  </w:tcBorders>
                  <w:vAlign w:val="center"/>
                </w:tcPr>
                <w:p>
                  <w:pPr>
                    <w:pStyle w:val="71"/>
                    <w:rPr>
                      <w:rFonts w:ascii="Times New Roman" w:eastAsia="宋体" w:cs="Times New Roman" w:hAnsi="Times New Roman" w:hint="eastAsia"/>
                      <w:u w:val="none"/>
                      <w:lang w:val="en-US" w:eastAsia="zh-CN"/>
                      <w:highlight w:val="none"/>
                    </w:rPr>
                  </w:pPr>
                  <w:r>
                    <w:rPr>
                      <w:rFonts w:ascii="Times New Roman" w:eastAsia="宋体" w:cs="Times New Roman" w:hAnsi="Times New Roman" w:hint="eastAsia"/>
                      <w:u w:val="none"/>
                      <w:lang w:val="en-US" w:eastAsia="zh-CN"/>
                      <w:highlight w:val="none"/>
                    </w:rPr>
                    <w:t>楠木加压泵站</w:t>
                  </w:r>
                </w:p>
              </w:tc>
              <w:tc>
                <w:tcPr>
                  <w:tcW w:w="145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eastAsia="宋体" w:cs="Times New Roman" w:hAnsi="Times New Roman" w:hint="eastAsia"/>
                      <w:u w:val="none"/>
                      <w:lang w:val="en-US" w:eastAsia="zh-CN"/>
                      <w:highlight w:val="none"/>
                    </w:rPr>
                    <w:t>楠木村居民</w:t>
                  </w:r>
                </w:p>
              </w:tc>
              <w:tc>
                <w:tcPr>
                  <w:tcW w:w="991"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15户45</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40"/>
              </w:trPr>
              <w:tc>
                <w:tcPr>
                  <w:tcW w:w="972" w:type="pct"/>
                  <w:tcBorders>
                    <w:tl2br w:val="nil"/>
                    <w:tr2bl w:val="nil"/>
                  </w:tcBorders>
                  <w:vAlign w:val="center"/>
                </w:tcPr>
                <w:p>
                  <w:pPr>
                    <w:pStyle w:val="71"/>
                    <w:rPr>
                      <w:rFonts w:ascii="Times New Roman" w:eastAsia="宋体" w:cs="Times New Roman" w:hAnsi="Times New Roman" w:hint="eastAsia"/>
                      <w:u w:val="none"/>
                      <w:lang w:val="en-US" w:eastAsia="zh-CN"/>
                      <w:highlight w:val="none"/>
                    </w:rPr>
                  </w:pPr>
                  <w:r>
                    <w:rPr>
                      <w:rFonts w:ascii="Times New Roman" w:eastAsia="宋体" w:cs="Times New Roman" w:hAnsi="Times New Roman" w:hint="eastAsia"/>
                      <w:u w:val="none"/>
                      <w:lang w:val="en-US" w:eastAsia="zh-CN"/>
                      <w:highlight w:val="none"/>
                    </w:rPr>
                    <w:t>古台加压泵站</w:t>
                  </w:r>
                </w:p>
              </w:tc>
              <w:tc>
                <w:tcPr>
                  <w:tcW w:w="1459"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古台村</w:t>
                  </w:r>
                  <w:r>
                    <w:rPr>
                      <w:rFonts w:ascii="Times New Roman" w:cs="Times New Roman" w:hAnsi="Times New Roman" w:hint="eastAsia"/>
                      <w:u w:val="none"/>
                      <w:highlight w:val="none"/>
                    </w:rPr>
                    <w:t>居民</w:t>
                  </w:r>
                </w:p>
              </w:tc>
              <w:tc>
                <w:tcPr>
                  <w:tcW w:w="99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5户15</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bl>
          <w:p>
            <w:pPr>
              <w:spacing w:line="360" w:lineRule="auto"/>
              <w:rPr>
                <w:b/>
                <w:bCs/>
                <w:sz w:val="24"/>
                <w:u w:val="none"/>
                <w:highlight w:val="none"/>
              </w:rPr>
            </w:pPr>
            <w:r>
              <w:rPr>
                <w:b/>
                <w:bCs/>
                <w:sz w:val="24"/>
                <w:u w:val="none"/>
                <w:highlight w:val="none"/>
              </w:rPr>
              <w:t>2、声环境</w:t>
            </w:r>
          </w:p>
          <w:p>
            <w:pPr>
              <w:spacing w:line="360" w:lineRule="auto"/>
              <w:ind w:firstLineChars="200" w:firstLine="480"/>
              <w:rPr>
                <w:sz w:val="24"/>
                <w:u w:val="none"/>
                <w:highlight w:val="none"/>
              </w:rPr>
            </w:pPr>
            <w:r>
              <w:rPr>
                <w:sz w:val="24"/>
                <w:u w:val="none"/>
                <w:highlight w:val="none"/>
              </w:rPr>
              <w:t>根据对项目所在地的实地踏勘，本项目</w:t>
            </w:r>
            <w:r>
              <w:rPr>
                <w:rFonts w:hint="eastAsia"/>
                <w:sz w:val="24"/>
                <w:u w:val="none"/>
                <w:lang w:val="en-US" w:eastAsia="zh-CN"/>
                <w:highlight w:val="none"/>
              </w:rPr>
              <w:t>水厂</w:t>
            </w:r>
            <w:r>
              <w:rPr>
                <w:rFonts w:hint="eastAsia"/>
                <w:sz w:val="24"/>
                <w:u w:val="none"/>
                <w:lang w:eastAsia="zh-CN"/>
                <w:highlight w:val="none"/>
              </w:rPr>
              <w:t>、</w:t>
            </w:r>
            <w:r>
              <w:rPr>
                <w:rFonts w:hint="eastAsia"/>
                <w:sz w:val="24"/>
                <w:u w:val="none"/>
                <w:lang w:val="en-US" w:eastAsia="zh-CN"/>
                <w:highlight w:val="none"/>
              </w:rPr>
              <w:t>输供水主干管及加压泵站</w:t>
            </w:r>
            <w:r>
              <w:rPr>
                <w:sz w:val="24"/>
                <w:u w:val="none"/>
                <w:highlight w:val="none"/>
              </w:rPr>
              <w:t>主要</w:t>
            </w:r>
            <w:r>
              <w:rPr>
                <w:rFonts w:hint="eastAsia"/>
                <w:sz w:val="24"/>
                <w:u w:val="none"/>
                <w:lang w:val="en-US" w:eastAsia="zh-CN"/>
                <w:highlight w:val="none"/>
              </w:rPr>
              <w:t>声</w:t>
            </w:r>
            <w:r>
              <w:rPr>
                <w:sz w:val="24"/>
                <w:u w:val="none"/>
                <w:highlight w:val="none"/>
              </w:rPr>
              <w:t>环境保护目标详见下表。</w:t>
            </w:r>
          </w:p>
          <w:p>
            <w:pPr>
              <w:jc w:val="center"/>
              <w:rPr>
                <w:b/>
                <w:szCs w:val="21"/>
                <w:u w:val="none"/>
                <w:highlight w:val="none"/>
              </w:rPr>
            </w:pPr>
            <w:r>
              <w:rPr>
                <w:b/>
                <w:szCs w:val="21"/>
                <w:u w:val="none"/>
                <w:highlight w:val="none"/>
              </w:rPr>
              <w:t>表3-</w:t>
            </w:r>
            <w:r>
              <w:rPr>
                <w:rFonts w:hint="eastAsia"/>
                <w:b/>
                <w:szCs w:val="21"/>
                <w:u w:val="none"/>
                <w:lang w:val="en-US" w:eastAsia="zh-CN"/>
                <w:highlight w:val="none"/>
              </w:rPr>
              <w:t>6</w:t>
            </w:r>
            <w:r>
              <w:rPr>
                <w:b/>
                <w:szCs w:val="21"/>
                <w:u w:val="none"/>
                <w:highlight w:val="none"/>
              </w:rPr>
              <w:t xml:space="preserve">  声环境保护目标一览表</w:t>
            </w:r>
            <w:r>
              <w:rPr>
                <w:rFonts w:hint="eastAsia"/>
                <w:b/>
                <w:szCs w:val="21"/>
                <w:u w:val="none"/>
                <w:highlight w:val="none"/>
              </w:rPr>
              <w:t>（</w:t>
            </w:r>
            <w:r>
              <w:rPr>
                <w:rFonts w:hint="eastAsia"/>
                <w:b/>
                <w:szCs w:val="21"/>
                <w:u w:val="none"/>
                <w:lang w:val="en-US" w:eastAsia="zh-CN"/>
                <w:highlight w:val="none"/>
              </w:rPr>
              <w:t>输</w:t>
            </w:r>
            <w:r>
              <w:rPr>
                <w:rFonts w:hint="eastAsia"/>
                <w:b/>
                <w:szCs w:val="21"/>
                <w:u w:val="none"/>
                <w:lang w:eastAsia="zh-CN"/>
                <w:highlight w:val="none"/>
              </w:rPr>
              <w:t>供水</w:t>
            </w:r>
            <w:r>
              <w:rPr>
                <w:rFonts w:hint="eastAsia"/>
                <w:b/>
                <w:szCs w:val="21"/>
                <w:u w:val="none"/>
                <w:highlight w:val="none"/>
              </w:rPr>
              <w:t>主干管）</w:t>
            </w:r>
          </w:p>
          <w:tbl>
            <w:tblPr>
              <w:jc w:val="center"/>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top w:w="0" w:type="dxa"/>
                <w:left w:w="0" w:type="dxa"/>
                <w:bottom w:w="0" w:type="dxa"/>
                <w:right w:w="0" w:type="dxa"/>
              </w:tblCellMar>
              <w:tblLook w:val="0600" w:firstRow="0" w:lastRow="0" w:firstColumn="0" w:lastColumn="0" w:noHBand="1" w:noVBand="1"/>
            </w:tblPr>
            <w:tblGrid>
              <w:gridCol w:w="774"/>
              <w:gridCol w:w="3253"/>
              <w:gridCol w:w="1324"/>
              <w:gridCol w:w="571"/>
              <w:gridCol w:w="1002"/>
              <w:gridCol w:w="891"/>
            </w:tblGrid>
            <w:tr>
              <w:trPr>
                <w:trHeight w:val="369"/>
              </w:trPr>
              <w:tc>
                <w:tcPr>
                  <w:tcW w:w="495"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hint="eastAsia"/>
                      <w:b/>
                      <w:bCs/>
                      <w:u w:val="none"/>
                      <w:highlight w:val="none"/>
                    </w:rPr>
                    <w:t>名称</w:t>
                  </w:r>
                </w:p>
              </w:tc>
              <w:tc>
                <w:tcPr>
                  <w:tcW w:w="2080"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保护对象</w:t>
                  </w:r>
                </w:p>
              </w:tc>
              <w:tc>
                <w:tcPr>
                  <w:tcW w:w="847"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保护内容</w:t>
                  </w:r>
                </w:p>
              </w:tc>
              <w:tc>
                <w:tcPr>
                  <w:tcW w:w="365"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相对</w:t>
                  </w:r>
                  <w:r>
                    <w:rPr>
                      <w:rFonts w:ascii="Times New Roman" w:cs="Times New Roman" w:hAnsi="Times New Roman" w:hint="eastAsia"/>
                      <w:b/>
                      <w:bCs/>
                      <w:u w:val="none"/>
                      <w:highlight w:val="none"/>
                    </w:rPr>
                    <w:t>位置</w:t>
                  </w:r>
                </w:p>
              </w:tc>
              <w:tc>
                <w:tcPr>
                  <w:tcW w:w="641"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相对</w:t>
                  </w:r>
                  <w:r>
                    <w:rPr>
                      <w:rFonts w:ascii="Times New Roman" w:cs="Times New Roman" w:hAnsi="Times New Roman" w:hint="eastAsia"/>
                      <w:b/>
                      <w:bCs/>
                      <w:u w:val="none"/>
                      <w:highlight w:val="none"/>
                    </w:rPr>
                    <w:t>管线</w:t>
                  </w:r>
                  <w:r>
                    <w:rPr>
                      <w:rFonts w:ascii="Times New Roman" w:cs="Times New Roman" w:hAnsi="Times New Roman"/>
                      <w:b/>
                      <w:bCs/>
                      <w:u w:val="none"/>
                      <w:highlight w:val="none"/>
                    </w:rPr>
                    <w:t>距离</w:t>
                  </w:r>
                </w:p>
              </w:tc>
              <w:tc>
                <w:tcPr>
                  <w:tcW w:w="570"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hint="eastAsia"/>
                      <w:b/>
                      <w:bCs/>
                      <w:u w:val="none"/>
                      <w:highlight w:val="none"/>
                    </w:rPr>
                    <w:t>保护级别</w:t>
                  </w:r>
                </w:p>
              </w:tc>
            </w:tr>
            <w:tr>
              <w:trPr>
                <w:trHeight w:val="369"/>
              </w:trPr>
              <w:tc>
                <w:tcPr>
                  <w:tcW w:w="495" w:type="pct"/>
                  <w:tcBorders>
                    <w:tl2br w:val="nil"/>
                    <w:tr2bl w:val="nil"/>
                  </w:tcBorders>
                  <w:vAlign w:val="center"/>
                </w:tcPr>
                <w:p>
                  <w:pPr>
                    <w:pStyle w:val="71"/>
                    <w:rPr>
                      <w:rFonts w:ascii="Times New Roman" w:cs="Times New Roman" w:hAnsi="Times New Roman" w:hint="eastAsia"/>
                      <w:b/>
                      <w:bCs/>
                      <w:u w:val="none"/>
                      <w:highlight w:val="none"/>
                    </w:rPr>
                  </w:pPr>
                  <w:r>
                    <w:rPr>
                      <w:rFonts w:ascii="Times New Roman" w:cs="Times New Roman" w:hAnsi="Times New Roman" w:hint="eastAsia"/>
                      <w:b w:val="0"/>
                      <w:bCs w:val="0"/>
                      <w:u w:val="none"/>
                      <w:lang w:val="en-US" w:eastAsia="zh-CN"/>
                      <w:highlight w:val="none"/>
                    </w:rPr>
                    <w:t>输水管</w:t>
                  </w:r>
                </w:p>
              </w:tc>
              <w:tc>
                <w:tcPr>
                  <w:tcW w:w="2080"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hint="eastAsia"/>
                      <w:u w:val="none"/>
                      <w:lang w:val="en-US" w:eastAsia="zh-CN"/>
                      <w:highlight w:val="none"/>
                    </w:rPr>
                    <w:t>田冲村居民</w:t>
                  </w:r>
                </w:p>
              </w:tc>
              <w:tc>
                <w:tcPr>
                  <w:tcW w:w="847"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hint="eastAsia"/>
                      <w:b w:val="0"/>
                      <w:bCs w:val="0"/>
                      <w:u w:val="none"/>
                      <w:lang w:val="en-US" w:eastAsia="zh-CN"/>
                      <w:highlight w:val="none"/>
                    </w:rPr>
                    <w:t>约90人</w:t>
                  </w:r>
                </w:p>
              </w:tc>
              <w:tc>
                <w:tcPr>
                  <w:tcW w:w="365" w:type="pct"/>
                  <w:vMerge w:val="restart"/>
                  <w:tcBorders>
                    <w:tl2br w:val="nil"/>
                    <w:tr2bl w:val="nil"/>
                  </w:tcBorders>
                  <w:vAlign w:val="center"/>
                </w:tcPr>
                <w:p>
                  <w:pPr>
                    <w:pStyle w:val="71"/>
                    <w:rPr>
                      <w:rFonts w:ascii="Times New Roman" w:cs="Times New Roman" w:hAnsi="Times New Roman"/>
                      <w:szCs w:val="22"/>
                      <w:u w:val="none"/>
                      <w:highlight w:val="none"/>
                    </w:rPr>
                  </w:pPr>
                  <w:r>
                    <w:rPr>
                      <w:rFonts w:ascii="Times New Roman" w:cs="Times New Roman" w:hAnsi="Times New Roman" w:hint="eastAsia"/>
                      <w:szCs w:val="22"/>
                      <w:u w:val="none"/>
                      <w:highlight w:val="none"/>
                    </w:rPr>
                    <w:t>施工管道两侧</w:t>
                  </w:r>
                </w:p>
              </w:tc>
              <w:tc>
                <w:tcPr>
                  <w:tcW w:w="641" w:type="pct"/>
                  <w:vMerge w:val="restar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200m范围内</w:t>
                  </w:r>
                </w:p>
              </w:tc>
              <w:tc>
                <w:tcPr>
                  <w:tcW w:w="570" w:type="pct"/>
                  <w:vMerge w:val="restar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GB3096-2008</w:t>
                  </w:r>
                  <w:r>
                    <w:rPr>
                      <w:rFonts w:ascii="Times New Roman" w:cs="Times New Roman" w:hAnsi="Times New Roman" w:hint="eastAsia"/>
                      <w:u w:val="none"/>
                      <w:highlight w:val="none"/>
                    </w:rPr>
                    <w:t>中2类标准</w:t>
                  </w:r>
                </w:p>
              </w:tc>
            </w:tr>
            <w:tr>
              <w:trPr>
                <w:trHeight w:val="369"/>
              </w:trPr>
              <w:tc>
                <w:tcPr>
                  <w:tcW w:w="495" w:type="pct"/>
                  <w:vMerge w:val="restar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eastAsia="zh-CN"/>
                      <w:highlight w:val="none"/>
                    </w:rPr>
                    <w:t>供水</w:t>
                  </w:r>
                  <w:r>
                    <w:rPr>
                      <w:rFonts w:ascii="Times New Roman" w:cs="Times New Roman" w:hAnsi="Times New Roman" w:hint="eastAsia"/>
                      <w:u w:val="none"/>
                      <w:lang w:val="en-US" w:eastAsia="zh-CN"/>
                      <w:highlight w:val="none"/>
                    </w:rPr>
                    <w:t>主</w:t>
                  </w:r>
                  <w:r>
                    <w:rPr>
                      <w:rFonts w:ascii="Times New Roman" w:cs="Times New Roman" w:hAnsi="Times New Roman" w:hint="eastAsia"/>
                      <w:u w:val="none"/>
                      <w:highlight w:val="none"/>
                    </w:rPr>
                    <w:t>干管</w:t>
                  </w:r>
                </w:p>
              </w:tc>
              <w:tc>
                <w:tcPr>
                  <w:tcW w:w="2080"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田冲村居民</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500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lang w:val="en-US" w:eastAsia="zh-CN"/>
                      <w:highlight w:val="none"/>
                    </w:rPr>
                    <w:t>田冲小学</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师生约100人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lang w:val="en-US" w:eastAsia="zh-CN"/>
                      <w:highlight w:val="none"/>
                    </w:rPr>
                    <w:t>河口村居民</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约</w:t>
                  </w:r>
                  <w:r>
                    <w:rPr>
                      <w:rFonts w:ascii="Times New Roman" w:cs="Times New Roman" w:hAnsi="Times New Roman" w:hint="eastAsia"/>
                      <w:u w:val="none"/>
                      <w:lang w:val="en-US" w:eastAsia="zh-CN"/>
                      <w:highlight w:val="none"/>
                    </w:rPr>
                    <w:t>3</w:t>
                  </w:r>
                  <w:r>
                    <w:rPr>
                      <w:rFonts w:ascii="Times New Roman" w:cs="Times New Roman" w:hAnsi="Times New Roman" w:hint="eastAsia"/>
                      <w:u w:val="none"/>
                      <w:highlight w:val="none"/>
                    </w:rPr>
                    <w:t>0</w:t>
                  </w:r>
                  <w:r>
                    <w:rPr>
                      <w:rFonts w:ascii="Times New Roman" w:cs="Times New Roman" w:hAnsi="Times New Roman" w:hint="eastAsia"/>
                      <w:u w:val="none"/>
                      <w:lang w:val="en-US" w:eastAsia="zh-CN"/>
                      <w:highlight w:val="none"/>
                    </w:rPr>
                    <w:t>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lang w:val="en-US" w:eastAsia="zh-CN"/>
                      <w:highlight w:val="none"/>
                    </w:rPr>
                    <w:t>东门村居民</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540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lang w:val="en-US" w:eastAsia="zh-CN"/>
                      <w:highlight w:val="none"/>
                    </w:rPr>
                    <w:t>探裕村居民</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260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lang w:val="en-US" w:eastAsia="zh-CN"/>
                      <w:highlight w:val="none"/>
                    </w:rPr>
                    <w:t>遇市村居民</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350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lang w:val="en-US" w:eastAsia="zh-CN"/>
                      <w:highlight w:val="none"/>
                    </w:rPr>
                    <w:t>金华寺社区居民</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1200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lang w:val="en-US" w:eastAsia="zh-CN"/>
                      <w:highlight w:val="none"/>
                    </w:rPr>
                    <w:t>甘溪滩镇居民、学校、医院、行政办公等</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3000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lang w:val="en-US" w:eastAsia="zh-CN"/>
                      <w:highlight w:val="none"/>
                    </w:rPr>
                    <w:t>芦茅村居民</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320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lang w:val="en-US" w:eastAsia="zh-CN"/>
                      <w:highlight w:val="none"/>
                    </w:rPr>
                    <w:t>楠木村居民</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280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澧淞村居民</w:t>
                  </w:r>
                </w:p>
              </w:tc>
              <w:tc>
                <w:tcPr>
                  <w:tcW w:w="847"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330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古台村居民</w:t>
                  </w:r>
                </w:p>
              </w:tc>
              <w:tc>
                <w:tcPr>
                  <w:tcW w:w="847" w:type="pct"/>
                  <w:tcBorders>
                    <w:tl2br w:val="nil"/>
                    <w:tr2bl w:val="nil"/>
                  </w:tcBorders>
                  <w:vAlign w:val="center"/>
                </w:tcPr>
                <w:p>
                  <w:pPr>
                    <w:pStyle w:val="71"/>
                    <w:rPr>
                      <w:rFonts w:ascii="Times New Roman" w:cs="Times New Roman" w:hAnsi="Times New Roman" w:hint="eastAsia"/>
                      <w:u w:val="none"/>
                      <w:highlight w:val="none"/>
                    </w:rPr>
                  </w:pPr>
                  <w:r>
                    <w:rPr>
                      <w:rFonts w:ascii="Times New Roman" w:cs="Times New Roman" w:hAnsi="Times New Roman" w:hint="eastAsia"/>
                      <w:u w:val="none"/>
                      <w:highlight w:val="none"/>
                    </w:rPr>
                    <w:t>约</w:t>
                  </w:r>
                  <w:r>
                    <w:rPr>
                      <w:rFonts w:ascii="Times New Roman" w:cs="Times New Roman" w:hAnsi="Times New Roman" w:hint="eastAsia"/>
                      <w:u w:val="none"/>
                      <w:lang w:val="en-US" w:eastAsia="zh-CN"/>
                      <w:highlight w:val="none"/>
                    </w:rPr>
                    <w:t>220</w:t>
                  </w:r>
                  <w:r>
                    <w:rPr>
                      <w:rFonts w:ascii="Times New Roman" w:cs="Times New Roman" w:hAnsi="Times New Roman" w:hint="eastAsia"/>
                      <w:u w:val="none"/>
                      <w:highlight w:val="none"/>
                    </w:rPr>
                    <w:t>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r>
              <w:trPr>
                <w:trHeight w:val="369"/>
              </w:trPr>
              <w:tc>
                <w:tcPr>
                  <w:tcW w:w="495" w:type="pct"/>
                  <w:vMerge/>
                  <w:tcBorders>
                    <w:tl2br w:val="nil"/>
                    <w:tr2bl w:val="nil"/>
                  </w:tcBorders>
                  <w:vAlign w:val="center"/>
                </w:tcPr>
                <w:p/>
              </w:tc>
              <w:tc>
                <w:tcPr>
                  <w:tcW w:w="2080"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金山村居民</w:t>
                  </w:r>
                </w:p>
              </w:tc>
              <w:tc>
                <w:tcPr>
                  <w:tcW w:w="847"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约</w:t>
                  </w:r>
                  <w:r>
                    <w:rPr>
                      <w:rFonts w:ascii="Times New Roman" w:cs="Times New Roman" w:hAnsi="Times New Roman" w:hint="eastAsia"/>
                      <w:u w:val="none"/>
                      <w:highlight w:val="none"/>
                    </w:rPr>
                    <w:t>100人</w:t>
                  </w:r>
                </w:p>
              </w:tc>
              <w:tc>
                <w:tcPr>
                  <w:tcW w:w="365" w:type="pct"/>
                  <w:vMerge/>
                  <w:tcBorders>
                    <w:tl2br w:val="nil"/>
                    <w:tr2bl w:val="nil"/>
                  </w:tcBorders>
                  <w:vAlign w:val="center"/>
                </w:tcPr>
                <w:p/>
              </w:tc>
              <w:tc>
                <w:tcPr>
                  <w:tcW w:w="641" w:type="pct"/>
                  <w:vMerge/>
                  <w:tcBorders>
                    <w:tl2br w:val="nil"/>
                    <w:tr2bl w:val="nil"/>
                  </w:tcBorders>
                  <w:vAlign w:val="center"/>
                </w:tcPr>
                <w:p/>
              </w:tc>
              <w:tc>
                <w:tcPr>
                  <w:tcW w:w="570" w:type="pct"/>
                  <w:vMerge/>
                  <w:tcBorders>
                    <w:tl2br w:val="nil"/>
                    <w:tr2bl w:val="nil"/>
                  </w:tcBorders>
                  <w:vAlign w:val="center"/>
                </w:tcPr>
                <w:p/>
              </w:tc>
            </w:tr>
          </w:tbl>
          <w:p>
            <w:pPr>
              <w:jc w:val="center"/>
              <w:rPr>
                <w:b/>
                <w:szCs w:val="21"/>
                <w:u w:val="none"/>
                <w:highlight w:val="none"/>
              </w:rPr>
            </w:pPr>
            <w:r>
              <w:rPr>
                <w:b/>
                <w:szCs w:val="21"/>
                <w:u w:val="none"/>
                <w:highlight w:val="none"/>
              </w:rPr>
              <w:t>表3-</w:t>
            </w:r>
            <w:r>
              <w:rPr>
                <w:rFonts w:hint="eastAsia"/>
                <w:b/>
                <w:szCs w:val="21"/>
                <w:u w:val="none"/>
                <w:lang w:val="en-US" w:eastAsia="zh-CN"/>
                <w:highlight w:val="none"/>
              </w:rPr>
              <w:t xml:space="preserve">7 </w:t>
            </w:r>
            <w:r>
              <w:rPr>
                <w:b/>
                <w:szCs w:val="21"/>
                <w:u w:val="none"/>
                <w:highlight w:val="none"/>
              </w:rPr>
              <w:t xml:space="preserve"> 声环境保护目标一览表</w:t>
            </w:r>
            <w:r>
              <w:rPr>
                <w:rFonts w:hint="eastAsia"/>
                <w:b/>
                <w:szCs w:val="21"/>
                <w:u w:val="none"/>
                <w:highlight w:val="none"/>
              </w:rPr>
              <w:t>（</w:t>
            </w:r>
            <w:r>
              <w:rPr>
                <w:rFonts w:hint="eastAsia"/>
                <w:b/>
                <w:szCs w:val="21"/>
                <w:u w:val="none"/>
                <w:lang w:val="en-US" w:eastAsia="zh-CN"/>
                <w:highlight w:val="none"/>
              </w:rPr>
              <w:t>水厂及加压</w:t>
            </w:r>
            <w:r>
              <w:rPr>
                <w:rFonts w:hint="eastAsia"/>
                <w:b/>
                <w:szCs w:val="21"/>
                <w:u w:val="none"/>
                <w:highlight w:val="none"/>
              </w:rPr>
              <w:t>泵站）</w:t>
            </w:r>
          </w:p>
          <w:tbl>
            <w:tblPr>
              <w:jc w:val="center"/>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top w:w="0" w:type="dxa"/>
                <w:left w:w="0" w:type="dxa"/>
                <w:bottom w:w="0" w:type="dxa"/>
                <w:right w:w="0" w:type="dxa"/>
              </w:tblCellMar>
              <w:tblLook w:val="0600" w:firstRow="0" w:lastRow="0" w:firstColumn="0" w:lastColumn="0" w:noHBand="1" w:noVBand="1"/>
            </w:tblPr>
            <w:tblGrid>
              <w:gridCol w:w="1520"/>
              <w:gridCol w:w="1403"/>
              <w:gridCol w:w="1143"/>
              <w:gridCol w:w="999"/>
              <w:gridCol w:w="1428"/>
              <w:gridCol w:w="1320"/>
            </w:tblGrid>
            <w:tr>
              <w:trPr>
                <w:trHeight w:val="369"/>
              </w:trPr>
              <w:tc>
                <w:tcPr>
                  <w:tcW w:w="972"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名称</w:t>
                  </w:r>
                </w:p>
              </w:tc>
              <w:tc>
                <w:tcPr>
                  <w:tcW w:w="897"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保护对象</w:t>
                  </w:r>
                </w:p>
              </w:tc>
              <w:tc>
                <w:tcPr>
                  <w:tcW w:w="731"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保护内容</w:t>
                  </w:r>
                </w:p>
              </w:tc>
              <w:tc>
                <w:tcPr>
                  <w:tcW w:w="639"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相对位置</w:t>
                  </w:r>
                </w:p>
              </w:tc>
              <w:tc>
                <w:tcPr>
                  <w:tcW w:w="913"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相对</w:t>
                  </w:r>
                  <w:r>
                    <w:rPr>
                      <w:rFonts w:ascii="Times New Roman" w:cs="Times New Roman" w:hAnsi="Times New Roman" w:hint="eastAsia"/>
                      <w:b/>
                      <w:bCs/>
                      <w:u w:val="none"/>
                      <w:lang w:val="en-US" w:eastAsia="zh-CN"/>
                      <w:highlight w:val="none"/>
                    </w:rPr>
                    <w:t>水厂/泵站</w:t>
                  </w:r>
                  <w:r>
                    <w:rPr>
                      <w:rFonts w:ascii="Times New Roman" w:cs="Times New Roman" w:hAnsi="Times New Roman"/>
                      <w:b/>
                      <w:bCs/>
                      <w:u w:val="none"/>
                      <w:highlight w:val="none"/>
                    </w:rPr>
                    <w:t>距离</w:t>
                  </w:r>
                </w:p>
              </w:tc>
              <w:tc>
                <w:tcPr>
                  <w:tcW w:w="844"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b/>
                      <w:bCs/>
                      <w:u w:val="none"/>
                      <w:highlight w:val="none"/>
                    </w:rPr>
                    <w:t>保护级别</w:t>
                  </w:r>
                </w:p>
              </w:tc>
            </w:tr>
            <w:tr>
              <w:trPr>
                <w:trHeight w:val="369"/>
              </w:trPr>
              <w:tc>
                <w:tcPr>
                  <w:tcW w:w="972" w:type="pct"/>
                  <w:tcBorders>
                    <w:tl2br w:val="nil"/>
                    <w:tr2bl w:val="nil"/>
                  </w:tcBorders>
                  <w:vAlign w:val="center"/>
                </w:tcPr>
                <w:p>
                  <w:pPr>
                    <w:pStyle w:val="71"/>
                    <w:rPr>
                      <w:rFonts w:ascii="Times New Roman" w:eastAsia="宋体" w:cs="Times New Roman" w:hAnsi="Times New Roman"/>
                      <w:b/>
                      <w:bCs/>
                      <w:u w:val="none"/>
                      <w:lang w:val="en-US" w:eastAsia="zh-CN"/>
                      <w:highlight w:val="none"/>
                    </w:rPr>
                  </w:pPr>
                  <w:r>
                    <w:rPr>
                      <w:rFonts w:ascii="Times New Roman" w:cs="Times New Roman" w:hAnsi="Times New Roman" w:hint="eastAsia"/>
                      <w:color w:val="000000"/>
                      <w:kern w:val="0"/>
                      <w:szCs w:val="21"/>
                      <w:u w:val="none"/>
                      <w:lang w:val="en-US" w:eastAsia="zh-CN"/>
                      <w:highlight w:val="none"/>
                    </w:rPr>
                    <w:t>太青水厂</w:t>
                  </w:r>
                </w:p>
              </w:tc>
              <w:tc>
                <w:tcPr>
                  <w:tcW w:w="897" w:type="pct"/>
                  <w:tcBorders>
                    <w:tl2br w:val="nil"/>
                    <w:tr2bl w:val="nil"/>
                  </w:tcBorders>
                  <w:vAlign w:val="center"/>
                </w:tcPr>
                <w:p>
                  <w:pPr>
                    <w:pStyle w:val="71"/>
                    <w:rPr>
                      <w:rFonts w:ascii="Times New Roman" w:cs="Times New Roman" w:hAnsi="Times New Roman"/>
                      <w:b/>
                      <w:bCs/>
                      <w:u w:val="none"/>
                      <w:highlight w:val="none"/>
                    </w:rPr>
                  </w:pPr>
                  <w:r>
                    <w:rPr>
                      <w:rFonts w:ascii="Times New Roman" w:cs="Times New Roman" w:hAnsi="Times New Roman" w:hint="eastAsia"/>
                      <w:u w:val="none"/>
                      <w:lang w:val="en-US" w:eastAsia="zh-CN"/>
                      <w:highlight w:val="none"/>
                    </w:rPr>
                    <w:t>田冲村居民</w:t>
                  </w:r>
                </w:p>
              </w:tc>
              <w:tc>
                <w:tcPr>
                  <w:tcW w:w="731" w:type="pct"/>
                  <w:tcBorders>
                    <w:tl2br w:val="nil"/>
                    <w:tr2bl w:val="nil"/>
                  </w:tcBorders>
                  <w:vAlign w:val="center"/>
                </w:tcPr>
                <w:p>
                  <w:pPr>
                    <w:pStyle w:val="71"/>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3</w:t>
                  </w:r>
                  <w:r>
                    <w:rPr>
                      <w:rFonts w:ascii="Times New Roman" w:cs="Times New Roman" w:hAnsi="Times New Roman"/>
                      <w:u w:val="none"/>
                      <w:highlight w:val="none"/>
                    </w:rPr>
                    <w:t>户</w:t>
                  </w:r>
                  <w:r>
                    <w:rPr>
                      <w:rFonts w:ascii="Times New Roman" w:cs="Times New Roman" w:hAnsi="Times New Roman" w:hint="eastAsia"/>
                      <w:u w:val="none"/>
                      <w:lang w:val="en-US" w:eastAsia="zh-CN"/>
                      <w:highlight w:val="none"/>
                    </w:rPr>
                    <w:t>10人</w:t>
                  </w:r>
                </w:p>
              </w:tc>
              <w:tc>
                <w:tcPr>
                  <w:tcW w:w="639"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北</w:t>
                  </w:r>
                  <w:r>
                    <w:rPr>
                      <w:rFonts w:ascii="Times New Roman" w:cs="Times New Roman" w:hAnsi="Times New Roman"/>
                      <w:u w:val="none"/>
                      <w:highlight w:val="none"/>
                    </w:rPr>
                    <w:t>侧</w:t>
                  </w:r>
                </w:p>
              </w:tc>
              <w:tc>
                <w:tcPr>
                  <w:tcW w:w="913"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15</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w:t>
                  </w:r>
                  <w:r>
                    <w:rPr>
                      <w:rFonts w:ascii="Times New Roman" w:cs="Times New Roman" w:hAnsi="Times New Roman"/>
                      <w:u w:val="none"/>
                      <w:highlight w:val="none"/>
                    </w:rPr>
                    <w:t>m</w:t>
                  </w:r>
                </w:p>
              </w:tc>
              <w:tc>
                <w:tcPr>
                  <w:tcW w:w="844" w:type="pct"/>
                  <w:vMerge w:val="restar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GB3096-2008中2类标准</w:t>
                  </w:r>
                </w:p>
              </w:tc>
            </w:tr>
            <w:tr>
              <w:trPr>
                <w:trHeight w:val="369"/>
              </w:trPr>
              <w:tc>
                <w:tcPr>
                  <w:tcW w:w="972" w:type="pct"/>
                  <w:tcBorders>
                    <w:tl2br w:val="nil"/>
                    <w:tr2bl w:val="nil"/>
                  </w:tcBorders>
                  <w:vAlign w:val="center"/>
                </w:tcPr>
                <w:p>
                  <w:pPr>
                    <w:pStyle w:val="71"/>
                    <w:rPr>
                      <w:rFonts w:ascii="Times New Roman" w:cs="Times New Roman" w:hAnsi="Times New Roman"/>
                      <w:color w:val="000000"/>
                      <w:kern w:val="0"/>
                      <w:szCs w:val="21"/>
                      <w:u w:val="none"/>
                      <w:lang w:val="en-US" w:eastAsia="zh-CN"/>
                      <w:highlight w:val="none"/>
                    </w:rPr>
                  </w:pPr>
                  <w:r>
                    <w:rPr>
                      <w:rFonts w:ascii="Times New Roman" w:eastAsia="宋体" w:cs="Times New Roman" w:hAnsi="Times New Roman" w:hint="eastAsia"/>
                      <w:u w:val="none"/>
                      <w:lang w:val="en-US" w:eastAsia="zh-CN"/>
                      <w:highlight w:val="none"/>
                    </w:rPr>
                    <w:t>探裕-遇市村加压泵站</w:t>
                  </w:r>
                </w:p>
              </w:tc>
              <w:tc>
                <w:tcPr>
                  <w:tcW w:w="897"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eastAsia="宋体" w:cs="Times New Roman" w:hAnsi="Times New Roman" w:hint="eastAsia"/>
                      <w:u w:val="none"/>
                      <w:lang w:val="en-US" w:eastAsia="zh-CN"/>
                      <w:highlight w:val="none"/>
                    </w:rPr>
                    <w:t>遇市村</w:t>
                  </w:r>
                  <w:r>
                    <w:rPr>
                      <w:rFonts w:ascii="Times New Roman" w:cs="Times New Roman" w:hAnsi="Times New Roman" w:hint="eastAsia"/>
                      <w:u w:val="none"/>
                      <w:lang w:val="en-US" w:eastAsia="zh-CN"/>
                      <w:highlight w:val="none"/>
                    </w:rPr>
                    <w:t>居民</w:t>
                  </w:r>
                </w:p>
              </w:tc>
              <w:tc>
                <w:tcPr>
                  <w:tcW w:w="73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1户</w:t>
                  </w:r>
                </w:p>
              </w:tc>
              <w:tc>
                <w:tcPr>
                  <w:tcW w:w="639"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东</w:t>
                  </w:r>
                  <w:r>
                    <w:rPr>
                      <w:rFonts w:ascii="Times New Roman" w:cs="Times New Roman" w:hAnsi="Times New Roman"/>
                      <w:u w:val="none"/>
                      <w:highlight w:val="none"/>
                    </w:rPr>
                    <w:t>侧</w:t>
                  </w:r>
                </w:p>
              </w:tc>
              <w:tc>
                <w:tcPr>
                  <w:tcW w:w="913"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35</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w:t>
                  </w:r>
                  <w:r>
                    <w:rPr>
                      <w:rFonts w:ascii="Times New Roman" w:cs="Times New Roman" w:hAnsi="Times New Roman"/>
                      <w:u w:val="none"/>
                      <w:highlight w:val="none"/>
                    </w:rPr>
                    <w:t>m</w:t>
                  </w:r>
                </w:p>
              </w:tc>
              <w:tc>
                <w:tcPr>
                  <w:tcW w:w="844" w:type="pct"/>
                  <w:vMerge/>
                  <w:tcBorders>
                    <w:tl2br w:val="nil"/>
                    <w:tr2bl w:val="nil"/>
                  </w:tcBorders>
                  <w:vAlign w:val="center"/>
                </w:tcPr>
                <w:p/>
              </w:tc>
            </w:tr>
            <w:tr>
              <w:trPr>
                <w:trHeight w:val="369"/>
              </w:trPr>
              <w:tc>
                <w:tcPr>
                  <w:tcW w:w="972" w:type="pct"/>
                  <w:vMerge w:val="restart"/>
                  <w:tcBorders>
                    <w:tl2br w:val="nil"/>
                    <w:tr2bl w:val="nil"/>
                  </w:tcBorders>
                  <w:vAlign w:val="center"/>
                </w:tcPr>
                <w:p>
                  <w:pPr>
                    <w:pStyle w:val="71"/>
                    <w:rPr>
                      <w:rFonts w:ascii="Times New Roman" w:cs="Times New Roman" w:hAnsi="Times New Roman"/>
                      <w:color w:val="000000"/>
                      <w:kern w:val="0"/>
                      <w:szCs w:val="21"/>
                      <w:u w:val="none"/>
                      <w:lang w:val="en-US" w:eastAsia="zh-CN"/>
                      <w:highlight w:val="none"/>
                    </w:rPr>
                  </w:pPr>
                  <w:r>
                    <w:rPr>
                      <w:rFonts w:ascii="Times New Roman" w:eastAsia="宋体" w:cs="Times New Roman" w:hAnsi="Times New Roman" w:hint="eastAsia"/>
                      <w:u w:val="none"/>
                      <w:lang w:val="en-US" w:eastAsia="zh-CN"/>
                      <w:highlight w:val="none"/>
                    </w:rPr>
                    <w:t>东门村加压泵站</w:t>
                  </w:r>
                </w:p>
              </w:tc>
              <w:tc>
                <w:tcPr>
                  <w:tcW w:w="897" w:type="pct"/>
                  <w:vMerge w:val="restar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东门村居民</w:t>
                  </w:r>
                </w:p>
              </w:tc>
              <w:tc>
                <w:tcPr>
                  <w:tcW w:w="73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1户</w:t>
                  </w:r>
                </w:p>
              </w:tc>
              <w:tc>
                <w:tcPr>
                  <w:tcW w:w="639"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东北</w:t>
                  </w:r>
                  <w:r>
                    <w:rPr>
                      <w:rFonts w:ascii="Times New Roman" w:cs="Times New Roman" w:hAnsi="Times New Roman"/>
                      <w:u w:val="none"/>
                      <w:highlight w:val="none"/>
                    </w:rPr>
                    <w:t>侧</w:t>
                  </w:r>
                </w:p>
              </w:tc>
              <w:tc>
                <w:tcPr>
                  <w:tcW w:w="913"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25</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40</w:t>
                  </w:r>
                  <w:r>
                    <w:rPr>
                      <w:rFonts w:ascii="Times New Roman" w:cs="Times New Roman" w:hAnsi="Times New Roman"/>
                      <w:u w:val="none"/>
                      <w:highlight w:val="none"/>
                    </w:rPr>
                    <w:t>m</w:t>
                  </w:r>
                </w:p>
              </w:tc>
              <w:tc>
                <w:tcPr>
                  <w:tcW w:w="844" w:type="pct"/>
                  <w:vMerge/>
                  <w:tcBorders>
                    <w:tl2br w:val="nil"/>
                    <w:tr2bl w:val="nil"/>
                  </w:tcBorders>
                  <w:vAlign w:val="center"/>
                </w:tcPr>
                <w:p/>
              </w:tc>
            </w:tr>
            <w:tr>
              <w:trPr>
                <w:trHeight w:val="369"/>
              </w:trPr>
              <w:tc>
                <w:tcPr>
                  <w:tcW w:w="972" w:type="pct"/>
                  <w:vMerge/>
                  <w:tcBorders>
                    <w:tl2br w:val="nil"/>
                    <w:tr2bl w:val="nil"/>
                  </w:tcBorders>
                  <w:vAlign w:val="center"/>
                </w:tcPr>
                <w:p/>
              </w:tc>
              <w:tc>
                <w:tcPr>
                  <w:tcW w:w="897" w:type="pct"/>
                  <w:vMerge/>
                  <w:tcBorders>
                    <w:tl2br w:val="nil"/>
                    <w:tr2bl w:val="nil"/>
                  </w:tcBorders>
                  <w:vAlign w:val="center"/>
                </w:tcPr>
                <w:p/>
              </w:tc>
              <w:tc>
                <w:tcPr>
                  <w:tcW w:w="73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u w:val="none"/>
                      <w:highlight w:val="none"/>
                    </w:rPr>
                    <w:t>1户</w:t>
                  </w:r>
                </w:p>
              </w:tc>
              <w:tc>
                <w:tcPr>
                  <w:tcW w:w="639" w:type="pct"/>
                  <w:tcBorders>
                    <w:tl2br w:val="nil"/>
                    <w:tr2bl w:val="nil"/>
                  </w:tcBorders>
                  <w:vAlign w:val="center"/>
                </w:tcPr>
                <w:p>
                  <w:pPr>
                    <w:pStyle w:val="71"/>
                    <w:rPr>
                      <w:rFonts w:ascii="Times New Roman" w:cs="Times New Roman" w:hAnsi="Times New Roman"/>
                      <w:u w:val="none"/>
                      <w:lang w:val="en-US" w:eastAsia="zh-CN"/>
                      <w:highlight w:val="none"/>
                    </w:rPr>
                  </w:pPr>
                  <w:r>
                    <w:rPr>
                      <w:rFonts w:ascii="Times New Roman" w:cs="Times New Roman" w:hAnsi="Times New Roman" w:hint="eastAsia"/>
                      <w:u w:val="none"/>
                      <w:lang w:val="en-US" w:eastAsia="zh-CN"/>
                      <w:highlight w:val="none"/>
                    </w:rPr>
                    <w:t>南侧</w:t>
                  </w:r>
                </w:p>
              </w:tc>
              <w:tc>
                <w:tcPr>
                  <w:tcW w:w="913"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45</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w:t>
                  </w:r>
                  <w:r>
                    <w:rPr>
                      <w:rFonts w:ascii="Times New Roman" w:cs="Times New Roman" w:hAnsi="Times New Roman"/>
                      <w:u w:val="none"/>
                      <w:highlight w:val="none"/>
                    </w:rPr>
                    <w:t>m</w:t>
                  </w:r>
                </w:p>
              </w:tc>
              <w:tc>
                <w:tcPr>
                  <w:tcW w:w="844" w:type="pct"/>
                  <w:vMerge/>
                  <w:tcBorders>
                    <w:tl2br w:val="nil"/>
                    <w:tr2bl w:val="nil"/>
                  </w:tcBorders>
                  <w:vAlign w:val="center"/>
                </w:tcPr>
                <w:p/>
              </w:tc>
            </w:tr>
            <w:tr>
              <w:trPr>
                <w:trHeight w:val="369"/>
              </w:trPr>
              <w:tc>
                <w:tcPr>
                  <w:tcW w:w="972" w:type="pct"/>
                  <w:vMerge w:val="restart"/>
                  <w:tcBorders>
                    <w:tl2br w:val="nil"/>
                    <w:tr2bl w:val="nil"/>
                  </w:tcBorders>
                  <w:vAlign w:val="center"/>
                </w:tcPr>
                <w:p>
                  <w:pPr>
                    <w:pStyle w:val="71"/>
                    <w:rPr>
                      <w:rFonts w:ascii="Times New Roman" w:cs="Times New Roman" w:hAnsi="Times New Roman"/>
                      <w:color w:val="000000"/>
                      <w:kern w:val="0"/>
                      <w:szCs w:val="21"/>
                      <w:u w:val="none"/>
                      <w:lang w:val="en-US" w:eastAsia="zh-CN"/>
                      <w:highlight w:val="none"/>
                    </w:rPr>
                  </w:pPr>
                  <w:r>
                    <w:rPr>
                      <w:rFonts w:ascii="Times New Roman" w:eastAsia="宋体" w:cs="Times New Roman" w:hAnsi="Times New Roman" w:hint="eastAsia"/>
                      <w:u w:val="none"/>
                      <w:lang w:val="en-US" w:eastAsia="zh-CN"/>
                      <w:highlight w:val="none"/>
                    </w:rPr>
                    <w:t>干管D加压泵站</w:t>
                  </w:r>
                </w:p>
              </w:tc>
              <w:tc>
                <w:tcPr>
                  <w:tcW w:w="897" w:type="pct"/>
                  <w:vMerge w:val="restar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刘家坪居民</w:t>
                  </w:r>
                </w:p>
              </w:tc>
              <w:tc>
                <w:tcPr>
                  <w:tcW w:w="73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2</w:t>
                  </w:r>
                  <w:r>
                    <w:rPr>
                      <w:rFonts w:ascii="Times New Roman" w:cs="Times New Roman" w:hAnsi="Times New Roman"/>
                      <w:u w:val="none"/>
                      <w:highlight w:val="none"/>
                    </w:rPr>
                    <w:t>户</w:t>
                  </w:r>
                </w:p>
              </w:tc>
              <w:tc>
                <w:tcPr>
                  <w:tcW w:w="639"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北</w:t>
                  </w:r>
                  <w:r>
                    <w:rPr>
                      <w:rFonts w:ascii="Times New Roman" w:cs="Times New Roman" w:hAnsi="Times New Roman"/>
                      <w:u w:val="none"/>
                      <w:highlight w:val="none"/>
                    </w:rPr>
                    <w:t>侧</w:t>
                  </w:r>
                </w:p>
              </w:tc>
              <w:tc>
                <w:tcPr>
                  <w:tcW w:w="913"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10</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w:t>
                  </w:r>
                  <w:r>
                    <w:rPr>
                      <w:rFonts w:ascii="Times New Roman" w:cs="Times New Roman" w:hAnsi="Times New Roman"/>
                      <w:u w:val="none"/>
                      <w:highlight w:val="none"/>
                    </w:rPr>
                    <w:t>m</w:t>
                  </w:r>
                </w:p>
              </w:tc>
              <w:tc>
                <w:tcPr>
                  <w:tcW w:w="844" w:type="pct"/>
                  <w:vMerge/>
                  <w:tcBorders>
                    <w:tl2br w:val="nil"/>
                    <w:tr2bl w:val="nil"/>
                  </w:tcBorders>
                  <w:vAlign w:val="center"/>
                </w:tcPr>
                <w:p/>
              </w:tc>
            </w:tr>
            <w:tr>
              <w:trPr>
                <w:trHeight w:val="369"/>
              </w:trPr>
              <w:tc>
                <w:tcPr>
                  <w:tcW w:w="972" w:type="pct"/>
                  <w:vMerge/>
                  <w:tcBorders>
                    <w:tl2br w:val="nil"/>
                    <w:tr2bl w:val="nil"/>
                  </w:tcBorders>
                  <w:vAlign w:val="center"/>
                </w:tcPr>
                <w:p/>
              </w:tc>
              <w:tc>
                <w:tcPr>
                  <w:tcW w:w="897" w:type="pct"/>
                  <w:vMerge/>
                  <w:tcBorders>
                    <w:tl2br w:val="nil"/>
                    <w:tr2bl w:val="nil"/>
                  </w:tcBorders>
                  <w:vAlign w:val="center"/>
                </w:tcPr>
                <w:p/>
              </w:tc>
              <w:tc>
                <w:tcPr>
                  <w:tcW w:w="731" w:type="pct"/>
                  <w:tcBorders>
                    <w:tl2br w:val="nil"/>
                    <w:tr2bl w:val="nil"/>
                  </w:tcBorders>
                  <w:vAlign w:val="center"/>
                </w:tcPr>
                <w:p>
                  <w:pPr>
                    <w:pStyle w:val="71"/>
                    <w:rPr>
                      <w:rFonts w:ascii="Times New Roman" w:eastAsia="宋体" w:cs="Times New Roman" w:hAnsi="Times New Roman"/>
                      <w:u w:val="none"/>
                      <w:lang w:val="en-US" w:eastAsia="zh-CN"/>
                      <w:highlight w:val="none"/>
                    </w:rPr>
                  </w:pPr>
                  <w:r>
                    <w:rPr>
                      <w:rFonts w:ascii="Times New Roman" w:cs="Times New Roman" w:hAnsi="Times New Roman" w:hint="eastAsia"/>
                      <w:u w:val="none"/>
                      <w:lang w:val="en-US" w:eastAsia="zh-CN"/>
                      <w:highlight w:val="none"/>
                    </w:rPr>
                    <w:t>5户</w:t>
                  </w:r>
                </w:p>
              </w:tc>
              <w:tc>
                <w:tcPr>
                  <w:tcW w:w="639"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西</w:t>
                  </w:r>
                  <w:r>
                    <w:rPr>
                      <w:rFonts w:ascii="Times New Roman" w:cs="Times New Roman" w:hAnsi="Times New Roman"/>
                      <w:u w:val="none"/>
                      <w:highlight w:val="none"/>
                    </w:rPr>
                    <w:t>侧</w:t>
                  </w:r>
                </w:p>
              </w:tc>
              <w:tc>
                <w:tcPr>
                  <w:tcW w:w="913"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12</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w:t>
                  </w:r>
                  <w:r>
                    <w:rPr>
                      <w:rFonts w:ascii="Times New Roman" w:cs="Times New Roman" w:hAnsi="Times New Roman"/>
                      <w:u w:val="none"/>
                      <w:highlight w:val="none"/>
                    </w:rPr>
                    <w:t>m</w:t>
                  </w:r>
                </w:p>
              </w:tc>
              <w:tc>
                <w:tcPr>
                  <w:tcW w:w="844" w:type="pct"/>
                  <w:vMerge/>
                  <w:tcBorders>
                    <w:tl2br w:val="nil"/>
                    <w:tr2bl w:val="nil"/>
                  </w:tcBorders>
                  <w:vAlign w:val="center"/>
                </w:tcPr>
                <w:p/>
              </w:tc>
            </w:tr>
            <w:tr>
              <w:trPr>
                <w:trHeight w:val="369"/>
              </w:trPr>
              <w:tc>
                <w:tcPr>
                  <w:tcW w:w="972" w:type="pct"/>
                  <w:tcBorders>
                    <w:tl2br w:val="nil"/>
                    <w:tr2bl w:val="nil"/>
                  </w:tcBorders>
                  <w:vAlign w:val="center"/>
                </w:tcPr>
                <w:p>
                  <w:pPr>
                    <w:pStyle w:val="71"/>
                    <w:rPr>
                      <w:rFonts w:ascii="Times New Roman" w:cs="Times New Roman" w:hAnsi="Times New Roman"/>
                      <w:color w:val="000000"/>
                      <w:kern w:val="0"/>
                      <w:szCs w:val="21"/>
                      <w:u w:val="none"/>
                      <w:lang w:val="en-US" w:eastAsia="zh-CN"/>
                      <w:highlight w:val="none"/>
                    </w:rPr>
                  </w:pPr>
                  <w:r>
                    <w:rPr>
                      <w:rFonts w:ascii="Times New Roman" w:eastAsia="宋体" w:cs="Times New Roman" w:hAnsi="Times New Roman" w:hint="eastAsia"/>
                      <w:u w:val="none"/>
                      <w:lang w:val="en-US" w:eastAsia="zh-CN"/>
                      <w:highlight w:val="none"/>
                    </w:rPr>
                    <w:t>三岔湾加压泵站</w:t>
                  </w:r>
                </w:p>
              </w:tc>
              <w:tc>
                <w:tcPr>
                  <w:tcW w:w="897"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eastAsia="宋体" w:cs="Times New Roman" w:hAnsi="Times New Roman" w:hint="eastAsia"/>
                      <w:u w:val="none"/>
                      <w:lang w:val="en-US" w:eastAsia="zh-CN"/>
                      <w:highlight w:val="none"/>
                    </w:rPr>
                    <w:t>三岔湾居民</w:t>
                  </w:r>
                </w:p>
              </w:tc>
              <w:tc>
                <w:tcPr>
                  <w:tcW w:w="73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2</w:t>
                  </w:r>
                  <w:r>
                    <w:rPr>
                      <w:rFonts w:ascii="Times New Roman" w:cs="Times New Roman" w:hAnsi="Times New Roman"/>
                      <w:u w:val="none"/>
                      <w:highlight w:val="none"/>
                    </w:rPr>
                    <w:t>户</w:t>
                  </w:r>
                </w:p>
              </w:tc>
              <w:tc>
                <w:tcPr>
                  <w:tcW w:w="639"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西</w:t>
                  </w:r>
                  <w:r>
                    <w:rPr>
                      <w:rFonts w:ascii="Times New Roman" w:cs="Times New Roman" w:hAnsi="Times New Roman"/>
                      <w:u w:val="none"/>
                      <w:highlight w:val="none"/>
                    </w:rPr>
                    <w:t>侧</w:t>
                  </w:r>
                </w:p>
              </w:tc>
              <w:tc>
                <w:tcPr>
                  <w:tcW w:w="913"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25</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w:t>
                  </w:r>
                  <w:r>
                    <w:rPr>
                      <w:rFonts w:ascii="Times New Roman" w:cs="Times New Roman" w:hAnsi="Times New Roman"/>
                      <w:u w:val="none"/>
                      <w:highlight w:val="none"/>
                    </w:rPr>
                    <w:t>m</w:t>
                  </w:r>
                </w:p>
              </w:tc>
              <w:tc>
                <w:tcPr>
                  <w:tcW w:w="844" w:type="pct"/>
                  <w:vMerge/>
                  <w:tcBorders>
                    <w:tl2br w:val="nil"/>
                    <w:tr2bl w:val="nil"/>
                  </w:tcBorders>
                  <w:vAlign w:val="center"/>
                </w:tcPr>
                <w:p/>
              </w:tc>
            </w:tr>
            <w:tr>
              <w:trPr>
                <w:trHeight w:val="369"/>
              </w:trPr>
              <w:tc>
                <w:tcPr>
                  <w:tcW w:w="972" w:type="pct"/>
                  <w:tcBorders>
                    <w:tl2br w:val="nil"/>
                    <w:tr2bl w:val="nil"/>
                  </w:tcBorders>
                  <w:vAlign w:val="center"/>
                </w:tcPr>
                <w:p>
                  <w:pPr>
                    <w:pStyle w:val="71"/>
                    <w:rPr>
                      <w:rFonts w:ascii="Times New Roman" w:cs="Times New Roman" w:hAnsi="Times New Roman"/>
                      <w:color w:val="000000"/>
                      <w:kern w:val="0"/>
                      <w:szCs w:val="21"/>
                      <w:u w:val="none"/>
                      <w:lang w:val="en-US" w:eastAsia="zh-CN"/>
                      <w:highlight w:val="none"/>
                    </w:rPr>
                  </w:pPr>
                  <w:r>
                    <w:rPr>
                      <w:rFonts w:ascii="Times New Roman" w:eastAsia="宋体" w:cs="Times New Roman" w:hAnsi="Times New Roman" w:hint="eastAsia"/>
                      <w:u w:val="none"/>
                      <w:lang w:val="en-US" w:eastAsia="zh-CN"/>
                      <w:highlight w:val="none"/>
                    </w:rPr>
                    <w:t>楠木加压泵站</w:t>
                  </w:r>
                </w:p>
              </w:tc>
              <w:tc>
                <w:tcPr>
                  <w:tcW w:w="897"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eastAsia="宋体" w:cs="Times New Roman" w:hAnsi="Times New Roman" w:hint="eastAsia"/>
                      <w:u w:val="none"/>
                      <w:lang w:val="en-US" w:eastAsia="zh-CN"/>
                      <w:highlight w:val="none"/>
                    </w:rPr>
                    <w:t>楠木村居民</w:t>
                  </w:r>
                </w:p>
              </w:tc>
              <w:tc>
                <w:tcPr>
                  <w:tcW w:w="73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3</w:t>
                  </w:r>
                  <w:r>
                    <w:rPr>
                      <w:rFonts w:ascii="Times New Roman" w:cs="Times New Roman" w:hAnsi="Times New Roman"/>
                      <w:u w:val="none"/>
                      <w:highlight w:val="none"/>
                    </w:rPr>
                    <w:t>户</w:t>
                  </w:r>
                </w:p>
              </w:tc>
              <w:tc>
                <w:tcPr>
                  <w:tcW w:w="639"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东</w:t>
                  </w:r>
                  <w:r>
                    <w:rPr>
                      <w:rFonts w:ascii="Times New Roman" w:cs="Times New Roman" w:hAnsi="Times New Roman"/>
                      <w:u w:val="none"/>
                      <w:highlight w:val="none"/>
                    </w:rPr>
                    <w:t>侧</w:t>
                  </w:r>
                </w:p>
              </w:tc>
              <w:tc>
                <w:tcPr>
                  <w:tcW w:w="913"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20</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w:t>
                  </w:r>
                  <w:r>
                    <w:rPr>
                      <w:rFonts w:ascii="Times New Roman" w:cs="Times New Roman" w:hAnsi="Times New Roman"/>
                      <w:u w:val="none"/>
                      <w:highlight w:val="none"/>
                    </w:rPr>
                    <w:t>m</w:t>
                  </w:r>
                </w:p>
              </w:tc>
              <w:tc>
                <w:tcPr>
                  <w:tcW w:w="844" w:type="pct"/>
                  <w:vMerge/>
                  <w:tcBorders>
                    <w:tl2br w:val="nil"/>
                    <w:tr2bl w:val="nil"/>
                  </w:tcBorders>
                  <w:vAlign w:val="center"/>
                </w:tcPr>
                <w:p/>
              </w:tc>
            </w:tr>
            <w:tr>
              <w:trPr>
                <w:trHeight w:val="369"/>
              </w:trPr>
              <w:tc>
                <w:tcPr>
                  <w:tcW w:w="972" w:type="pct"/>
                  <w:tcBorders>
                    <w:tl2br w:val="nil"/>
                    <w:tr2bl w:val="nil"/>
                  </w:tcBorders>
                  <w:vAlign w:val="center"/>
                </w:tcPr>
                <w:p>
                  <w:pPr>
                    <w:pStyle w:val="71"/>
                    <w:rPr>
                      <w:rFonts w:ascii="Times New Roman" w:cs="Times New Roman" w:hAnsi="Times New Roman"/>
                      <w:color w:val="000000"/>
                      <w:kern w:val="0"/>
                      <w:szCs w:val="21"/>
                      <w:u w:val="none"/>
                      <w:lang w:val="en-US" w:eastAsia="zh-CN"/>
                      <w:highlight w:val="none"/>
                    </w:rPr>
                  </w:pPr>
                  <w:r>
                    <w:rPr>
                      <w:rFonts w:ascii="Times New Roman" w:eastAsia="宋体" w:cs="Times New Roman" w:hAnsi="Times New Roman" w:hint="eastAsia"/>
                      <w:u w:val="none"/>
                      <w:lang w:val="en-US" w:eastAsia="zh-CN"/>
                      <w:highlight w:val="none"/>
                    </w:rPr>
                    <w:t>古台加压泵站</w:t>
                  </w:r>
                </w:p>
              </w:tc>
              <w:tc>
                <w:tcPr>
                  <w:tcW w:w="897"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古台村</w:t>
                  </w:r>
                  <w:r>
                    <w:rPr>
                      <w:rFonts w:ascii="Times New Roman" w:cs="Times New Roman" w:hAnsi="Times New Roman" w:hint="eastAsia"/>
                      <w:u w:val="none"/>
                      <w:highlight w:val="none"/>
                    </w:rPr>
                    <w:t>居民</w:t>
                  </w:r>
                </w:p>
              </w:tc>
              <w:tc>
                <w:tcPr>
                  <w:tcW w:w="731"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2</w:t>
                  </w:r>
                  <w:r>
                    <w:rPr>
                      <w:rFonts w:ascii="Times New Roman" w:cs="Times New Roman" w:hAnsi="Times New Roman"/>
                      <w:u w:val="none"/>
                      <w:highlight w:val="none"/>
                    </w:rPr>
                    <w:t>户</w:t>
                  </w:r>
                </w:p>
              </w:tc>
              <w:tc>
                <w:tcPr>
                  <w:tcW w:w="639" w:type="pct"/>
                  <w:tcBorders>
                    <w:tl2br w:val="nil"/>
                    <w:tr2bl w:val="nil"/>
                  </w:tcBorders>
                  <w:vAlign w:val="center"/>
                </w:tcPr>
                <w:p>
                  <w:pPr>
                    <w:pStyle w:val="71"/>
                    <w:rPr>
                      <w:rFonts w:ascii="Times New Roman" w:cs="Times New Roman" w:hAnsi="Times New Roman"/>
                      <w:u w:val="none"/>
                      <w:highlight w:val="none"/>
                    </w:rPr>
                  </w:pPr>
                  <w:r>
                    <w:rPr>
                      <w:rFonts w:ascii="Times New Roman" w:cs="Times New Roman" w:hAnsi="Times New Roman" w:hint="eastAsia"/>
                      <w:u w:val="none"/>
                      <w:lang w:val="en-US" w:eastAsia="zh-CN"/>
                      <w:highlight w:val="none"/>
                    </w:rPr>
                    <w:t>东南</w:t>
                  </w:r>
                  <w:r>
                    <w:rPr>
                      <w:rFonts w:ascii="Times New Roman" w:cs="Times New Roman" w:hAnsi="Times New Roman"/>
                      <w:u w:val="none"/>
                      <w:highlight w:val="none"/>
                    </w:rPr>
                    <w:t>侧</w:t>
                  </w:r>
                </w:p>
              </w:tc>
              <w:tc>
                <w:tcPr>
                  <w:tcW w:w="913" w:type="pct"/>
                  <w:tcBorders>
                    <w:tl2br w:val="nil"/>
                    <w:tr2bl w:val="nil"/>
                  </w:tcBorders>
                  <w:vAlign w:val="center"/>
                </w:tcPr>
                <w:p>
                  <w:pPr>
                    <w:pStyle w:val="71"/>
                    <w:rPr>
                      <w:rFonts w:ascii="Times New Roman" w:cs="Times New Roman" w:hAnsi="Times New Roman" w:hint="eastAsia"/>
                      <w:u w:val="none"/>
                      <w:lang w:val="en-US" w:eastAsia="zh-CN"/>
                      <w:highlight w:val="none"/>
                    </w:rPr>
                  </w:pPr>
                  <w:r>
                    <w:rPr>
                      <w:rFonts w:ascii="Times New Roman" w:cs="Times New Roman" w:hAnsi="Times New Roman" w:hint="eastAsia"/>
                      <w:u w:val="none"/>
                      <w:lang w:val="en-US" w:eastAsia="zh-CN"/>
                      <w:highlight w:val="none"/>
                    </w:rPr>
                    <w:t>28</w:t>
                  </w:r>
                  <w:r>
                    <w:rPr>
                      <w:rFonts w:ascii="Times New Roman" w:cs="Times New Roman" w:hAnsi="Times New Roman" w:hint="eastAsia"/>
                      <w:u w:val="none"/>
                      <w:highlight w:val="none"/>
                    </w:rPr>
                    <w:t>~</w:t>
                  </w:r>
                  <w:r>
                    <w:rPr>
                      <w:rFonts w:ascii="Times New Roman" w:cs="Times New Roman" w:hAnsi="Times New Roman" w:hint="eastAsia"/>
                      <w:u w:val="none"/>
                      <w:lang w:val="en-US" w:eastAsia="zh-CN"/>
                      <w:highlight w:val="none"/>
                    </w:rPr>
                    <w:t>50</w:t>
                  </w:r>
                  <w:r>
                    <w:rPr>
                      <w:rFonts w:ascii="Times New Roman" w:cs="Times New Roman" w:hAnsi="Times New Roman"/>
                      <w:u w:val="none"/>
                      <w:highlight w:val="none"/>
                    </w:rPr>
                    <w:t>m</w:t>
                  </w:r>
                </w:p>
              </w:tc>
              <w:tc>
                <w:tcPr>
                  <w:tcW w:w="844" w:type="pct"/>
                  <w:vMerge/>
                  <w:tcBorders>
                    <w:tl2br w:val="nil"/>
                    <w:tr2bl w:val="nil"/>
                  </w:tcBorders>
                  <w:vAlign w:val="center"/>
                </w:tcPr>
                <w:p/>
              </w:tc>
            </w:tr>
          </w:tbl>
          <w:p>
            <w:pPr>
              <w:shd w:val="clear" w:color="auto" w:fill="FFFFFF"/>
              <w:spacing w:line="360" w:lineRule="auto"/>
              <w:rPr>
                <w:b/>
                <w:szCs w:val="21"/>
                <w:u w:val="none"/>
                <w:highlight w:val="none"/>
              </w:rPr>
            </w:pPr>
            <w:r>
              <w:rPr>
                <w:b/>
                <w:bCs/>
                <w:sz w:val="24"/>
                <w:u w:val="none"/>
                <w:highlight w:val="none"/>
              </w:rPr>
              <w:t>3、</w:t>
            </w:r>
            <w:r>
              <w:rPr>
                <w:rFonts w:hint="eastAsia"/>
                <w:b/>
                <w:bCs/>
                <w:sz w:val="24"/>
                <w:u w:val="none"/>
                <w:highlight w:val="none"/>
              </w:rPr>
              <w:t>其他</w:t>
            </w:r>
            <w:r>
              <w:rPr>
                <w:b/>
                <w:bCs/>
                <w:sz w:val="24"/>
                <w:u w:val="none"/>
                <w:highlight w:val="none"/>
              </w:rPr>
              <w:t>环境</w:t>
            </w:r>
          </w:p>
          <w:p>
            <w:pPr>
              <w:pStyle w:val="17"/>
              <w:rPr>
                <w:rFonts w:eastAsia="宋体" w:hint="eastAsia"/>
                <w:b/>
                <w:u w:val="none"/>
                <w:highlight w:val="none"/>
              </w:rPr>
            </w:pPr>
          </w:p>
          <w:p>
            <w:pPr>
              <w:pStyle w:val="17"/>
              <w:rPr>
                <w:rFonts w:eastAsia="宋体" w:hint="eastAsia"/>
                <w:b/>
                <w:u w:val="none"/>
                <w:highlight w:val="none"/>
              </w:rPr>
            </w:pPr>
          </w:p>
          <w:p>
            <w:pPr>
              <w:pStyle w:val="17"/>
              <w:rPr>
                <w:rFonts w:eastAsia="宋体" w:hint="eastAsia"/>
                <w:b/>
                <w:u w:val="none"/>
                <w:highlight w:val="none"/>
              </w:rPr>
            </w:pPr>
          </w:p>
          <w:p>
            <w:pPr>
              <w:pStyle w:val="17"/>
              <w:rPr>
                <w:rFonts w:eastAsia="宋体" w:hint="eastAsia"/>
                <w:b/>
                <w:u w:val="none"/>
                <w:highlight w:val="none"/>
              </w:rPr>
            </w:pPr>
          </w:p>
          <w:p>
            <w:pPr>
              <w:pStyle w:val="17"/>
              <w:rPr>
                <w:rFonts w:eastAsia="宋体"/>
                <w:b/>
                <w:u w:val="none"/>
                <w:highlight w:val="none"/>
              </w:rPr>
            </w:pPr>
            <w:r>
              <w:rPr>
                <w:rFonts w:eastAsia="宋体" w:hint="eastAsia"/>
                <w:b/>
                <w:u w:val="none"/>
                <w:highlight w:val="none"/>
              </w:rPr>
              <w:t>表3-</w:t>
            </w:r>
            <w:r>
              <w:rPr>
                <w:rFonts w:eastAsia="宋体" w:hint="eastAsia"/>
                <w:b/>
                <w:u w:val="none"/>
                <w:lang w:val="en-US" w:eastAsia="zh-CN"/>
                <w:highlight w:val="none"/>
              </w:rPr>
              <w:t>8</w:t>
            </w:r>
            <w:r>
              <w:rPr>
                <w:rFonts w:eastAsia="宋体" w:hint="eastAsia"/>
                <w:b/>
                <w:u w:val="none"/>
                <w:highlight w:val="none"/>
              </w:rPr>
              <w:t xml:space="preserve"> </w:t>
            </w:r>
            <w:r>
              <w:rPr>
                <w:rFonts w:eastAsia="宋体"/>
                <w:b/>
                <w:u w:val="none"/>
                <w:highlight w:val="none"/>
              </w:rPr>
              <w:t xml:space="preserve"> </w:t>
            </w:r>
            <w:r>
              <w:rPr>
                <w:rFonts w:eastAsia="宋体" w:hint="eastAsia"/>
                <w:b/>
                <w:u w:val="none"/>
                <w:highlight w:val="none"/>
              </w:rPr>
              <w:t>其他环境保护目标一览表</w:t>
            </w:r>
          </w:p>
          <w:tbl>
            <w:tblPr>
              <w:jc w:val="center"/>
              <w:tblW w:w="4996"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681"/>
              <w:gridCol w:w="1520"/>
              <w:gridCol w:w="1508"/>
              <w:gridCol w:w="1144"/>
              <w:gridCol w:w="1437"/>
              <w:gridCol w:w="1520"/>
            </w:tblGrid>
            <w:tr>
              <w:trPr>
                <w:trHeight w:val="340"/>
              </w:trPr>
              <w:tc>
                <w:tcPr>
                  <w:tcW w:w="436"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项目</w:t>
                  </w:r>
                </w:p>
              </w:tc>
              <w:tc>
                <w:tcPr>
                  <w:tcW w:w="973"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环境保护目标</w:t>
                  </w:r>
                </w:p>
              </w:tc>
              <w:tc>
                <w:tcPr>
                  <w:tcW w:w="965"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相对方位</w:t>
                  </w:r>
                </w:p>
              </w:tc>
              <w:tc>
                <w:tcPr>
                  <w:tcW w:w="732"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距离</w:t>
                  </w:r>
                </w:p>
              </w:tc>
              <w:tc>
                <w:tcPr>
                  <w:tcW w:w="920"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功能及规模</w:t>
                  </w:r>
                </w:p>
              </w:tc>
              <w:tc>
                <w:tcPr>
                  <w:tcW w:w="972"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保护级别</w:t>
                  </w:r>
                  <w:r>
                    <w:rPr>
                      <w:rFonts w:ascii="Times New Roman" w:eastAsia="宋体" w:cs="Times New Roman" w:hAnsi="Times New Roman" w:hint="eastAsia"/>
                      <w:b/>
                      <w:bCs/>
                      <w:u w:val="none"/>
                      <w:highlight w:val="none"/>
                    </w:rPr>
                    <w:t>/要求</w:t>
                  </w:r>
                </w:p>
              </w:tc>
            </w:tr>
            <w:tr>
              <w:trPr>
                <w:trHeight w:val="340"/>
              </w:trPr>
              <w:tc>
                <w:tcPr>
                  <w:tcW w:w="436" w:type="pct"/>
                  <w:vAlign w:val="center"/>
                </w:tcPr>
                <w:p>
                  <w:pPr>
                    <w:jc w:val="center"/>
                    <w:rPr>
                      <w:szCs w:val="21"/>
                      <w:u w:val="none"/>
                      <w:highlight w:val="none"/>
                    </w:rPr>
                  </w:pPr>
                  <w:r>
                    <w:rPr>
                      <w:szCs w:val="21"/>
                      <w:u w:val="none"/>
                      <w:highlight w:val="none"/>
                    </w:rPr>
                    <w:t>水环境</w:t>
                  </w:r>
                </w:p>
              </w:tc>
              <w:tc>
                <w:tcPr>
                  <w:tcW w:w="973" w:type="pct"/>
                  <w:vAlign w:val="center"/>
                </w:tcPr>
                <w:p>
                  <w:pPr>
                    <w:jc w:val="center"/>
                    <w:rPr>
                      <w:rFonts w:eastAsia="宋体"/>
                      <w:szCs w:val="21"/>
                      <w:u w:val="none"/>
                      <w:lang w:val="en-US" w:eastAsia="zh-CN"/>
                      <w:highlight w:val="none"/>
                    </w:rPr>
                  </w:pPr>
                  <w:r>
                    <w:rPr>
                      <w:rFonts w:hint="eastAsia"/>
                      <w:color w:val="000000"/>
                      <w:kern w:val="0"/>
                      <w:szCs w:val="21"/>
                      <w:u w:val="none"/>
                      <w:lang w:val="en-US" w:eastAsia="zh-CN"/>
                      <w:highlight w:val="none"/>
                    </w:rPr>
                    <w:t>太青水库</w:t>
                  </w:r>
                </w:p>
              </w:tc>
              <w:tc>
                <w:tcPr>
                  <w:tcW w:w="965" w:type="pct"/>
                  <w:vAlign w:val="center"/>
                </w:tcPr>
                <w:p>
                  <w:pPr>
                    <w:pStyle w:val="23"/>
                    <w:jc w:val="center"/>
                    <w:rPr>
                      <w:rFonts w:ascii="Times New Roman" w:eastAsia="宋体" w:hAnsi="Times New Roman" w:hint="eastAsia"/>
                      <w:szCs w:val="21"/>
                      <w:u w:val="none"/>
                      <w:lang w:eastAsia="zh-CN"/>
                      <w:highlight w:val="none"/>
                    </w:rPr>
                  </w:pPr>
                  <w:r>
                    <w:rPr>
                      <w:rFonts w:ascii="Times New Roman" w:hAnsi="Times New Roman" w:hint="eastAsia"/>
                      <w:color w:val="000000"/>
                      <w:kern w:val="0"/>
                      <w:szCs w:val="21"/>
                      <w:u w:val="none"/>
                      <w:lang w:val="en-US" w:eastAsia="zh-CN"/>
                      <w:highlight w:val="none"/>
                    </w:rPr>
                    <w:t>取水口</w:t>
                  </w:r>
                </w:p>
              </w:tc>
              <w:tc>
                <w:tcPr>
                  <w:tcW w:w="732" w:type="pct"/>
                  <w:vAlign w:val="center"/>
                </w:tcPr>
                <w:p>
                  <w:pPr>
                    <w:jc w:val="center"/>
                    <w:rPr>
                      <w:rFonts w:ascii="Times New Roman" w:eastAsia="宋体" w:cs="Times New Roman" w:hAnsi="Times New Roman"/>
                      <w:szCs w:val="21"/>
                      <w:u w:val="none"/>
                      <w:lang w:val="en-US" w:eastAsia="zh-CN"/>
                      <w:highlight w:val="none"/>
                    </w:rPr>
                  </w:pPr>
                  <w:r>
                    <w:rPr>
                      <w:rFonts w:ascii="Times New Roman" w:eastAsia="宋体" w:cs="Times New Roman" w:hAnsi="Times New Roman" w:hint="eastAsia"/>
                      <w:szCs w:val="21"/>
                      <w:u w:val="none"/>
                      <w:lang w:val="en-US" w:eastAsia="zh-CN"/>
                      <w:highlight w:val="none"/>
                    </w:rPr>
                    <w:t>取水位置</w:t>
                  </w:r>
                </w:p>
              </w:tc>
              <w:tc>
                <w:tcPr>
                  <w:tcW w:w="920" w:type="pct"/>
                  <w:vAlign w:val="center"/>
                </w:tcPr>
                <w:p>
                  <w:pPr>
                    <w:jc w:val="center"/>
                    <w:rPr>
                      <w:rFonts w:ascii="Times New Roman" w:eastAsia="宋体" w:cs="Times New Roman" w:hAnsi="Times New Roman"/>
                      <w:szCs w:val="21"/>
                      <w:u w:val="none"/>
                      <w:lang w:val="en-US" w:eastAsia="zh-CN"/>
                      <w:highlight w:val="none"/>
                    </w:rPr>
                  </w:pPr>
                  <w:r>
                    <w:rPr>
                      <w:rFonts w:ascii="Times New Roman" w:eastAsia="宋体" w:cs="Times New Roman" w:hAnsi="Times New Roman" w:hint="eastAsia"/>
                      <w:szCs w:val="21"/>
                      <w:u w:val="none"/>
                      <w:lang w:val="en-US" w:eastAsia="zh-CN"/>
                      <w:highlight w:val="none"/>
                    </w:rPr>
                    <w:t>饮用水源保护地</w:t>
                  </w:r>
                </w:p>
              </w:tc>
              <w:tc>
                <w:tcPr>
                  <w:tcW w:w="972" w:type="pct"/>
                  <w:vAlign w:val="center"/>
                </w:tcPr>
                <w:p>
                  <w:pPr>
                    <w:jc w:val="center"/>
                    <w:rPr>
                      <w:rFonts w:ascii="Times New Roman" w:eastAsia="宋体" w:cs="Times New Roman" w:hAnsi="Times New Roman"/>
                      <w:szCs w:val="21"/>
                      <w:u w:val="none"/>
                      <w:highlight w:val="none"/>
                    </w:rPr>
                  </w:pPr>
                  <w:r>
                    <w:rPr>
                      <w:rFonts w:ascii="Times New Roman" w:eastAsia="宋体" w:cs="Times New Roman" w:hAnsi="Times New Roman"/>
                      <w:szCs w:val="21"/>
                      <w:u w:val="none"/>
                      <w:highlight w:val="none"/>
                    </w:rPr>
                    <w:t>GB3838-2002中</w:t>
                  </w:r>
                  <w:r>
                    <w:rPr>
                      <w:rFonts w:ascii="Times New Roman" w:eastAsia="宋体" w:cs="Times New Roman" w:hAnsi="Times New Roman"/>
                      <w:szCs w:val="21"/>
                      <w:u w:val="none"/>
                      <w:highlight w:val="none"/>
                    </w:rPr>
                    <w:fldChar w:fldCharType="begin"/>
                  </w:r>
                  <w:r>
                    <w:rPr>
                      <w:rFonts w:ascii="Times New Roman" w:eastAsia="宋体" w:cs="Times New Roman" w:hAnsi="Times New Roman"/>
                      <w:szCs w:val="21"/>
                      <w:u w:val="none"/>
                      <w:highlight w:val="none"/>
                    </w:rPr>
                    <w:instrText xml:space="preserve"> = 2 \* ROMAN \* MERGEFORMAT </w:instrText>
                  </w:r>
                  <w:r>
                    <w:rPr>
                      <w:rFonts w:ascii="Times New Roman" w:eastAsia="宋体" w:cs="Times New Roman" w:hAnsi="Times New Roman"/>
                      <w:szCs w:val="21"/>
                      <w:u w:val="none"/>
                      <w:highlight w:val="none"/>
                    </w:rPr>
                    <w:fldChar w:fldCharType="separate"/>
                  </w:r>
                  <w:r>
                    <w:rPr>
                      <w:rFonts w:ascii="Times New Roman" w:eastAsia="宋体" w:cs="Times New Roman" w:hAnsi="Times New Roman"/>
                      <w:szCs w:val="21"/>
                      <w:u w:val="none"/>
                      <w:highlight w:val="none"/>
                    </w:rPr>
                    <w:t>II</w:t>
                  </w:r>
                  <w:r>
                    <w:rPr>
                      <w:rFonts w:ascii="Times New Roman" w:eastAsia="宋体" w:cs="Times New Roman" w:hAnsi="Times New Roman"/>
                      <w:szCs w:val="21"/>
                      <w:u w:val="none"/>
                      <w:highlight w:val="none"/>
                    </w:rPr>
                    <w:fldChar w:fldCharType="end"/>
                  </w:r>
                  <w:r>
                    <w:rPr>
                      <w:rFonts w:ascii="Times New Roman" w:eastAsia="宋体" w:cs="Times New Roman" w:hAnsi="Times New Roman"/>
                      <w:szCs w:val="21"/>
                      <w:u w:val="none"/>
                      <w:highlight w:val="none"/>
                    </w:rPr>
                    <w:t>类标准</w:t>
                  </w:r>
                </w:p>
              </w:tc>
            </w:tr>
            <w:tr>
              <w:trPr>
                <w:trHeight w:val="340"/>
              </w:trPr>
              <w:tc>
                <w:tcPr>
                  <w:tcW w:w="436" w:type="pct"/>
                  <w:vAlign w:val="center"/>
                </w:tcPr>
                <w:p>
                  <w:pPr>
                    <w:jc w:val="center"/>
                    <w:rPr>
                      <w:szCs w:val="21"/>
                      <w:u w:val="none"/>
                      <w:highlight w:val="none"/>
                    </w:rPr>
                  </w:pPr>
                  <w:r>
                    <w:rPr>
                      <w:szCs w:val="21"/>
                      <w:u w:val="none"/>
                      <w:highlight w:val="none"/>
                    </w:rPr>
                    <w:t>地下水</w:t>
                  </w:r>
                </w:p>
              </w:tc>
              <w:tc>
                <w:tcPr>
                  <w:tcW w:w="4563" w:type="pct"/>
                  <w:gridSpan w:val="5"/>
                  <w:vAlign w:val="center"/>
                </w:tcPr>
                <w:p>
                  <w:pPr>
                    <w:jc w:val="center"/>
                    <w:rPr>
                      <w:rFonts w:ascii="Times New Roman" w:eastAsia="宋体" w:cs="Times New Roman" w:hAnsi="Times New Roman" w:hint="eastAsia"/>
                      <w:szCs w:val="21"/>
                      <w:u w:val="none"/>
                      <w:lang w:val="en-US" w:eastAsia="zh-CN"/>
                      <w:highlight w:val="none"/>
                    </w:rPr>
                  </w:pPr>
                  <w:r>
                    <w:rPr>
                      <w:rFonts w:ascii="Times New Roman" w:eastAsia="宋体" w:cs="Times New Roman" w:hAnsi="Times New Roman" w:hint="eastAsia"/>
                      <w:szCs w:val="21"/>
                      <w:u w:val="none"/>
                      <w:lang w:val="en-US" w:eastAsia="zh-CN"/>
                      <w:highlight w:val="none"/>
                    </w:rPr>
                    <w:t>厂界外500米范围内的无地下水集中式饮用水水源和热水、矿泉水、温泉等特殊地下水资源</w:t>
                  </w:r>
                </w:p>
              </w:tc>
            </w:tr>
            <w:tr>
              <w:trPr>
                <w:trHeight w:val="340"/>
              </w:trPr>
              <w:tc>
                <w:tcPr>
                  <w:tcW w:w="436" w:type="pct"/>
                  <w:vAlign w:val="center"/>
                </w:tcPr>
                <w:p>
                  <w:pPr>
                    <w:jc w:val="center"/>
                    <w:rPr>
                      <w:szCs w:val="21"/>
                      <w:u w:val="none"/>
                      <w:highlight w:val="none"/>
                    </w:rPr>
                  </w:pPr>
                  <w:r>
                    <w:rPr>
                      <w:szCs w:val="21"/>
                      <w:u w:val="none"/>
                      <w:highlight w:val="none"/>
                    </w:rPr>
                    <w:t>生态环境</w:t>
                  </w:r>
                </w:p>
              </w:tc>
              <w:tc>
                <w:tcPr>
                  <w:tcW w:w="4563" w:type="pct"/>
                  <w:gridSpan w:val="5"/>
                  <w:vAlign w:val="center"/>
                </w:tcPr>
                <w:p>
                  <w:pPr>
                    <w:jc w:val="center"/>
                    <w:rPr>
                      <w:rFonts w:ascii="Times New Roman" w:eastAsia="宋体" w:cs="Times New Roman" w:hAnsi="Times New Roman" w:hint="eastAsia"/>
                      <w:szCs w:val="21"/>
                      <w:u w:val="none"/>
                      <w:lang w:val="en-US" w:eastAsia="zh-CN"/>
                      <w:highlight w:val="none"/>
                    </w:rPr>
                  </w:pPr>
                  <w:r>
                    <w:rPr>
                      <w:rFonts w:ascii="Times New Roman" w:eastAsia="宋体" w:cs="Times New Roman" w:hAnsi="Times New Roman" w:hint="eastAsia"/>
                      <w:szCs w:val="21"/>
                      <w:u w:val="none"/>
                      <w:lang w:val="en-US" w:eastAsia="zh-CN"/>
                      <w:highlight w:val="none"/>
                    </w:rPr>
                    <w:t>施工沿线及两侧200m范围内的农作物、植被</w:t>
                  </w:r>
                </w:p>
              </w:tc>
            </w:tr>
          </w:tbl>
          <w:p>
            <w:pPr>
              <w:shd w:val="clear" w:color="auto" w:fill="FFFFFF"/>
              <w:spacing w:line="360" w:lineRule="auto"/>
              <w:ind w:firstLineChars="200" w:firstLine="480"/>
              <w:rPr>
                <w:sz w:val="24"/>
                <w:highlight w:val="none"/>
              </w:rPr>
            </w:pPr>
          </w:p>
        </w:tc>
      </w:tr>
      <w:tr>
        <w:trPr>
          <w:trHeight w:val="649"/>
        </w:trPr>
        <w:tc>
          <w:tcPr>
            <w:tcW w:w="800" w:type="dxa"/>
            <w:tcMar>
              <w:left w:w="28" w:type="dxa"/>
              <w:right w:w="28" w:type="dxa"/>
            </w:tcMar>
            <w:vAlign w:val="center"/>
          </w:tcPr>
          <w:p>
            <w:pPr>
              <w:adjustRightInd w:val="0"/>
              <w:snapToGrid w:val="0"/>
              <w:jc w:val="center"/>
              <w:rPr>
                <w:kern w:val="0"/>
                <w:szCs w:val="21"/>
                <w:highlight w:val="none"/>
              </w:rPr>
            </w:pPr>
            <w:r>
              <w:rPr>
                <w:kern w:val="0"/>
                <w:szCs w:val="21"/>
                <w:highlight w:val="none"/>
              </w:rPr>
              <w:t>污染</w:t>
            </w:r>
          </w:p>
          <w:p>
            <w:pPr>
              <w:adjustRightInd w:val="0"/>
              <w:snapToGrid w:val="0"/>
              <w:jc w:val="center"/>
              <w:rPr>
                <w:kern w:val="0"/>
                <w:szCs w:val="21"/>
                <w:highlight w:val="none"/>
              </w:rPr>
            </w:pPr>
            <w:r>
              <w:rPr>
                <w:kern w:val="0"/>
                <w:szCs w:val="21"/>
                <w:highlight w:val="none"/>
              </w:rPr>
              <w:t>物排</w:t>
            </w:r>
          </w:p>
          <w:p>
            <w:pPr>
              <w:adjustRightInd w:val="0"/>
              <w:snapToGrid w:val="0"/>
              <w:jc w:val="center"/>
              <w:rPr>
                <w:kern w:val="0"/>
                <w:szCs w:val="21"/>
                <w:highlight w:val="none"/>
              </w:rPr>
            </w:pPr>
            <w:r>
              <w:rPr>
                <w:kern w:val="0"/>
                <w:szCs w:val="21"/>
                <w:highlight w:val="none"/>
              </w:rPr>
              <w:t>放控</w:t>
            </w:r>
          </w:p>
          <w:p>
            <w:pPr>
              <w:adjustRightInd w:val="0"/>
              <w:snapToGrid w:val="0"/>
              <w:jc w:val="center"/>
              <w:rPr>
                <w:kern w:val="0"/>
                <w:szCs w:val="21"/>
                <w:highlight w:val="none"/>
              </w:rPr>
            </w:pPr>
            <w:r>
              <w:rPr>
                <w:kern w:val="0"/>
                <w:szCs w:val="21"/>
                <w:highlight w:val="none"/>
              </w:rPr>
              <w:t>制标</w:t>
            </w:r>
          </w:p>
          <w:p>
            <w:pPr>
              <w:adjustRightInd w:val="0"/>
              <w:snapToGrid w:val="0"/>
              <w:jc w:val="center"/>
              <w:rPr>
                <w:kern w:val="0"/>
                <w:szCs w:val="21"/>
                <w:highlight w:val="none"/>
              </w:rPr>
            </w:pPr>
            <w:r>
              <w:rPr>
                <w:kern w:val="0"/>
                <w:szCs w:val="21"/>
                <w:highlight w:val="none"/>
              </w:rPr>
              <w:t>准</w:t>
            </w:r>
          </w:p>
        </w:tc>
        <w:tc>
          <w:tcPr>
            <w:tcW w:w="8190" w:type="dxa"/>
          </w:tcPr>
          <w:p>
            <w:pPr>
              <w:spacing w:line="360" w:lineRule="auto"/>
              <w:rPr>
                <w:b/>
                <w:sz w:val="24"/>
                <w:highlight w:val="none"/>
              </w:rPr>
            </w:pPr>
            <w:r>
              <w:rPr>
                <w:b/>
                <w:sz w:val="24"/>
                <w:highlight w:val="none"/>
              </w:rPr>
              <w:t>1、污水排放标准</w:t>
            </w:r>
          </w:p>
          <w:p>
            <w:pPr>
              <w:snapToGrid w:val="0"/>
              <w:spacing w:line="360" w:lineRule="auto"/>
              <w:ind w:firstLineChars="200" w:firstLine="480"/>
              <w:contextualSpacing/>
              <w:rPr>
                <w:bCs/>
                <w:snapToGrid w:val="0"/>
                <w:kern w:val="0"/>
                <w:sz w:val="24"/>
                <w:highlight w:val="none"/>
              </w:rPr>
            </w:pPr>
            <w:r>
              <w:rPr>
                <w:rFonts w:hint="eastAsia"/>
                <w:bCs/>
                <w:snapToGrid w:val="0"/>
                <w:kern w:val="0"/>
                <w:sz w:val="24"/>
                <w:highlight w:val="none"/>
              </w:rPr>
              <w:t>本项目不设施工营地，</w:t>
            </w:r>
            <w:r>
              <w:rPr>
                <w:rFonts w:hint="eastAsia"/>
                <w:sz w:val="24"/>
                <w:highlight w:val="none"/>
              </w:rPr>
              <w:t>就近租住民房。</w:t>
            </w:r>
            <w:r>
              <w:rPr>
                <w:rFonts w:hint="eastAsia"/>
                <w:bCs/>
                <w:snapToGrid w:val="0"/>
                <w:kern w:val="0"/>
                <w:sz w:val="24"/>
                <w:highlight w:val="none"/>
              </w:rPr>
              <w:t>施工期产生的生产废水经沉淀池处理后用于回用，不外排；生活污水依托现有污水处理设施处理。</w:t>
            </w:r>
          </w:p>
          <w:p>
            <w:pPr>
              <w:snapToGrid w:val="0"/>
              <w:spacing w:line="360" w:lineRule="auto"/>
              <w:ind w:firstLineChars="200" w:firstLine="480"/>
              <w:contextualSpacing/>
              <w:rPr>
                <w:b/>
                <w:szCs w:val="21"/>
                <w:highlight w:val="none"/>
              </w:rPr>
            </w:pPr>
            <w:r>
              <w:rPr>
                <w:rFonts w:hint="eastAsia"/>
                <w:bCs/>
                <w:snapToGrid w:val="0"/>
                <w:kern w:val="0"/>
                <w:sz w:val="24"/>
                <w:highlight w:val="none"/>
              </w:rPr>
              <w:t>本项目运营期</w:t>
            </w:r>
            <w:r>
              <w:rPr>
                <w:sz w:val="24"/>
                <w:highlight w:val="none"/>
              </w:rPr>
              <w:t>产生的废水主要为</w:t>
            </w:r>
            <w:r>
              <w:rPr>
                <w:rFonts w:hint="eastAsia"/>
                <w:sz w:val="24"/>
                <w:highlight w:val="none"/>
              </w:rPr>
              <w:t>净水过程中产生的滤池反冲洗水、沉淀池排泥水</w:t>
            </w:r>
            <w:r>
              <w:rPr>
                <w:rFonts w:hint="eastAsia"/>
                <w:sz w:val="24"/>
                <w:lang w:eastAsia="zh-CN"/>
                <w:highlight w:val="none"/>
              </w:rPr>
              <w:t>，</w:t>
            </w:r>
            <w:r>
              <w:rPr>
                <w:rFonts w:hint="eastAsia"/>
                <w:sz w:val="24"/>
                <w:lang w:val="en-US" w:eastAsia="zh-CN"/>
                <w:highlight w:val="none"/>
              </w:rPr>
              <w:t>经回用排泥</w:t>
            </w:r>
            <w:r>
              <w:rPr>
                <w:rFonts w:hint="eastAsia"/>
                <w:sz w:val="24"/>
                <w:highlight w:val="none"/>
              </w:rPr>
              <w:t>池</w:t>
            </w:r>
            <w:r>
              <w:rPr>
                <w:rFonts w:hint="eastAsia"/>
                <w:color w:val="000000"/>
                <w:sz w:val="24"/>
                <w:highlight w:val="none"/>
              </w:rPr>
              <w:t>后回用于原水利用，不外排</w:t>
            </w:r>
            <w:r>
              <w:rPr>
                <w:rFonts w:hint="eastAsia"/>
                <w:color w:val="000000"/>
                <w:sz w:val="24"/>
                <w:lang w:eastAsia="zh-CN"/>
                <w:highlight w:val="none"/>
              </w:rPr>
              <w:t>；</w:t>
            </w:r>
            <w:r>
              <w:rPr>
                <w:rFonts w:hint="eastAsia"/>
                <w:bCs/>
                <w:snapToGrid w:val="0"/>
                <w:kern w:val="0"/>
                <w:sz w:val="24"/>
                <w:highlight w:val="none"/>
              </w:rPr>
              <w:t>生活污水</w:t>
            </w:r>
            <w:r>
              <w:rPr>
                <w:rFonts w:hint="eastAsia"/>
                <w:bCs/>
                <w:snapToGrid w:val="0"/>
                <w:kern w:val="0"/>
                <w:sz w:val="24"/>
                <w:lang w:val="en-US" w:eastAsia="zh-CN"/>
                <w:highlight w:val="none"/>
              </w:rPr>
              <w:t>经化粪池处理后用于农肥，不外排</w:t>
            </w:r>
            <w:r>
              <w:rPr>
                <w:rFonts w:hint="eastAsia"/>
                <w:bCs/>
                <w:snapToGrid w:val="0"/>
                <w:kern w:val="0"/>
                <w:sz w:val="24"/>
                <w:highlight w:val="none"/>
              </w:rPr>
              <w:t>。</w:t>
            </w:r>
          </w:p>
          <w:p>
            <w:pPr>
              <w:spacing w:line="360" w:lineRule="auto"/>
              <w:rPr>
                <w:b/>
                <w:sz w:val="24"/>
                <w:highlight w:val="none"/>
              </w:rPr>
            </w:pPr>
            <w:r>
              <w:rPr>
                <w:b/>
                <w:sz w:val="24"/>
                <w:highlight w:val="none"/>
              </w:rPr>
              <w:t>2、废气排放标准</w:t>
            </w:r>
          </w:p>
          <w:p>
            <w:pPr>
              <w:spacing w:line="360" w:lineRule="auto"/>
              <w:ind w:firstLineChars="200" w:firstLine="480"/>
              <w:rPr>
                <w:sz w:val="24"/>
                <w:highlight w:val="none"/>
              </w:rPr>
            </w:pPr>
            <w:r>
              <w:rPr>
                <w:rFonts w:hint="eastAsia"/>
                <w:sz w:val="24"/>
                <w:highlight w:val="none"/>
              </w:rPr>
              <w:t>本项目施工期施工扬尘（颗粒物）呈无组织排放，执行《大气污染物综合排放标准》（GB16297-1996）表2中无组织排放监控浓度限值。</w:t>
            </w:r>
          </w:p>
          <w:p>
            <w:pPr>
              <w:spacing w:line="360" w:lineRule="auto"/>
              <w:ind w:firstLineChars="200" w:firstLine="480"/>
              <w:rPr>
                <w:rFonts w:hint="eastAsia"/>
                <w:b/>
                <w:szCs w:val="21"/>
                <w:highlight w:val="none"/>
              </w:rPr>
            </w:pPr>
            <w:r>
              <w:rPr>
                <w:sz w:val="24"/>
                <w:highlight w:val="none"/>
              </w:rPr>
              <w:t>本项目在运行过程中使用能源为电能，</w:t>
            </w:r>
            <w:r>
              <w:rPr>
                <w:rFonts w:hint="eastAsia"/>
                <w:sz w:val="24"/>
                <w:highlight w:val="none"/>
              </w:rPr>
              <w:t>且未设置食堂，脱泥车间恶臭执行《恶臭污染物排放标准》（</w:t>
            </w:r>
            <w:r>
              <w:rPr>
                <w:sz w:val="24"/>
                <w:highlight w:val="none"/>
              </w:rPr>
              <w:t>GB14554-93</w:t>
            </w:r>
            <w:r>
              <w:rPr>
                <w:rFonts w:hint="eastAsia"/>
                <w:sz w:val="24"/>
                <w:highlight w:val="none"/>
              </w:rPr>
              <w:t>）表</w:t>
            </w:r>
            <w:r>
              <w:rPr>
                <w:sz w:val="24"/>
                <w:highlight w:val="none"/>
              </w:rPr>
              <w:t>1</w:t>
            </w:r>
            <w:r>
              <w:rPr>
                <w:rFonts w:hint="eastAsia"/>
                <w:sz w:val="24"/>
                <w:highlight w:val="none"/>
              </w:rPr>
              <w:t>中二级标准</w:t>
            </w:r>
            <w:r>
              <w:rPr>
                <w:sz w:val="24"/>
                <w:highlight w:val="none"/>
              </w:rPr>
              <w:t>。</w:t>
            </w:r>
          </w:p>
          <w:p>
            <w:pPr>
              <w:jc w:val="center"/>
              <w:rPr>
                <w:b/>
                <w:szCs w:val="21"/>
                <w:highlight w:val="none"/>
              </w:rPr>
            </w:pPr>
            <w:r>
              <w:rPr>
                <w:rFonts w:hint="eastAsia"/>
                <w:b/>
                <w:szCs w:val="21"/>
                <w:highlight w:val="none"/>
              </w:rPr>
              <w:t>表3</w:t>
            </w:r>
            <w:r>
              <w:rPr>
                <w:b/>
                <w:szCs w:val="21"/>
                <w:highlight w:val="none"/>
              </w:rPr>
              <w:t>-</w:t>
            </w:r>
            <w:r>
              <w:rPr>
                <w:rFonts w:hint="eastAsia"/>
                <w:b/>
                <w:szCs w:val="21"/>
                <w:lang w:val="en-US" w:eastAsia="zh-CN"/>
                <w:highlight w:val="none"/>
              </w:rPr>
              <w:t>9</w:t>
            </w:r>
            <w:r>
              <w:rPr>
                <w:rFonts w:hint="eastAsia"/>
                <w:b/>
                <w:szCs w:val="21"/>
                <w:highlight w:val="none"/>
              </w:rPr>
              <w:t xml:space="preserve"> </w:t>
            </w:r>
            <w:r>
              <w:rPr>
                <w:b/>
                <w:szCs w:val="21"/>
                <w:highlight w:val="none"/>
              </w:rPr>
              <w:t xml:space="preserve"> </w:t>
            </w:r>
            <w:r>
              <w:rPr>
                <w:rFonts w:hint="eastAsia"/>
                <w:b/>
                <w:szCs w:val="21"/>
                <w:highlight w:val="none"/>
              </w:rPr>
              <w:t>大气污染物综合排放标准限值</w:t>
            </w:r>
          </w:p>
          <w:tbl>
            <w:tblPr>
              <w:jc w:val="center"/>
              <w:tblW w:w="4944"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3387"/>
              <w:gridCol w:w="1753"/>
              <w:gridCol w:w="2591"/>
            </w:tblGrid>
            <w:tr>
              <w:trPr>
                <w:trHeight w:val="340"/>
              </w:trPr>
              <w:tc>
                <w:tcPr>
                  <w:tcW w:w="806" w:type="dxa"/>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 xml:space="preserve">标准名称 </w:t>
                  </w:r>
                </w:p>
              </w:tc>
              <w:tc>
                <w:tcPr>
                  <w:tcW w:w="490" w:type="dxa"/>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hint="eastAsia"/>
                      <w:b/>
                      <w:bCs/>
                      <w:u w:val="none"/>
                      <w:highlight w:val="none"/>
                    </w:rPr>
                    <w:t>污染物</w:t>
                  </w:r>
                </w:p>
              </w:tc>
              <w:tc>
                <w:tcPr>
                  <w:tcW w:w="704" w:type="dxa"/>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hint="eastAsia"/>
                      <w:b/>
                      <w:bCs/>
                      <w:u w:val="none"/>
                      <w:highlight w:val="none"/>
                    </w:rPr>
                    <w:t>无组织排放监控浓度限值</w:t>
                  </w:r>
                </w:p>
              </w:tc>
            </w:tr>
            <w:tr>
              <w:trPr>
                <w:trHeight w:val="340"/>
              </w:trPr>
              <w:tc>
                <w:tcPr>
                  <w:tcW w:w="806" w:type="dxa"/>
                  <w:vAlign w:val="center"/>
                </w:tcPr>
                <w:p>
                  <w:pPr>
                    <w:pStyle w:val="17"/>
                    <w:widowControl/>
                    <w:adjustRightInd w:val="0"/>
                    <w:snapToGrid w:val="0"/>
                    <w:rPr>
                      <w:rFonts w:ascii="Times New Roman" w:eastAsia="宋体" w:cs="Times New Roman" w:hAnsi="Times New Roman" w:hint="eastAsia"/>
                      <w:highlight w:val="none"/>
                    </w:rPr>
                  </w:pPr>
                  <w:r>
                    <w:rPr>
                      <w:rFonts w:ascii="Times New Roman" w:eastAsia="宋体" w:cs="Times New Roman" w:hAnsi="Times New Roman" w:hint="eastAsia"/>
                      <w:highlight w:val="none"/>
                    </w:rPr>
                    <w:t>《大气污染物综合排放标准》（GB16297-1996）表2 中无组织排放监控浓度限值</w:t>
                  </w:r>
                </w:p>
              </w:tc>
              <w:tc>
                <w:tcPr>
                  <w:tcW w:w="490" w:type="dxa"/>
                  <w:vAlign w:val="center"/>
                </w:tcPr>
                <w:p>
                  <w:pPr>
                    <w:pStyle w:val="17"/>
                    <w:widowControl/>
                    <w:adjustRightInd w:val="0"/>
                    <w:snapToGrid w:val="0"/>
                    <w:rPr>
                      <w:rFonts w:ascii="Times New Roman" w:eastAsia="宋体" w:cs="Times New Roman" w:hAnsi="Times New Roman" w:hint="eastAsia"/>
                      <w:highlight w:val="none"/>
                    </w:rPr>
                  </w:pPr>
                  <w:r>
                    <w:rPr>
                      <w:rFonts w:ascii="Times New Roman" w:eastAsia="宋体" w:cs="Times New Roman" w:hAnsi="Times New Roman" w:hint="eastAsia"/>
                      <w:highlight w:val="none"/>
                    </w:rPr>
                    <w:t>颗粒物</w:t>
                  </w:r>
                </w:p>
              </w:tc>
              <w:tc>
                <w:tcPr>
                  <w:tcW w:w="704" w:type="dxa"/>
                  <w:vAlign w:val="center"/>
                </w:tcPr>
                <w:p>
                  <w:pPr>
                    <w:pStyle w:val="17"/>
                    <w:widowControl/>
                    <w:adjustRightInd w:val="0"/>
                    <w:snapToGrid w:val="0"/>
                    <w:rPr>
                      <w:rFonts w:ascii="Times New Roman" w:eastAsia="宋体" w:cs="Times New Roman" w:hAnsi="Times New Roman" w:hint="eastAsia"/>
                      <w:highlight w:val="none"/>
                    </w:rPr>
                  </w:pPr>
                  <w:r>
                    <w:rPr>
                      <w:rFonts w:ascii="Times New Roman" w:eastAsia="宋体" w:cs="Times New Roman" w:hAnsi="Times New Roman" w:hint="eastAsia"/>
                      <w:highlight w:val="none"/>
                    </w:rPr>
                    <w:t>1.0 mg/m</w:t>
                  </w:r>
                  <w:r>
                    <w:rPr>
                      <w:rFonts w:ascii="Times New Roman" w:eastAsia="宋体" w:cs="Times New Roman" w:hAnsi="Times New Roman" w:hint="eastAsia"/>
                      <w:vertAlign w:val="superscript"/>
                      <w:highlight w:val="none"/>
                    </w:rPr>
                    <w:t>3</w:t>
                  </w:r>
                </w:p>
              </w:tc>
            </w:tr>
          </w:tbl>
          <w:p>
            <w:pPr>
              <w:jc w:val="center"/>
              <w:rPr>
                <w:b/>
                <w:szCs w:val="21"/>
                <w:highlight w:val="none"/>
              </w:rPr>
            </w:pPr>
            <w:r>
              <w:rPr>
                <w:rFonts w:hint="eastAsia"/>
                <w:b/>
                <w:szCs w:val="21"/>
                <w:highlight w:val="none"/>
              </w:rPr>
              <w:t>表3</w:t>
            </w:r>
            <w:r>
              <w:rPr>
                <w:b/>
                <w:szCs w:val="21"/>
                <w:highlight w:val="none"/>
              </w:rPr>
              <w:t>-</w:t>
            </w:r>
            <w:r>
              <w:rPr>
                <w:rFonts w:hint="eastAsia"/>
                <w:b/>
                <w:szCs w:val="21"/>
                <w:highlight w:val="none"/>
              </w:rPr>
              <w:t>1</w:t>
            </w:r>
            <w:r>
              <w:rPr>
                <w:rFonts w:hint="eastAsia"/>
                <w:b/>
                <w:szCs w:val="21"/>
                <w:lang w:val="en-US" w:eastAsia="zh-CN"/>
                <w:highlight w:val="none"/>
              </w:rPr>
              <w:t>0</w:t>
            </w:r>
            <w:r>
              <w:rPr>
                <w:rFonts w:hint="eastAsia"/>
                <w:b/>
                <w:szCs w:val="21"/>
                <w:highlight w:val="none"/>
              </w:rPr>
              <w:t xml:space="preserve"> </w:t>
            </w:r>
            <w:r>
              <w:rPr>
                <w:b/>
                <w:szCs w:val="21"/>
                <w:highlight w:val="none"/>
              </w:rPr>
              <w:t xml:space="preserve"> </w:t>
            </w:r>
            <w:r>
              <w:rPr>
                <w:rFonts w:hint="eastAsia"/>
                <w:b/>
                <w:szCs w:val="21"/>
                <w:highlight w:val="none"/>
              </w:rPr>
              <w:t>恶臭污染物排放标准限值</w:t>
            </w:r>
          </w:p>
          <w:tbl>
            <w:tblPr>
              <w:jc w:val="center"/>
              <w:tblW w:w="4944"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3116"/>
              <w:gridCol w:w="1896"/>
              <w:gridCol w:w="2720"/>
            </w:tblGrid>
            <w:tr>
              <w:trPr>
                <w:trHeight w:val="340"/>
              </w:trPr>
              <w:tc>
                <w:tcPr>
                  <w:tcW w:w="2015"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 xml:space="preserve">标准名称 </w:t>
                  </w:r>
                </w:p>
              </w:tc>
              <w:tc>
                <w:tcPr>
                  <w:tcW w:w="1226"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hint="eastAsia"/>
                      <w:b/>
                      <w:bCs/>
                      <w:u w:val="none"/>
                      <w:highlight w:val="none"/>
                    </w:rPr>
                    <w:t>污染物</w:t>
                  </w:r>
                </w:p>
              </w:tc>
              <w:tc>
                <w:tcPr>
                  <w:tcW w:w="1759"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hint="eastAsia"/>
                      <w:b/>
                      <w:bCs/>
                      <w:u w:val="none"/>
                      <w:highlight w:val="none"/>
                    </w:rPr>
                    <w:t>无组织排放监控浓度限值</w:t>
                  </w:r>
                </w:p>
              </w:tc>
            </w:tr>
            <w:tr>
              <w:trPr>
                <w:trHeight w:val="340"/>
              </w:trPr>
              <w:tc>
                <w:tcPr>
                  <w:tcW w:w="2015" w:type="pct"/>
                  <w:vAlign w:val="center"/>
                </w:tcPr>
                <w:p>
                  <w:pPr>
                    <w:pStyle w:val="17"/>
                    <w:widowControl/>
                    <w:adjustRightInd w:val="0"/>
                    <w:snapToGrid w:val="0"/>
                    <w:rPr>
                      <w:rFonts w:ascii="Times New Roman" w:eastAsia="宋体" w:cs="Times New Roman" w:hAnsi="Times New Roman" w:hint="eastAsia"/>
                      <w:highlight w:val="none"/>
                    </w:rPr>
                  </w:pPr>
                  <w:r>
                    <w:rPr>
                      <w:rFonts w:ascii="Times New Roman" w:eastAsia="宋体" w:cs="Times New Roman" w:hAnsi="Times New Roman" w:hint="eastAsia"/>
                      <w:highlight w:val="none"/>
                    </w:rPr>
                    <w:t>《恶臭污染物排放标准》（GB14554-93）表1中二级标准</w:t>
                  </w:r>
                </w:p>
              </w:tc>
              <w:tc>
                <w:tcPr>
                  <w:tcW w:w="1226" w:type="pct"/>
                  <w:vAlign w:val="center"/>
                </w:tcPr>
                <w:p>
                  <w:pPr>
                    <w:pStyle w:val="17"/>
                    <w:widowControl/>
                    <w:adjustRightInd w:val="0"/>
                    <w:snapToGrid w:val="0"/>
                    <w:rPr>
                      <w:rFonts w:ascii="Times New Roman" w:eastAsia="宋体" w:cs="Times New Roman" w:hAnsi="Times New Roman" w:hint="eastAsia"/>
                      <w:highlight w:val="none"/>
                    </w:rPr>
                  </w:pPr>
                  <w:r>
                    <w:rPr>
                      <w:rFonts w:ascii="Times New Roman" w:eastAsia="宋体" w:cs="Times New Roman" w:hAnsi="Times New Roman" w:hint="eastAsia"/>
                      <w:highlight w:val="none"/>
                    </w:rPr>
                    <w:t>臭气浓度</w:t>
                  </w:r>
                </w:p>
              </w:tc>
              <w:tc>
                <w:tcPr>
                  <w:tcW w:w="1759" w:type="pct"/>
                  <w:vAlign w:val="center"/>
                </w:tcPr>
                <w:p>
                  <w:pPr>
                    <w:pStyle w:val="17"/>
                    <w:widowControl/>
                    <w:adjustRightInd w:val="0"/>
                    <w:snapToGrid w:val="0"/>
                    <w:rPr>
                      <w:rFonts w:ascii="Times New Roman" w:eastAsia="宋体" w:cs="Times New Roman" w:hAnsi="Times New Roman" w:hint="eastAsia"/>
                      <w:highlight w:val="none"/>
                    </w:rPr>
                  </w:pPr>
                  <w:r>
                    <w:rPr>
                      <w:rFonts w:ascii="Times New Roman" w:eastAsia="宋体" w:cs="Times New Roman" w:hAnsi="Times New Roman" w:hint="eastAsia"/>
                      <w:highlight w:val="none"/>
                    </w:rPr>
                    <w:t>20（无量纲）</w:t>
                  </w:r>
                </w:p>
              </w:tc>
            </w:tr>
          </w:tbl>
          <w:p>
            <w:pPr>
              <w:spacing w:line="360" w:lineRule="auto"/>
              <w:rPr>
                <w:b/>
                <w:sz w:val="24"/>
                <w:highlight w:val="none"/>
              </w:rPr>
            </w:pPr>
            <w:r>
              <w:rPr>
                <w:b/>
                <w:sz w:val="24"/>
                <w:highlight w:val="none"/>
              </w:rPr>
              <w:t>3、噪声排放标准</w:t>
            </w:r>
          </w:p>
          <w:p>
            <w:pPr>
              <w:spacing w:line="360" w:lineRule="auto"/>
              <w:ind w:firstLineChars="200" w:firstLine="480"/>
              <w:rPr>
                <w:sz w:val="24"/>
                <w:highlight w:val="none"/>
              </w:rPr>
            </w:pPr>
            <w:r>
              <w:rPr>
                <w:sz w:val="24"/>
                <w:highlight w:val="none"/>
              </w:rPr>
              <w:t>本项目</w:t>
            </w:r>
            <w:r>
              <w:rPr>
                <w:rFonts w:hint="eastAsia"/>
                <w:sz w:val="24"/>
                <w:highlight w:val="none"/>
              </w:rPr>
              <w:t>施工期噪声排放执行《</w:t>
            </w:r>
            <w:r>
              <w:rPr>
                <w:rFonts w:hint="eastAsia"/>
                <w:sz w:val="24"/>
                <w:lang w:eastAsia="zh-CN"/>
                <w:highlight w:val="none"/>
              </w:rPr>
              <w:t>建筑施工噪声排放标准</w:t>
            </w:r>
            <w:r>
              <w:rPr>
                <w:rFonts w:hint="eastAsia"/>
                <w:sz w:val="24"/>
                <w:highlight w:val="none"/>
              </w:rPr>
              <w:t>》（</w:t>
            </w:r>
            <w:r>
              <w:rPr>
                <w:rFonts w:hint="eastAsia"/>
                <w:sz w:val="24"/>
                <w:lang w:eastAsia="zh-CN"/>
                <w:highlight w:val="none"/>
              </w:rPr>
              <w:t>GB12523-2025</w:t>
            </w:r>
            <w:r>
              <w:rPr>
                <w:rFonts w:hint="eastAsia"/>
                <w:sz w:val="24"/>
                <w:highlight w:val="none"/>
              </w:rPr>
              <w:t>）。</w:t>
            </w:r>
          </w:p>
          <w:p>
            <w:pPr>
              <w:spacing w:line="360" w:lineRule="auto"/>
              <w:ind w:firstLineChars="200" w:firstLine="480"/>
              <w:rPr>
                <w:sz w:val="24"/>
                <w:highlight w:val="none"/>
              </w:rPr>
            </w:pPr>
            <w:r>
              <w:rPr>
                <w:sz w:val="24"/>
                <w:highlight w:val="none"/>
              </w:rPr>
              <w:t>本项目营运期厂界噪声执行《工业企业厂界环境噪声排放标准》（GB12348-2008）中的2类标准。具体限值见</w:t>
            </w:r>
            <w:r>
              <w:rPr>
                <w:rFonts w:hint="eastAsia"/>
                <w:sz w:val="24"/>
                <w:highlight w:val="none"/>
              </w:rPr>
              <w:t>下</w:t>
            </w:r>
            <w:r>
              <w:rPr>
                <w:sz w:val="24"/>
                <w:highlight w:val="none"/>
              </w:rPr>
              <w:t>表。</w:t>
            </w:r>
          </w:p>
          <w:p>
            <w:pPr>
              <w:jc w:val="center"/>
              <w:rPr>
                <w:b/>
                <w:szCs w:val="21"/>
                <w:highlight w:val="none"/>
              </w:rPr>
            </w:pPr>
            <w:r>
              <w:rPr>
                <w:b/>
                <w:szCs w:val="21"/>
                <w:highlight w:val="none"/>
              </w:rPr>
              <w:t>表3-1</w:t>
            </w:r>
            <w:r>
              <w:rPr>
                <w:rFonts w:hint="eastAsia"/>
                <w:b/>
                <w:szCs w:val="21"/>
                <w:lang w:val="en-US" w:eastAsia="zh-CN"/>
                <w:highlight w:val="none"/>
              </w:rPr>
              <w:t>1</w:t>
            </w:r>
            <w:r>
              <w:rPr>
                <w:b/>
                <w:szCs w:val="21"/>
                <w:highlight w:val="none"/>
              </w:rPr>
              <w:t xml:space="preserve">  </w:t>
            </w:r>
            <w:r>
              <w:rPr>
                <w:rFonts w:hint="eastAsia"/>
                <w:b/>
                <w:szCs w:val="21"/>
                <w:highlight w:val="none"/>
              </w:rPr>
              <w:t>施工期</w:t>
            </w:r>
            <w:r>
              <w:rPr>
                <w:b/>
                <w:szCs w:val="21"/>
                <w:highlight w:val="none"/>
              </w:rPr>
              <w:t>噪声排放标准（</w:t>
            </w:r>
            <w:r>
              <w:rPr>
                <w:rFonts w:hint="eastAsia"/>
                <w:b/>
                <w:szCs w:val="21"/>
                <w:lang w:eastAsia="zh-CN"/>
                <w:highlight w:val="none"/>
              </w:rPr>
              <w:t>GB12523-2025</w:t>
            </w:r>
            <w:r>
              <w:rPr>
                <w:b/>
                <w:szCs w:val="21"/>
                <w:highlight w:val="none"/>
              </w:rPr>
              <w:t>）  单位：dB（A）</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3540"/>
              <w:gridCol w:w="2139"/>
              <w:gridCol w:w="2139"/>
            </w:tblGrid>
            <w:tr>
              <w:trPr>
                <w:trHeight w:val="340"/>
              </w:trPr>
              <w:tc>
                <w:tcPr>
                  <w:tcW w:w="2264"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hint="eastAsia"/>
                      <w:b/>
                      <w:bCs/>
                      <w:u w:val="none"/>
                      <w:highlight w:val="none"/>
                    </w:rPr>
                    <w:t>时段</w:t>
                  </w:r>
                </w:p>
              </w:tc>
              <w:tc>
                <w:tcPr>
                  <w:tcW w:w="1368"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昼间</w:t>
                  </w:r>
                </w:p>
              </w:tc>
              <w:tc>
                <w:tcPr>
                  <w:tcW w:w="1368" w:type="pct"/>
                  <w:vAlign w:val="center"/>
                </w:tcPr>
                <w:p>
                  <w:pPr>
                    <w:pStyle w:val="71"/>
                    <w:rPr>
                      <w:rFonts w:ascii="Times New Roman" w:eastAsia="宋体" w:cs="Times New Roman" w:hAnsi="Times New Roman"/>
                      <w:b/>
                      <w:bCs/>
                      <w:u w:val="none"/>
                      <w:highlight w:val="none"/>
                    </w:rPr>
                  </w:pPr>
                  <w:r>
                    <w:rPr>
                      <w:rFonts w:ascii="Times New Roman" w:eastAsia="宋体" w:cs="Times New Roman" w:hAnsi="Times New Roman"/>
                      <w:b/>
                      <w:bCs/>
                      <w:u w:val="none"/>
                      <w:highlight w:val="none"/>
                    </w:rPr>
                    <w:t>夜间</w:t>
                  </w:r>
                </w:p>
              </w:tc>
            </w:tr>
            <w:tr>
              <w:trPr>
                <w:trHeight w:val="340"/>
              </w:trPr>
              <w:tc>
                <w:tcPr>
                  <w:tcW w:w="2264" w:type="pct"/>
                  <w:vAlign w:val="center"/>
                </w:tcPr>
                <w:p>
                  <w:pPr>
                    <w:pStyle w:val="17"/>
                    <w:widowControl/>
                    <w:adjustRightInd w:val="0"/>
                    <w:snapToGrid w:val="0"/>
                    <w:rPr>
                      <w:rFonts w:ascii="Times New Roman" w:eastAsia="宋体" w:cs="Times New Roman" w:hAnsi="Times New Roman"/>
                      <w:highlight w:val="none"/>
                    </w:rPr>
                  </w:pPr>
                  <w:r>
                    <w:rPr>
                      <w:rFonts w:ascii="Times New Roman" w:eastAsia="宋体" w:cs="Times New Roman" w:hAnsi="Times New Roman" w:hint="eastAsia"/>
                      <w:highlight w:val="none"/>
                    </w:rPr>
                    <w:t>噪声限值</w:t>
                  </w:r>
                </w:p>
              </w:tc>
              <w:tc>
                <w:tcPr>
                  <w:tcW w:w="1368" w:type="pct"/>
                  <w:vAlign w:val="center"/>
                </w:tcPr>
                <w:p>
                  <w:pPr>
                    <w:pStyle w:val="17"/>
                    <w:widowControl/>
                    <w:adjustRightInd w:val="0"/>
                    <w:snapToGrid w:val="0"/>
                    <w:rPr>
                      <w:rFonts w:ascii="Times New Roman" w:eastAsia="宋体" w:cs="Times New Roman" w:hAnsi="Times New Roman"/>
                      <w:highlight w:val="none"/>
                    </w:rPr>
                  </w:pPr>
                  <w:r>
                    <w:rPr>
                      <w:rFonts w:ascii="Times New Roman" w:eastAsia="宋体" w:cs="Times New Roman" w:hAnsi="Times New Roman" w:hint="eastAsia"/>
                      <w:highlight w:val="none"/>
                    </w:rPr>
                    <w:t>70</w:t>
                  </w:r>
                </w:p>
              </w:tc>
              <w:tc>
                <w:tcPr>
                  <w:tcW w:w="1368" w:type="pct"/>
                  <w:vAlign w:val="center"/>
                </w:tcPr>
                <w:p>
                  <w:pPr>
                    <w:pStyle w:val="17"/>
                    <w:widowControl/>
                    <w:adjustRightInd w:val="0"/>
                    <w:snapToGrid w:val="0"/>
                    <w:rPr>
                      <w:rFonts w:ascii="Times New Roman" w:eastAsia="宋体" w:cs="Times New Roman" w:hAnsi="Times New Roman"/>
                      <w:highlight w:val="none"/>
                    </w:rPr>
                  </w:pPr>
                  <w:r>
                    <w:rPr>
                      <w:rFonts w:ascii="Times New Roman" w:eastAsia="宋体" w:cs="Times New Roman" w:hAnsi="Times New Roman" w:hint="eastAsia"/>
                      <w:highlight w:val="none"/>
                    </w:rPr>
                    <w:t>55</w:t>
                  </w:r>
                </w:p>
              </w:tc>
            </w:tr>
          </w:tbl>
          <w:p>
            <w:pPr>
              <w:jc w:val="center"/>
              <w:rPr>
                <w:b/>
                <w:szCs w:val="21"/>
                <w:highlight w:val="none"/>
              </w:rPr>
            </w:pPr>
            <w:r>
              <w:rPr>
                <w:b/>
                <w:szCs w:val="21"/>
                <w:highlight w:val="none"/>
              </w:rPr>
              <w:t>表3-1</w:t>
            </w:r>
            <w:r>
              <w:rPr>
                <w:rFonts w:hint="eastAsia"/>
                <w:b/>
                <w:szCs w:val="21"/>
                <w:lang w:val="en-US" w:eastAsia="zh-CN"/>
                <w:highlight w:val="none"/>
              </w:rPr>
              <w:t>2</w:t>
            </w:r>
            <w:r>
              <w:rPr>
                <w:b/>
                <w:szCs w:val="21"/>
                <w:highlight w:val="none"/>
              </w:rPr>
              <w:t xml:space="preserve">  </w:t>
            </w:r>
            <w:r>
              <w:rPr>
                <w:rFonts w:hint="eastAsia"/>
                <w:b/>
                <w:szCs w:val="21"/>
                <w:highlight w:val="none"/>
              </w:rPr>
              <w:t>营运期</w:t>
            </w:r>
            <w:r>
              <w:rPr>
                <w:b/>
                <w:szCs w:val="21"/>
                <w:highlight w:val="none"/>
              </w:rPr>
              <w:t>噪声排放标准（GB22337-2008）  单位：dB（A）</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4491"/>
              <w:gridCol w:w="1131"/>
              <w:gridCol w:w="1131"/>
              <w:gridCol w:w="1066"/>
            </w:tblGrid>
            <w:tr>
              <w:trPr>
                <w:trHeight w:val="340"/>
              </w:trPr>
              <w:tc>
                <w:tcPr>
                  <w:tcW w:w="2872" w:type="pct"/>
                  <w:vMerge w:val="restart"/>
                  <w:tcBorders>
                    <w:tl2br w:val="nil"/>
                    <w:tr2bl w:val="nil"/>
                  </w:tcBorders>
                  <w:vAlign w:val="center"/>
                </w:tcPr>
                <w:p>
                  <w:pPr>
                    <w:adjustRightInd w:val="0"/>
                    <w:snapToGrid w:val="0"/>
                    <w:jc w:val="center"/>
                    <w:rPr>
                      <w:b/>
                      <w:bCs/>
                      <w:szCs w:val="21"/>
                      <w:highlight w:val="none"/>
                    </w:rPr>
                  </w:pPr>
                  <w:r>
                    <w:rPr>
                      <w:b/>
                      <w:bCs/>
                      <w:szCs w:val="21"/>
                      <w:highlight w:val="none"/>
                    </w:rPr>
                    <w:t>标准号</w:t>
                  </w:r>
                </w:p>
              </w:tc>
              <w:tc>
                <w:tcPr>
                  <w:tcW w:w="723" w:type="pct"/>
                  <w:vMerge w:val="restart"/>
                  <w:tcBorders>
                    <w:tl2br w:val="nil"/>
                    <w:tr2bl w:val="nil"/>
                  </w:tcBorders>
                  <w:vAlign w:val="center"/>
                </w:tcPr>
                <w:p>
                  <w:pPr>
                    <w:adjustRightInd w:val="0"/>
                    <w:snapToGrid w:val="0"/>
                    <w:jc w:val="center"/>
                    <w:rPr>
                      <w:b/>
                      <w:bCs/>
                      <w:szCs w:val="21"/>
                      <w:highlight w:val="none"/>
                    </w:rPr>
                  </w:pPr>
                  <w:r>
                    <w:rPr>
                      <w:b/>
                      <w:bCs/>
                      <w:szCs w:val="21"/>
                      <w:highlight w:val="none"/>
                    </w:rPr>
                    <w:t>类别</w:t>
                  </w:r>
                </w:p>
              </w:tc>
              <w:tc>
                <w:tcPr>
                  <w:tcW w:w="1405" w:type="pct"/>
                  <w:gridSpan w:val="2"/>
                  <w:tcBorders>
                    <w:tl2br w:val="nil"/>
                    <w:tr2bl w:val="nil"/>
                  </w:tcBorders>
                  <w:vAlign w:val="center"/>
                </w:tcPr>
                <w:p>
                  <w:pPr>
                    <w:adjustRightInd w:val="0"/>
                    <w:snapToGrid w:val="0"/>
                    <w:jc w:val="center"/>
                    <w:rPr>
                      <w:b/>
                      <w:bCs/>
                      <w:szCs w:val="21"/>
                      <w:highlight w:val="none"/>
                    </w:rPr>
                  </w:pPr>
                  <w:r>
                    <w:rPr>
                      <w:b/>
                      <w:bCs/>
                      <w:szCs w:val="21"/>
                      <w:highlight w:val="none"/>
                    </w:rPr>
                    <w:t>排放标准</w:t>
                  </w:r>
                </w:p>
              </w:tc>
            </w:tr>
            <w:tr>
              <w:trPr>
                <w:trHeight w:val="340"/>
              </w:trPr>
              <w:tc>
                <w:tcPr>
                  <w:tcW w:w="2872" w:type="pct"/>
                  <w:vMerge/>
                  <w:tcBorders>
                    <w:tl2br w:val="nil"/>
                    <w:tr2bl w:val="nil"/>
                  </w:tcBorders>
                  <w:vAlign w:val="center"/>
                </w:tcPr>
                <w:p/>
              </w:tc>
              <w:tc>
                <w:tcPr>
                  <w:tcW w:w="723" w:type="pct"/>
                  <w:vMerge/>
                  <w:tcBorders>
                    <w:tl2br w:val="nil"/>
                    <w:tr2bl w:val="nil"/>
                  </w:tcBorders>
                  <w:vAlign w:val="center"/>
                </w:tcPr>
                <w:p/>
              </w:tc>
              <w:tc>
                <w:tcPr>
                  <w:tcW w:w="723" w:type="pct"/>
                  <w:tcBorders>
                    <w:tl2br w:val="nil"/>
                    <w:tr2bl w:val="nil"/>
                  </w:tcBorders>
                  <w:vAlign w:val="center"/>
                </w:tcPr>
                <w:p>
                  <w:pPr>
                    <w:adjustRightInd w:val="0"/>
                    <w:snapToGrid w:val="0"/>
                    <w:jc w:val="center"/>
                    <w:rPr>
                      <w:b/>
                      <w:bCs/>
                      <w:szCs w:val="21"/>
                      <w:highlight w:val="none"/>
                    </w:rPr>
                  </w:pPr>
                  <w:r>
                    <w:rPr>
                      <w:b/>
                      <w:bCs/>
                      <w:szCs w:val="21"/>
                      <w:highlight w:val="none"/>
                    </w:rPr>
                    <w:t>昼间</w:t>
                  </w:r>
                </w:p>
              </w:tc>
              <w:tc>
                <w:tcPr>
                  <w:tcW w:w="682" w:type="pct"/>
                  <w:tcBorders>
                    <w:tl2br w:val="nil"/>
                    <w:tr2bl w:val="nil"/>
                  </w:tcBorders>
                  <w:vAlign w:val="center"/>
                </w:tcPr>
                <w:p>
                  <w:pPr>
                    <w:adjustRightInd w:val="0"/>
                    <w:snapToGrid w:val="0"/>
                    <w:jc w:val="center"/>
                    <w:rPr>
                      <w:szCs w:val="21"/>
                      <w:highlight w:val="none"/>
                    </w:rPr>
                  </w:pPr>
                  <w:r>
                    <w:rPr>
                      <w:b/>
                      <w:bCs/>
                      <w:szCs w:val="21"/>
                      <w:highlight w:val="none"/>
                    </w:rPr>
                    <w:t>夜间</w:t>
                  </w:r>
                </w:p>
              </w:tc>
            </w:tr>
            <w:tr>
              <w:trPr>
                <w:trHeight w:val="340"/>
              </w:trPr>
              <w:tc>
                <w:tcPr>
                  <w:tcW w:w="2872" w:type="pct"/>
                  <w:tcBorders>
                    <w:tl2br w:val="nil"/>
                    <w:tr2bl w:val="nil"/>
                  </w:tcBorders>
                  <w:vAlign w:val="center"/>
                </w:tcPr>
                <w:p>
                  <w:pPr>
                    <w:pStyle w:val="17"/>
                    <w:widowControl/>
                    <w:adjustRightInd w:val="0"/>
                    <w:snapToGrid w:val="0"/>
                    <w:rPr>
                      <w:rFonts w:eastAsia="宋体"/>
                      <w:highlight w:val="none"/>
                    </w:rPr>
                  </w:pPr>
                  <w:r>
                    <w:rPr>
                      <w:rFonts w:eastAsia="宋体"/>
                      <w:highlight w:val="none"/>
                    </w:rPr>
                    <w:t>工业企业厂界噪声排放标准（GB12348-2008）</w:t>
                  </w:r>
                </w:p>
              </w:tc>
              <w:tc>
                <w:tcPr>
                  <w:tcW w:w="723" w:type="pct"/>
                  <w:tcBorders>
                    <w:tl2br w:val="nil"/>
                    <w:tr2bl w:val="nil"/>
                  </w:tcBorders>
                  <w:vAlign w:val="center"/>
                </w:tcPr>
                <w:p>
                  <w:pPr>
                    <w:adjustRightInd w:val="0"/>
                    <w:snapToGrid w:val="0"/>
                    <w:jc w:val="center"/>
                    <w:rPr>
                      <w:szCs w:val="21"/>
                      <w:highlight w:val="none"/>
                    </w:rPr>
                  </w:pPr>
                  <w:r>
                    <w:rPr>
                      <w:szCs w:val="21"/>
                      <w:highlight w:val="none"/>
                    </w:rPr>
                    <w:t>2类</w:t>
                  </w:r>
                </w:p>
              </w:tc>
              <w:tc>
                <w:tcPr>
                  <w:tcW w:w="723" w:type="pct"/>
                  <w:tcBorders>
                    <w:tl2br w:val="nil"/>
                    <w:tr2bl w:val="nil"/>
                  </w:tcBorders>
                  <w:vAlign w:val="center"/>
                </w:tcPr>
                <w:p>
                  <w:pPr>
                    <w:adjustRightInd w:val="0"/>
                    <w:snapToGrid w:val="0"/>
                    <w:jc w:val="center"/>
                    <w:rPr>
                      <w:szCs w:val="21"/>
                      <w:highlight w:val="none"/>
                    </w:rPr>
                  </w:pPr>
                  <w:r>
                    <w:rPr>
                      <w:szCs w:val="21"/>
                      <w:highlight w:val="none"/>
                    </w:rPr>
                    <w:t>60</w:t>
                  </w:r>
                </w:p>
              </w:tc>
              <w:tc>
                <w:tcPr>
                  <w:tcW w:w="682" w:type="pct"/>
                  <w:tcBorders>
                    <w:tl2br w:val="nil"/>
                    <w:tr2bl w:val="nil"/>
                  </w:tcBorders>
                  <w:vAlign w:val="center"/>
                </w:tcPr>
                <w:p>
                  <w:pPr>
                    <w:adjustRightInd w:val="0"/>
                    <w:snapToGrid w:val="0"/>
                    <w:jc w:val="center"/>
                    <w:rPr>
                      <w:szCs w:val="21"/>
                      <w:highlight w:val="none"/>
                    </w:rPr>
                  </w:pPr>
                  <w:r>
                    <w:rPr>
                      <w:rFonts w:hint="eastAsia"/>
                      <w:szCs w:val="21"/>
                      <w:highlight w:val="none"/>
                    </w:rPr>
                    <w:t>5</w:t>
                  </w:r>
                  <w:r>
                    <w:rPr>
                      <w:szCs w:val="21"/>
                      <w:highlight w:val="none"/>
                    </w:rPr>
                    <w:t>0</w:t>
                  </w:r>
                </w:p>
              </w:tc>
            </w:tr>
          </w:tbl>
          <w:p>
            <w:pPr>
              <w:spacing w:line="360" w:lineRule="auto"/>
              <w:rPr>
                <w:b/>
                <w:sz w:val="24"/>
                <w:highlight w:val="none"/>
              </w:rPr>
            </w:pPr>
            <w:r>
              <w:rPr>
                <w:b/>
                <w:sz w:val="24"/>
                <w:highlight w:val="none"/>
              </w:rPr>
              <w:t>4、固废排放标准</w:t>
            </w:r>
          </w:p>
          <w:p>
            <w:pPr>
              <w:spacing w:line="360" w:lineRule="auto"/>
              <w:ind w:firstLineChars="200" w:firstLine="480"/>
              <w:rPr>
                <w:highlight w:val="none"/>
              </w:rPr>
            </w:pPr>
            <w:r>
              <w:rPr>
                <w:sz w:val="24"/>
                <w:highlight w:val="none"/>
              </w:rPr>
              <w:t>一般工业固体废物处置执行《</w:t>
            </w:r>
            <w:r>
              <w:rPr>
                <w:sz w:val="24"/>
                <w:lang w:val="zh-CN"/>
                <w:highlight w:val="none"/>
              </w:rPr>
              <w:t>一般工业固体废物贮存</w:t>
            </w:r>
            <w:r>
              <w:rPr>
                <w:sz w:val="24"/>
                <w:highlight w:val="none"/>
              </w:rPr>
              <w:t>和填埋</w:t>
            </w:r>
            <w:r>
              <w:rPr>
                <w:sz w:val="24"/>
                <w:lang w:val="zh-CN"/>
                <w:highlight w:val="none"/>
              </w:rPr>
              <w:t>污染控制标准》（GB 18599-</w:t>
            </w:r>
            <w:r>
              <w:rPr>
                <w:sz w:val="24"/>
                <w:highlight w:val="none"/>
              </w:rPr>
              <w:t>2020</w:t>
            </w:r>
            <w:r>
              <w:rPr>
                <w:sz w:val="24"/>
                <w:lang w:val="zh-CN"/>
                <w:highlight w:val="none"/>
              </w:rPr>
              <w:t>）</w:t>
            </w:r>
            <w:r>
              <w:rPr>
                <w:rFonts w:hint="eastAsia"/>
                <w:sz w:val="24"/>
                <w:lang w:val="zh-CN"/>
                <w:highlight w:val="none"/>
              </w:rPr>
              <w:t>；危险废物执行《危险废物贮存污染控制标准》</w:t>
            </w:r>
            <w:r>
              <w:rPr>
                <w:sz w:val="24"/>
                <w:lang w:val="zh-CN"/>
                <w:highlight w:val="none"/>
              </w:rPr>
              <w:t>（</w:t>
            </w:r>
            <w:r>
              <w:rPr>
                <w:rFonts w:hint="eastAsia"/>
                <w:sz w:val="24"/>
                <w:lang w:val="zh-CN"/>
                <w:highlight w:val="none"/>
              </w:rPr>
              <w:t>GB18597-2023</w:t>
            </w:r>
            <w:r>
              <w:rPr>
                <w:sz w:val="24"/>
                <w:lang w:val="zh-CN"/>
                <w:highlight w:val="none"/>
              </w:rPr>
              <w:t>）</w:t>
            </w:r>
            <w:r>
              <w:rPr>
                <w:rFonts w:hint="eastAsia"/>
                <w:sz w:val="24"/>
                <w:lang w:val="zh-CN"/>
                <w:highlight w:val="none"/>
              </w:rPr>
              <w:t>；生活垃圾由环卫部门统一处理</w:t>
            </w:r>
            <w:r>
              <w:rPr>
                <w:sz w:val="24"/>
                <w:highlight w:val="none"/>
              </w:rPr>
              <w:t>。</w:t>
            </w:r>
          </w:p>
        </w:tc>
      </w:tr>
      <w:tr>
        <w:trPr>
          <w:trHeight w:val="3268"/>
        </w:trPr>
        <w:tc>
          <w:tcPr>
            <w:tcW w:w="800" w:type="dxa"/>
            <w:vAlign w:val="center"/>
          </w:tcPr>
          <w:p>
            <w:pPr>
              <w:adjustRightInd w:val="0"/>
              <w:snapToGrid w:val="0"/>
              <w:jc w:val="center"/>
              <w:rPr>
                <w:kern w:val="0"/>
                <w:sz w:val="24"/>
                <w:highlight w:val="none"/>
              </w:rPr>
            </w:pPr>
            <w:r>
              <w:rPr>
                <w:kern w:val="0"/>
                <w:sz w:val="24"/>
                <w:highlight w:val="none"/>
              </w:rPr>
              <w:t>总量</w:t>
            </w:r>
          </w:p>
          <w:p>
            <w:pPr>
              <w:adjustRightInd w:val="0"/>
              <w:snapToGrid w:val="0"/>
              <w:jc w:val="center"/>
              <w:rPr>
                <w:kern w:val="0"/>
                <w:sz w:val="24"/>
                <w:highlight w:val="none"/>
              </w:rPr>
            </w:pPr>
            <w:r>
              <w:rPr>
                <w:kern w:val="0"/>
                <w:sz w:val="24"/>
                <w:highlight w:val="none"/>
              </w:rPr>
              <w:t>控制</w:t>
            </w:r>
          </w:p>
          <w:p>
            <w:pPr>
              <w:adjustRightInd w:val="0"/>
              <w:snapToGrid w:val="0"/>
              <w:jc w:val="center"/>
              <w:rPr>
                <w:kern w:val="0"/>
                <w:szCs w:val="21"/>
                <w:highlight w:val="none"/>
              </w:rPr>
            </w:pPr>
            <w:r>
              <w:rPr>
                <w:kern w:val="0"/>
                <w:sz w:val="24"/>
                <w:highlight w:val="none"/>
              </w:rPr>
              <w:t>指标</w:t>
            </w:r>
          </w:p>
        </w:tc>
        <w:tc>
          <w:tcPr>
            <w:tcW w:w="8190" w:type="dxa"/>
            <w:vAlign w:val="center"/>
          </w:tcPr>
          <w:p>
            <w:pPr>
              <w:adjustRightInd w:val="0"/>
              <w:snapToGrid w:val="0"/>
              <w:spacing w:line="360" w:lineRule="auto"/>
              <w:ind w:firstLineChars="200" w:firstLine="480"/>
              <w:rPr>
                <w:highlight w:val="none"/>
              </w:rPr>
            </w:pPr>
            <w:r>
              <w:rPr>
                <w:rFonts w:hint="eastAsia"/>
                <w:bCs/>
                <w:snapToGrid w:val="0"/>
                <w:kern w:val="0"/>
                <w:sz w:val="24"/>
                <w:u w:val="none"/>
                <w:highlight w:val="none"/>
              </w:rPr>
              <w:t>本项目运营期</w:t>
            </w:r>
            <w:r>
              <w:rPr>
                <w:sz w:val="24"/>
                <w:u w:val="none"/>
                <w:highlight w:val="none"/>
              </w:rPr>
              <w:t>产生的废水主要为</w:t>
            </w:r>
            <w:r>
              <w:rPr>
                <w:rFonts w:hint="eastAsia"/>
                <w:sz w:val="24"/>
                <w:u w:val="none"/>
                <w:highlight w:val="none"/>
              </w:rPr>
              <w:t>净水过程中产生的滤池反冲洗水、沉淀池排泥水</w:t>
            </w:r>
            <w:r>
              <w:rPr>
                <w:rFonts w:hint="eastAsia"/>
                <w:sz w:val="24"/>
                <w:u w:val="none"/>
                <w:lang w:eastAsia="zh-CN"/>
                <w:highlight w:val="none"/>
              </w:rPr>
              <w:t>，</w:t>
            </w:r>
            <w:r>
              <w:rPr>
                <w:rFonts w:hint="eastAsia"/>
                <w:sz w:val="24"/>
                <w:u w:val="none"/>
                <w:lang w:val="en-US" w:eastAsia="zh-CN"/>
                <w:highlight w:val="none"/>
              </w:rPr>
              <w:t>经回用排泥</w:t>
            </w:r>
            <w:r>
              <w:rPr>
                <w:rFonts w:hint="eastAsia"/>
                <w:sz w:val="24"/>
                <w:u w:val="none"/>
                <w:highlight w:val="none"/>
              </w:rPr>
              <w:t>池</w:t>
            </w:r>
            <w:r>
              <w:rPr>
                <w:rFonts w:hint="eastAsia"/>
                <w:color w:val="000000"/>
                <w:sz w:val="24"/>
                <w:u w:val="none"/>
                <w:highlight w:val="none"/>
              </w:rPr>
              <w:t>后回用于原水利用，不外排</w:t>
            </w:r>
            <w:r>
              <w:rPr>
                <w:rFonts w:hint="eastAsia"/>
                <w:color w:val="000000"/>
                <w:sz w:val="24"/>
                <w:u w:val="none"/>
                <w:lang w:eastAsia="zh-CN"/>
                <w:highlight w:val="none"/>
              </w:rPr>
              <w:t>；</w:t>
            </w:r>
            <w:r>
              <w:rPr>
                <w:rFonts w:hint="eastAsia"/>
                <w:bCs/>
                <w:snapToGrid w:val="0"/>
                <w:kern w:val="0"/>
                <w:sz w:val="24"/>
                <w:u w:val="none"/>
                <w:highlight w:val="none"/>
              </w:rPr>
              <w:t>生活污水</w:t>
            </w:r>
            <w:r>
              <w:rPr>
                <w:rFonts w:hint="eastAsia"/>
                <w:bCs/>
                <w:snapToGrid w:val="0"/>
                <w:kern w:val="0"/>
                <w:sz w:val="24"/>
                <w:u w:val="none"/>
                <w:lang w:val="en-US" w:eastAsia="zh-CN"/>
                <w:highlight w:val="none"/>
              </w:rPr>
              <w:t>经化粪池处理后用于农肥，不外排</w:t>
            </w:r>
            <w:r>
              <w:rPr>
                <w:rFonts w:hint="eastAsia"/>
                <w:bCs/>
                <w:snapToGrid w:val="0"/>
                <w:kern w:val="0"/>
                <w:sz w:val="24"/>
                <w:u w:val="none"/>
                <w:highlight w:val="none"/>
              </w:rPr>
              <w:t>。</w:t>
            </w:r>
            <w:r>
              <w:rPr>
                <w:rFonts w:hint="eastAsia"/>
                <w:sz w:val="24"/>
                <w:u w:val="none"/>
                <w:highlight w:val="none"/>
              </w:rPr>
              <w:t>废气主要为污泥</w:t>
            </w:r>
            <w:r>
              <w:rPr>
                <w:rFonts w:hint="eastAsia"/>
                <w:sz w:val="24"/>
                <w:u w:val="none"/>
                <w:lang w:val="en-US" w:eastAsia="zh-CN"/>
                <w:highlight w:val="none"/>
              </w:rPr>
              <w:t>脱水</w:t>
            </w:r>
            <w:r>
              <w:rPr>
                <w:rFonts w:hint="eastAsia"/>
                <w:sz w:val="24"/>
                <w:u w:val="none"/>
                <w:highlight w:val="none"/>
              </w:rPr>
              <w:t>过程产生的少量臭气</w:t>
            </w:r>
            <w:r>
              <w:rPr>
                <w:rFonts w:hint="eastAsia"/>
                <w:sz w:val="24"/>
                <w:u w:val="none"/>
                <w:lang w:eastAsia="zh-CN"/>
                <w:highlight w:val="none"/>
              </w:rPr>
              <w:t>。</w:t>
            </w:r>
            <w:r>
              <w:rPr>
                <w:rFonts w:hint="eastAsia"/>
                <w:sz w:val="24"/>
                <w:u w:val="none"/>
                <w:lang w:val="en-US" w:eastAsia="zh-CN"/>
                <w:highlight w:val="none"/>
              </w:rPr>
              <w:t>因此，</w:t>
            </w:r>
            <w:r>
              <w:rPr>
                <w:rFonts w:hint="eastAsia"/>
                <w:color w:val="auto"/>
                <w:sz w:val="24"/>
                <w:szCs w:val="24"/>
                <w:u w:val="none"/>
                <w:highlight w:val="none"/>
              </w:rPr>
              <w:t>本项目不涉及总量控制指标</w:t>
            </w:r>
            <w:r>
              <w:rPr>
                <w:rFonts w:hint="eastAsia"/>
                <w:color w:val="auto"/>
                <w:sz w:val="24"/>
                <w:szCs w:val="24"/>
                <w:u w:val="none"/>
                <w:lang w:val="en-US" w:eastAsia="zh-CN"/>
                <w:highlight w:val="none"/>
              </w:rPr>
              <w:t>。</w:t>
            </w:r>
          </w:p>
        </w:tc>
      </w:tr>
    </w:tbl>
    <w:p>
      <w:pPr>
        <w:pStyle w:val="34"/>
        <w:spacing w:before="0" w:beforeAutospacing="0" w:after="0" w:afterAutospacing="0" w:line="360" w:lineRule="auto"/>
        <w:jc w:val="center"/>
        <w:outlineLvl w:val="0"/>
        <w:rPr>
          <w:rFonts w:ascii="Times New Roman" w:hAnsi="Times New Roman"/>
          <w:snapToGrid w:val="0"/>
          <w:highlight w:val="none"/>
        </w:rPr>
      </w:pPr>
      <w:r>
        <w:rPr>
          <w:rFonts w:ascii="Times New Roman" w:hAnsi="Times New Roman"/>
          <w:snapToGrid w:val="0"/>
          <w:highlight w:val="none"/>
        </w:rPr>
        <w:br w:type="page"/>
      </w:r>
      <w:bookmarkStart w:id="15" w:name="_Toc17523"/>
      <w:r>
        <w:rPr>
          <w:rFonts w:ascii="Times New Roman" w:hAnsi="Times New Roman"/>
          <w:b/>
          <w:bCs/>
          <w:snapToGrid w:val="0"/>
          <w:sz w:val="30"/>
          <w:szCs w:val="30"/>
          <w:highlight w:val="none"/>
        </w:rPr>
        <w:t>四、主要环境影响和保护措施</w:t>
      </w:r>
      <w:bookmarkEnd w:id="15"/>
    </w:p>
    <w:tbl>
      <w:tblPr>
        <w:jc w:val="cent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468"/>
        <w:gridCol w:w="8357"/>
      </w:tblGrid>
      <w:tr>
        <w:trPr>
          <w:trHeight w:val="397"/>
        </w:trPr>
        <w:tc>
          <w:tcPr>
            <w:tcW w:w="265" w:type="pct"/>
            <w:tcMar>
              <w:left w:w="28" w:type="dxa"/>
              <w:right w:w="28" w:type="dxa"/>
            </w:tcMar>
            <w:vAlign w:val="center"/>
          </w:tcPr>
          <w:p>
            <w:pPr>
              <w:pStyle w:val="34"/>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施工</w:t>
            </w:r>
          </w:p>
          <w:p>
            <w:pPr>
              <w:pStyle w:val="34"/>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期环</w:t>
            </w:r>
          </w:p>
          <w:p>
            <w:pPr>
              <w:pStyle w:val="34"/>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境保</w:t>
            </w:r>
          </w:p>
          <w:p>
            <w:pPr>
              <w:pStyle w:val="34"/>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护措</w:t>
            </w:r>
          </w:p>
          <w:p>
            <w:pPr>
              <w:pStyle w:val="34"/>
              <w:spacing w:before="0" w:beforeAutospacing="0" w:after="0" w:afterAutospacing="0"/>
              <w:jc w:val="center"/>
              <w:rPr>
                <w:rFonts w:ascii="Times New Roman" w:hAnsi="Times New Roman"/>
                <w:bCs/>
                <w:kern w:val="2"/>
                <w:sz w:val="21"/>
                <w:szCs w:val="21"/>
                <w:highlight w:val="none"/>
              </w:rPr>
            </w:pPr>
            <w:r>
              <w:rPr>
                <w:rFonts w:ascii="Times New Roman" w:hAnsi="Times New Roman"/>
                <w:kern w:val="2"/>
                <w:szCs w:val="24"/>
                <w:highlight w:val="none"/>
              </w:rPr>
              <w:t>施</w:t>
            </w:r>
          </w:p>
        </w:tc>
        <w:tc>
          <w:tcPr>
            <w:tcW w:w="4735" w:type="pct"/>
            <w:shd w:val="clear" w:color="auto" w:fill="auto"/>
            <w:vAlign w:val="center"/>
          </w:tcPr>
          <w:p>
            <w:pPr>
              <w:keepNext w:val="0"/>
              <w:keepLines w:val="0"/>
              <w:pageBreakBefore w:val="0"/>
              <w:kinsoku/>
              <w:wordWrap/>
              <w:topLinePunct w:val="0"/>
              <w:bidi w:val="0"/>
              <w:adjustRightInd w:val="0"/>
              <w:snapToGrid w:val="0"/>
              <w:spacing w:line="360" w:lineRule="auto"/>
              <w:rPr>
                <w:rFonts w:ascii="Times New Roman" w:eastAsia="宋体" w:cs="Times New Roman" w:hAnsi="Times New Roman"/>
                <w:b/>
                <w:color w:val="auto"/>
                <w:sz w:val="24"/>
                <w:szCs w:val="24"/>
                <w:u w:val="none"/>
                <w:highlight w:val="none"/>
              </w:rPr>
            </w:pPr>
            <w:r>
              <w:rPr>
                <w:rFonts w:ascii="Times New Roman" w:eastAsia="宋体" w:cs="Times New Roman" w:hAnsi="Times New Roman" w:hint="eastAsia"/>
                <w:b/>
                <w:color w:val="auto"/>
                <w:sz w:val="24"/>
                <w:szCs w:val="24"/>
                <w:u w:val="none"/>
                <w:lang w:val="en-US" w:eastAsia="zh-CN"/>
                <w:highlight w:val="none"/>
              </w:rPr>
              <w:t>1、</w:t>
            </w:r>
            <w:r>
              <w:rPr>
                <w:rFonts w:ascii="Times New Roman" w:eastAsia="宋体" w:cs="Times New Roman" w:hAnsi="Times New Roman"/>
                <w:b/>
                <w:color w:val="auto"/>
                <w:sz w:val="24"/>
                <w:szCs w:val="24"/>
                <w:u w:val="none"/>
                <w:highlight w:val="none"/>
              </w:rPr>
              <w:t>废气</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b/>
                <w:bCs/>
                <w:color w:val="auto"/>
                <w:kern w:val="21"/>
                <w:sz w:val="24"/>
                <w:szCs w:val="24"/>
                <w:u w:val="none"/>
                <w:lang w:val="en-US" w:eastAsia="zh-CN"/>
                <w:highlight w:val="none"/>
              </w:rPr>
            </w:pPr>
            <w:r>
              <w:rPr>
                <w:rFonts w:ascii="Times New Roman" w:eastAsia="宋体" w:cs="Times New Roman" w:hAnsi="Times New Roman"/>
                <w:b/>
                <w:bCs/>
                <w:color w:val="auto"/>
                <w:kern w:val="21"/>
                <w:sz w:val="24"/>
                <w:szCs w:val="24"/>
                <w:u w:val="none"/>
                <w:lang w:val="en-US" w:eastAsia="zh-CN"/>
                <w:highlight w:val="none"/>
              </w:rPr>
              <w:t>（1）施工扬尘</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施工期对大气造成污染的主要是扬尘，根据《常德市建设工程文明施工管理办法》要求，提出以下几条措施：</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①洒水抑尘：扬尘量与粉尘的含水率有关，粉尘含水率越高，扬尘量越小。施工区域必须配备专业保洁人员，保洁人员须按1人/5000m</w:t>
            </w:r>
            <w:r>
              <w:rPr>
                <w:rFonts w:ascii="Times New Roman" w:eastAsia="宋体" w:cs="Times New Roman" w:hAnsi="Times New Roman"/>
                <w:color w:val="auto"/>
                <w:kern w:val="21"/>
                <w:sz w:val="24"/>
                <w:szCs w:val="24"/>
                <w:u w:val="none"/>
                <w:vertAlign w:val="superscript"/>
                <w:lang w:val="en-US" w:eastAsia="zh-CN"/>
                <w:highlight w:val="none"/>
              </w:rPr>
              <w:t>2</w:t>
            </w:r>
            <w:r>
              <w:rPr>
                <w:rFonts w:ascii="Times New Roman" w:eastAsia="宋体" w:cs="Times New Roman" w:hAnsi="Times New Roman"/>
                <w:color w:val="auto"/>
                <w:kern w:val="21"/>
                <w:sz w:val="24"/>
                <w:szCs w:val="24"/>
                <w:u w:val="none"/>
                <w:lang w:val="en-US" w:eastAsia="zh-CN"/>
                <w:highlight w:val="none"/>
              </w:rPr>
              <w:t>进行配备，在非降雨期间应进行定时洒水作业，洒水次数每日不得少于3次。以上场地洒水与否对扬尘的影响较大，场地洒水后，扬尘量将减低28-75%，大大减少其对环境的影响。</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②围栏挡尘：在</w:t>
            </w:r>
            <w:r>
              <w:rPr>
                <w:rFonts w:ascii="Times New Roman" w:eastAsia="宋体" w:cs="Times New Roman" w:hAnsi="Times New Roman" w:hint="eastAsia"/>
                <w:color w:val="auto"/>
                <w:kern w:val="21"/>
                <w:sz w:val="24"/>
                <w:szCs w:val="24"/>
                <w:u w:val="none"/>
                <w:lang w:val="en-US" w:eastAsia="zh-CN"/>
                <w:highlight w:val="none"/>
              </w:rPr>
              <w:t>管道</w:t>
            </w:r>
            <w:r>
              <w:rPr>
                <w:rFonts w:ascii="Times New Roman" w:eastAsia="宋体" w:cs="Times New Roman" w:hAnsi="Times New Roman"/>
                <w:color w:val="auto"/>
                <w:kern w:val="21"/>
                <w:sz w:val="24"/>
                <w:szCs w:val="24"/>
                <w:u w:val="none"/>
                <w:lang w:val="en-US" w:eastAsia="zh-CN"/>
                <w:highlight w:val="none"/>
              </w:rPr>
              <w:t>施工过程中，在临居民敏感点一侧，需设置2.5m封闭的围挡，实施封闭施工，其减少扬尘对环境的污染有明显作用。</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③控制车速：施工场地的扬尘，大部分来自施工车辆。根据</w:t>
            </w:r>
            <w:r>
              <w:rPr>
                <w:rFonts w:ascii="Times New Roman" w:eastAsia="宋体" w:cs="Times New Roman" w:hAnsi="Times New Roman" w:hint="eastAsia"/>
                <w:color w:val="auto"/>
                <w:kern w:val="21"/>
                <w:sz w:val="24"/>
                <w:szCs w:val="24"/>
                <w:u w:val="none"/>
                <w:lang w:val="en-US" w:eastAsia="zh-CN"/>
                <w:highlight w:val="none"/>
              </w:rPr>
              <w:t>同类工程</w:t>
            </w:r>
            <w:r>
              <w:rPr>
                <w:rFonts w:ascii="Times New Roman" w:eastAsia="宋体" w:cs="Times New Roman" w:hAnsi="Times New Roman"/>
                <w:color w:val="auto"/>
                <w:kern w:val="21"/>
                <w:sz w:val="24"/>
                <w:szCs w:val="24"/>
                <w:u w:val="none"/>
                <w:lang w:val="en-US" w:eastAsia="zh-CN"/>
                <w:highlight w:val="none"/>
              </w:rPr>
              <w:t>，在同样清洁程度的条件下，车速越慢，扬尘量越小。施工车辆在进入施工场地后，需减速行驶，以减少施工场地扬尘，建议行驶车速不大于5km/hr。此时的扬尘量可减少为一般行驶速度（15km/hr计）情况下的1/3。</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④避免大风天气作业：在施工场地上设置专人负责弃土、建筑垃圾、建筑材料的处置、清运和堆放，堆放场地应避开居民区的上风向，工地内的裸露土、临时堆放垃圾必须进行覆盖，施工现场内裸置3个月以上的土地，应采取覆盖草皮等绿化措施。裸置3个月以下的土地，应当采取绿化措施或采用绿色防尘网覆盖并定时洒水；禁止在施工现场露天堆放水泥和石灰，禁止现场搅拌混凝土，不得进行敞开式有扬尘的加工作业。施工现场禁止凌空抛撒建筑废弃物，禁止焚烧各类废弃物。</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⑤由于项目</w:t>
            </w:r>
            <w:r>
              <w:rPr>
                <w:rFonts w:ascii="Times New Roman" w:eastAsia="宋体" w:cs="Times New Roman" w:hAnsi="Times New Roman" w:hint="eastAsia"/>
                <w:color w:val="auto"/>
                <w:kern w:val="21"/>
                <w:sz w:val="24"/>
                <w:szCs w:val="24"/>
                <w:u w:val="none"/>
                <w:lang w:val="en-US" w:eastAsia="zh-CN"/>
                <w:highlight w:val="none"/>
              </w:rPr>
              <w:t>管道</w:t>
            </w:r>
            <w:r>
              <w:rPr>
                <w:rFonts w:ascii="Times New Roman" w:eastAsia="宋体" w:cs="Times New Roman" w:hAnsi="Times New Roman"/>
                <w:color w:val="auto"/>
                <w:kern w:val="21"/>
                <w:sz w:val="24"/>
                <w:szCs w:val="24"/>
                <w:u w:val="none"/>
                <w:lang w:val="en-US" w:eastAsia="zh-CN"/>
                <w:highlight w:val="none"/>
              </w:rPr>
              <w:t>沿线周边敏感目标较多的特点，要求建设方合理设计施工方案、布置施工道路，合理安排施工时间，并采取封闭施工的措施以减轻施工扬尘和噪声对周边敏感目标的影响。</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⑥土方开挖阶段对作业面和土堆适当喷水，使其保持一定湿度，减少扬尘量，避免在大风天气下作业，弃土及时运走，回填土合理堆放，尽量采取遮盖、密闭措施，避免其在大风天气下产生扬尘。敷设管道阶段对作业面和土堆适当喷水，使其保持一定湿度，使用商品混凝土，加强施工过程管理，尤其是水泥的卸落、搅拌过程的管理，控制车辆行驶速度，减少粉尘产生量；覆土及路面整理阶段对作业面和土堆适当喷水，对回填土、砂石等堆放材料采取遮盖措施，控制运输车速，减少粉尘产生量。</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上述措施主要是围挡和洒水，围挡起直接阻挡扬尘飞扬的作用；洒水可降低施工扬尘的起尘量。这些防尘措施均是常用的，也是有效的。根据资料分析，洒水对控制施工扬尘很有效，特别是对施工近场（30m以内）降尘效果达60%以上，同时扬尘的影响范围也减少70%左右，严格按照上述措施治理后，拟建项目施工期扬尘污染可以减小到最低，措施可行。</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根据常德市住房和城乡建设局关于印发《常德市建筑施工扬尘防治管理规定》的通知（常建通〔2017〕50 号），扬尘防治应采取以下防治措施：</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①施工作业区应配备专人负责，作到科学管理、文明施工；在基础施工期间，应尽可能采取措施提高工程进度，缩短施工期的危害周期；建设单位应在施工现场每一个大门口醒目位置按要求设置建筑施工扬尘防治公示牌，公示扬尘防治标准、防治措施和建设、施工、监理单位承担扬尘污染防治工作的具体责任人姓名以及扬尘监督管理主管部门、举报电话等信息；施工现场四周应连续设置硬质密闭围挡，不得留有缺口，底边要封闭，不得有泥浆外漏。位于城市主干路段的围挡高度不低于2.5m，城市次干道路段不低于2m，其他路段不低于1.8m，且围挡无乱张贴、乱涂画等现象。破损的围挡应及时更换，确保围挡整洁、美观。严禁使用单层彩钢板、竹笆、彩色编织布、安全网等易变形材料围挡。</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 xml:space="preserve"> ②对作业面和临时土堆应适当地洒水，使其保持一定的湿度，减小起尘量，施工便道应进行夯实硬化处理，减少起尘量。施工现场必须配备不少于1台满足规定标准的可移动、风送式喷雾机，适时开启降尘。</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③在工地周围修建连续围墙，露天堆存的沙子、水泥等易扬尘材料应加盖帆布之类围布，防止扬尘的扩散。施工现场的围挡上方必须沿围挡加装喷雾系统，每隔2m设置1个高压雾化喷头，施工区域要能形成大量水雾，吸附工地上扬起的粉尘颗粒物；施工期间除雨天外每小时开动喷雾系统不少于30分钟，时间间隔为10分钟。喷雾系统参数应满足规定标准。施工现场的塔吊应安装喷淋系统。</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 xml:space="preserve"> ④施工材料运输车辆应保持良好的状态，运输土石方和水泥、砂石等，不宜装载过满，同时要采取相应的遮盖、封闭措施。对不慎洒落的沙土和建筑材料，应及时清理。施工现场的生活区、办公区、加工区、材料堆码区、停车场等须使用的地面必须进行硬化（除停车场可采用预制砖块铺设外，其余区域须采用素土分层夯实、0.1m厚的不低于C15标号混凝土的做法），确保地面坚实平整，不得有积水。</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⑤施工现场所有车辆出口应按规定设置自动冲洗设施，包括冲洗平台、自动洗车机、过水槽、冲洗软管、冲洗枪、排水沟、循环用水装置等，必须收集洗车过程中产生的废水和泥浆，确保车辆不带泥上路、净车出场。施工现场内道路（含主次道）必须进行硬化（采用素土分层夯实、0.2m厚的不低于C20标号混凝土的做法），并针对项目实际情况形成环形道路，主干道宽度不小于3.5m。对于不能形成环形道路的，应设有不小于12m×12m的回车坪，回车坪地面必须进行硬化（做法同道路要求），道路两侧必须设排水沟。</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⑥合理安排施工运输工作，对于施工作业中的大型构件和大量物资及弃土的运输，应尽量避开交通高峰期，以缓解交通压力。同时，施工单位应与交通管理部门协调一致，采取相应的措施，做好施工现场的交通疏导，避免塞车和交通阻塞，最大限度的控制汽车尾气的排放。扬尘的影响会随着施工期的结束而消失。</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b/>
                <w:bCs/>
                <w:color w:val="auto"/>
                <w:kern w:val="21"/>
                <w:sz w:val="24"/>
                <w:szCs w:val="24"/>
                <w:u w:val="none"/>
                <w:lang w:val="en-US" w:eastAsia="zh-CN"/>
                <w:highlight w:val="none"/>
              </w:rPr>
            </w:pPr>
            <w:r>
              <w:rPr>
                <w:rFonts w:ascii="Times New Roman" w:eastAsia="宋体" w:cs="Times New Roman" w:hAnsi="Times New Roman"/>
                <w:b/>
                <w:bCs/>
                <w:color w:val="auto"/>
                <w:kern w:val="21"/>
                <w:sz w:val="24"/>
                <w:szCs w:val="24"/>
                <w:u w:val="none"/>
                <w:lang w:val="en-US" w:eastAsia="zh-CN"/>
                <w:highlight w:val="none"/>
              </w:rPr>
              <w:t>（2）施工机械废气</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施工车辆、挖土机等因燃油产生的二氧化硫、氮氧化物、一氧化碳、烃类、铅等污染物对大气环境也将有所影响，因此建设单位采取以下措施：</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①采用环保检测合格的车辆，不合格的车辆不能投入使用；</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②施工现场应合理布置运输车辆行驶路线，配合有关部门搞好施工期间周围道路的交通组织，保证行驶速度，减少怠速时间，以减少机动车尾气的排放；</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③对燃柴油的大型运输车辆和推土机需安装尾气净化器，尾气应达标排放；</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④对车辆的尾气排放进行监督管理，严格执行有关汽车排污监管办法、汽车排放监测制度；</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⑤加强对施工机械，运输车辆的维修保养，禁止施工机械超负荷工作和运输车辆超载；不得使用劣质燃料。</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结合当地环境空气质量现状较好、空气流通性较好，有利于污染物质的扩散等因素综合分析，采取以上措施能够尽量减少施工机械尾气排放，措施可行。</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总之，通过上述大气污染防治措施，坚持文明施工、科学施工，能将施工期的大气污染降至最低，对周边环境影响较小。</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b/>
                <w:bCs/>
                <w:color w:val="auto"/>
                <w:kern w:val="21"/>
                <w:sz w:val="24"/>
                <w:szCs w:val="24"/>
                <w:u w:val="none"/>
                <w:lang w:val="en-US" w:eastAsia="zh-CN"/>
                <w:highlight w:val="none"/>
              </w:rPr>
            </w:pPr>
            <w:r>
              <w:rPr>
                <w:rFonts w:ascii="Times New Roman" w:eastAsia="宋体" w:cs="Times New Roman" w:hAnsi="Times New Roman"/>
                <w:b/>
                <w:bCs/>
                <w:color w:val="auto"/>
                <w:kern w:val="21"/>
                <w:sz w:val="24"/>
                <w:szCs w:val="24"/>
                <w:u w:val="none"/>
                <w:lang w:val="en-US" w:eastAsia="zh-CN"/>
                <w:highlight w:val="none"/>
              </w:rPr>
              <w:t>（3）管道焊接废气</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施工场地四周宽阔，施工焊接过程中所产生的废气产生量不大，焊接时间较短，故焊接废气对周围环境影响较小。</w:t>
            </w:r>
          </w:p>
          <w:p>
            <w:pPr>
              <w:keepNext w:val="0"/>
              <w:keepLines w:val="0"/>
              <w:pageBreakBefore w:val="0"/>
              <w:kinsoku/>
              <w:wordWrap/>
              <w:topLinePunct w:val="0"/>
              <w:bidi w:val="0"/>
              <w:adjustRightInd w:val="0"/>
              <w:snapToGrid w:val="0"/>
              <w:spacing w:line="360" w:lineRule="auto"/>
              <w:rPr>
                <w:rFonts w:ascii="Times New Roman" w:eastAsia="宋体" w:cs="Times New Roman" w:hAnsi="Times New Roman"/>
                <w:b/>
                <w:color w:val="auto"/>
                <w:sz w:val="24"/>
                <w:szCs w:val="24"/>
                <w:u w:val="none"/>
                <w:highlight w:val="none"/>
              </w:rPr>
            </w:pPr>
            <w:r>
              <w:rPr>
                <w:rFonts w:ascii="Times New Roman" w:eastAsia="宋体" w:cs="Times New Roman" w:hAnsi="Times New Roman" w:hint="eastAsia"/>
                <w:b/>
                <w:color w:val="auto"/>
                <w:sz w:val="24"/>
                <w:szCs w:val="24"/>
                <w:u w:val="none"/>
                <w:lang w:val="en-US" w:eastAsia="zh-CN"/>
                <w:highlight w:val="none"/>
              </w:rPr>
              <w:t>2、</w:t>
            </w:r>
            <w:r>
              <w:rPr>
                <w:rFonts w:ascii="Times New Roman" w:eastAsia="宋体" w:cs="Times New Roman" w:hAnsi="Times New Roman"/>
                <w:b/>
                <w:color w:val="auto"/>
                <w:sz w:val="24"/>
                <w:szCs w:val="24"/>
                <w:u w:val="none"/>
                <w:highlight w:val="none"/>
              </w:rPr>
              <w:t>废水</w:t>
            </w:r>
          </w:p>
          <w:p>
            <w:pPr>
              <w:keepNext w:val="0"/>
              <w:keepLines w:val="0"/>
              <w:pageBreakBefore w:val="0"/>
              <w:widowControl w:val="0"/>
              <w:kinsoku/>
              <w:wordWrap/>
              <w:overflowPunct/>
              <w:topLinePunct w:val="0"/>
              <w:autoSpaceDE/>
              <w:autoSpaceDN/>
              <w:bidi w:val="0"/>
              <w:spacing w:line="360" w:lineRule="auto"/>
              <w:ind w:firstLineChars="200" w:firstLine="480"/>
              <w:textAlignment w:val="auto"/>
              <w:rPr>
                <w:b/>
                <w:bCs/>
                <w:color w:val="auto"/>
                <w:sz w:val="24"/>
                <w:szCs w:val="24"/>
                <w:u w:val="none"/>
                <w:highlight w:val="none"/>
              </w:rPr>
            </w:pPr>
            <w:r>
              <w:rPr>
                <w:b/>
                <w:bCs/>
                <w:color w:val="auto"/>
                <w:sz w:val="24"/>
                <w:szCs w:val="24"/>
                <w:u w:val="none"/>
                <w:highlight w:val="none"/>
              </w:rPr>
              <w:t>（1）施工废水</w:t>
            </w:r>
          </w:p>
          <w:p>
            <w:pPr>
              <w:keepNext w:val="0"/>
              <w:keepLines w:val="0"/>
              <w:pageBreakBefore w:val="0"/>
              <w:widowControl w:val="0"/>
              <w:kinsoku/>
              <w:wordWrap/>
              <w:overflowPunct/>
              <w:topLinePunct w:val="0"/>
              <w:autoSpaceDE/>
              <w:autoSpaceDN/>
              <w:bidi w:val="0"/>
              <w:spacing w:line="360" w:lineRule="auto"/>
              <w:ind w:firstLineChars="200" w:firstLine="480"/>
              <w:textAlignment w:val="auto"/>
              <w:rPr>
                <w:rFonts w:hint="eastAsia"/>
                <w:color w:val="auto"/>
                <w:sz w:val="24"/>
                <w:szCs w:val="24"/>
                <w:u w:val="none"/>
                <w:lang w:val="en-US" w:eastAsia="zh-CN"/>
                <w:highlight w:val="none"/>
              </w:rPr>
            </w:pPr>
            <w:r>
              <w:rPr>
                <w:rFonts w:hint="eastAsia"/>
                <w:color w:val="auto"/>
                <w:sz w:val="24"/>
                <w:szCs w:val="24"/>
                <w:u w:val="none"/>
                <w:lang w:val="en-US" w:eastAsia="zh-CN"/>
                <w:highlight w:val="none"/>
              </w:rPr>
              <w:t>施工废水在混凝土灌注、施工设备的维修、冲洗、工程养护过程中产生。</w:t>
            </w:r>
          </w:p>
          <w:p>
            <w:pPr>
              <w:keepNext w:val="0"/>
              <w:keepLines w:val="0"/>
              <w:pageBreakBefore w:val="0"/>
              <w:widowControl w:val="0"/>
              <w:kinsoku/>
              <w:wordWrap/>
              <w:overflowPunct/>
              <w:topLinePunct w:val="0"/>
              <w:autoSpaceDE/>
              <w:autoSpaceDN/>
              <w:bidi w:val="0"/>
              <w:spacing w:line="360" w:lineRule="auto"/>
              <w:ind w:firstLineChars="200" w:firstLine="480"/>
              <w:textAlignment w:val="auto"/>
              <w:rPr>
                <w:color w:val="auto"/>
                <w:sz w:val="24"/>
                <w:szCs w:val="24"/>
                <w:u w:val="none"/>
                <w:lang w:val="en-US" w:eastAsia="zh-CN"/>
                <w:highlight w:val="none"/>
              </w:rPr>
            </w:pPr>
            <w:r>
              <w:rPr>
                <w:rFonts w:hint="eastAsia"/>
                <w:color w:val="auto"/>
                <w:sz w:val="24"/>
                <w:szCs w:val="24"/>
                <w:u w:val="none"/>
                <w:lang w:val="en-US" w:eastAsia="zh-CN"/>
                <w:highlight w:val="none"/>
              </w:rPr>
              <w:fldChar w:fldCharType="begin"/>
            </w:r>
            <w:r>
              <w:rPr>
                <w:rFonts w:hint="eastAsia"/>
                <w:color w:val="auto"/>
                <w:sz w:val="24"/>
                <w:szCs w:val="24"/>
                <w:u w:val="none"/>
                <w:lang w:val="en-US" w:eastAsia="zh-CN"/>
                <w:highlight w:val="none"/>
              </w:rPr>
              <w:instrText xml:space="preserve"> = 1 \* GB3 \* MERGEFORMAT </w:instrText>
            </w:r>
            <w:r>
              <w:rPr>
                <w:rFonts w:hint="eastAsia"/>
                <w:color w:val="auto"/>
                <w:sz w:val="24"/>
                <w:szCs w:val="24"/>
                <w:u w:val="none"/>
                <w:lang w:val="en-US" w:eastAsia="zh-CN"/>
                <w:highlight w:val="none"/>
              </w:rPr>
              <w:fldChar w:fldCharType="separate"/>
            </w:r>
            <w:r>
              <w:rPr>
                <w:sz w:val="24"/>
                <w:szCs w:val="24"/>
                <w:u w:val="none"/>
                <w:highlight w:val="none"/>
              </w:rPr>
              <w:t>①</w:t>
            </w:r>
            <w:r>
              <w:rPr>
                <w:rFonts w:hint="eastAsia"/>
                <w:color w:val="auto"/>
                <w:sz w:val="24"/>
                <w:szCs w:val="24"/>
                <w:u w:val="none"/>
                <w:lang w:val="en-US" w:eastAsia="zh-CN"/>
                <w:highlight w:val="none"/>
              </w:rPr>
              <w:fldChar w:fldCharType="end"/>
            </w:r>
            <w:r>
              <w:rPr>
                <w:rFonts w:hint="eastAsia"/>
                <w:color w:val="auto"/>
                <w:sz w:val="24"/>
                <w:szCs w:val="24"/>
                <w:u w:val="none"/>
                <w:lang w:val="en-US" w:eastAsia="zh-CN"/>
                <w:highlight w:val="none"/>
              </w:rPr>
              <w:t>混凝土养护水</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textAlignment w:val="auto"/>
              <w:rPr>
                <w:rFonts w:hint="eastAsia"/>
                <w:color w:val="auto"/>
                <w:kern w:val="0"/>
                <w:sz w:val="24"/>
                <w:szCs w:val="24"/>
                <w:u w:val="none"/>
                <w:lang w:val="en-US" w:eastAsia="zh-CN"/>
                <w:highlight w:val="none"/>
              </w:rPr>
            </w:pPr>
            <w:r>
              <w:rPr>
                <w:rFonts w:ascii="Times New Roman" w:eastAsia="宋体" w:cs="Times New Roman" w:hAnsi="Times New Roman"/>
                <w:snapToGrid w:val="0"/>
                <w:color w:val="auto"/>
                <w:sz w:val="24"/>
                <w:szCs w:val="24"/>
                <w:u w:val="none"/>
                <w:highlight w:val="none"/>
              </w:rPr>
              <w:t>本工程采用洒水养护方法，根据水利施工经验，混凝土养护用水为每1m</w:t>
            </w:r>
            <w:r>
              <w:rPr>
                <w:rFonts w:ascii="Times New Roman" w:eastAsia="宋体" w:cs="Times New Roman" w:hAnsi="Times New Roman"/>
                <w:snapToGrid w:val="0"/>
                <w:color w:val="auto"/>
                <w:sz w:val="24"/>
                <w:szCs w:val="24"/>
                <w:u w:val="none"/>
                <w:vertAlign w:val="superscript"/>
                <w:highlight w:val="none"/>
              </w:rPr>
              <w:t>3</w:t>
            </w:r>
            <w:r>
              <w:rPr>
                <w:rFonts w:ascii="Times New Roman" w:eastAsia="宋体" w:cs="Times New Roman" w:hAnsi="Times New Roman"/>
                <w:snapToGrid w:val="0"/>
                <w:color w:val="auto"/>
                <w:sz w:val="24"/>
                <w:szCs w:val="24"/>
                <w:u w:val="none"/>
                <w:highlight w:val="none"/>
              </w:rPr>
              <w:t>商品混凝土用水量为0.35m</w:t>
            </w:r>
            <w:r>
              <w:rPr>
                <w:rFonts w:ascii="Times New Roman" w:eastAsia="宋体" w:cs="Times New Roman" w:hAnsi="Times New Roman"/>
                <w:snapToGrid w:val="0"/>
                <w:color w:val="auto"/>
                <w:sz w:val="24"/>
                <w:szCs w:val="24"/>
                <w:u w:val="none"/>
                <w:vertAlign w:val="superscript"/>
                <w:highlight w:val="none"/>
              </w:rPr>
              <w:t>3</w:t>
            </w:r>
            <w:r>
              <w:rPr>
                <w:rFonts w:ascii="Times New Roman" w:eastAsia="宋体" w:cs="Times New Roman" w:hAnsi="Times New Roman"/>
                <w:snapToGrid w:val="0"/>
                <w:color w:val="auto"/>
                <w:sz w:val="24"/>
                <w:szCs w:val="24"/>
                <w:u w:val="none"/>
                <w:highlight w:val="none"/>
              </w:rPr>
              <w:t>，本项目使用商品混凝土</w:t>
            </w:r>
            <w:r>
              <w:rPr>
                <w:rFonts w:eastAsia="宋体" w:cs="Times New Roman" w:hint="eastAsia"/>
                <w:snapToGrid w:val="0"/>
                <w:color w:val="auto"/>
                <w:sz w:val="24"/>
                <w:szCs w:val="24"/>
                <w:u w:val="none"/>
                <w:lang w:val="en-US" w:eastAsia="zh-CN"/>
                <w:highlight w:val="none"/>
              </w:rPr>
              <w:t>约</w:t>
            </w:r>
            <w:r>
              <w:rPr>
                <w:rFonts w:cs="Times New Roman" w:hint="eastAsia"/>
                <w:snapToGrid w:val="0"/>
                <w:color w:val="auto"/>
                <w:sz w:val="24"/>
                <w:szCs w:val="24"/>
                <w:u w:val="none"/>
                <w:lang w:val="en-US" w:eastAsia="zh-CN"/>
                <w:highlight w:val="none"/>
              </w:rPr>
              <w:t>1530</w:t>
            </w:r>
            <w:r>
              <w:rPr>
                <w:rFonts w:ascii="Times New Roman" w:eastAsia="宋体" w:cs="Times New Roman" w:hAnsi="Times New Roman"/>
                <w:snapToGrid w:val="0"/>
                <w:color w:val="auto"/>
                <w:sz w:val="24"/>
                <w:szCs w:val="24"/>
                <w:u w:val="none"/>
                <w:highlight w:val="none"/>
              </w:rPr>
              <w:t>m</w:t>
            </w:r>
            <w:r>
              <w:rPr>
                <w:rFonts w:ascii="Times New Roman" w:eastAsia="宋体" w:cs="Times New Roman" w:hAnsi="Times New Roman"/>
                <w:snapToGrid w:val="0"/>
                <w:color w:val="auto"/>
                <w:sz w:val="24"/>
                <w:szCs w:val="24"/>
                <w:u w:val="none"/>
                <w:vertAlign w:val="superscript"/>
                <w:highlight w:val="none"/>
              </w:rPr>
              <w:t>3</w:t>
            </w:r>
            <w:r>
              <w:rPr>
                <w:rFonts w:ascii="Times New Roman" w:eastAsia="宋体" w:cs="Times New Roman" w:hAnsi="Times New Roman"/>
                <w:snapToGrid w:val="0"/>
                <w:color w:val="auto"/>
                <w:sz w:val="24"/>
                <w:szCs w:val="24"/>
                <w:u w:val="none"/>
                <w:highlight w:val="none"/>
              </w:rPr>
              <w:t>，则混凝土养护用水量为</w:t>
            </w:r>
            <w:r>
              <w:rPr>
                <w:rFonts w:cs="Times New Roman" w:hint="eastAsia"/>
                <w:snapToGrid w:val="0"/>
                <w:color w:val="auto"/>
                <w:sz w:val="24"/>
                <w:szCs w:val="24"/>
                <w:u w:val="none"/>
                <w:lang w:val="en-US" w:eastAsia="zh-CN"/>
                <w:highlight w:val="none"/>
              </w:rPr>
              <w:t>535.5</w:t>
            </w:r>
            <w:r>
              <w:rPr>
                <w:rFonts w:ascii="Times New Roman" w:eastAsia="宋体" w:cs="Times New Roman" w:hAnsi="Times New Roman"/>
                <w:snapToGrid w:val="0"/>
                <w:color w:val="auto"/>
                <w:sz w:val="24"/>
                <w:szCs w:val="24"/>
                <w:u w:val="none"/>
                <w:highlight w:val="none"/>
              </w:rPr>
              <w:t>m</w:t>
            </w:r>
            <w:r>
              <w:rPr>
                <w:rFonts w:ascii="Times New Roman" w:eastAsia="宋体" w:cs="Times New Roman" w:hAnsi="Times New Roman"/>
                <w:snapToGrid w:val="0"/>
                <w:color w:val="auto"/>
                <w:sz w:val="24"/>
                <w:szCs w:val="24"/>
                <w:u w:val="none"/>
                <w:vertAlign w:val="superscript"/>
                <w:highlight w:val="none"/>
              </w:rPr>
              <w:t>3</w:t>
            </w:r>
            <w:r>
              <w:rPr>
                <w:rFonts w:ascii="Times New Roman" w:eastAsia="宋体" w:cs="Times New Roman" w:hAnsi="Times New Roman"/>
                <w:snapToGrid w:val="0"/>
                <w:color w:val="auto"/>
                <w:sz w:val="24"/>
                <w:szCs w:val="24"/>
                <w:u w:val="none"/>
                <w:highlight w:val="none"/>
              </w:rPr>
              <w:t>，施工期按3</w:t>
            </w:r>
            <w:r>
              <w:rPr>
                <w:rFonts w:eastAsia="宋体" w:cs="Times New Roman" w:hint="eastAsia"/>
                <w:snapToGrid w:val="0"/>
                <w:color w:val="auto"/>
                <w:sz w:val="24"/>
                <w:szCs w:val="24"/>
                <w:u w:val="none"/>
                <w:lang w:val="en-US" w:eastAsia="zh-CN"/>
                <w:highlight w:val="none"/>
              </w:rPr>
              <w:t>00</w:t>
            </w:r>
            <w:r>
              <w:rPr>
                <w:rFonts w:ascii="Times New Roman" w:eastAsia="宋体" w:cs="Times New Roman" w:hAnsi="Times New Roman"/>
                <w:snapToGrid w:val="0"/>
                <w:color w:val="auto"/>
                <w:sz w:val="24"/>
                <w:szCs w:val="24"/>
                <w:u w:val="none"/>
                <w:highlight w:val="none"/>
              </w:rPr>
              <w:t>天计算，</w:t>
            </w:r>
            <w:r>
              <w:rPr>
                <w:rFonts w:ascii="Times New Roman" w:cs="Times New Roman" w:hAnsi="Times New Roman"/>
                <w:color w:val="auto"/>
                <w:sz w:val="24"/>
                <w:szCs w:val="24"/>
                <w:u w:val="none"/>
                <w:lang w:eastAsia="zh-CN"/>
                <w:highlight w:val="none"/>
              </w:rPr>
              <w:t>日用水量约</w:t>
            </w:r>
            <w:r>
              <w:rPr>
                <w:rFonts w:cs="Times New Roman" w:hint="eastAsia"/>
                <w:color w:val="auto"/>
                <w:sz w:val="24"/>
                <w:szCs w:val="24"/>
                <w:u w:val="none"/>
                <w:lang w:val="en-US" w:eastAsia="zh-CN"/>
                <w:highlight w:val="none"/>
              </w:rPr>
              <w:t>1.785</w:t>
            </w:r>
            <w:r>
              <w:rPr>
                <w:rFonts w:ascii="Times New Roman" w:cs="Times New Roman" w:hAnsi="Times New Roman"/>
                <w:color w:val="auto"/>
                <w:sz w:val="24"/>
                <w:szCs w:val="24"/>
                <w:u w:val="none"/>
                <w:lang w:eastAsia="zh-CN"/>
                <w:highlight w:val="none"/>
              </w:rPr>
              <w:t>m</w:t>
            </w:r>
            <w:r>
              <w:rPr>
                <w:rFonts w:ascii="Times New Roman" w:cs="Times New Roman" w:hAnsi="Times New Roman"/>
                <w:color w:val="auto"/>
                <w:sz w:val="24"/>
                <w:szCs w:val="24"/>
                <w:u w:val="none"/>
                <w:vertAlign w:val="superscript"/>
                <w:lang w:eastAsia="zh-CN"/>
                <w:highlight w:val="none"/>
              </w:rPr>
              <w:t>3</w:t>
            </w:r>
            <w:r>
              <w:rPr>
                <w:rFonts w:ascii="Times New Roman" w:cs="Times New Roman" w:hAnsi="Times New Roman"/>
                <w:color w:val="auto"/>
                <w:sz w:val="24"/>
                <w:szCs w:val="24"/>
                <w:u w:val="none"/>
                <w:lang w:eastAsia="zh-CN"/>
                <w:highlight w:val="none"/>
              </w:rPr>
              <w:t>/d。</w:t>
            </w:r>
            <w:r>
              <w:rPr>
                <w:rFonts w:cs="Times New Roman" w:hint="eastAsia"/>
                <w:color w:val="auto"/>
                <w:sz w:val="24"/>
                <w:szCs w:val="24"/>
                <w:u w:val="none"/>
                <w:lang w:val="en-US" w:eastAsia="zh-CN"/>
                <w:highlight w:val="none"/>
              </w:rPr>
              <w:t>全部蒸发，不外排</w:t>
            </w:r>
            <w:r>
              <w:rPr>
                <w:rFonts w:ascii="Times New Roman" w:cs="Times New Roman" w:hAnsi="Times New Roman"/>
                <w:color w:val="auto"/>
                <w:sz w:val="24"/>
                <w:szCs w:val="24"/>
                <w:u w:val="none"/>
                <w:lang w:eastAsia="zh-CN"/>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textAlignment w:val="auto"/>
              <w:rPr>
                <w:color w:val="auto"/>
                <w:kern w:val="0"/>
                <w:sz w:val="24"/>
                <w:szCs w:val="24"/>
                <w:u w:val="none"/>
                <w:lang w:eastAsia="zh-CN"/>
                <w:highlight w:val="none"/>
              </w:rPr>
            </w:pPr>
            <w:r>
              <w:rPr>
                <w:color w:val="auto"/>
                <w:kern w:val="0"/>
                <w:sz w:val="24"/>
                <w:szCs w:val="24"/>
                <w:u w:val="none"/>
                <w:lang w:eastAsia="zh-CN"/>
                <w:highlight w:val="none"/>
              </w:rPr>
              <w:fldChar w:fldCharType="begin"/>
            </w:r>
            <w:r>
              <w:rPr>
                <w:color w:val="auto"/>
                <w:kern w:val="0"/>
                <w:sz w:val="24"/>
                <w:szCs w:val="24"/>
                <w:u w:val="none"/>
                <w:lang w:eastAsia="zh-CN"/>
                <w:highlight w:val="none"/>
              </w:rPr>
              <w:instrText xml:space="preserve"> = 2 \* GB3 \* MERGEFORMAT </w:instrText>
            </w:r>
            <w:r>
              <w:rPr>
                <w:color w:val="auto"/>
                <w:kern w:val="0"/>
                <w:sz w:val="24"/>
                <w:szCs w:val="24"/>
                <w:u w:val="none"/>
                <w:lang w:eastAsia="zh-CN"/>
                <w:highlight w:val="none"/>
              </w:rPr>
              <w:fldChar w:fldCharType="separate"/>
            </w:r>
            <w:r>
              <w:rPr>
                <w:sz w:val="24"/>
                <w:szCs w:val="24"/>
                <w:u w:val="none"/>
                <w:highlight w:val="none"/>
              </w:rPr>
              <w:t>②</w:t>
            </w:r>
            <w:r>
              <w:rPr>
                <w:color w:val="auto"/>
                <w:kern w:val="0"/>
                <w:sz w:val="24"/>
                <w:szCs w:val="24"/>
                <w:u w:val="none"/>
                <w:lang w:eastAsia="zh-CN"/>
                <w:highlight w:val="none"/>
              </w:rPr>
              <w:fldChar w:fldCharType="end"/>
            </w:r>
            <w:r>
              <w:rPr>
                <w:color w:val="auto"/>
                <w:kern w:val="0"/>
                <w:sz w:val="24"/>
                <w:szCs w:val="24"/>
                <w:u w:val="none"/>
                <w:lang w:eastAsia="zh-CN"/>
                <w:highlight w:val="none"/>
              </w:rPr>
              <w:t>机械检修、冲洗废水</w:t>
            </w:r>
          </w:p>
          <w:p>
            <w:pPr>
              <w:keepNext w:val="0"/>
              <w:keepLines w:val="0"/>
              <w:pageBreakBefore w:val="0"/>
              <w:widowControl w:val="0"/>
              <w:kinsoku/>
              <w:wordWrap/>
              <w:overflowPunct/>
              <w:topLinePunct w:val="0"/>
              <w:autoSpaceDE/>
              <w:autoSpaceDN/>
              <w:bidi w:val="0"/>
              <w:spacing w:line="360" w:lineRule="auto"/>
              <w:ind w:firstLineChars="200" w:firstLine="480"/>
              <w:textAlignment w:val="auto"/>
              <w:rPr>
                <w:color w:val="auto"/>
                <w:kern w:val="0"/>
                <w:sz w:val="24"/>
                <w:szCs w:val="24"/>
                <w:u w:val="none"/>
                <w:lang w:eastAsia="zh-CN"/>
                <w:highlight w:val="none"/>
              </w:rPr>
            </w:pPr>
            <w:r>
              <w:rPr>
                <w:rFonts w:ascii="Times New Roman" w:cs="Times New Roman" w:hAnsi="Times New Roman"/>
                <w:color w:val="auto"/>
                <w:sz w:val="24"/>
                <w:szCs w:val="24"/>
                <w:u w:val="none"/>
                <w:lang w:eastAsia="zh-CN"/>
                <w:highlight w:val="none"/>
              </w:rPr>
              <w:t>本工程以油料为动力的施工机械和车辆共</w:t>
            </w:r>
            <w:r>
              <w:rPr>
                <w:rFonts w:cs="Times New Roman" w:hint="eastAsia"/>
                <w:color w:val="auto"/>
                <w:sz w:val="24"/>
                <w:szCs w:val="24"/>
                <w:u w:val="none"/>
                <w:lang w:val="en-US" w:eastAsia="zh-CN"/>
                <w:highlight w:val="none"/>
              </w:rPr>
              <w:t>28</w:t>
            </w:r>
            <w:r>
              <w:rPr>
                <w:rFonts w:ascii="Times New Roman" w:cs="Times New Roman" w:hAnsi="Times New Roman"/>
                <w:color w:val="auto"/>
                <w:sz w:val="24"/>
                <w:szCs w:val="24"/>
                <w:u w:val="none"/>
                <w:lang w:eastAsia="zh-CN"/>
                <w:highlight w:val="none"/>
              </w:rPr>
              <w:t>台，按每辆用水量0.10m</w:t>
            </w:r>
            <w:r>
              <w:rPr>
                <w:rFonts w:ascii="Times New Roman" w:cs="Times New Roman" w:hAnsi="Times New Roman"/>
                <w:color w:val="auto"/>
                <w:sz w:val="24"/>
                <w:szCs w:val="24"/>
                <w:u w:val="none"/>
                <w:vertAlign w:val="superscript"/>
                <w:lang w:eastAsia="zh-CN"/>
                <w:highlight w:val="none"/>
              </w:rPr>
              <w:t>3</w:t>
            </w:r>
            <w:r>
              <w:rPr>
                <w:rFonts w:ascii="Times New Roman" w:cs="Times New Roman" w:hAnsi="Times New Roman"/>
                <w:color w:val="auto"/>
                <w:sz w:val="24"/>
                <w:szCs w:val="24"/>
                <w:u w:val="none"/>
                <w:lang w:eastAsia="zh-CN"/>
                <w:highlight w:val="none"/>
              </w:rPr>
              <w:t>/d计，则机械检修、冲洗用水量为</w:t>
            </w:r>
            <w:r>
              <w:rPr>
                <w:rFonts w:cs="Times New Roman" w:hint="eastAsia"/>
                <w:color w:val="auto"/>
                <w:sz w:val="24"/>
                <w:szCs w:val="24"/>
                <w:u w:val="none"/>
                <w:lang w:val="en-US" w:eastAsia="zh-CN"/>
                <w:highlight w:val="none"/>
              </w:rPr>
              <w:t>2.8</w:t>
            </w:r>
            <w:r>
              <w:rPr>
                <w:rFonts w:ascii="Times New Roman" w:cs="Times New Roman" w:hAnsi="Times New Roman"/>
                <w:color w:val="auto"/>
                <w:sz w:val="24"/>
                <w:szCs w:val="24"/>
                <w:u w:val="none"/>
                <w:lang w:eastAsia="zh-CN"/>
                <w:highlight w:val="none"/>
              </w:rPr>
              <w:t>m</w:t>
            </w:r>
            <w:r>
              <w:rPr>
                <w:rFonts w:ascii="Times New Roman" w:cs="Times New Roman" w:hAnsi="Times New Roman"/>
                <w:color w:val="auto"/>
                <w:sz w:val="24"/>
                <w:szCs w:val="24"/>
                <w:u w:val="none"/>
                <w:vertAlign w:val="superscript"/>
                <w:lang w:eastAsia="zh-CN"/>
                <w:highlight w:val="none"/>
              </w:rPr>
              <w:t>3</w:t>
            </w:r>
            <w:r>
              <w:rPr>
                <w:rFonts w:ascii="Times New Roman" w:cs="Times New Roman" w:hAnsi="Times New Roman"/>
                <w:color w:val="auto"/>
                <w:sz w:val="24"/>
                <w:szCs w:val="24"/>
                <w:u w:val="none"/>
                <w:lang w:eastAsia="zh-CN"/>
                <w:highlight w:val="none"/>
              </w:rPr>
              <w:t>/d（</w:t>
            </w:r>
            <w:r>
              <w:rPr>
                <w:rFonts w:cs="Times New Roman" w:hint="eastAsia"/>
                <w:color w:val="auto"/>
                <w:sz w:val="24"/>
                <w:szCs w:val="24"/>
                <w:u w:val="none"/>
                <w:lang w:val="en-US" w:eastAsia="zh-CN"/>
                <w:highlight w:val="none"/>
              </w:rPr>
              <w:t>840</w:t>
            </w:r>
            <w:r>
              <w:rPr>
                <w:rFonts w:ascii="Times New Roman" w:cs="Times New Roman" w:hAnsi="Times New Roman"/>
                <w:color w:val="auto"/>
                <w:sz w:val="24"/>
                <w:szCs w:val="24"/>
                <w:u w:val="none"/>
                <w:lang w:eastAsia="zh-CN"/>
                <w:highlight w:val="none"/>
              </w:rPr>
              <w:t>m</w:t>
            </w:r>
            <w:r>
              <w:rPr>
                <w:rFonts w:ascii="Times New Roman" w:cs="Times New Roman" w:hAnsi="Times New Roman"/>
                <w:color w:val="auto"/>
                <w:sz w:val="24"/>
                <w:szCs w:val="24"/>
                <w:u w:val="none"/>
                <w:vertAlign w:val="superscript"/>
                <w:lang w:eastAsia="zh-CN"/>
                <w:highlight w:val="none"/>
              </w:rPr>
              <w:t>3</w:t>
            </w:r>
            <w:r>
              <w:rPr>
                <w:rFonts w:ascii="Times New Roman" w:cs="Times New Roman" w:hAnsi="Times New Roman"/>
                <w:color w:val="auto"/>
                <w:sz w:val="24"/>
                <w:szCs w:val="24"/>
                <w:u w:val="none"/>
                <w:lang w:eastAsia="zh-CN"/>
                <w:highlight w:val="none"/>
              </w:rPr>
              <w:t>），其中</w:t>
            </w:r>
            <w:r>
              <w:rPr>
                <w:rFonts w:cs="Times New Roman" w:hint="eastAsia"/>
                <w:color w:val="auto"/>
                <w:sz w:val="24"/>
                <w:szCs w:val="24"/>
                <w:u w:val="none"/>
                <w:lang w:val="en-US" w:eastAsia="zh-CN"/>
                <w:highlight w:val="none"/>
              </w:rPr>
              <w:t>0.56</w:t>
            </w:r>
            <w:r>
              <w:rPr>
                <w:rFonts w:ascii="Times New Roman" w:cs="Times New Roman" w:hAnsi="Times New Roman"/>
                <w:color w:val="auto"/>
                <w:sz w:val="24"/>
                <w:szCs w:val="24"/>
                <w:u w:val="none"/>
                <w:lang w:eastAsia="zh-CN"/>
                <w:highlight w:val="none"/>
              </w:rPr>
              <w:t>m</w:t>
            </w:r>
            <w:r>
              <w:rPr>
                <w:rFonts w:ascii="Times New Roman" w:cs="Times New Roman" w:hAnsi="Times New Roman"/>
                <w:color w:val="auto"/>
                <w:sz w:val="24"/>
                <w:szCs w:val="24"/>
                <w:u w:val="none"/>
                <w:vertAlign w:val="superscript"/>
                <w:lang w:eastAsia="zh-CN"/>
                <w:highlight w:val="none"/>
              </w:rPr>
              <w:t>3</w:t>
            </w:r>
            <w:r>
              <w:rPr>
                <w:rFonts w:ascii="Times New Roman" w:cs="Times New Roman" w:hAnsi="Times New Roman"/>
                <w:color w:val="auto"/>
                <w:sz w:val="24"/>
                <w:szCs w:val="24"/>
                <w:u w:val="none"/>
                <w:lang w:eastAsia="zh-CN"/>
                <w:highlight w:val="none"/>
              </w:rPr>
              <w:t>/d新鲜水，</w:t>
            </w:r>
            <w:r>
              <w:rPr>
                <w:rFonts w:cs="Times New Roman" w:hint="eastAsia"/>
                <w:color w:val="auto"/>
                <w:sz w:val="24"/>
                <w:szCs w:val="24"/>
                <w:u w:val="none"/>
                <w:lang w:val="en-US" w:eastAsia="zh-CN"/>
                <w:highlight w:val="none"/>
              </w:rPr>
              <w:t>2.24</w:t>
            </w:r>
            <w:r>
              <w:rPr>
                <w:rFonts w:ascii="Times New Roman" w:cs="Times New Roman" w:hAnsi="Times New Roman"/>
                <w:color w:val="auto"/>
                <w:sz w:val="24"/>
                <w:szCs w:val="24"/>
                <w:u w:val="none"/>
                <w:lang w:eastAsia="zh-CN"/>
                <w:highlight w:val="none"/>
              </w:rPr>
              <w:t>m</w:t>
            </w:r>
            <w:r>
              <w:rPr>
                <w:rFonts w:ascii="Times New Roman" w:cs="Times New Roman" w:hAnsi="Times New Roman"/>
                <w:color w:val="auto"/>
                <w:sz w:val="24"/>
                <w:szCs w:val="24"/>
                <w:u w:val="none"/>
                <w:vertAlign w:val="superscript"/>
                <w:lang w:eastAsia="zh-CN"/>
                <w:highlight w:val="none"/>
              </w:rPr>
              <w:t>3</w:t>
            </w:r>
            <w:r>
              <w:rPr>
                <w:rFonts w:ascii="Times New Roman" w:cs="Times New Roman" w:hAnsi="Times New Roman"/>
                <w:color w:val="auto"/>
                <w:sz w:val="24"/>
                <w:szCs w:val="24"/>
                <w:u w:val="none"/>
                <w:lang w:eastAsia="zh-CN"/>
                <w:highlight w:val="none"/>
              </w:rPr>
              <w:t>/d为循环用水</w:t>
            </w:r>
            <w:r>
              <w:rPr>
                <w:rFonts w:cs="Times New Roman" w:hint="eastAsia"/>
                <w:color w:val="auto"/>
                <w:sz w:val="24"/>
                <w:szCs w:val="24"/>
                <w:u w:val="none"/>
                <w:lang w:eastAsia="zh-CN"/>
                <w:highlight w:val="none"/>
              </w:rPr>
              <w:t>，</w:t>
            </w:r>
            <w:r>
              <w:rPr>
                <w:rFonts w:cs="Times New Roman" w:hint="eastAsia"/>
                <w:color w:val="auto"/>
                <w:sz w:val="24"/>
                <w:szCs w:val="24"/>
                <w:u w:val="none"/>
                <w:lang w:val="en-US" w:eastAsia="zh-CN"/>
                <w:highlight w:val="none"/>
              </w:rPr>
              <w:t>无废水外排</w:t>
            </w:r>
            <w:r>
              <w:rPr>
                <w:color w:val="auto"/>
                <w:kern w:val="0"/>
                <w:sz w:val="24"/>
                <w:szCs w:val="24"/>
                <w:u w:val="none"/>
                <w:lang w:eastAsia="zh-CN"/>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textAlignment w:val="auto"/>
              <w:rPr>
                <w:color w:val="auto"/>
                <w:kern w:val="0"/>
                <w:sz w:val="24"/>
                <w:szCs w:val="24"/>
                <w:u w:val="none"/>
                <w:lang w:val="en-US" w:eastAsia="zh-CN"/>
                <w:highlight w:val="none"/>
              </w:rPr>
            </w:pPr>
            <w:r>
              <w:rPr>
                <w:rFonts w:hint="eastAsia"/>
                <w:color w:val="auto"/>
                <w:kern w:val="0"/>
                <w:sz w:val="24"/>
                <w:szCs w:val="24"/>
                <w:u w:val="none"/>
                <w:lang w:val="en-US" w:eastAsia="zh-CN"/>
                <w:highlight w:val="none"/>
              </w:rPr>
              <w:t>施工废水经隔油沉淀后回用于施工现场，不外排，因此，施工废水对不会对周边水体产生影响。</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textAlignment w:val="auto"/>
              <w:rPr>
                <w:rFonts w:eastAsia="宋体"/>
                <w:b/>
                <w:bCs/>
                <w:color w:val="auto"/>
                <w:kern w:val="0"/>
                <w:sz w:val="24"/>
                <w:szCs w:val="24"/>
                <w:u w:val="none"/>
                <w:lang w:val="en-US" w:eastAsia="zh-CN"/>
                <w:highlight w:val="none"/>
              </w:rPr>
            </w:pPr>
            <w:r>
              <w:rPr>
                <w:rFonts w:hint="eastAsia"/>
                <w:b/>
                <w:bCs/>
                <w:color w:val="auto"/>
                <w:kern w:val="0"/>
                <w:sz w:val="24"/>
                <w:szCs w:val="24"/>
                <w:u w:val="none"/>
                <w:lang w:eastAsia="zh-CN"/>
                <w:highlight w:val="none"/>
              </w:rPr>
              <w:t>（</w:t>
            </w:r>
            <w:r>
              <w:rPr>
                <w:rFonts w:hint="eastAsia"/>
                <w:b/>
                <w:bCs/>
                <w:color w:val="auto"/>
                <w:kern w:val="0"/>
                <w:sz w:val="24"/>
                <w:szCs w:val="24"/>
                <w:u w:val="none"/>
                <w:lang w:val="en-US" w:eastAsia="zh-CN"/>
                <w:highlight w:val="none"/>
              </w:rPr>
              <w:t>2）基坑排水</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textAlignment w:val="auto"/>
              <w:rPr>
                <w:rFonts w:eastAsia="宋体"/>
                <w:color w:val="auto"/>
                <w:kern w:val="0"/>
                <w:sz w:val="24"/>
                <w:szCs w:val="24"/>
                <w:u w:val="none"/>
                <w:lang w:val="en-US" w:eastAsia="zh-CN"/>
                <w:highlight w:val="none"/>
              </w:rPr>
            </w:pPr>
            <w:r>
              <w:rPr>
                <w:rFonts w:hint="eastAsia"/>
                <w:color w:val="auto"/>
                <w:kern w:val="0"/>
                <w:sz w:val="24"/>
                <w:szCs w:val="24"/>
                <w:u w:val="none"/>
                <w:lang w:val="en-US" w:eastAsia="zh-CN"/>
                <w:highlight w:val="none"/>
              </w:rPr>
              <w:t>取水泵房基坑在降水期间会产生废水，主要污染物为悬浮物。根据类比，基坑废水中SS浓度约1000</w:t>
            </w:r>
            <w:r>
              <w:rPr>
                <w:color w:val="auto"/>
                <w:sz w:val="24"/>
                <w:szCs w:val="24"/>
                <w:u w:val="none"/>
                <w:lang w:val="en-US" w:eastAsia="zh-CN"/>
                <w:highlight w:val="none"/>
              </w:rPr>
              <w:t>mg/L</w:t>
            </w:r>
            <w:r>
              <w:rPr>
                <w:rFonts w:hint="eastAsia"/>
                <w:color w:val="auto"/>
                <w:sz w:val="24"/>
                <w:szCs w:val="24"/>
                <w:u w:val="none"/>
                <w:lang w:val="en-US" w:eastAsia="zh-CN"/>
                <w:highlight w:val="none"/>
              </w:rPr>
              <w:t>。</w:t>
            </w:r>
            <w:r>
              <w:rPr>
                <w:rFonts w:hint="eastAsia"/>
                <w:color w:val="auto"/>
                <w:kern w:val="0"/>
                <w:sz w:val="24"/>
                <w:szCs w:val="24"/>
                <w:u w:val="none"/>
                <w:lang w:val="en-US" w:eastAsia="zh-CN"/>
                <w:highlight w:val="none"/>
              </w:rPr>
              <w:t>若不经处理直接外排，会影响太青水库水质。因此，本环评要求在取水泵房周边设置絮凝池+沉淀池处理，处理效率达到《污水综合排放标准》（GB8978-1996）表4中一级标准后外排至太青水库泄洪沟（经管道引至太青水库泄洪沟，排放口未在保护区范围内）。本环评建议建设单位采用移动式污水处理设施，满足基坑排水量要求。</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textAlignment w:val="auto"/>
              <w:rPr>
                <w:color w:val="auto"/>
                <w:kern w:val="0"/>
                <w:sz w:val="24"/>
                <w:szCs w:val="24"/>
                <w:u w:val="none"/>
                <w:lang w:val="en-US" w:eastAsia="zh-CN"/>
                <w:highlight w:val="none"/>
              </w:rPr>
            </w:pPr>
            <w:r>
              <w:rPr>
                <w:rFonts w:hint="eastAsia"/>
                <w:color w:val="auto"/>
                <w:kern w:val="0"/>
                <w:sz w:val="24"/>
                <w:szCs w:val="24"/>
                <w:u w:val="none"/>
                <w:lang w:val="en-US" w:eastAsia="zh-CN"/>
                <w:highlight w:val="none"/>
              </w:rPr>
              <w:t>项目基坑废水产生浓度约1000mg/L。根据资料显示，絮凝剂去除SS效率为91.1%，沉淀池去除SS效率为30%，因此，经絮凝+沉淀处理后，基坑废水中SS浓度为62.3mg/L，可以满足《污水综合排放标准》（GB8978-1996）表4中一级标准70mg/L。</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textAlignment w:val="auto"/>
              <w:rPr>
                <w:rFonts w:eastAsia="宋体"/>
                <w:color w:val="auto"/>
                <w:kern w:val="0"/>
                <w:sz w:val="24"/>
                <w:szCs w:val="24"/>
                <w:u w:val="none"/>
                <w:lang w:val="en-US" w:eastAsia="zh-CN"/>
                <w:highlight w:val="none"/>
              </w:rPr>
            </w:pPr>
            <w:r>
              <w:rPr>
                <w:rFonts w:hint="eastAsia"/>
                <w:color w:val="auto"/>
                <w:kern w:val="0"/>
                <w:sz w:val="24"/>
                <w:szCs w:val="24"/>
                <w:u w:val="none"/>
                <w:lang w:val="en-US" w:eastAsia="zh-CN"/>
                <w:highlight w:val="none"/>
              </w:rPr>
              <w:t>建设单位在落实上述措施的基础上，基坑降水产生的废水不会对太青水库水质产生较大影响。</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textAlignment w:val="auto"/>
              <w:rPr>
                <w:b/>
                <w:bCs/>
                <w:color w:val="auto"/>
                <w:kern w:val="0"/>
                <w:sz w:val="24"/>
                <w:szCs w:val="24"/>
                <w:u w:val="none"/>
                <w:highlight w:val="none"/>
              </w:rPr>
            </w:pPr>
            <w:r>
              <w:rPr>
                <w:b/>
                <w:bCs/>
                <w:color w:val="auto"/>
                <w:kern w:val="0"/>
                <w:sz w:val="24"/>
                <w:szCs w:val="24"/>
                <w:u w:val="none"/>
                <w:highlight w:val="none"/>
              </w:rPr>
              <w:t>（</w:t>
            </w:r>
            <w:r>
              <w:rPr>
                <w:rFonts w:hint="eastAsia"/>
                <w:b/>
                <w:bCs/>
                <w:color w:val="auto"/>
                <w:kern w:val="0"/>
                <w:sz w:val="24"/>
                <w:szCs w:val="24"/>
                <w:u w:val="none"/>
                <w:lang w:val="en-US" w:eastAsia="zh-CN"/>
                <w:highlight w:val="none"/>
              </w:rPr>
              <w:t>3</w:t>
            </w:r>
            <w:r>
              <w:rPr>
                <w:b/>
                <w:bCs/>
                <w:color w:val="auto"/>
                <w:kern w:val="0"/>
                <w:sz w:val="24"/>
                <w:szCs w:val="24"/>
                <w:u w:val="none"/>
                <w:highlight w:val="none"/>
              </w:rPr>
              <w:t>）</w:t>
            </w:r>
            <w:r>
              <w:rPr>
                <w:b/>
                <w:bCs/>
                <w:color w:val="auto"/>
                <w:sz w:val="24"/>
                <w:szCs w:val="24"/>
                <w:u w:val="none"/>
                <w:highlight w:val="none"/>
              </w:rPr>
              <w:t>生活废水</w:t>
            </w:r>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textAlignment w:val="auto"/>
              <w:rPr>
                <w:rFonts w:hint="eastAsia"/>
                <w:color w:val="auto"/>
                <w:kern w:val="0"/>
                <w:sz w:val="24"/>
                <w:szCs w:val="24"/>
                <w:u w:val="none"/>
                <w:lang w:val="en-US" w:eastAsia="zh-CN"/>
                <w:highlight w:val="none"/>
              </w:rPr>
            </w:pPr>
            <w:r>
              <w:rPr>
                <w:rFonts w:hint="eastAsia"/>
                <w:color w:val="auto"/>
                <w:kern w:val="0"/>
                <w:sz w:val="24"/>
                <w:szCs w:val="24"/>
                <w:u w:val="none"/>
                <w:lang w:val="en-US" w:eastAsia="zh-CN"/>
                <w:highlight w:val="none"/>
              </w:rPr>
              <w:t xml:space="preserve">施工人员生活污水主要含有 </w:t>
            </w:r>
            <w:r>
              <w:rPr>
                <w:color w:val="auto"/>
                <w:kern w:val="0"/>
                <w:sz w:val="24"/>
                <w:szCs w:val="24"/>
                <w:u w:val="none"/>
                <w:lang w:val="en-US" w:eastAsia="zh-CN"/>
                <w:highlight w:val="none"/>
              </w:rPr>
              <w:t>COD</w:t>
            </w:r>
            <w:r>
              <w:rPr>
                <w:color w:val="auto"/>
                <w:kern w:val="0"/>
                <w:sz w:val="24"/>
                <w:szCs w:val="24"/>
                <w:u w:val="none"/>
                <w:vertAlign w:val="subscript"/>
                <w:lang w:val="en-US" w:eastAsia="zh-CN"/>
                <w:highlight w:val="none"/>
              </w:rPr>
              <w:t>Cr</w:t>
            </w:r>
            <w:r>
              <w:rPr>
                <w:rFonts w:hint="eastAsia"/>
                <w:color w:val="auto"/>
                <w:kern w:val="0"/>
                <w:sz w:val="24"/>
                <w:szCs w:val="24"/>
                <w:u w:val="none"/>
                <w:lang w:val="en-US" w:eastAsia="zh-CN"/>
                <w:highlight w:val="none"/>
              </w:rPr>
              <w:t>、</w:t>
            </w:r>
            <w:r>
              <w:rPr>
                <w:color w:val="auto"/>
                <w:kern w:val="0"/>
                <w:sz w:val="24"/>
                <w:szCs w:val="24"/>
                <w:u w:val="none"/>
                <w:lang w:val="en-US" w:eastAsia="zh-CN"/>
                <w:highlight w:val="none"/>
              </w:rPr>
              <w:t>BOD</w:t>
            </w:r>
            <w:r>
              <w:rPr>
                <w:color w:val="auto"/>
                <w:kern w:val="0"/>
                <w:sz w:val="24"/>
                <w:szCs w:val="24"/>
                <w:u w:val="none"/>
                <w:vertAlign w:val="subscript"/>
                <w:lang w:val="en-US" w:eastAsia="zh-CN"/>
                <w:highlight w:val="none"/>
              </w:rPr>
              <w:t>5</w:t>
            </w:r>
            <w:r>
              <w:rPr>
                <w:rFonts w:hint="eastAsia"/>
                <w:color w:val="auto"/>
                <w:kern w:val="0"/>
                <w:sz w:val="24"/>
                <w:szCs w:val="24"/>
                <w:u w:val="none"/>
                <w:lang w:val="en-US" w:eastAsia="zh-CN"/>
                <w:highlight w:val="none"/>
              </w:rPr>
              <w:t>、</w:t>
            </w:r>
            <w:r>
              <w:rPr>
                <w:color w:val="auto"/>
                <w:kern w:val="0"/>
                <w:sz w:val="24"/>
                <w:szCs w:val="24"/>
                <w:u w:val="none"/>
                <w:lang w:val="en-US" w:eastAsia="zh-CN"/>
                <w:highlight w:val="none"/>
              </w:rPr>
              <w:t xml:space="preserve">SS </w:t>
            </w:r>
            <w:r>
              <w:rPr>
                <w:rFonts w:hint="eastAsia"/>
                <w:color w:val="auto"/>
                <w:kern w:val="0"/>
                <w:sz w:val="24"/>
                <w:szCs w:val="24"/>
                <w:u w:val="none"/>
                <w:lang w:val="en-US" w:eastAsia="zh-CN"/>
                <w:highlight w:val="none"/>
              </w:rPr>
              <w:t xml:space="preserve">和 </w:t>
            </w:r>
            <w:r>
              <w:rPr>
                <w:color w:val="auto"/>
                <w:kern w:val="0"/>
                <w:sz w:val="24"/>
                <w:szCs w:val="24"/>
                <w:u w:val="none"/>
                <w:lang w:val="en-US" w:eastAsia="zh-CN"/>
                <w:highlight w:val="none"/>
              </w:rPr>
              <w:t>NH</w:t>
            </w:r>
            <w:r>
              <w:rPr>
                <w:color w:val="auto"/>
                <w:kern w:val="0"/>
                <w:sz w:val="24"/>
                <w:szCs w:val="24"/>
                <w:u w:val="none"/>
                <w:vertAlign w:val="subscript"/>
                <w:lang w:val="en-US" w:eastAsia="zh-CN"/>
                <w:highlight w:val="none"/>
              </w:rPr>
              <w:t>3</w:t>
            </w:r>
            <w:r>
              <w:rPr>
                <w:color w:val="auto"/>
                <w:kern w:val="0"/>
                <w:sz w:val="24"/>
                <w:szCs w:val="24"/>
                <w:u w:val="none"/>
                <w:lang w:val="en-US" w:eastAsia="zh-CN"/>
                <w:highlight w:val="none"/>
              </w:rPr>
              <w:t xml:space="preserve">-N </w:t>
            </w:r>
            <w:r>
              <w:rPr>
                <w:rFonts w:hint="eastAsia"/>
                <w:color w:val="auto"/>
                <w:kern w:val="0"/>
                <w:sz w:val="24"/>
                <w:szCs w:val="24"/>
                <w:u w:val="none"/>
                <w:lang w:val="en-US" w:eastAsia="zh-CN"/>
                <w:highlight w:val="none"/>
              </w:rPr>
              <w:t xml:space="preserve">等污染物，类比一般生活污水水质，污染物含量分别约为 </w:t>
            </w:r>
            <w:r>
              <w:rPr>
                <w:color w:val="auto"/>
                <w:kern w:val="0"/>
                <w:sz w:val="24"/>
                <w:szCs w:val="24"/>
                <w:u w:val="none"/>
                <w:lang w:val="en-US" w:eastAsia="zh-CN"/>
                <w:highlight w:val="none"/>
              </w:rPr>
              <w:t>250mg/L</w:t>
            </w:r>
            <w:r>
              <w:rPr>
                <w:rFonts w:hint="eastAsia"/>
                <w:color w:val="auto"/>
                <w:kern w:val="0"/>
                <w:sz w:val="24"/>
                <w:szCs w:val="24"/>
                <w:u w:val="none"/>
                <w:lang w:val="en-US" w:eastAsia="zh-CN"/>
                <w:highlight w:val="none"/>
              </w:rPr>
              <w:t>、</w:t>
            </w:r>
            <w:r>
              <w:rPr>
                <w:color w:val="auto"/>
                <w:kern w:val="0"/>
                <w:sz w:val="24"/>
                <w:szCs w:val="24"/>
                <w:u w:val="none"/>
                <w:lang w:val="en-US" w:eastAsia="zh-CN"/>
                <w:highlight w:val="none"/>
              </w:rPr>
              <w:t>120mg/L</w:t>
            </w:r>
            <w:r>
              <w:rPr>
                <w:rFonts w:hint="eastAsia"/>
                <w:color w:val="auto"/>
                <w:kern w:val="0"/>
                <w:sz w:val="24"/>
                <w:szCs w:val="24"/>
                <w:u w:val="none"/>
                <w:lang w:val="en-US" w:eastAsia="zh-CN"/>
                <w:highlight w:val="none"/>
              </w:rPr>
              <w:t>、</w:t>
            </w:r>
            <w:r>
              <w:rPr>
                <w:color w:val="auto"/>
                <w:kern w:val="0"/>
                <w:sz w:val="24"/>
                <w:szCs w:val="24"/>
                <w:u w:val="none"/>
                <w:lang w:val="en-US" w:eastAsia="zh-CN"/>
                <w:highlight w:val="none"/>
              </w:rPr>
              <w:t>120mg/L</w:t>
            </w:r>
            <w:r>
              <w:rPr>
                <w:rFonts w:hint="eastAsia"/>
                <w:color w:val="auto"/>
                <w:kern w:val="0"/>
                <w:sz w:val="24"/>
                <w:szCs w:val="24"/>
                <w:u w:val="none"/>
                <w:lang w:val="en-US" w:eastAsia="zh-CN"/>
                <w:highlight w:val="none"/>
              </w:rPr>
              <w:t>、</w:t>
            </w:r>
            <w:r>
              <w:rPr>
                <w:color w:val="auto"/>
                <w:kern w:val="0"/>
                <w:sz w:val="24"/>
                <w:szCs w:val="24"/>
                <w:u w:val="none"/>
                <w:lang w:val="en-US" w:eastAsia="zh-CN"/>
                <w:highlight w:val="none"/>
              </w:rPr>
              <w:t>20mg/L</w:t>
            </w:r>
            <w:r>
              <w:rPr>
                <w:rFonts w:hint="eastAsia"/>
                <w:color w:val="auto"/>
                <w:kern w:val="0"/>
                <w:sz w:val="24"/>
                <w:szCs w:val="24"/>
                <w:u w:val="none"/>
                <w:lang w:val="en-US" w:eastAsia="zh-CN"/>
                <w:highlight w:val="none"/>
              </w:rPr>
              <w:t>，生活污水不经处理直接入河，会对水体水质造成一定污染。</w:t>
            </w:r>
          </w:p>
          <w:p>
            <w:pPr>
              <w:pStyle w:val="110"/>
              <w:keepNext w:val="0"/>
              <w:keepLines w:val="0"/>
              <w:pageBreakBefore w:val="0"/>
              <w:widowControl w:val="0"/>
              <w:kinsoku/>
              <w:wordWrap/>
              <w:overflowPunct/>
              <w:topLinePunct w:val="0"/>
              <w:autoSpaceDE/>
              <w:autoSpaceDN/>
              <w:bidi w:val="0"/>
              <w:spacing w:line="360" w:lineRule="auto"/>
              <w:ind w:firstLineChars="200" w:firstLine="480"/>
              <w:textAlignment w:val="auto"/>
              <w:rPr>
                <w:rFonts w:eastAsia="宋体" w:cs="Times New Roman"/>
                <w:b/>
                <w:bCs/>
                <w:color w:val="auto"/>
                <w:sz w:val="24"/>
                <w:szCs w:val="24"/>
                <w:u w:val="none"/>
                <w:lang w:val="en-US" w:eastAsia="zh-CN"/>
                <w:highlight w:val="none"/>
              </w:rPr>
            </w:pPr>
            <w:r>
              <w:rPr>
                <w:color w:val="auto"/>
                <w:sz w:val="24"/>
                <w:szCs w:val="24"/>
                <w:u w:val="none"/>
                <w:highlight w:val="none"/>
              </w:rPr>
              <w:t>本项目不设集中的施工营地，依托施工地周边现有社会服务设施</w:t>
            </w:r>
            <w:r>
              <w:rPr>
                <w:bCs/>
                <w:color w:val="auto"/>
                <w:sz w:val="24"/>
                <w:szCs w:val="24"/>
                <w:u w:val="none"/>
                <w:highlight w:val="none"/>
              </w:rPr>
              <w:t>，施工期生活污水</w:t>
            </w:r>
            <w:r>
              <w:rPr>
                <w:rFonts w:hint="eastAsia"/>
                <w:bCs/>
                <w:color w:val="auto"/>
                <w:sz w:val="24"/>
                <w:szCs w:val="24"/>
                <w:u w:val="none"/>
                <w:lang w:val="en-US" w:eastAsia="zh-CN"/>
                <w:highlight w:val="none"/>
              </w:rPr>
              <w:t>经化粪池处理后用于周边农灌，不外排</w:t>
            </w:r>
            <w:r>
              <w:rPr>
                <w:bCs/>
                <w:color w:val="auto"/>
                <w:sz w:val="24"/>
                <w:szCs w:val="24"/>
                <w:u w:val="none"/>
                <w:highlight w:val="none"/>
              </w:rPr>
              <w:t>。</w:t>
            </w:r>
            <w:r>
              <w:rPr>
                <w:rFonts w:hint="eastAsia"/>
                <w:bCs/>
                <w:color w:val="auto"/>
                <w:sz w:val="24"/>
                <w:szCs w:val="24"/>
                <w:u w:val="none"/>
                <w:lang w:val="en-US" w:eastAsia="zh-CN"/>
                <w:highlight w:val="none"/>
              </w:rPr>
              <w:t>因此，施工人员生活废水对周边水体不会产生较大影响。</w:t>
            </w:r>
          </w:p>
          <w:p>
            <w:pPr>
              <w:keepNext w:val="0"/>
              <w:keepLines w:val="0"/>
              <w:pageBreakBefore w:val="0"/>
              <w:kinsoku/>
              <w:wordWrap/>
              <w:topLinePunct w:val="0"/>
              <w:bidi w:val="0"/>
              <w:adjustRightInd w:val="0"/>
              <w:snapToGrid w:val="0"/>
              <w:spacing w:line="360" w:lineRule="auto"/>
              <w:rPr>
                <w:rFonts w:ascii="Times New Roman" w:eastAsia="宋体" w:cs="Times New Roman" w:hAnsi="Times New Roman"/>
                <w:b/>
                <w:color w:val="auto"/>
                <w:sz w:val="24"/>
                <w:szCs w:val="24"/>
                <w:u w:val="none"/>
                <w:highlight w:val="none"/>
              </w:rPr>
            </w:pPr>
            <w:r>
              <w:rPr>
                <w:rFonts w:ascii="Times New Roman" w:eastAsia="宋体" w:cs="Times New Roman" w:hAnsi="Times New Roman" w:hint="eastAsia"/>
                <w:b/>
                <w:color w:val="auto"/>
                <w:sz w:val="24"/>
                <w:szCs w:val="24"/>
                <w:u w:val="none"/>
                <w:lang w:val="en-US" w:eastAsia="zh-CN"/>
                <w:highlight w:val="none"/>
              </w:rPr>
              <w:t>3、</w:t>
            </w:r>
            <w:r>
              <w:rPr>
                <w:rFonts w:ascii="Times New Roman" w:eastAsia="宋体" w:cs="Times New Roman" w:hAnsi="Times New Roman"/>
                <w:b/>
                <w:color w:val="auto"/>
                <w:sz w:val="24"/>
                <w:szCs w:val="24"/>
                <w:u w:val="none"/>
                <w:highlight w:val="none"/>
              </w:rPr>
              <w:t>噪声</w:t>
            </w:r>
          </w:p>
          <w:p>
            <w:pPr>
              <w:keepNext w:val="0"/>
              <w:keepLines w:val="0"/>
              <w:pageBreakBefore w:val="0"/>
              <w:kinsoku/>
              <w:wordWrap/>
              <w:topLinePunct w:val="0"/>
              <w:bidi w:val="0"/>
              <w:adjustRightInd w:val="0"/>
              <w:snapToGrid w:val="0"/>
              <w:spacing w:line="360" w:lineRule="auto"/>
              <w:ind w:left="0" w:firstLineChars="200" w:firstLine="480"/>
              <w:rPr>
                <w:rFonts w:ascii="Times New Roman" w:eastAsia="宋体" w:cs="Times New Roman" w:hAnsi="Times New Roman"/>
                <w:color w:val="auto"/>
                <w:sz w:val="24"/>
                <w:szCs w:val="24"/>
                <w:u w:val="none"/>
                <w:highlight w:val="none"/>
              </w:rPr>
            </w:pPr>
            <w:r>
              <w:rPr>
                <w:rFonts w:ascii="Times New Roman" w:eastAsia="宋体" w:cs="Times New Roman" w:hAnsi="Times New Roman"/>
                <w:color w:val="auto"/>
                <w:sz w:val="24"/>
                <w:szCs w:val="24"/>
                <w:u w:val="none"/>
                <w:highlight w:val="none"/>
              </w:rPr>
              <w:t>施工阶段的噪声主要来自施工机械噪声、施工作业噪声和运输车辆噪声，其特点是间歇或阵发性的，并具备流动性、噪声较高的特征，必须采取相应的措施以减小施工噪声及振动对周围环境的影响，措施如下：</w:t>
            </w:r>
          </w:p>
          <w:p>
            <w:pPr>
              <w:keepNext w:val="0"/>
              <w:keepLines w:val="0"/>
              <w:pageBreakBefore w:val="0"/>
              <w:kinsoku/>
              <w:wordWrap/>
              <w:topLinePunct w:val="0"/>
              <w:bidi w:val="0"/>
              <w:adjustRightInd w:val="0"/>
              <w:snapToGrid w:val="0"/>
              <w:spacing w:line="360" w:lineRule="auto"/>
              <w:ind w:left="0" w:firstLineChars="200" w:firstLine="480"/>
              <w:rPr>
                <w:rFonts w:ascii="Times New Roman" w:eastAsia="宋体" w:cs="Times New Roman" w:hAnsi="Times New Roman"/>
                <w:color w:val="auto"/>
                <w:sz w:val="24"/>
                <w:szCs w:val="24"/>
                <w:u w:val="none"/>
                <w:highlight w:val="none"/>
              </w:rPr>
            </w:pPr>
            <w:r>
              <w:rPr>
                <w:rFonts w:ascii="Times New Roman" w:eastAsia="宋体" w:cs="Times New Roman" w:hAnsi="Times New Roman"/>
                <w:color w:val="auto"/>
                <w:sz w:val="24"/>
                <w:szCs w:val="24"/>
                <w:u w:val="none"/>
                <w:highlight w:val="none"/>
              </w:rPr>
              <w:t>（1）施工钻机、试压空压机等选型尽量采用较先进、噪声和振动较低的设备，在施工地两侧设2.5m挡板；</w:t>
            </w:r>
          </w:p>
          <w:p>
            <w:pPr>
              <w:keepNext w:val="0"/>
              <w:keepLines w:val="0"/>
              <w:pageBreakBefore w:val="0"/>
              <w:kinsoku/>
              <w:wordWrap/>
              <w:topLinePunct w:val="0"/>
              <w:bidi w:val="0"/>
              <w:adjustRightInd w:val="0"/>
              <w:snapToGrid w:val="0"/>
              <w:spacing w:line="360" w:lineRule="auto"/>
              <w:ind w:left="0" w:firstLineChars="200" w:firstLine="480"/>
              <w:rPr>
                <w:rFonts w:ascii="Times New Roman" w:eastAsia="宋体" w:cs="Times New Roman" w:hAnsi="Times New Roman"/>
                <w:color w:val="auto"/>
                <w:sz w:val="24"/>
                <w:szCs w:val="24"/>
                <w:u w:val="none"/>
                <w:highlight w:val="none"/>
              </w:rPr>
            </w:pPr>
            <w:r>
              <w:rPr>
                <w:rFonts w:ascii="Times New Roman" w:eastAsia="宋体" w:cs="Times New Roman" w:hAnsi="Times New Roman"/>
                <w:color w:val="auto"/>
                <w:sz w:val="24"/>
                <w:szCs w:val="24"/>
                <w:u w:val="none"/>
                <w:highlight w:val="none"/>
              </w:rPr>
              <w:t>（2）合理安排施工时间和施工周期，施工活动尽量安排在白天，禁止在夜间22:00-6:00、12:00-14:30时间段作业，避免夜间施工造成噪声扰民，并在不影响施工质量的情况下加快施工进度；</w:t>
            </w:r>
          </w:p>
          <w:p>
            <w:pPr>
              <w:keepNext w:val="0"/>
              <w:keepLines w:val="0"/>
              <w:pageBreakBefore w:val="0"/>
              <w:kinsoku/>
              <w:wordWrap/>
              <w:topLinePunct w:val="0"/>
              <w:bidi w:val="0"/>
              <w:adjustRightInd w:val="0"/>
              <w:snapToGrid w:val="0"/>
              <w:spacing w:line="360" w:lineRule="auto"/>
              <w:ind w:left="0" w:firstLineChars="200" w:firstLine="480"/>
              <w:rPr>
                <w:rFonts w:ascii="Times New Roman" w:eastAsia="宋体" w:cs="Times New Roman" w:hAnsi="Times New Roman"/>
                <w:color w:val="auto"/>
                <w:sz w:val="24"/>
                <w:szCs w:val="24"/>
                <w:u w:val="none"/>
                <w:highlight w:val="none"/>
              </w:rPr>
            </w:pPr>
            <w:r>
              <w:rPr>
                <w:rFonts w:ascii="Times New Roman" w:eastAsia="宋体" w:cs="Times New Roman" w:hAnsi="Times New Roman"/>
                <w:color w:val="auto"/>
                <w:sz w:val="24"/>
                <w:szCs w:val="24"/>
                <w:u w:val="none"/>
                <w:highlight w:val="none"/>
              </w:rPr>
              <w:t>（3）加强对施工场地的噪声管理，施工企业对施工噪声进行自律，文明施工，弃土、管材选择在白天运输、卸落，做到轻拿轻放，减少强烈碰撞产生的高噪声；</w:t>
            </w:r>
          </w:p>
          <w:p>
            <w:pPr>
              <w:keepNext w:val="0"/>
              <w:keepLines w:val="0"/>
              <w:pageBreakBefore w:val="0"/>
              <w:kinsoku/>
              <w:wordWrap/>
              <w:topLinePunct w:val="0"/>
              <w:bidi w:val="0"/>
              <w:adjustRightInd w:val="0"/>
              <w:snapToGrid w:val="0"/>
              <w:spacing w:line="360" w:lineRule="auto"/>
              <w:ind w:left="0" w:firstLineChars="200" w:firstLine="480"/>
              <w:rPr>
                <w:rFonts w:ascii="Times New Roman" w:eastAsia="宋体" w:cs="Times New Roman" w:hAnsi="Times New Roman"/>
                <w:color w:val="auto"/>
                <w:sz w:val="24"/>
                <w:szCs w:val="24"/>
                <w:u w:val="none"/>
                <w:highlight w:val="none"/>
              </w:rPr>
            </w:pPr>
            <w:r>
              <w:rPr>
                <w:rFonts w:ascii="Times New Roman" w:eastAsia="宋体" w:cs="Times New Roman" w:hAnsi="Times New Roman"/>
                <w:color w:val="auto"/>
                <w:sz w:val="24"/>
                <w:szCs w:val="24"/>
                <w:u w:val="none"/>
                <w:highlight w:val="none"/>
              </w:rPr>
              <w:t>（4）经常对施工设备进行维护保养，避免因设备性能退减而使噪声增强的情况发生；</w:t>
            </w:r>
          </w:p>
          <w:p>
            <w:pPr>
              <w:keepNext w:val="0"/>
              <w:keepLines w:val="0"/>
              <w:pageBreakBefore w:val="0"/>
              <w:kinsoku/>
              <w:wordWrap/>
              <w:topLinePunct w:val="0"/>
              <w:bidi w:val="0"/>
              <w:adjustRightInd w:val="0"/>
              <w:snapToGrid w:val="0"/>
              <w:spacing w:line="360" w:lineRule="auto"/>
              <w:ind w:left="0" w:firstLineChars="200" w:firstLine="480"/>
              <w:rPr>
                <w:rFonts w:ascii="Times New Roman" w:eastAsia="宋体" w:cs="Times New Roman" w:hAnsi="Times New Roman"/>
                <w:color w:val="auto"/>
                <w:sz w:val="24"/>
                <w:szCs w:val="24"/>
                <w:u w:val="none"/>
                <w:highlight w:val="none"/>
              </w:rPr>
            </w:pPr>
            <w:r>
              <w:rPr>
                <w:rFonts w:ascii="Times New Roman" w:eastAsia="宋体" w:cs="Times New Roman" w:hAnsi="Times New Roman"/>
                <w:color w:val="auto"/>
                <w:sz w:val="24"/>
                <w:szCs w:val="24"/>
                <w:u w:val="none"/>
                <w:highlight w:val="none"/>
              </w:rPr>
              <w:t>（5）建设与施工单位还应与施工场地周围单位、居民加强沟通，及时通过电视、报纸、公示、媒体、通告、告示等多种形式让他们了解施工安排、进度及采取的降噪措施，并取得大家的共同理解。若因工艺或特殊需要必须连续施工的，施工单位应在施工前三日内报请环保主管部门批准，并向施工场地周围的居民或单位发布公告，以征得公众的理解与支持。</w:t>
            </w:r>
          </w:p>
          <w:p>
            <w:pPr>
              <w:keepNext w:val="0"/>
              <w:keepLines w:val="0"/>
              <w:pageBreakBefore w:val="0"/>
              <w:kinsoku/>
              <w:wordWrap/>
              <w:topLinePunct w:val="0"/>
              <w:bidi w:val="0"/>
              <w:adjustRightInd w:val="0"/>
              <w:snapToGrid w:val="0"/>
              <w:spacing w:line="360" w:lineRule="auto"/>
              <w:ind w:left="0" w:firstLineChars="200" w:firstLine="480"/>
              <w:rPr>
                <w:rFonts w:ascii="Times New Roman" w:eastAsia="宋体" w:cs="Times New Roman" w:hAnsi="Times New Roman"/>
                <w:color w:val="auto"/>
                <w:sz w:val="24"/>
                <w:szCs w:val="24"/>
                <w:u w:val="none"/>
                <w:highlight w:val="none"/>
              </w:rPr>
            </w:pPr>
            <w:r>
              <w:rPr>
                <w:rFonts w:ascii="Times New Roman" w:eastAsia="宋体" w:cs="Times New Roman" w:hAnsi="Times New Roman"/>
                <w:color w:val="auto"/>
                <w:sz w:val="24"/>
                <w:szCs w:val="24"/>
                <w:u w:val="none"/>
                <w:highlight w:val="none"/>
              </w:rPr>
              <w:t>在采取以上措施的前提下，且本项目一般夜间不施工，在昼间只会对距施工场地较近的住户造成小程度的影响，可在接受的范围之内。</w:t>
            </w:r>
          </w:p>
          <w:p>
            <w:pPr>
              <w:keepNext w:val="0"/>
              <w:keepLines w:val="0"/>
              <w:pageBreakBefore w:val="0"/>
              <w:kinsoku/>
              <w:wordWrap/>
              <w:topLinePunct w:val="0"/>
              <w:bidi w:val="0"/>
              <w:adjustRightInd w:val="0"/>
              <w:snapToGrid w:val="0"/>
              <w:spacing w:line="360" w:lineRule="auto"/>
              <w:rPr>
                <w:rFonts w:ascii="Times New Roman" w:eastAsia="宋体" w:cs="Times New Roman" w:hAnsi="Times New Roman"/>
                <w:b/>
                <w:color w:val="auto"/>
                <w:sz w:val="24"/>
                <w:szCs w:val="24"/>
                <w:u w:val="none"/>
                <w:highlight w:val="none"/>
              </w:rPr>
            </w:pPr>
            <w:r>
              <w:rPr>
                <w:rFonts w:ascii="Times New Roman" w:eastAsia="宋体" w:cs="Times New Roman" w:hAnsi="Times New Roman" w:hint="eastAsia"/>
                <w:b/>
                <w:color w:val="auto"/>
                <w:sz w:val="24"/>
                <w:szCs w:val="24"/>
                <w:u w:val="none"/>
                <w:lang w:val="en-US" w:eastAsia="zh-CN"/>
                <w:highlight w:val="none"/>
              </w:rPr>
              <w:t>4、</w:t>
            </w:r>
            <w:r>
              <w:rPr>
                <w:rFonts w:ascii="Times New Roman" w:eastAsia="宋体" w:cs="Times New Roman" w:hAnsi="Times New Roman"/>
                <w:b/>
                <w:color w:val="auto"/>
                <w:sz w:val="24"/>
                <w:szCs w:val="24"/>
                <w:u w:val="none"/>
                <w:highlight w:val="none"/>
              </w:rPr>
              <w:t>固体废物</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本工程施工期的固体废物主要有施工人员产生的生活垃圾、</w:t>
            </w:r>
            <w:r>
              <w:rPr>
                <w:rFonts w:ascii="Times New Roman" w:eastAsia="宋体" w:cs="Times New Roman" w:hAnsi="Times New Roman" w:hint="eastAsia"/>
                <w:color w:val="auto"/>
                <w:kern w:val="21"/>
                <w:sz w:val="24"/>
                <w:szCs w:val="24"/>
                <w:u w:val="none"/>
                <w:lang w:val="en-US" w:eastAsia="zh-CN"/>
                <w:highlight w:val="none"/>
              </w:rPr>
              <w:t>建筑垃圾及废弃</w:t>
            </w:r>
            <w:r>
              <w:rPr>
                <w:rFonts w:ascii="Times New Roman" w:eastAsia="宋体" w:cs="Times New Roman" w:hAnsi="Times New Roman"/>
                <w:color w:val="auto"/>
                <w:kern w:val="21"/>
                <w:sz w:val="24"/>
                <w:szCs w:val="24"/>
                <w:u w:val="none"/>
                <w:lang w:val="en-US" w:eastAsia="zh-CN"/>
                <w:highlight w:val="none"/>
              </w:rPr>
              <w:t>土石方等。</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w:t>
            </w:r>
            <w:r>
              <w:rPr>
                <w:rFonts w:ascii="Times New Roman" w:eastAsia="宋体" w:cs="Times New Roman" w:hAnsi="Times New Roman" w:hint="eastAsia"/>
                <w:color w:val="auto"/>
                <w:kern w:val="21"/>
                <w:sz w:val="24"/>
                <w:szCs w:val="24"/>
                <w:u w:val="none"/>
                <w:lang w:val="en-US" w:eastAsia="zh-CN"/>
                <w:highlight w:val="none"/>
              </w:rPr>
              <w:t>1</w:t>
            </w:r>
            <w:r>
              <w:rPr>
                <w:rFonts w:ascii="Times New Roman" w:eastAsia="宋体" w:cs="Times New Roman" w:hAnsi="Times New Roman"/>
                <w:color w:val="auto"/>
                <w:kern w:val="21"/>
                <w:sz w:val="24"/>
                <w:szCs w:val="24"/>
                <w:u w:val="none"/>
                <w:lang w:val="en-US" w:eastAsia="zh-CN"/>
                <w:highlight w:val="none"/>
              </w:rPr>
              <w:t>）废弃土</w:t>
            </w:r>
            <w:r>
              <w:rPr>
                <w:rFonts w:ascii="Times New Roman" w:eastAsia="宋体" w:cs="Times New Roman" w:hAnsi="Times New Roman" w:hint="eastAsia"/>
                <w:color w:val="auto"/>
                <w:kern w:val="21"/>
                <w:sz w:val="24"/>
                <w:szCs w:val="24"/>
                <w:u w:val="none"/>
                <w:lang w:val="en-US" w:eastAsia="zh-CN"/>
                <w:highlight w:val="none"/>
              </w:rPr>
              <w:t>石</w:t>
            </w:r>
            <w:r>
              <w:rPr>
                <w:rFonts w:ascii="Times New Roman" w:eastAsia="宋体" w:cs="Times New Roman" w:hAnsi="Times New Roman"/>
                <w:color w:val="auto"/>
                <w:kern w:val="21"/>
                <w:sz w:val="24"/>
                <w:szCs w:val="24"/>
                <w:u w:val="none"/>
                <w:lang w:val="en-US" w:eastAsia="zh-CN"/>
                <w:highlight w:val="none"/>
              </w:rPr>
              <w:t>方</w:t>
            </w:r>
          </w:p>
          <w:p>
            <w:pPr>
              <w:keepNext w:val="0"/>
              <w:keepLines w:val="0"/>
              <w:widowControl/>
              <w:suppressLineNumbers w:val="0"/>
              <w:spacing w:line="360" w:lineRule="auto"/>
              <w:ind w:firstLineChars="200" w:firstLine="480"/>
              <w:jc w:val="left"/>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hint="eastAsia"/>
                <w:color w:val="auto"/>
                <w:kern w:val="21"/>
                <w:sz w:val="24"/>
                <w:szCs w:val="24"/>
                <w:u w:val="none"/>
                <w:lang w:val="en-US" w:eastAsia="zh-CN" w:bidi="ar-SA"/>
                <w:highlight w:val="none"/>
              </w:rPr>
              <w:t>根据本项目已批复的水土保持方案及其批复（批复见附件</w:t>
            </w:r>
            <w:r>
              <w:rPr>
                <w:rFonts w:eastAsia="宋体" w:cs="Times New Roman" w:hint="eastAsia"/>
                <w:color w:val="auto"/>
                <w:kern w:val="21"/>
                <w:sz w:val="24"/>
                <w:szCs w:val="24"/>
                <w:u w:val="none"/>
                <w:lang w:val="en-US" w:eastAsia="zh-CN" w:bidi="ar-SA"/>
                <w:highlight w:val="none"/>
              </w:rPr>
              <w:t>10</w:t>
            </w:r>
            <w:r>
              <w:rPr>
                <w:rFonts w:ascii="Times New Roman" w:eastAsia="宋体" w:cs="Times New Roman" w:hAnsi="Times New Roman" w:hint="eastAsia"/>
                <w:color w:val="auto"/>
                <w:kern w:val="21"/>
                <w:sz w:val="24"/>
                <w:szCs w:val="24"/>
                <w:u w:val="none"/>
                <w:lang w:val="en-US" w:eastAsia="zh-CN" w:bidi="ar-SA"/>
                <w:highlight w:val="none"/>
              </w:rPr>
              <w:t>）：</w:t>
            </w:r>
            <w:r>
              <w:rPr>
                <w:rFonts w:ascii="Times New Roman" w:eastAsia="宋体" w:cs="Times New Roman" w:hAnsi="Times New Roman"/>
                <w:color w:val="auto"/>
                <w:kern w:val="21"/>
                <w:sz w:val="24"/>
                <w:szCs w:val="24"/>
                <w:u w:val="none"/>
                <w:lang w:val="en-US" w:eastAsia="zh-CN" w:bidi="ar-SA"/>
                <w:highlight w:val="none"/>
              </w:rPr>
              <w:t>本项目</w:t>
            </w:r>
            <w:r>
              <w:rPr>
                <w:rFonts w:ascii="Times New Roman" w:eastAsia="宋体" w:cs="Times New Roman" w:hAnsi="Times New Roman" w:hint="eastAsia"/>
                <w:color w:val="auto"/>
                <w:kern w:val="21"/>
                <w:sz w:val="24"/>
                <w:szCs w:val="24"/>
                <w:u w:val="none"/>
                <w:lang w:val="en-US" w:eastAsia="zh-CN" w:bidi="ar-SA"/>
                <w:highlight w:val="none"/>
              </w:rPr>
              <w:t>挖方</w:t>
            </w:r>
            <w:r>
              <w:rPr>
                <w:rFonts w:eastAsia="宋体" w:cs="Times New Roman" w:hint="eastAsia"/>
                <w:color w:val="auto"/>
                <w:kern w:val="21"/>
                <w:sz w:val="24"/>
                <w:szCs w:val="24"/>
                <w:u w:val="none"/>
                <w:lang w:val="en-US" w:eastAsia="zh-CN" w:bidi="ar-SA"/>
                <w:highlight w:val="none"/>
              </w:rPr>
              <w:t>11.87</w:t>
            </w:r>
            <w:r>
              <w:rPr>
                <w:rFonts w:ascii="Times New Roman" w:eastAsia="宋体" w:cs="Times New Roman" w:hAnsi="Times New Roman"/>
                <w:color w:val="auto"/>
                <w:kern w:val="21"/>
                <w:sz w:val="24"/>
                <w:szCs w:val="24"/>
                <w:u w:val="none"/>
                <w:lang w:val="en-US" w:eastAsia="zh-CN" w:bidi="ar-SA"/>
                <w:highlight w:val="none"/>
              </w:rPr>
              <w:t>万</w:t>
            </w:r>
            <w:r>
              <w:rPr>
                <w:rFonts w:ascii="Times New Roman" w:eastAsia="宋体" w:cs="Times New Roman" w:hAnsi="Times New Roman" w:hint="eastAsia"/>
                <w:color w:val="auto"/>
                <w:kern w:val="21"/>
                <w:sz w:val="24"/>
                <w:szCs w:val="24"/>
                <w:u w:val="none"/>
                <w:lang w:val="en-US" w:eastAsia="zh-CN" w:bidi="ar-SA"/>
                <w:highlight w:val="none"/>
              </w:rPr>
              <w:t>m</w:t>
            </w:r>
            <w:r>
              <w:rPr>
                <w:rFonts w:ascii="Times New Roman" w:eastAsia="宋体" w:cs="Times New Roman" w:hAnsi="Times New Roman" w:hint="eastAsia"/>
                <w:color w:val="auto"/>
                <w:kern w:val="21"/>
                <w:sz w:val="24"/>
                <w:szCs w:val="24"/>
                <w:u w:val="none"/>
                <w:vertAlign w:val="superscript"/>
                <w:lang w:val="en-US" w:eastAsia="zh-CN" w:bidi="ar-SA"/>
                <w:highlight w:val="none"/>
              </w:rPr>
              <w:t>3</w:t>
            </w:r>
            <w:r>
              <w:rPr>
                <w:rFonts w:ascii="Times New Roman" w:eastAsia="宋体" w:cs="Times New Roman" w:hAnsi="Times New Roman"/>
                <w:color w:val="auto"/>
                <w:kern w:val="21"/>
                <w:sz w:val="24"/>
                <w:szCs w:val="24"/>
                <w:u w:val="none"/>
                <w:lang w:val="en-US" w:eastAsia="zh-CN" w:bidi="ar-SA"/>
                <w:highlight w:val="none"/>
              </w:rPr>
              <w:t>（含表土</w:t>
            </w:r>
            <w:r>
              <w:rPr>
                <w:rFonts w:ascii="Times New Roman" w:eastAsia="宋体" w:cs="Times New Roman" w:hAnsi="Times New Roman" w:hint="eastAsia"/>
                <w:color w:val="auto"/>
                <w:kern w:val="21"/>
                <w:sz w:val="24"/>
                <w:szCs w:val="24"/>
                <w:u w:val="none"/>
                <w:lang w:val="en-US" w:eastAsia="zh-CN" w:bidi="ar-SA"/>
                <w:highlight w:val="none"/>
              </w:rPr>
              <w:t>剥离</w:t>
            </w:r>
            <w:r>
              <w:rPr>
                <w:rFonts w:eastAsia="宋体" w:cs="Times New Roman" w:hint="eastAsia"/>
                <w:color w:val="auto"/>
                <w:kern w:val="21"/>
                <w:sz w:val="24"/>
                <w:szCs w:val="24"/>
                <w:u w:val="none"/>
                <w:lang w:val="en-US" w:eastAsia="zh-CN" w:bidi="ar-SA"/>
                <w:highlight w:val="none"/>
              </w:rPr>
              <w:t>0.38</w:t>
            </w:r>
            <w:r>
              <w:rPr>
                <w:rFonts w:ascii="Times New Roman" w:eastAsia="宋体" w:cs="Times New Roman" w:hAnsi="Times New Roman"/>
                <w:color w:val="auto"/>
                <w:kern w:val="21"/>
                <w:sz w:val="24"/>
                <w:szCs w:val="24"/>
                <w:u w:val="none"/>
                <w:lang w:val="en-US" w:eastAsia="zh-CN" w:bidi="ar-SA"/>
                <w:highlight w:val="none"/>
              </w:rPr>
              <w:t>万</w:t>
            </w:r>
            <w:r>
              <w:rPr>
                <w:rFonts w:ascii="Times New Roman" w:eastAsia="宋体" w:cs="Times New Roman" w:hAnsi="Times New Roman" w:hint="eastAsia"/>
                <w:color w:val="auto"/>
                <w:kern w:val="21"/>
                <w:sz w:val="24"/>
                <w:szCs w:val="24"/>
                <w:u w:val="none"/>
                <w:lang w:val="en-US" w:eastAsia="zh-CN" w:bidi="ar-SA"/>
                <w:highlight w:val="none"/>
              </w:rPr>
              <w:t>m</w:t>
            </w:r>
            <w:r>
              <w:rPr>
                <w:rFonts w:ascii="Times New Roman" w:eastAsia="宋体" w:cs="Times New Roman" w:hAnsi="Times New Roman" w:hint="eastAsia"/>
                <w:color w:val="auto"/>
                <w:kern w:val="21"/>
                <w:sz w:val="24"/>
                <w:szCs w:val="24"/>
                <w:u w:val="none"/>
                <w:vertAlign w:val="superscript"/>
                <w:lang w:val="en-US" w:eastAsia="zh-CN" w:bidi="ar-SA"/>
                <w:highlight w:val="none"/>
              </w:rPr>
              <w:t>3</w:t>
            </w:r>
            <w:r>
              <w:rPr>
                <w:rFonts w:ascii="Times New Roman" w:eastAsia="宋体" w:cs="Times New Roman" w:hAnsi="Times New Roman"/>
                <w:color w:val="auto"/>
                <w:kern w:val="21"/>
                <w:sz w:val="24"/>
                <w:szCs w:val="24"/>
                <w:u w:val="none"/>
                <w:lang w:val="en-US" w:eastAsia="zh-CN" w:bidi="ar-SA"/>
                <w:highlight w:val="none"/>
              </w:rPr>
              <w:t>），填方</w:t>
            </w:r>
            <w:r>
              <w:rPr>
                <w:rFonts w:eastAsia="宋体" w:cs="Times New Roman" w:hint="eastAsia"/>
                <w:color w:val="auto"/>
                <w:kern w:val="21"/>
                <w:sz w:val="24"/>
                <w:szCs w:val="24"/>
                <w:u w:val="none"/>
                <w:lang w:val="en-US" w:eastAsia="zh-CN" w:bidi="ar-SA"/>
                <w:highlight w:val="none"/>
              </w:rPr>
              <w:t>11.87</w:t>
            </w:r>
            <w:r>
              <w:rPr>
                <w:rFonts w:ascii="Times New Roman" w:eastAsia="宋体" w:cs="Times New Roman" w:hAnsi="Times New Roman"/>
                <w:color w:val="auto"/>
                <w:kern w:val="21"/>
                <w:sz w:val="24"/>
                <w:szCs w:val="24"/>
                <w:u w:val="none"/>
                <w:lang w:val="en-US" w:eastAsia="zh-CN" w:bidi="ar-SA"/>
                <w:highlight w:val="none"/>
              </w:rPr>
              <w:t>万</w:t>
            </w:r>
            <w:r>
              <w:rPr>
                <w:rFonts w:ascii="Times New Roman" w:eastAsia="宋体" w:cs="Times New Roman" w:hAnsi="Times New Roman" w:hint="eastAsia"/>
                <w:color w:val="auto"/>
                <w:kern w:val="21"/>
                <w:sz w:val="24"/>
                <w:szCs w:val="24"/>
                <w:u w:val="none"/>
                <w:lang w:val="en-US" w:eastAsia="zh-CN" w:bidi="ar-SA"/>
                <w:highlight w:val="none"/>
              </w:rPr>
              <w:t>m</w:t>
            </w:r>
            <w:r>
              <w:rPr>
                <w:rFonts w:ascii="Times New Roman" w:eastAsia="宋体" w:cs="Times New Roman" w:hAnsi="Times New Roman" w:hint="eastAsia"/>
                <w:color w:val="auto"/>
                <w:kern w:val="21"/>
                <w:sz w:val="24"/>
                <w:szCs w:val="24"/>
                <w:u w:val="none"/>
                <w:vertAlign w:val="superscript"/>
                <w:lang w:val="en-US" w:eastAsia="zh-CN" w:bidi="ar-SA"/>
                <w:highlight w:val="none"/>
              </w:rPr>
              <w:t>3</w:t>
            </w:r>
            <w:r>
              <w:rPr>
                <w:rFonts w:ascii="Times New Roman" w:eastAsia="宋体" w:cs="Times New Roman" w:hAnsi="Times New Roman"/>
                <w:color w:val="auto"/>
                <w:kern w:val="21"/>
                <w:sz w:val="24"/>
                <w:szCs w:val="24"/>
                <w:u w:val="none"/>
                <w:lang w:val="en-US" w:eastAsia="zh-CN" w:bidi="ar-SA"/>
                <w:highlight w:val="none"/>
              </w:rPr>
              <w:t>（含表土回填</w:t>
            </w:r>
            <w:r>
              <w:rPr>
                <w:rFonts w:eastAsia="宋体" w:cs="Times New Roman" w:hint="eastAsia"/>
                <w:color w:val="auto"/>
                <w:kern w:val="21"/>
                <w:sz w:val="24"/>
                <w:szCs w:val="24"/>
                <w:u w:val="none"/>
                <w:lang w:val="en-US" w:eastAsia="zh-CN" w:bidi="ar-SA"/>
                <w:highlight w:val="none"/>
              </w:rPr>
              <w:t>0.38</w:t>
            </w:r>
            <w:r>
              <w:rPr>
                <w:rFonts w:ascii="Times New Roman" w:eastAsia="宋体" w:cs="Times New Roman" w:hAnsi="Times New Roman"/>
                <w:color w:val="auto"/>
                <w:kern w:val="21"/>
                <w:sz w:val="24"/>
                <w:szCs w:val="24"/>
                <w:u w:val="none"/>
                <w:lang w:val="en-US" w:eastAsia="zh-CN" w:bidi="ar-SA"/>
                <w:highlight w:val="none"/>
              </w:rPr>
              <w:t>万</w:t>
            </w:r>
            <w:r>
              <w:rPr>
                <w:rFonts w:ascii="Times New Roman" w:eastAsia="宋体" w:cs="Times New Roman" w:hAnsi="Times New Roman" w:hint="eastAsia"/>
                <w:color w:val="auto"/>
                <w:kern w:val="21"/>
                <w:sz w:val="24"/>
                <w:szCs w:val="24"/>
                <w:u w:val="none"/>
                <w:lang w:val="en-US" w:eastAsia="zh-CN" w:bidi="ar-SA"/>
                <w:highlight w:val="none"/>
              </w:rPr>
              <w:t>m</w:t>
            </w:r>
            <w:r>
              <w:rPr>
                <w:rFonts w:ascii="Times New Roman" w:eastAsia="宋体" w:cs="Times New Roman" w:hAnsi="Times New Roman" w:hint="eastAsia"/>
                <w:color w:val="auto"/>
                <w:kern w:val="21"/>
                <w:sz w:val="24"/>
                <w:szCs w:val="24"/>
                <w:u w:val="none"/>
                <w:vertAlign w:val="superscript"/>
                <w:lang w:val="en-US" w:eastAsia="zh-CN" w:bidi="ar-SA"/>
                <w:highlight w:val="none"/>
              </w:rPr>
              <w:t>3</w:t>
            </w:r>
            <w:r>
              <w:rPr>
                <w:rFonts w:ascii="Times New Roman" w:eastAsia="宋体" w:cs="Times New Roman" w:hAnsi="Times New Roman"/>
                <w:color w:val="auto"/>
                <w:kern w:val="21"/>
                <w:sz w:val="24"/>
                <w:szCs w:val="24"/>
                <w:u w:val="none"/>
                <w:lang w:val="en-US" w:eastAsia="zh-CN" w:bidi="ar-SA"/>
                <w:highlight w:val="none"/>
              </w:rPr>
              <w:t>），</w:t>
            </w:r>
            <w:r>
              <w:rPr>
                <w:rFonts w:ascii="Times New Roman" w:eastAsia="宋体" w:cs="Times New Roman" w:hAnsi="Times New Roman" w:hint="eastAsia"/>
                <w:color w:val="auto"/>
                <w:kern w:val="21"/>
                <w:sz w:val="24"/>
                <w:szCs w:val="24"/>
                <w:u w:val="none"/>
                <w:lang w:val="en-US" w:eastAsia="zh-CN" w:bidi="ar-SA"/>
                <w:highlight w:val="none"/>
              </w:rPr>
              <w:t>无</w:t>
            </w:r>
            <w:r>
              <w:rPr>
                <w:rFonts w:ascii="Times New Roman" w:eastAsia="宋体" w:cs="Times New Roman" w:hAnsi="Times New Roman"/>
                <w:color w:val="auto"/>
                <w:kern w:val="21"/>
                <w:sz w:val="24"/>
                <w:szCs w:val="24"/>
                <w:u w:val="none"/>
                <w:lang w:val="en-US" w:eastAsia="zh-CN" w:bidi="ar-SA"/>
                <w:highlight w:val="none"/>
              </w:rPr>
              <w:t>余方，</w:t>
            </w:r>
            <w:r>
              <w:rPr>
                <w:rFonts w:ascii="Times New Roman" w:eastAsia="宋体" w:cs="Times New Roman" w:hAnsi="Times New Roman" w:hint="eastAsia"/>
                <w:color w:val="auto"/>
                <w:kern w:val="21"/>
                <w:sz w:val="24"/>
                <w:szCs w:val="24"/>
                <w:u w:val="none"/>
                <w:lang w:val="en-US" w:eastAsia="zh-CN" w:bidi="ar-SA"/>
                <w:highlight w:val="none"/>
              </w:rPr>
              <w:t>无借方。</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u w:val="none"/>
                <w:lang w:val="en-US" w:eastAsia="zh-CN"/>
                <w:highlight w:val="none"/>
              </w:rPr>
            </w:pPr>
            <w:r>
              <w:rPr>
                <w:rFonts w:ascii="Times New Roman" w:eastAsia="宋体" w:cs="Times New Roman" w:hAnsi="Times New Roman"/>
                <w:color w:val="auto"/>
                <w:u w:val="none"/>
                <w:lang w:val="en-US" w:eastAsia="zh-CN"/>
                <w:highlight w:val="none"/>
              </w:rPr>
              <w:t>（</w:t>
            </w:r>
            <w:r>
              <w:rPr>
                <w:rFonts w:ascii="Times New Roman" w:eastAsia="宋体" w:cs="Times New Roman" w:hAnsi="Times New Roman" w:hint="eastAsia"/>
                <w:color w:val="auto"/>
                <w:u w:val="none"/>
                <w:lang w:val="en-US" w:eastAsia="zh-CN"/>
                <w:highlight w:val="none"/>
              </w:rPr>
              <w:t>2</w:t>
            </w:r>
            <w:r>
              <w:rPr>
                <w:rFonts w:ascii="Times New Roman" w:eastAsia="宋体" w:cs="Times New Roman" w:hAnsi="Times New Roman"/>
                <w:color w:val="auto"/>
                <w:u w:val="none"/>
                <w:lang w:val="en-US" w:eastAsia="zh-CN"/>
                <w:highlight w:val="none"/>
              </w:rPr>
              <w:t>）建筑垃圾</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u w:val="none"/>
                <w:lang w:val="en-US" w:eastAsia="zh-CN"/>
                <w:highlight w:val="none"/>
              </w:rPr>
            </w:pPr>
            <w:r>
              <w:rPr>
                <w:rFonts w:ascii="Times New Roman" w:eastAsia="宋体" w:cs="Times New Roman" w:hAnsi="Times New Roman" w:hint="eastAsia"/>
                <w:color w:val="auto"/>
                <w:u w:val="none"/>
                <w:lang w:val="en-US" w:eastAsia="zh-CN"/>
                <w:highlight w:val="none"/>
              </w:rPr>
              <w:t xml:space="preserve">工程施工产生建筑垃圾的主要为土、渣土、废钢筋、废铁丝和各种废钢配件、金属管线废料、各种装饰材料的包装箱、包装袋、散落的砂浆和混凝土、碎砖和碎混凝土块、搬运过程中散落的砂、石子和块石、废管道及焊条等；根据有关资料，建筑施工中单位建筑面积的建筑垃圾产生量约为 </w:t>
            </w:r>
            <w:r>
              <w:rPr>
                <w:rFonts w:ascii="Times New Roman" w:eastAsia="宋体" w:cs="Times New Roman" w:hAnsi="Times New Roman"/>
                <w:color w:val="auto"/>
                <w:u w:val="none"/>
                <w:lang w:val="en-US" w:eastAsia="zh-CN"/>
                <w:highlight w:val="none"/>
              </w:rPr>
              <w:t>50</w:t>
            </w:r>
            <w:r>
              <w:rPr>
                <w:rFonts w:ascii="Times New Roman" w:eastAsia="宋体" w:cs="Times New Roman" w:hAnsi="Times New Roman" w:hint="eastAsia"/>
                <w:color w:val="auto"/>
                <w:u w:val="none"/>
                <w:lang w:val="en-US" w:eastAsia="zh-CN"/>
                <w:highlight w:val="none"/>
              </w:rPr>
              <w:t>～</w:t>
            </w:r>
            <w:r>
              <w:rPr>
                <w:rFonts w:ascii="Times New Roman" w:eastAsia="宋体" w:cs="Times New Roman" w:hAnsi="Times New Roman"/>
                <w:color w:val="auto"/>
                <w:u w:val="none"/>
                <w:lang w:val="en-US" w:eastAsia="zh-CN"/>
                <w:highlight w:val="none"/>
              </w:rPr>
              <w:t>200kg/m</w:t>
            </w:r>
            <w:r>
              <w:rPr>
                <w:rFonts w:ascii="Times New Roman" w:eastAsia="宋体" w:cs="Times New Roman" w:hAnsi="Times New Roman"/>
                <w:color w:val="auto"/>
                <w:u w:val="none"/>
                <w:vertAlign w:val="superscript"/>
                <w:lang w:val="en-US" w:eastAsia="zh-CN"/>
                <w:highlight w:val="none"/>
              </w:rPr>
              <w:t>2</w:t>
            </w:r>
            <w:r>
              <w:rPr>
                <w:rFonts w:ascii="Times New Roman" w:eastAsia="宋体" w:cs="Times New Roman" w:hAnsi="Times New Roman" w:hint="eastAsia"/>
                <w:color w:val="auto"/>
                <w:u w:val="none"/>
                <w:lang w:val="en-US" w:eastAsia="zh-CN"/>
                <w:highlight w:val="none"/>
              </w:rPr>
              <w:t>，本工程总建筑面积为</w:t>
            </w:r>
            <w:r>
              <w:rPr>
                <w:rFonts w:cs="Times New Roman" w:hint="eastAsia"/>
                <w:color w:val="auto"/>
                <w:u w:val="none"/>
                <w:lang w:val="en-US" w:eastAsia="zh-CN"/>
                <w:highlight w:val="none"/>
              </w:rPr>
              <w:t>365.48</w:t>
            </w:r>
            <w:r>
              <w:rPr>
                <w:rFonts w:ascii="Times New Roman" w:eastAsia="宋体" w:cs="Times New Roman" w:hAnsi="Times New Roman"/>
                <w:color w:val="auto"/>
                <w:u w:val="none"/>
                <w:lang w:val="en-US" w:eastAsia="zh-CN"/>
                <w:highlight w:val="none"/>
              </w:rPr>
              <w:t>m</w:t>
            </w:r>
            <w:r>
              <w:rPr>
                <w:rFonts w:ascii="Times New Roman" w:eastAsia="宋体" w:cs="Times New Roman" w:hAnsi="Times New Roman"/>
                <w:color w:val="auto"/>
                <w:u w:val="none"/>
                <w:vertAlign w:val="superscript"/>
                <w:lang w:val="en-US" w:eastAsia="zh-CN"/>
                <w:highlight w:val="none"/>
              </w:rPr>
              <w:t>2</w:t>
            </w:r>
            <w:r>
              <w:rPr>
                <w:rFonts w:ascii="Times New Roman" w:eastAsia="宋体" w:cs="Times New Roman" w:hAnsi="Times New Roman" w:hint="eastAsia"/>
                <w:color w:val="auto"/>
                <w:u w:val="none"/>
                <w:lang w:val="en-US" w:eastAsia="zh-CN"/>
                <w:highlight w:val="none"/>
              </w:rPr>
              <w:t xml:space="preserve">，按 </w:t>
            </w:r>
            <w:r>
              <w:rPr>
                <w:rFonts w:ascii="Times New Roman" w:eastAsia="宋体" w:cs="Times New Roman" w:hAnsi="Times New Roman"/>
                <w:color w:val="auto"/>
                <w:u w:val="none"/>
                <w:lang w:val="en-US" w:eastAsia="zh-CN"/>
                <w:highlight w:val="none"/>
              </w:rPr>
              <w:t>100kg/m</w:t>
            </w:r>
            <w:r>
              <w:rPr>
                <w:rFonts w:ascii="Times New Roman" w:eastAsia="宋体" w:cs="Times New Roman" w:hAnsi="Times New Roman"/>
                <w:color w:val="auto"/>
                <w:u w:val="none"/>
                <w:vertAlign w:val="superscript"/>
                <w:lang w:val="en-US" w:eastAsia="zh-CN"/>
                <w:highlight w:val="none"/>
              </w:rPr>
              <w:t>2</w:t>
            </w:r>
            <w:r>
              <w:rPr>
                <w:rFonts w:ascii="Times New Roman" w:eastAsia="宋体" w:cs="Times New Roman" w:hAnsi="Times New Roman" w:hint="eastAsia"/>
                <w:color w:val="auto"/>
                <w:u w:val="none"/>
                <w:lang w:val="en-US" w:eastAsia="zh-CN"/>
                <w:highlight w:val="none"/>
              </w:rPr>
              <w:t xml:space="preserve">估算，则建筑垃圾产生量约为 </w:t>
            </w:r>
            <w:r>
              <w:rPr>
                <w:rFonts w:cs="Times New Roman" w:hint="eastAsia"/>
                <w:color w:val="auto"/>
                <w:u w:val="none"/>
                <w:lang w:val="en-US" w:eastAsia="zh-CN"/>
                <w:highlight w:val="none"/>
              </w:rPr>
              <w:t>36.55</w:t>
            </w:r>
            <w:r>
              <w:rPr>
                <w:rFonts w:ascii="Times New Roman" w:eastAsia="宋体" w:cs="Times New Roman" w:hAnsi="Times New Roman"/>
                <w:color w:val="auto"/>
                <w:u w:val="none"/>
                <w:lang w:val="en-US" w:eastAsia="zh-CN"/>
                <w:highlight w:val="none"/>
              </w:rPr>
              <w:t>t</w:t>
            </w:r>
            <w:r>
              <w:rPr>
                <w:rFonts w:ascii="Times New Roman" w:eastAsia="宋体" w:cs="Times New Roman" w:hAnsi="Times New Roman" w:hint="eastAsia"/>
                <w:color w:val="auto"/>
                <w:u w:val="none"/>
                <w:lang w:val="en-US" w:eastAsia="zh-CN"/>
                <w:highlight w:val="none"/>
              </w:rPr>
              <w:t>。建筑垃圾及时运至渣土办指定地点处置。</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w:t>
            </w:r>
            <w:r>
              <w:rPr>
                <w:rFonts w:ascii="Times New Roman" w:eastAsia="宋体" w:cs="Times New Roman" w:hAnsi="Times New Roman" w:hint="eastAsia"/>
                <w:color w:val="auto"/>
                <w:kern w:val="21"/>
                <w:sz w:val="24"/>
                <w:szCs w:val="24"/>
                <w:u w:val="none"/>
                <w:lang w:val="en-US" w:eastAsia="zh-CN"/>
                <w:highlight w:val="none"/>
              </w:rPr>
              <w:t>3</w:t>
            </w:r>
            <w:r>
              <w:rPr>
                <w:rFonts w:ascii="Times New Roman" w:eastAsia="宋体" w:cs="Times New Roman" w:hAnsi="Times New Roman"/>
                <w:color w:val="auto"/>
                <w:kern w:val="21"/>
                <w:sz w:val="24"/>
                <w:szCs w:val="24"/>
                <w:u w:val="none"/>
                <w:lang w:val="en-US" w:eastAsia="zh-CN"/>
                <w:highlight w:val="none"/>
              </w:rPr>
              <w:t>）</w:t>
            </w:r>
            <w:r>
              <w:rPr>
                <w:rFonts w:ascii="Times New Roman" w:eastAsia="宋体" w:cs="Times New Roman" w:hAnsi="Times New Roman" w:hint="eastAsia"/>
                <w:color w:val="auto"/>
                <w:kern w:val="21"/>
                <w:sz w:val="24"/>
                <w:szCs w:val="24"/>
                <w:u w:val="none"/>
                <w:lang w:val="en-US" w:eastAsia="zh-CN"/>
                <w:highlight w:val="none"/>
              </w:rPr>
              <w:t>生活垃圾</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color w:val="auto"/>
                <w:u w:val="none"/>
                <w:highlight w:val="none"/>
              </w:rPr>
              <w:t>根据施工组织设计，高峰期施工人数约为</w:t>
            </w:r>
            <w:r>
              <w:rPr>
                <w:rFonts w:hint="eastAsia"/>
                <w:color w:val="auto"/>
                <w:u w:val="none"/>
                <w:highlight w:val="none"/>
              </w:rPr>
              <w:t>5</w:t>
            </w:r>
            <w:r>
              <w:rPr>
                <w:color w:val="auto"/>
                <w:u w:val="none"/>
                <w:highlight w:val="none"/>
              </w:rPr>
              <w:t>0人，垃圾产生量按每人0.5kg/d计，则高峰期日产生垃圾为0.0</w:t>
            </w:r>
            <w:r>
              <w:rPr>
                <w:rFonts w:hint="eastAsia"/>
                <w:color w:val="auto"/>
                <w:u w:val="none"/>
                <w:highlight w:val="none"/>
              </w:rPr>
              <w:t>25</w:t>
            </w:r>
            <w:r>
              <w:rPr>
                <w:color w:val="auto"/>
                <w:u w:val="none"/>
                <w:highlight w:val="none"/>
              </w:rPr>
              <w:t>t/d</w:t>
            </w:r>
            <w:r>
              <w:rPr>
                <w:rFonts w:hint="eastAsia"/>
                <w:color w:val="auto"/>
                <w:u w:val="none"/>
                <w:lang w:eastAsia="zh-CN"/>
                <w:highlight w:val="none"/>
              </w:rPr>
              <w:t>，</w:t>
            </w:r>
            <w:r>
              <w:rPr>
                <w:rFonts w:hint="eastAsia"/>
                <w:color w:val="auto"/>
                <w:u w:val="none"/>
                <w:lang w:val="en-US" w:eastAsia="zh-CN"/>
                <w:highlight w:val="none"/>
              </w:rPr>
              <w:t>总工期按12个月300天计，</w:t>
            </w:r>
            <w:r>
              <w:rPr>
                <w:color w:val="auto"/>
                <w:u w:val="none"/>
                <w:highlight w:val="none"/>
              </w:rPr>
              <w:t>总垃圾量约为</w:t>
            </w:r>
            <w:r>
              <w:rPr>
                <w:rFonts w:hint="eastAsia"/>
                <w:color w:val="auto"/>
                <w:u w:val="none"/>
                <w:lang w:val="en-US" w:eastAsia="zh-CN"/>
                <w:highlight w:val="none"/>
              </w:rPr>
              <w:t>7.5</w:t>
            </w:r>
            <w:r>
              <w:rPr>
                <w:color w:val="auto"/>
                <w:u w:val="none"/>
                <w:highlight w:val="none"/>
              </w:rPr>
              <w:t>t。</w:t>
            </w:r>
            <w:r>
              <w:rPr>
                <w:rFonts w:hint="eastAsia"/>
                <w:sz w:val="24"/>
                <w:highlight w:val="none"/>
              </w:rPr>
              <w:t>生活垃圾要定点堆放，严禁混入建筑垃圾，并及时交由环卫部门处置，避免对周围环境造成不良影响。</w:t>
            </w:r>
          </w:p>
          <w:p>
            <w:pPr>
              <w:pStyle w:val="37"/>
              <w:keepNext w:val="0"/>
              <w:keepLines w:val="0"/>
              <w:pageBreakBefore w:val="0"/>
              <w:kinsoku/>
              <w:wordWrap/>
              <w:topLinePunct w:val="0"/>
              <w:bidi w:val="0"/>
              <w:adjustRightInd w:val="0"/>
              <w:snapToGrid w:val="0"/>
              <w:spacing w:after="0" w:line="360" w:lineRule="auto"/>
              <w:ind w:leftChars="0" w:left="0" w:firstLineChars="200" w:firstLine="480"/>
              <w:rPr>
                <w:rFonts w:ascii="Times New Roman" w:eastAsia="宋体" w:cs="Times New Roman" w:hAnsi="Times New Roman"/>
                <w:color w:val="auto"/>
                <w:kern w:val="21"/>
                <w:sz w:val="24"/>
                <w:szCs w:val="24"/>
                <w:u w:val="none"/>
                <w:lang w:val="en-US" w:eastAsia="zh-CN"/>
                <w:highlight w:val="none"/>
              </w:rPr>
            </w:pPr>
            <w:r>
              <w:rPr>
                <w:rFonts w:ascii="Times New Roman" w:eastAsia="宋体" w:cs="Times New Roman" w:hAnsi="Times New Roman"/>
                <w:color w:val="auto"/>
                <w:kern w:val="21"/>
                <w:sz w:val="24"/>
                <w:szCs w:val="24"/>
                <w:u w:val="none"/>
                <w:lang w:val="en-US" w:eastAsia="zh-CN"/>
                <w:highlight w:val="none"/>
              </w:rPr>
              <w:t>综上所述，本项目施工期产生的各类固废均可体系到妥善处置，对环境影响较小。</w:t>
            </w:r>
          </w:p>
          <w:p>
            <w:pPr>
              <w:keepNext w:val="0"/>
              <w:keepLines w:val="0"/>
              <w:pageBreakBefore w:val="0"/>
              <w:kinsoku/>
              <w:wordWrap/>
              <w:topLinePunct w:val="0"/>
              <w:bidi w:val="0"/>
              <w:adjustRightInd w:val="0"/>
              <w:snapToGrid w:val="0"/>
              <w:spacing w:line="360" w:lineRule="auto"/>
              <w:rPr>
                <w:rFonts w:ascii="Times New Roman" w:eastAsia="宋体" w:cs="Times New Roman" w:hAnsi="Times New Roman"/>
                <w:b/>
                <w:color w:val="auto"/>
                <w:sz w:val="24"/>
                <w:szCs w:val="24"/>
                <w:u w:val="none"/>
                <w:highlight w:val="none"/>
              </w:rPr>
            </w:pPr>
            <w:r>
              <w:rPr>
                <w:rFonts w:ascii="Times New Roman" w:eastAsia="宋体" w:cs="Times New Roman" w:hAnsi="Times New Roman" w:hint="eastAsia"/>
                <w:b/>
                <w:color w:val="auto"/>
                <w:sz w:val="24"/>
                <w:szCs w:val="24"/>
                <w:u w:val="none"/>
                <w:lang w:val="en-US" w:eastAsia="zh-CN"/>
                <w:highlight w:val="none"/>
              </w:rPr>
              <w:t>5、</w:t>
            </w:r>
            <w:r>
              <w:rPr>
                <w:rFonts w:ascii="Times New Roman" w:eastAsia="宋体" w:cs="Times New Roman" w:hAnsi="Times New Roman"/>
                <w:b/>
                <w:color w:val="auto"/>
                <w:sz w:val="24"/>
                <w:szCs w:val="24"/>
                <w:u w:val="none"/>
                <w:highlight w:val="none"/>
              </w:rPr>
              <w:t>生态环境</w:t>
            </w:r>
          </w:p>
          <w:p>
            <w:pPr>
              <w:pStyle w:val="61"/>
              <w:keepNext w:val="0"/>
              <w:keepLines w:val="0"/>
              <w:pageBreakBefore w:val="0"/>
              <w:kinsoku/>
              <w:wordWrap/>
              <w:topLinePunct w:val="0"/>
              <w:bidi w:val="0"/>
              <w:ind w:left="0" w:firstLineChars="200" w:firstLine="480"/>
              <w:rPr>
                <w:rFonts w:ascii="Times New Roman" w:eastAsia="宋体" w:cs="Times New Roman" w:hAnsi="Times New Roman"/>
                <w:b/>
                <w:bCs w:val="0"/>
                <w:color w:val="auto"/>
                <w:sz w:val="24"/>
                <w:szCs w:val="24"/>
                <w:u w:val="single"/>
                <w:highlight w:val="none"/>
              </w:rPr>
            </w:pPr>
            <w:r>
              <w:rPr>
                <w:rFonts w:ascii="Times New Roman" w:eastAsia="宋体" w:cs="Times New Roman" w:hAnsi="Times New Roman"/>
                <w:b/>
                <w:bCs w:val="0"/>
                <w:color w:val="auto"/>
                <w:sz w:val="24"/>
                <w:szCs w:val="24"/>
                <w:u w:val="single"/>
                <w:highlight w:val="none"/>
              </w:rPr>
              <w:t>（1）水土流失控制措施</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项目建设的水厂、</w:t>
            </w:r>
            <w:r>
              <w:rPr>
                <w:rFonts w:ascii="Times New Roman" w:eastAsia="宋体" w:cs="Times New Roman" w:hAnsi="Times New Roman" w:hint="eastAsia"/>
                <w:bCs/>
                <w:color w:val="auto"/>
                <w:sz w:val="24"/>
                <w:szCs w:val="24"/>
                <w:u w:val="single"/>
                <w:lang w:val="en-US" w:eastAsia="zh-CN"/>
                <w:highlight w:val="none"/>
              </w:rPr>
              <w:t>取水</w:t>
            </w:r>
            <w:r>
              <w:rPr>
                <w:rFonts w:ascii="Times New Roman" w:eastAsia="宋体" w:cs="Times New Roman" w:hAnsi="Times New Roman"/>
                <w:bCs/>
                <w:color w:val="auto"/>
                <w:sz w:val="24"/>
                <w:szCs w:val="24"/>
                <w:u w:val="single"/>
                <w:highlight w:val="none"/>
              </w:rPr>
              <w:t>泵站及供水管网工程沿线地势较平缓，不穿越坡度较大的地带，但涉及临时堆土等工程，如果不对扰动地表采取水土保持措施，则其新增流失量可能对泵站区域和管线两侧区域的植被、作物等造成危害。</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 xml:space="preserve">结合项目实施和项目区水土流失现状，采取生物措施与工程措施相结合、临时措施和永久措施相结合的原则，采取以下的水土保持措施： </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 xml:space="preserve">a) 工程施工应根据设计，合理安排施工顺序，尽量分片开挖、铺设、及时回填，减少施工对土地的扰动； </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 xml:space="preserve">b) 在施工前，必须先建设围墙和临时排水沟，同时设置沉砂池； </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 xml:space="preserve">c) 工程弃渣必须及时运到指定的弃渣场堆放，开挖不能及时回填的运至临时堆土场存放并做好防护措施，减少水土流失； </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 xml:space="preserve">d) 为防止临时堆土场土料受降雨的侵蚀，在坡脚用装土编织袋进行防护，在遇雨日应采用彩条编织布覆盖； </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 xml:space="preserve">e) 对于容易流失的建筑材料应及时入库，砂料要集中堆放，同时在堆料的周边用装土编织袋进行防护，预防雨水冲刷； </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 xml:space="preserve">f) 施工结束后应立即对施工裸地和临时用地采取植树种草等绿化措施。在采取以上措施后，可有效控制水土流失，植被恢复后还要注意植被的养护，及时移除和更换死亡的植被； </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g) 本水土保持方案由业主负责组织实施，并协调与主体工程的关系。在施工过程中委托有资质的监理单位进行监理。由水行政主管部门负责监督，检查水士保持方案的实施和水土保持设施验收。</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经采取上述措施后可使项目施工期造成的水土流失得到有效遏制，最大限度的减少水土流失量。</w:t>
            </w:r>
          </w:p>
          <w:p>
            <w:pPr>
              <w:pStyle w:val="61"/>
              <w:keepNext w:val="0"/>
              <w:keepLines w:val="0"/>
              <w:pageBreakBefore w:val="0"/>
              <w:kinsoku/>
              <w:wordWrap/>
              <w:topLinePunct w:val="0"/>
              <w:bidi w:val="0"/>
              <w:ind w:left="0" w:firstLineChars="200" w:firstLine="480"/>
              <w:rPr>
                <w:rFonts w:ascii="Times New Roman" w:eastAsia="宋体" w:cs="Times New Roman" w:hAnsi="Times New Roman"/>
                <w:b/>
                <w:bCs w:val="0"/>
                <w:color w:val="auto"/>
                <w:sz w:val="24"/>
                <w:szCs w:val="24"/>
                <w:u w:val="single"/>
                <w:highlight w:val="none"/>
              </w:rPr>
            </w:pPr>
            <w:r>
              <w:rPr>
                <w:rFonts w:ascii="Times New Roman" w:eastAsia="宋体" w:cs="Times New Roman" w:hAnsi="Times New Roman"/>
                <w:b/>
                <w:bCs w:val="0"/>
                <w:color w:val="auto"/>
                <w:sz w:val="24"/>
                <w:szCs w:val="24"/>
                <w:u w:val="single"/>
                <w:highlight w:val="none"/>
              </w:rPr>
              <w:t>（2）生物多样性保护措施</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项目施工期间主要通过对水厂、</w:t>
            </w:r>
            <w:r>
              <w:rPr>
                <w:rFonts w:cs="Times New Roman" w:hint="eastAsia"/>
                <w:bCs/>
                <w:color w:val="auto"/>
                <w:sz w:val="24"/>
                <w:szCs w:val="24"/>
                <w:u w:val="single"/>
                <w:lang w:val="en-US" w:eastAsia="zh-CN"/>
                <w:highlight w:val="none"/>
              </w:rPr>
              <w:t>取水</w:t>
            </w:r>
            <w:r>
              <w:rPr>
                <w:rFonts w:ascii="Times New Roman" w:eastAsia="宋体" w:cs="Times New Roman" w:hAnsi="Times New Roman"/>
                <w:bCs/>
                <w:color w:val="auto"/>
                <w:sz w:val="24"/>
                <w:szCs w:val="24"/>
                <w:u w:val="single"/>
                <w:highlight w:val="none"/>
              </w:rPr>
              <w:t>泵站区域及管道沿线附近地表扰动、植被破坏从而造成对生物多样性的影响。根据现场踏勘，未发现珍稀濒危物种和名古树木，其穿越带主要植被类型以当地常见的常绿落叶阔叶林和灌木林为主，树种为当地常见的杨树、松、樟、桂、梧桐、草本科植物等。动物主要为蛇类、鸟类、蛙类等。</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由于项目绝大部分的用地为临时用地，施工结束后进行恢复，因此项目施工期对生物多样性的影响总体来讲较小。但为了进一步减轻这部分影响，评价提出如下减缓措施：</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①在管线埋设过程中应尽量减少管线开挖埋设的作业带宽度，减少临时用地面积，施工结束后及时对临时用地采用当地植被进行生态恢复。项目施工完毕后，植被恢复过程尽量采用当地乡土植被。</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②尽量限制泵站、管线施工活动范围，减少对地表植被的破坏，严禁在施工过程中对沿线野生植物的随意毁坏，禁止捕杀野生动物。</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highlight w:val="none"/>
              </w:rPr>
            </w:pPr>
            <w:r>
              <w:rPr>
                <w:rFonts w:ascii="Times New Roman" w:eastAsia="宋体" w:cs="Times New Roman" w:hAnsi="Times New Roman"/>
                <w:bCs/>
                <w:color w:val="auto"/>
                <w:sz w:val="24"/>
                <w:szCs w:val="24"/>
                <w:u w:val="single"/>
                <w:highlight w:val="none"/>
              </w:rPr>
              <w:t>综上所述，项目施工期对生态环境及生物多样性的影响较小，而且通过减缓措施控制后，还能进一步降低其影响范围和程度。</w:t>
            </w:r>
          </w:p>
          <w:p>
            <w:pPr>
              <w:spacing w:line="360" w:lineRule="auto"/>
              <w:ind w:firstLineChars="200" w:firstLine="480"/>
              <w:jc w:val="left"/>
              <w:rPr>
                <w:b/>
                <w:bCs/>
                <w:sz w:val="24"/>
                <w:u w:val="single"/>
                <w:highlight w:val="none"/>
              </w:rPr>
            </w:pPr>
            <w:r>
              <w:rPr>
                <w:rFonts w:hint="eastAsia"/>
                <w:b/>
                <w:bCs/>
                <w:sz w:val="24"/>
                <w:u w:val="single"/>
                <w:lang w:eastAsia="zh-CN"/>
                <w:highlight w:val="none"/>
              </w:rPr>
              <w:t>（</w:t>
            </w:r>
            <w:r>
              <w:rPr>
                <w:rFonts w:hint="eastAsia"/>
                <w:b/>
                <w:bCs/>
                <w:sz w:val="24"/>
                <w:u w:val="single"/>
                <w:lang w:val="en-US" w:eastAsia="zh-CN"/>
                <w:highlight w:val="none"/>
              </w:rPr>
              <w:t>3</w:t>
            </w:r>
            <w:r>
              <w:rPr>
                <w:rFonts w:hint="eastAsia"/>
                <w:b/>
                <w:bCs/>
                <w:sz w:val="24"/>
                <w:u w:val="single"/>
                <w:lang w:eastAsia="zh-CN"/>
                <w:highlight w:val="none"/>
              </w:rPr>
              <w:t>）</w:t>
            </w:r>
            <w:r>
              <w:rPr>
                <w:rFonts w:hint="eastAsia"/>
                <w:b/>
                <w:bCs/>
                <w:sz w:val="24"/>
                <w:u w:val="single"/>
                <w:highlight w:val="none"/>
              </w:rPr>
              <w:t>管道施工生态保护措施</w:t>
            </w:r>
          </w:p>
          <w:p>
            <w:pPr>
              <w:spacing w:line="360" w:lineRule="auto"/>
              <w:ind w:firstLineChars="200" w:firstLine="480"/>
              <w:jc w:val="both"/>
              <w:rPr>
                <w:sz w:val="24"/>
                <w:u w:val="single"/>
                <w:highlight w:val="none"/>
              </w:rPr>
            </w:pPr>
            <w:r>
              <w:rPr>
                <w:rFonts w:hint="eastAsia"/>
                <w:sz w:val="24"/>
                <w:u w:val="single"/>
                <w:highlight w:val="none"/>
              </w:rPr>
              <w:t>管线施工主要生态影响是：管路沿线植被破坏、土壤结构、水土流失以及跨河时会对水质造成影响。这种破坏通常是短暂的，而且大部门可以得到恢复。工程结束后进行植被恢复可弥补大部门损失的生物量。环评要求采取的防护措施如下：</w:t>
            </w:r>
          </w:p>
          <w:p>
            <w:pPr>
              <w:spacing w:line="360" w:lineRule="auto"/>
              <w:ind w:firstLineChars="200" w:firstLine="480"/>
              <w:jc w:val="left"/>
              <w:rPr>
                <w:sz w:val="24"/>
                <w:u w:val="single"/>
                <w:highlight w:val="none"/>
              </w:rPr>
            </w:pPr>
            <w:r>
              <w:rPr>
                <w:rFonts w:hint="eastAsia"/>
                <w:sz w:val="24"/>
                <w:u w:val="single"/>
                <w:highlight w:val="none"/>
              </w:rPr>
              <w:t>①采取分段施工，流水作业方式：管沟开挖时对土壤应实行分层开挖、分层堆放和分层回填；回填时，严格按原有土壤层次进行回填，回填后多余的土应平铺在周边绿化带等，不得随意丢弃。回填完成后，管道工程完工后及时恢复施工迹地，立即恢复管道沿线的植被和地貌，并对各穿越处采取相应的加固措施，防治垮塌。在管道两侧5m范围内不能种植深根植物。</w:t>
            </w:r>
          </w:p>
          <w:p>
            <w:pPr>
              <w:spacing w:line="360" w:lineRule="auto"/>
              <w:ind w:firstLineChars="200" w:firstLine="480"/>
              <w:jc w:val="left"/>
              <w:rPr>
                <w:sz w:val="24"/>
                <w:u w:val="single"/>
                <w:highlight w:val="none"/>
              </w:rPr>
            </w:pPr>
            <w:r>
              <w:rPr>
                <w:rFonts w:hint="eastAsia"/>
                <w:sz w:val="24"/>
                <w:u w:val="single"/>
                <w:highlight w:val="none"/>
              </w:rPr>
              <w:t>②采取合理的施工组织设计，文明施工。</w:t>
            </w:r>
          </w:p>
          <w:p>
            <w:pPr>
              <w:spacing w:line="360" w:lineRule="auto"/>
              <w:ind w:firstLineChars="200" w:firstLine="480"/>
              <w:jc w:val="left"/>
              <w:rPr>
                <w:sz w:val="24"/>
                <w:u w:val="single"/>
                <w:highlight w:val="none"/>
              </w:rPr>
            </w:pPr>
            <w:r>
              <w:rPr>
                <w:rFonts w:hint="eastAsia"/>
                <w:sz w:val="24"/>
                <w:u w:val="single"/>
                <w:highlight w:val="none"/>
              </w:rPr>
              <w:t>③严格控制施工范围，尤其是河流和道路穿越段，应尽量控制施工作业面。</w:t>
            </w:r>
          </w:p>
          <w:p>
            <w:pPr>
              <w:spacing w:line="360" w:lineRule="auto"/>
              <w:ind w:firstLineChars="200" w:firstLine="480"/>
              <w:jc w:val="left"/>
              <w:rPr>
                <w:sz w:val="24"/>
                <w:u w:val="single"/>
                <w:highlight w:val="none"/>
              </w:rPr>
            </w:pPr>
            <w:r>
              <w:rPr>
                <w:rFonts w:hint="eastAsia"/>
                <w:sz w:val="24"/>
                <w:u w:val="single"/>
                <w:highlight w:val="none"/>
              </w:rPr>
              <w:t>④对本工程涉及的临时占地应按土地管理办法的要求，逐级上报至有批准权的政府部门批准。临时占用的场地清理完毕后应恢复植被，防止土地退化。</w:t>
            </w:r>
          </w:p>
          <w:p>
            <w:pPr>
              <w:spacing w:line="360" w:lineRule="auto"/>
              <w:ind w:firstLineChars="200" w:firstLine="480"/>
              <w:jc w:val="left"/>
              <w:rPr>
                <w:sz w:val="24"/>
                <w:u w:val="single"/>
                <w:highlight w:val="none"/>
              </w:rPr>
            </w:pPr>
            <w:r>
              <w:rPr>
                <w:rFonts w:hint="eastAsia"/>
                <w:sz w:val="24"/>
                <w:u w:val="single"/>
                <w:highlight w:val="none"/>
              </w:rPr>
              <w:t>⑤临时占用的施工地应及时清理，全部归还，尽量恢复原状，不留后患。</w:t>
            </w:r>
          </w:p>
          <w:p>
            <w:pPr>
              <w:spacing w:line="360" w:lineRule="auto"/>
              <w:ind w:firstLineChars="200" w:firstLine="480"/>
              <w:jc w:val="left"/>
              <w:rPr>
                <w:sz w:val="24"/>
                <w:u w:val="single"/>
                <w:highlight w:val="none"/>
              </w:rPr>
            </w:pPr>
            <w:r>
              <w:rPr>
                <w:rFonts w:hint="eastAsia"/>
                <w:sz w:val="24"/>
                <w:u w:val="single"/>
                <w:highlight w:val="none"/>
              </w:rPr>
              <w:t>⑥施工场地应设置围土设施及临时沉淀池，防治遇雨时造成水土流失。</w:t>
            </w:r>
          </w:p>
          <w:p>
            <w:pPr>
              <w:pStyle w:val="61"/>
              <w:keepNext w:val="0"/>
              <w:keepLines w:val="0"/>
              <w:pageBreakBefore w:val="0"/>
              <w:kinsoku/>
              <w:wordWrap/>
              <w:topLinePunct w:val="0"/>
              <w:bidi w:val="0"/>
              <w:ind w:left="0" w:firstLineChars="200" w:firstLine="480"/>
              <w:rPr>
                <w:rFonts w:hint="eastAsia"/>
                <w:sz w:val="24"/>
                <w:u w:val="single"/>
                <w:highlight w:val="none"/>
              </w:rPr>
            </w:pPr>
            <w:r>
              <w:rPr>
                <w:rFonts w:hint="eastAsia"/>
                <w:sz w:val="24"/>
                <w:u w:val="single"/>
                <w:highlight w:val="none"/>
              </w:rPr>
              <w:t>⑦对于占用农田的部分，要及时复垦，并根据占多少补多少的原则，重新开垦补充新的农田，且农田的质量不得降低。</w:t>
            </w:r>
          </w:p>
          <w:p>
            <w:pPr>
              <w:pStyle w:val="61"/>
              <w:keepNext w:val="0"/>
              <w:keepLines w:val="0"/>
              <w:pageBreakBefore w:val="0"/>
              <w:kinsoku/>
              <w:wordWrap/>
              <w:topLinePunct w:val="0"/>
              <w:bidi w:val="0"/>
              <w:ind w:left="0" w:firstLineChars="200" w:firstLine="480"/>
              <w:rPr>
                <w:rFonts w:ascii="Times New Roman" w:eastAsia="宋体" w:cs="Times New Roman" w:hAnsi="Times New Roman"/>
                <w:b/>
                <w:bCs w:val="0"/>
                <w:color w:val="auto"/>
                <w:sz w:val="24"/>
                <w:szCs w:val="24"/>
                <w:u w:val="single" w:color="auto"/>
                <w:highlight w:val="none"/>
              </w:rPr>
            </w:pPr>
            <w:r>
              <w:rPr>
                <w:rFonts w:ascii="Times New Roman" w:eastAsia="宋体" w:cs="Times New Roman" w:hAnsi="Times New Roman"/>
                <w:b/>
                <w:bCs w:val="0"/>
                <w:color w:val="auto"/>
                <w:sz w:val="24"/>
                <w:szCs w:val="24"/>
                <w:u w:val="single" w:color="auto"/>
                <w:highlight w:val="none"/>
              </w:rPr>
              <w:t>（4）取水泵</w:t>
            </w:r>
            <w:r>
              <w:rPr>
                <w:rFonts w:ascii="Times New Roman" w:eastAsia="宋体" w:cs="Times New Roman" w:hAnsi="Times New Roman" w:hint="eastAsia"/>
                <w:b/>
                <w:bCs w:val="0"/>
                <w:color w:val="auto"/>
                <w:sz w:val="24"/>
                <w:szCs w:val="24"/>
                <w:u w:val="single" w:color="auto"/>
                <w:lang w:val="en-US" w:eastAsia="zh-CN"/>
                <w:highlight w:val="none"/>
              </w:rPr>
              <w:t>站</w:t>
            </w:r>
            <w:r>
              <w:rPr>
                <w:rFonts w:ascii="Times New Roman" w:eastAsia="宋体" w:cs="Times New Roman" w:hAnsi="Times New Roman"/>
                <w:b/>
                <w:bCs w:val="0"/>
                <w:color w:val="auto"/>
                <w:sz w:val="24"/>
                <w:szCs w:val="24"/>
                <w:u w:val="single" w:color="auto"/>
                <w:highlight w:val="none"/>
              </w:rPr>
              <w:t>施工对</w:t>
            </w:r>
            <w:r>
              <w:rPr>
                <w:rFonts w:ascii="Times New Roman" w:eastAsia="宋体" w:cs="Times New Roman" w:hAnsi="Times New Roman" w:hint="eastAsia"/>
                <w:b/>
                <w:bCs w:val="0"/>
                <w:color w:val="auto"/>
                <w:kern w:val="0"/>
                <w:sz w:val="24"/>
                <w:u w:val="single" w:color="auto"/>
                <w:lang w:val="en-US" w:eastAsia="zh-CN"/>
                <w:highlight w:val="none"/>
              </w:rPr>
              <w:t>太青水库现有</w:t>
            </w:r>
            <w:r>
              <w:rPr>
                <w:rFonts w:ascii="Times New Roman" w:eastAsia="宋体" w:cs="Times New Roman" w:hAnsi="Times New Roman"/>
                <w:b/>
                <w:bCs w:val="0"/>
                <w:color w:val="auto"/>
                <w:sz w:val="24"/>
                <w:szCs w:val="24"/>
                <w:u w:val="single" w:color="auto"/>
                <w:highlight w:val="none"/>
              </w:rPr>
              <w:t>取水口水质影响</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hint="eastAsia"/>
                <w:bCs/>
                <w:color w:val="auto"/>
                <w:sz w:val="24"/>
                <w:szCs w:val="24"/>
                <w:u w:val="single" w:color="auto"/>
                <w:lang w:val="en-US" w:eastAsia="zh-CN"/>
                <w:highlight w:val="none"/>
              </w:rPr>
              <w:t>本项目</w:t>
            </w:r>
            <w:r>
              <w:rPr>
                <w:rFonts w:ascii="Times New Roman" w:eastAsia="宋体" w:cs="Times New Roman" w:hAnsi="Times New Roman"/>
                <w:bCs/>
                <w:color w:val="auto"/>
                <w:sz w:val="24"/>
                <w:szCs w:val="24"/>
                <w:u w:val="single" w:color="auto"/>
                <w:highlight w:val="none"/>
              </w:rPr>
              <w:t>取水口</w:t>
            </w:r>
            <w:r>
              <w:rPr>
                <w:rFonts w:ascii="Times New Roman" w:eastAsia="宋体" w:cs="Times New Roman" w:hAnsi="Times New Roman" w:hint="eastAsia"/>
                <w:bCs/>
                <w:color w:val="auto"/>
                <w:sz w:val="24"/>
                <w:szCs w:val="24"/>
                <w:u w:val="single" w:color="auto"/>
                <w:lang w:val="en-US" w:eastAsia="zh-CN"/>
                <w:highlight w:val="none"/>
              </w:rPr>
              <w:t>设置浮船</w:t>
            </w:r>
            <w:r>
              <w:rPr>
                <w:rFonts w:ascii="Times New Roman" w:eastAsia="宋体" w:cs="Times New Roman" w:hAnsi="Times New Roman"/>
                <w:bCs/>
                <w:color w:val="auto"/>
                <w:sz w:val="24"/>
                <w:szCs w:val="24"/>
                <w:u w:val="single" w:color="auto"/>
                <w:highlight w:val="none"/>
              </w:rPr>
              <w:t>式取水</w:t>
            </w:r>
            <w:r>
              <w:rPr>
                <w:rFonts w:ascii="Times New Roman" w:eastAsia="宋体" w:cs="Times New Roman" w:hAnsi="Times New Roman" w:hint="eastAsia"/>
                <w:bCs/>
                <w:color w:val="auto"/>
                <w:sz w:val="24"/>
                <w:szCs w:val="24"/>
                <w:u w:val="single" w:color="auto"/>
                <w:lang w:val="en-US" w:eastAsia="zh-CN"/>
                <w:highlight w:val="none"/>
              </w:rPr>
              <w:t>泵站</w:t>
            </w:r>
            <w:r>
              <w:rPr>
                <w:rFonts w:ascii="Times New Roman" w:eastAsia="宋体" w:cs="Times New Roman" w:hAnsi="Times New Roman"/>
                <w:bCs/>
                <w:color w:val="auto"/>
                <w:sz w:val="24"/>
                <w:szCs w:val="24"/>
                <w:u w:val="single" w:color="auto"/>
                <w:highlight w:val="none"/>
              </w:rPr>
              <w:t>，</w:t>
            </w:r>
            <w:r>
              <w:rPr>
                <w:rFonts w:ascii="Times New Roman" w:eastAsia="宋体" w:cs="Times New Roman" w:hAnsi="Times New Roman" w:hint="eastAsia"/>
                <w:bCs/>
                <w:color w:val="auto"/>
                <w:sz w:val="24"/>
                <w:szCs w:val="24"/>
                <w:u w:val="single" w:color="auto"/>
                <w:lang w:val="en-US" w:eastAsia="zh-CN"/>
                <w:highlight w:val="none"/>
              </w:rPr>
              <w:t>浮船</w:t>
            </w:r>
            <w:r>
              <w:rPr>
                <w:rFonts w:ascii="Times New Roman" w:eastAsia="宋体" w:cs="Times New Roman" w:hAnsi="Times New Roman"/>
                <w:bCs/>
                <w:color w:val="auto"/>
                <w:sz w:val="24"/>
                <w:szCs w:val="24"/>
                <w:u w:val="single" w:color="auto"/>
                <w:highlight w:val="none"/>
              </w:rPr>
              <w:t>式取水</w:t>
            </w:r>
            <w:r>
              <w:rPr>
                <w:rFonts w:ascii="Times New Roman" w:eastAsia="宋体" w:cs="Times New Roman" w:hAnsi="Times New Roman" w:hint="eastAsia"/>
                <w:bCs/>
                <w:color w:val="auto"/>
                <w:sz w:val="24"/>
                <w:szCs w:val="24"/>
                <w:u w:val="single" w:color="auto"/>
                <w:lang w:val="en-US" w:eastAsia="zh-CN"/>
                <w:highlight w:val="none"/>
              </w:rPr>
              <w:t>泵站作为一种灵活的水上取水或排水设施，广泛应用于河流、湖泊等水域的灌溉、城市供水、防洪排涝等领域。</w:t>
            </w:r>
            <w:r>
              <w:rPr>
                <w:rFonts w:ascii="Times New Roman" w:cs="Times New Roman" w:hAnsi="Times New Roman" w:hint="eastAsia"/>
                <w:bCs/>
                <w:color w:val="auto"/>
                <w:sz w:val="24"/>
                <w:szCs w:val="24"/>
                <w:u w:val="single" w:color="auto"/>
                <w:lang w:val="en-US" w:eastAsia="zh-CN"/>
                <w:highlight w:val="none"/>
              </w:rPr>
              <w:t>施工方案主要为浮体主装与定位--水泵机组安装--电气系统与控制系统安装--锚泊系统布置--试运行与调试。</w:t>
            </w:r>
            <w:r>
              <w:rPr>
                <w:rFonts w:ascii="Times New Roman" w:eastAsia="宋体" w:cs="Times New Roman" w:hAnsi="Times New Roman" w:hint="eastAsia"/>
                <w:bCs/>
                <w:color w:val="auto"/>
                <w:sz w:val="24"/>
                <w:szCs w:val="24"/>
                <w:u w:val="single" w:color="auto"/>
                <w:lang w:val="en-US" w:eastAsia="zh-CN"/>
                <w:highlight w:val="none"/>
              </w:rPr>
              <w:t>施工过程</w:t>
            </w:r>
            <w:r>
              <w:rPr>
                <w:rFonts w:ascii="Times New Roman" w:eastAsia="宋体" w:cs="Times New Roman" w:hAnsi="Times New Roman"/>
                <w:bCs/>
                <w:color w:val="auto"/>
                <w:sz w:val="24"/>
                <w:szCs w:val="24"/>
                <w:u w:val="single" w:color="auto"/>
                <w:highlight w:val="none"/>
              </w:rPr>
              <w:t>可能对</w:t>
            </w:r>
            <w:r>
              <w:rPr>
                <w:rFonts w:ascii="Times New Roman" w:eastAsia="宋体" w:cs="Times New Roman" w:hAnsi="Times New Roman" w:hint="eastAsia"/>
                <w:bCs/>
                <w:color w:val="auto"/>
                <w:sz w:val="24"/>
                <w:szCs w:val="24"/>
                <w:u w:val="single" w:color="auto"/>
                <w:lang w:val="en-US" w:eastAsia="zh-CN"/>
                <w:highlight w:val="none"/>
              </w:rPr>
              <w:t>太青水库现有</w:t>
            </w:r>
            <w:r>
              <w:rPr>
                <w:rFonts w:ascii="Times New Roman" w:eastAsia="宋体" w:cs="Times New Roman" w:hAnsi="Times New Roman"/>
                <w:bCs/>
                <w:color w:val="auto"/>
                <w:sz w:val="24"/>
                <w:szCs w:val="24"/>
                <w:u w:val="single" w:color="auto"/>
                <w:highlight w:val="none"/>
              </w:rPr>
              <w:t>取水口水质有一定影响。</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bCs/>
                <w:color w:val="auto"/>
                <w:sz w:val="24"/>
                <w:szCs w:val="24"/>
                <w:u w:val="single" w:color="auto"/>
                <w:highlight w:val="none"/>
              </w:rPr>
              <w:t>取水泵</w:t>
            </w:r>
            <w:r>
              <w:rPr>
                <w:rFonts w:ascii="Times New Roman" w:eastAsia="宋体" w:cs="Times New Roman" w:hAnsi="Times New Roman" w:hint="eastAsia"/>
                <w:bCs/>
                <w:color w:val="auto"/>
                <w:sz w:val="24"/>
                <w:szCs w:val="24"/>
                <w:u w:val="single" w:color="auto"/>
                <w:lang w:val="en-US" w:eastAsia="zh-CN"/>
                <w:highlight w:val="none"/>
              </w:rPr>
              <w:t>站以及</w:t>
            </w:r>
            <w:r>
              <w:rPr>
                <w:rFonts w:ascii="Times New Roman" w:eastAsia="宋体" w:cs="Times New Roman" w:hAnsi="Times New Roman"/>
                <w:bCs/>
                <w:color w:val="auto"/>
                <w:sz w:val="24"/>
                <w:szCs w:val="24"/>
                <w:u w:val="single" w:color="auto"/>
                <w:highlight w:val="none"/>
              </w:rPr>
              <w:t>取水管施工</w:t>
            </w:r>
            <w:r>
              <w:rPr>
                <w:rFonts w:ascii="Times New Roman" w:eastAsia="宋体" w:cs="Times New Roman" w:hAnsi="Times New Roman" w:hint="eastAsia"/>
                <w:bCs/>
                <w:color w:val="auto"/>
                <w:sz w:val="24"/>
                <w:szCs w:val="24"/>
                <w:u w:val="single" w:color="auto"/>
                <w:lang w:val="en-US" w:eastAsia="zh-CN"/>
                <w:highlight w:val="none"/>
              </w:rPr>
              <w:t>期间</w:t>
            </w:r>
            <w:r>
              <w:rPr>
                <w:rFonts w:ascii="Times New Roman" w:eastAsia="宋体" w:cs="Times New Roman" w:hAnsi="Times New Roman"/>
                <w:bCs/>
                <w:color w:val="auto"/>
                <w:sz w:val="24"/>
                <w:szCs w:val="24"/>
                <w:u w:val="single" w:color="auto"/>
                <w:highlight w:val="none"/>
              </w:rPr>
              <w:t>，将产生河床扰动，不可避免将造成水体中泥沙再悬浮，产生SS污染，造成工程区局部悬浮物浓度增加，水体透明度下降。因此，本环评要求：</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bCs/>
                <w:color w:val="auto"/>
                <w:sz w:val="24"/>
                <w:szCs w:val="24"/>
                <w:u w:val="single" w:color="auto"/>
                <w:highlight w:val="none"/>
              </w:rPr>
              <w:fldChar w:fldCharType="begin"/>
            </w:r>
            <w:r>
              <w:rPr>
                <w:rFonts w:ascii="Times New Roman" w:eastAsia="宋体" w:cs="Times New Roman" w:hAnsi="Times New Roman"/>
                <w:bCs/>
                <w:color w:val="auto"/>
                <w:sz w:val="24"/>
                <w:szCs w:val="24"/>
                <w:u w:val="single" w:color="auto"/>
                <w:highlight w:val="none"/>
              </w:rPr>
              <w:instrText xml:space="preserve"> = 1 \* GB3 \* MERGEFORMAT </w:instrText>
            </w:r>
            <w:r>
              <w:rPr>
                <w:rFonts w:ascii="Times New Roman" w:eastAsia="宋体" w:cs="Times New Roman" w:hAnsi="Times New Roman"/>
                <w:bCs/>
                <w:color w:val="auto"/>
                <w:sz w:val="24"/>
                <w:szCs w:val="24"/>
                <w:u w:val="single" w:color="auto"/>
                <w:highlight w:val="none"/>
              </w:rPr>
              <w:fldChar w:fldCharType="separate"/>
            </w:r>
            <w:r>
              <w:rPr>
                <w:u w:val="single" w:color="auto"/>
                <w:highlight w:val="none"/>
              </w:rPr>
              <w:t>①</w:t>
            </w:r>
            <w:r>
              <w:rPr>
                <w:rFonts w:ascii="Times New Roman" w:eastAsia="宋体" w:cs="Times New Roman" w:hAnsi="Times New Roman"/>
                <w:bCs/>
                <w:color w:val="auto"/>
                <w:sz w:val="24"/>
                <w:szCs w:val="24"/>
                <w:u w:val="single" w:color="auto"/>
                <w:highlight w:val="none"/>
              </w:rPr>
              <w:fldChar w:fldCharType="end"/>
            </w:r>
            <w:r>
              <w:rPr>
                <w:rFonts w:ascii="Times New Roman" w:eastAsia="宋体" w:cs="Times New Roman" w:hAnsi="Times New Roman"/>
                <w:bCs/>
                <w:color w:val="auto"/>
                <w:sz w:val="24"/>
                <w:szCs w:val="24"/>
                <w:u w:val="single" w:color="auto"/>
                <w:highlight w:val="none"/>
              </w:rPr>
              <w:t>施工期前，施工单位需与</w:t>
            </w:r>
            <w:r>
              <w:rPr>
                <w:rFonts w:ascii="Times New Roman" w:eastAsia="宋体" w:cs="Times New Roman" w:hAnsi="Times New Roman" w:hint="eastAsia"/>
                <w:bCs/>
                <w:color w:val="auto"/>
                <w:sz w:val="24"/>
                <w:szCs w:val="24"/>
                <w:u w:val="single" w:color="auto"/>
                <w:lang w:val="en-US" w:eastAsia="zh-CN"/>
                <w:highlight w:val="none"/>
              </w:rPr>
              <w:t>太青水库现有水厂</w:t>
            </w:r>
            <w:r>
              <w:rPr>
                <w:rFonts w:ascii="Times New Roman" w:eastAsia="宋体" w:cs="Times New Roman" w:hAnsi="Times New Roman"/>
                <w:bCs/>
                <w:color w:val="auto"/>
                <w:sz w:val="24"/>
                <w:szCs w:val="24"/>
                <w:u w:val="single" w:color="auto"/>
                <w:highlight w:val="none"/>
              </w:rPr>
              <w:t>沟通，了解取水时段，优先采取错时取水措施保障取水水质。自来水厂在施工期间安排好取水时间，采取加大蓄水量、选用备用水源、加强水质监控等措施，确保自来水水质达标。</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bCs/>
                <w:color w:val="auto"/>
                <w:sz w:val="24"/>
                <w:szCs w:val="24"/>
                <w:u w:val="single" w:color="auto"/>
                <w:highlight w:val="none"/>
              </w:rPr>
              <w:t>②施工时，环境监理人员必须到场进行环境监理巡视；在一级保护区范围内施工时，环境监理人员要到施工现场进行旁站监理和指导环保施工，以防止施工污染沿线水源地环境事件的发生。</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bCs/>
                <w:color w:val="auto"/>
                <w:sz w:val="24"/>
                <w:szCs w:val="24"/>
                <w:u w:val="single" w:color="auto"/>
                <w:highlight w:val="none"/>
              </w:rPr>
              <w:fldChar w:fldCharType="begin"/>
            </w:r>
            <w:r>
              <w:rPr>
                <w:rFonts w:ascii="Times New Roman" w:eastAsia="宋体" w:cs="Times New Roman" w:hAnsi="Times New Roman"/>
                <w:bCs/>
                <w:color w:val="auto"/>
                <w:sz w:val="24"/>
                <w:szCs w:val="24"/>
                <w:u w:val="single" w:color="auto"/>
                <w:highlight w:val="none"/>
              </w:rPr>
              <w:instrText xml:space="preserve"> = 3 \* GB3 \* MERGEFORMAT </w:instrText>
            </w:r>
            <w:r>
              <w:rPr>
                <w:rFonts w:ascii="Times New Roman" w:eastAsia="宋体" w:cs="Times New Roman" w:hAnsi="Times New Roman"/>
                <w:bCs/>
                <w:color w:val="auto"/>
                <w:sz w:val="24"/>
                <w:szCs w:val="24"/>
                <w:u w:val="single" w:color="auto"/>
                <w:highlight w:val="none"/>
              </w:rPr>
              <w:fldChar w:fldCharType="separate"/>
            </w:r>
            <w:r>
              <w:rPr>
                <w:u w:val="single" w:color="auto"/>
                <w:highlight w:val="none"/>
              </w:rPr>
              <w:t>③</w:t>
            </w:r>
            <w:r>
              <w:rPr>
                <w:rFonts w:ascii="Times New Roman" w:eastAsia="宋体" w:cs="Times New Roman" w:hAnsi="Times New Roman"/>
                <w:bCs/>
                <w:color w:val="auto"/>
                <w:sz w:val="24"/>
                <w:szCs w:val="24"/>
                <w:u w:val="single" w:color="auto"/>
                <w:highlight w:val="none"/>
              </w:rPr>
              <w:fldChar w:fldCharType="end"/>
            </w:r>
            <w:r>
              <w:rPr>
                <w:rFonts w:ascii="Times New Roman" w:eastAsia="宋体" w:cs="Times New Roman" w:hAnsi="Times New Roman"/>
                <w:bCs/>
                <w:color w:val="auto"/>
                <w:sz w:val="24"/>
                <w:szCs w:val="24"/>
                <w:u w:val="single" w:color="auto"/>
                <w:highlight w:val="none"/>
              </w:rPr>
              <w:t>加强施工期饮用水水源地及取水口水质监测。建设单位应及时公布国控断面水质、饮用水水源地、取水口的环境监测结果，强化信息沟通，接受监督，及时解决工程施工可能带来的水质影响问题。</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bCs/>
                <w:color w:val="auto"/>
                <w:sz w:val="24"/>
                <w:szCs w:val="24"/>
                <w:u w:val="single" w:color="auto"/>
                <w:highlight w:val="none"/>
              </w:rPr>
              <w:fldChar w:fldCharType="begin"/>
            </w:r>
            <w:r>
              <w:rPr>
                <w:rFonts w:ascii="Times New Roman" w:eastAsia="宋体" w:cs="Times New Roman" w:hAnsi="Times New Roman"/>
                <w:bCs/>
                <w:color w:val="auto"/>
                <w:sz w:val="24"/>
                <w:szCs w:val="24"/>
                <w:u w:val="single" w:color="auto"/>
                <w:highlight w:val="none"/>
              </w:rPr>
              <w:instrText xml:space="preserve"> = 4 \* GB3 \* MERGEFORMAT </w:instrText>
            </w:r>
            <w:r>
              <w:rPr>
                <w:rFonts w:ascii="Times New Roman" w:eastAsia="宋体" w:cs="Times New Roman" w:hAnsi="Times New Roman"/>
                <w:bCs/>
                <w:color w:val="auto"/>
                <w:sz w:val="24"/>
                <w:szCs w:val="24"/>
                <w:u w:val="single" w:color="auto"/>
                <w:highlight w:val="none"/>
              </w:rPr>
              <w:fldChar w:fldCharType="separate"/>
            </w:r>
            <w:r>
              <w:rPr>
                <w:u w:val="single" w:color="auto"/>
                <w:highlight w:val="none"/>
              </w:rPr>
              <w:t>④</w:t>
            </w:r>
            <w:r>
              <w:rPr>
                <w:rFonts w:ascii="Times New Roman" w:eastAsia="宋体" w:cs="Times New Roman" w:hAnsi="Times New Roman"/>
                <w:bCs/>
                <w:color w:val="auto"/>
                <w:sz w:val="24"/>
                <w:szCs w:val="24"/>
                <w:u w:val="single" w:color="auto"/>
                <w:highlight w:val="none"/>
              </w:rPr>
              <w:fldChar w:fldCharType="end"/>
            </w:r>
            <w:r>
              <w:rPr>
                <w:rFonts w:ascii="Times New Roman" w:eastAsia="宋体" w:cs="Times New Roman" w:hAnsi="Times New Roman"/>
                <w:bCs/>
                <w:color w:val="auto"/>
                <w:sz w:val="24"/>
                <w:szCs w:val="24"/>
                <w:u w:val="single" w:color="auto"/>
                <w:highlight w:val="none"/>
              </w:rPr>
              <w:t>统一指挥，加强在取水口作业时的技术指导，按规程操作，使作业一直处于受控状态。</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bCs/>
                <w:color w:val="auto"/>
                <w:sz w:val="24"/>
                <w:szCs w:val="24"/>
                <w:u w:val="single" w:color="auto"/>
                <w:highlight w:val="none"/>
              </w:rPr>
              <w:t>取水泵</w:t>
            </w:r>
            <w:r>
              <w:rPr>
                <w:rFonts w:ascii="Times New Roman" w:eastAsia="宋体" w:cs="Times New Roman" w:hAnsi="Times New Roman" w:hint="eastAsia"/>
                <w:bCs/>
                <w:color w:val="auto"/>
                <w:sz w:val="24"/>
                <w:szCs w:val="24"/>
                <w:u w:val="single" w:color="auto"/>
                <w:lang w:val="en-US" w:eastAsia="zh-CN"/>
                <w:highlight w:val="none"/>
              </w:rPr>
              <w:t>站</w:t>
            </w:r>
            <w:r>
              <w:rPr>
                <w:rFonts w:ascii="Times New Roman" w:eastAsia="宋体" w:cs="Times New Roman" w:hAnsi="Times New Roman"/>
                <w:bCs/>
                <w:color w:val="auto"/>
                <w:sz w:val="24"/>
                <w:szCs w:val="24"/>
                <w:u w:val="single" w:color="auto"/>
                <w:highlight w:val="none"/>
              </w:rPr>
              <w:t>工程量不大，施工期短，采取以上措施后，可降低对</w:t>
            </w:r>
            <w:r>
              <w:rPr>
                <w:rFonts w:ascii="Times New Roman" w:eastAsia="宋体" w:cs="Times New Roman" w:hAnsi="Times New Roman" w:hint="eastAsia"/>
                <w:color w:val="auto"/>
                <w:kern w:val="0"/>
                <w:sz w:val="24"/>
                <w:u w:val="single" w:color="auto"/>
                <w:lang w:val="en-US" w:eastAsia="zh-CN"/>
                <w:highlight w:val="none"/>
              </w:rPr>
              <w:t>澧县自来水厂</w:t>
            </w:r>
            <w:r>
              <w:rPr>
                <w:rFonts w:ascii="Times New Roman" w:eastAsia="宋体" w:cs="Times New Roman" w:hAnsi="Times New Roman"/>
                <w:bCs/>
                <w:color w:val="auto"/>
                <w:sz w:val="24"/>
                <w:szCs w:val="24"/>
                <w:u w:val="single" w:color="auto"/>
                <w:highlight w:val="none"/>
              </w:rPr>
              <w:t>取水口水质的影响控，待施工期结束后，将不再影响取水口的水质。</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bCs/>
                <w:color w:val="auto"/>
                <w:sz w:val="24"/>
                <w:szCs w:val="24"/>
                <w:u w:val="single" w:color="auto"/>
                <w:highlight w:val="none"/>
              </w:rPr>
              <w:t>除以上措施外，本环评还要求：</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bCs/>
                <w:color w:val="auto"/>
                <w:sz w:val="24"/>
                <w:szCs w:val="24"/>
                <w:u w:val="single" w:color="auto"/>
                <w:highlight w:val="none"/>
              </w:rPr>
              <w:t>a）在施工准备期间，施工单位加强对施工人员的环保宣传教育。在饮用水水源地保护区设立明显的标志牌，标明保护区级别、范围以及主要的环境管理规定，禁止施工固废、生活垃圾等排入饮用水水源保护区。</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eastAsia="宋体" w:cs="Times New Roman" w:hAnsi="Times New Roman"/>
                <w:bCs/>
                <w:color w:val="auto"/>
                <w:sz w:val="24"/>
                <w:szCs w:val="24"/>
                <w:u w:val="single" w:color="auto"/>
                <w:highlight w:val="none"/>
              </w:rPr>
              <w:t>b）作业时，尽量减少施工泥浆的输出功率，从而减小泥浆浓度，尽量减少作业时的污染作业半径。</w:t>
            </w:r>
          </w:p>
          <w:p>
            <w:pPr>
              <w:pStyle w:val="61"/>
              <w:keepNext w:val="0"/>
              <w:keepLines w:val="0"/>
              <w:pageBreakBefore w:val="0"/>
              <w:kinsoku/>
              <w:wordWrap/>
              <w:topLinePunct w:val="0"/>
              <w:bidi w:val="0"/>
              <w:ind w:left="0" w:firstLineChars="200" w:firstLine="480"/>
              <w:rPr>
                <w:rFonts w:ascii="Times New Roman" w:eastAsia="宋体" w:cs="Times New Roman" w:hAnsi="Times New Roman"/>
                <w:bCs/>
                <w:color w:val="auto"/>
                <w:sz w:val="24"/>
                <w:szCs w:val="24"/>
                <w:u w:val="single" w:color="auto"/>
                <w:highlight w:val="none"/>
              </w:rPr>
            </w:pPr>
            <w:r>
              <w:rPr>
                <w:rFonts w:ascii="Times New Roman" w:cs="Times New Roman" w:hAnsi="Times New Roman" w:hint="eastAsia"/>
                <w:bCs/>
                <w:color w:val="auto"/>
                <w:sz w:val="24"/>
                <w:szCs w:val="24"/>
                <w:u w:val="single" w:color="auto"/>
                <w:lang w:val="en-US" w:eastAsia="zh-CN"/>
                <w:highlight w:val="none"/>
              </w:rPr>
              <w:t>c）</w:t>
            </w:r>
            <w:r>
              <w:rPr>
                <w:rFonts w:ascii="Times New Roman" w:eastAsia="宋体" w:cs="Times New Roman" w:hAnsi="Times New Roman" w:hint="eastAsia"/>
                <w:bCs/>
                <w:color w:val="auto"/>
                <w:sz w:val="24"/>
                <w:szCs w:val="24"/>
                <w:u w:val="single" w:color="auto"/>
                <w:lang w:val="en-US" w:eastAsia="zh-CN"/>
                <w:highlight w:val="none"/>
              </w:rPr>
              <w:t>做好施工期废水、废渣收集处置工作，施工废水、初期雨水等设置临时截排水沟、沉淀池等收集处理，禁止排入保护区水域，弃渣、建筑垃圾等远离保护区水域堆放，及时清运处置。</w:t>
            </w:r>
          </w:p>
          <w:p>
            <w:pPr>
              <w:pStyle w:val="61"/>
              <w:keepNext w:val="0"/>
              <w:keepLines w:val="0"/>
              <w:pageBreakBefore w:val="0"/>
              <w:kinsoku/>
              <w:wordWrap/>
              <w:topLinePunct w:val="0"/>
              <w:bidi w:val="0"/>
              <w:ind w:left="0" w:firstLineChars="200" w:firstLine="480"/>
              <w:rPr>
                <w:rFonts w:eastAsia="宋体" w:hint="eastAsia"/>
                <w:bCs/>
                <w:kern w:val="0"/>
                <w:sz w:val="24"/>
                <w:lang w:eastAsia="zh-CN"/>
                <w:highlight w:val="none"/>
              </w:rPr>
            </w:pPr>
            <w:r>
              <w:rPr>
                <w:rFonts w:cs="Times New Roman" w:hint="eastAsia"/>
                <w:bCs/>
                <w:color w:val="auto"/>
                <w:sz w:val="24"/>
                <w:szCs w:val="24"/>
                <w:u w:val="single" w:color="auto"/>
                <w:lang w:val="en-US" w:eastAsia="zh-CN"/>
                <w:highlight w:val="none"/>
              </w:rPr>
              <w:t>经</w:t>
            </w:r>
            <w:r>
              <w:rPr>
                <w:rFonts w:ascii="Times New Roman" w:eastAsia="宋体" w:cs="Times New Roman" w:hAnsi="Times New Roman"/>
                <w:bCs/>
                <w:color w:val="auto"/>
                <w:sz w:val="24"/>
                <w:szCs w:val="24"/>
                <w:u w:val="single" w:color="auto"/>
                <w:highlight w:val="none"/>
              </w:rPr>
              <w:t>上述分析可知：水厂取水泵</w:t>
            </w:r>
            <w:r>
              <w:rPr>
                <w:rFonts w:ascii="Times New Roman" w:eastAsia="宋体" w:cs="Times New Roman" w:hAnsi="Times New Roman" w:hint="eastAsia"/>
                <w:bCs/>
                <w:color w:val="auto"/>
                <w:sz w:val="24"/>
                <w:szCs w:val="24"/>
                <w:u w:val="single" w:color="auto"/>
                <w:lang w:val="en-US" w:eastAsia="zh-CN"/>
                <w:highlight w:val="none"/>
              </w:rPr>
              <w:t>站</w:t>
            </w:r>
            <w:r>
              <w:rPr>
                <w:rFonts w:ascii="Times New Roman" w:eastAsia="宋体" w:cs="Times New Roman" w:hAnsi="Times New Roman"/>
                <w:bCs/>
                <w:color w:val="auto"/>
                <w:sz w:val="24"/>
                <w:szCs w:val="24"/>
                <w:u w:val="single" w:color="auto"/>
                <w:highlight w:val="none"/>
              </w:rPr>
              <w:t>在施工期间对</w:t>
            </w:r>
            <w:r>
              <w:rPr>
                <w:rFonts w:ascii="Times New Roman" w:eastAsia="宋体" w:cs="Times New Roman" w:hAnsi="Times New Roman" w:hint="eastAsia"/>
                <w:bCs/>
                <w:color w:val="auto"/>
                <w:sz w:val="24"/>
                <w:szCs w:val="24"/>
                <w:u w:val="single" w:color="auto"/>
                <w:lang w:val="en-US" w:eastAsia="zh-CN"/>
                <w:highlight w:val="none"/>
              </w:rPr>
              <w:t>太青水库现有</w:t>
            </w:r>
            <w:r>
              <w:rPr>
                <w:rFonts w:ascii="Times New Roman" w:eastAsia="宋体" w:cs="Times New Roman" w:hAnsi="Times New Roman"/>
                <w:bCs/>
                <w:color w:val="auto"/>
                <w:sz w:val="24"/>
                <w:szCs w:val="24"/>
                <w:u w:val="single" w:color="auto"/>
                <w:highlight w:val="none"/>
              </w:rPr>
              <w:t>取水口水质影响不大。</w:t>
            </w:r>
          </w:p>
        </w:tc>
      </w:tr>
      <w:tr>
        <w:trPr>
          <w:trHeight w:val="397"/>
        </w:trPr>
        <w:tc>
          <w:tcPr>
            <w:tcW w:w="265" w:type="pct"/>
            <w:tcMar>
              <w:left w:w="28" w:type="dxa"/>
              <w:right w:w="28" w:type="dxa"/>
            </w:tcMar>
            <w:vAlign w:val="center"/>
          </w:tcPr>
          <w:p>
            <w:pPr>
              <w:jc w:val="center"/>
              <w:rPr>
                <w:bCs/>
                <w:sz w:val="24"/>
                <w:highlight w:val="none"/>
              </w:rPr>
            </w:pPr>
            <w:r>
              <w:rPr>
                <w:bCs/>
                <w:sz w:val="24"/>
                <w:highlight w:val="none"/>
              </w:rPr>
              <w:t>运营</w:t>
            </w:r>
          </w:p>
          <w:p>
            <w:pPr>
              <w:jc w:val="center"/>
              <w:rPr>
                <w:bCs/>
                <w:sz w:val="24"/>
                <w:highlight w:val="none"/>
              </w:rPr>
            </w:pPr>
            <w:r>
              <w:rPr>
                <w:bCs/>
                <w:sz w:val="24"/>
                <w:highlight w:val="none"/>
              </w:rPr>
              <w:t>期环</w:t>
            </w:r>
          </w:p>
          <w:p>
            <w:pPr>
              <w:jc w:val="center"/>
              <w:rPr>
                <w:bCs/>
                <w:sz w:val="24"/>
                <w:highlight w:val="none"/>
              </w:rPr>
            </w:pPr>
            <w:r>
              <w:rPr>
                <w:bCs/>
                <w:sz w:val="24"/>
                <w:highlight w:val="none"/>
              </w:rPr>
              <w:t>境影</w:t>
            </w:r>
          </w:p>
          <w:p>
            <w:pPr>
              <w:jc w:val="center"/>
              <w:rPr>
                <w:bCs/>
                <w:sz w:val="24"/>
                <w:highlight w:val="none"/>
              </w:rPr>
            </w:pPr>
            <w:r>
              <w:rPr>
                <w:bCs/>
                <w:sz w:val="24"/>
                <w:highlight w:val="none"/>
              </w:rPr>
              <w:t>响和</w:t>
            </w:r>
          </w:p>
          <w:p>
            <w:pPr>
              <w:jc w:val="center"/>
              <w:rPr>
                <w:bCs/>
                <w:sz w:val="24"/>
                <w:highlight w:val="none"/>
              </w:rPr>
            </w:pPr>
            <w:r>
              <w:rPr>
                <w:bCs/>
                <w:sz w:val="24"/>
                <w:highlight w:val="none"/>
              </w:rPr>
              <w:t>保护</w:t>
            </w:r>
          </w:p>
          <w:p>
            <w:pPr>
              <w:jc w:val="center"/>
              <w:rPr>
                <w:bCs/>
                <w:szCs w:val="21"/>
                <w:highlight w:val="none"/>
              </w:rPr>
            </w:pPr>
            <w:r>
              <w:rPr>
                <w:bCs/>
                <w:sz w:val="24"/>
                <w:highlight w:val="none"/>
              </w:rPr>
              <w:t>措施</w:t>
            </w:r>
          </w:p>
        </w:tc>
        <w:tc>
          <w:tcPr>
            <w:tcW w:w="4735" w:type="pct"/>
            <w:shd w:val="clear" w:color="auto" w:fill="FFFFFF"/>
            <w:vAlign w:val="center"/>
          </w:tcPr>
          <w:p>
            <w:pPr>
              <w:pStyle w:val="53"/>
              <w:spacing w:line="360" w:lineRule="auto"/>
              <w:ind w:firstLineChars="0" w:firstLine="0"/>
              <w:rPr>
                <w:rFonts w:eastAsia="宋体"/>
                <w:b/>
                <w:color w:val="auto"/>
                <w:sz w:val="24"/>
                <w:highlight w:val="none"/>
              </w:rPr>
            </w:pPr>
            <w:r>
              <w:rPr>
                <w:rFonts w:eastAsia="宋体"/>
                <w:b/>
                <w:color w:val="auto"/>
                <w:sz w:val="24"/>
                <w:highlight w:val="none"/>
              </w:rPr>
              <w:t>1、废气</w:t>
            </w:r>
          </w:p>
          <w:p>
            <w:pPr>
              <w:spacing w:line="360" w:lineRule="auto"/>
              <w:rPr>
                <w:b/>
                <w:bCs/>
                <w:sz w:val="24"/>
                <w:highlight w:val="none"/>
              </w:rPr>
            </w:pPr>
            <w:r>
              <w:rPr>
                <w:b/>
                <w:bCs/>
                <w:sz w:val="24"/>
                <w:highlight w:val="none"/>
              </w:rPr>
              <w:t>1.1废气污染源强</w:t>
            </w:r>
            <w:r>
              <w:rPr>
                <w:rFonts w:hint="eastAsia"/>
                <w:b/>
                <w:bCs/>
                <w:sz w:val="24"/>
                <w:highlight w:val="none"/>
              </w:rPr>
              <w:t>分析</w:t>
            </w:r>
          </w:p>
          <w:p>
            <w:pPr>
              <w:spacing w:line="360" w:lineRule="auto"/>
              <w:ind w:firstLineChars="200" w:firstLine="480"/>
              <w:rPr>
                <w:rFonts w:hint="eastAsia"/>
                <w:sz w:val="24"/>
                <w:highlight w:val="none"/>
              </w:rPr>
            </w:pPr>
            <w:r>
              <w:rPr>
                <w:rFonts w:cs="Times New Roman"/>
                <w:bCs/>
                <w:color w:val="auto"/>
                <w:sz w:val="24"/>
                <w:szCs w:val="24"/>
                <w:u w:val="none"/>
                <w:highlight w:val="none"/>
              </w:rPr>
              <w:t>本项目采用</w:t>
            </w:r>
            <w:r>
              <w:rPr>
                <w:rFonts w:cs="Times New Roman" w:hint="eastAsia"/>
                <w:bCs/>
                <w:color w:val="auto"/>
                <w:sz w:val="24"/>
                <w:szCs w:val="24"/>
                <w:u w:val="none"/>
                <w:highlight w:val="none"/>
              </w:rPr>
              <w:t>次氯酸钠发生器电解食盐产生次氯酸钠进行消毒，有效氯为</w:t>
            </w:r>
            <w:r>
              <w:rPr>
                <w:rFonts w:cs="Times New Roman" w:hint="eastAsia"/>
                <w:bCs/>
                <w:color w:val="auto"/>
                <w:sz w:val="24"/>
                <w:szCs w:val="24"/>
                <w:u w:val="none"/>
                <w:lang w:val="en-US" w:eastAsia="zh-CN"/>
                <w:highlight w:val="none"/>
              </w:rPr>
              <w:t>10</w:t>
            </w:r>
            <w:r>
              <w:rPr>
                <w:rFonts w:cs="Times New Roman" w:hint="eastAsia"/>
                <w:bCs/>
                <w:color w:val="auto"/>
                <w:sz w:val="24"/>
                <w:szCs w:val="24"/>
                <w:u w:val="none"/>
                <w:highlight w:val="none"/>
              </w:rPr>
              <w:t>%左右</w:t>
            </w:r>
            <w:r>
              <w:rPr>
                <w:rFonts w:cs="Times New Roman"/>
                <w:bCs/>
                <w:color w:val="auto"/>
                <w:sz w:val="24"/>
                <w:szCs w:val="24"/>
                <w:u w:val="none"/>
                <w:highlight w:val="none"/>
              </w:rPr>
              <w:t>。</w:t>
            </w:r>
            <w:r>
              <w:rPr>
                <w:rFonts w:cs="Times New Roman" w:hint="eastAsia"/>
                <w:bCs/>
                <w:color w:val="auto"/>
                <w:sz w:val="24"/>
                <w:szCs w:val="24"/>
                <w:u w:val="none"/>
                <w:highlight w:val="none"/>
              </w:rPr>
              <w:t>由于次氯酸钠发生器所生产的消毒液中不</w:t>
            </w:r>
            <w:r>
              <w:rPr>
                <w:rFonts w:cs="Times New Roman" w:hint="eastAsia"/>
                <w:bCs/>
                <w:color w:val="auto"/>
                <w:sz w:val="24"/>
                <w:szCs w:val="24"/>
                <w:u w:val="none"/>
                <w:lang w:val="en-US" w:eastAsia="zh-CN"/>
                <w:highlight w:val="none"/>
              </w:rPr>
              <w:t>像</w:t>
            </w:r>
            <w:r>
              <w:rPr>
                <w:rFonts w:cs="Times New Roman" w:hint="eastAsia"/>
                <w:bCs/>
                <w:color w:val="auto"/>
                <w:sz w:val="24"/>
                <w:szCs w:val="24"/>
                <w:u w:val="none"/>
                <w:highlight w:val="none"/>
              </w:rPr>
              <w:t>氯气、二氧化氯等消毒剂在水中产生游离氯，所以一般难以形成因存在游离氯而生成不利于人体健康的致癌物质；也不</w:t>
            </w:r>
            <w:r>
              <w:rPr>
                <w:rFonts w:cs="Times New Roman" w:hint="eastAsia"/>
                <w:bCs/>
                <w:color w:val="auto"/>
                <w:sz w:val="24"/>
                <w:szCs w:val="24"/>
                <w:u w:val="none"/>
                <w:lang w:val="en-US" w:eastAsia="zh-CN"/>
                <w:highlight w:val="none"/>
              </w:rPr>
              <w:t>像</w:t>
            </w:r>
            <w:r>
              <w:rPr>
                <w:rFonts w:cs="Times New Roman" w:hint="eastAsia"/>
                <w:bCs/>
                <w:color w:val="auto"/>
                <w:sz w:val="24"/>
                <w:szCs w:val="24"/>
                <w:u w:val="none"/>
                <w:highlight w:val="none"/>
              </w:rPr>
              <w:t>臭氧那样只要空气中存在很微弱的量（0.001mg/m</w:t>
            </w:r>
            <w:r>
              <w:rPr>
                <w:rFonts w:cs="Times New Roman" w:hint="eastAsia"/>
                <w:bCs/>
                <w:color w:val="auto"/>
                <w:sz w:val="24"/>
                <w:szCs w:val="24"/>
                <w:u w:val="none"/>
                <w:vertAlign w:val="superscript"/>
                <w:highlight w:val="none"/>
              </w:rPr>
              <w:t>3</w:t>
            </w:r>
            <w:r>
              <w:rPr>
                <w:rFonts w:cs="Times New Roman" w:hint="eastAsia"/>
                <w:bCs/>
                <w:color w:val="auto"/>
                <w:sz w:val="24"/>
                <w:szCs w:val="24"/>
                <w:u w:val="none"/>
                <w:highlight w:val="none"/>
              </w:rPr>
              <w:t>）便会对生命造成损伤和毒害；而且，还不会</w:t>
            </w:r>
            <w:r>
              <w:rPr>
                <w:rFonts w:cs="Times New Roman" w:hint="eastAsia"/>
                <w:bCs/>
                <w:color w:val="auto"/>
                <w:sz w:val="24"/>
                <w:szCs w:val="24"/>
                <w:u w:val="none"/>
                <w:lang w:val="en-US" w:eastAsia="zh-CN"/>
                <w:highlight w:val="none"/>
              </w:rPr>
              <w:t>像</w:t>
            </w:r>
            <w:r>
              <w:rPr>
                <w:rFonts w:cs="Times New Roman" w:hint="eastAsia"/>
                <w:bCs/>
                <w:color w:val="auto"/>
                <w:sz w:val="24"/>
                <w:szCs w:val="24"/>
                <w:u w:val="none"/>
                <w:highlight w:val="none"/>
              </w:rPr>
              <w:t>氯气同水反应会最后形成盐酸那样，对金属管道造成严重腐蚀。因此，次氯酸钠发生器在运行过程中产生的废气极少，可忽略不计</w:t>
            </w:r>
            <w:r>
              <w:rPr>
                <w:rFonts w:cs="Times New Roman"/>
                <w:bCs/>
                <w:color w:val="auto"/>
                <w:sz w:val="24"/>
                <w:szCs w:val="24"/>
                <w:u w:val="none"/>
                <w:highlight w:val="none"/>
              </w:rPr>
              <w:t>。</w:t>
            </w:r>
          </w:p>
          <w:p>
            <w:pPr>
              <w:spacing w:line="360" w:lineRule="auto"/>
              <w:ind w:firstLineChars="200" w:firstLine="480"/>
              <w:rPr>
                <w:sz w:val="24"/>
                <w:highlight w:val="none"/>
              </w:rPr>
            </w:pPr>
            <w:r>
              <w:rPr>
                <w:rFonts w:hint="eastAsia"/>
                <w:sz w:val="24"/>
                <w:highlight w:val="none"/>
              </w:rPr>
              <w:t>本项目</w:t>
            </w:r>
            <w:r>
              <w:rPr>
                <w:rFonts w:hint="eastAsia"/>
                <w:sz w:val="24"/>
                <w:lang w:eastAsia="zh-CN"/>
                <w:highlight w:val="none"/>
              </w:rPr>
              <w:t>水厂</w:t>
            </w:r>
            <w:r>
              <w:rPr>
                <w:rFonts w:hint="eastAsia"/>
                <w:sz w:val="24"/>
                <w:highlight w:val="none"/>
              </w:rPr>
              <w:t>建成投运后，废气主要为污泥</w:t>
            </w:r>
            <w:r>
              <w:rPr>
                <w:rFonts w:hint="eastAsia"/>
                <w:sz w:val="24"/>
                <w:lang w:val="en-US" w:eastAsia="zh-CN"/>
                <w:highlight w:val="none"/>
              </w:rPr>
              <w:t>脱水</w:t>
            </w:r>
            <w:r>
              <w:rPr>
                <w:rFonts w:hint="eastAsia"/>
                <w:sz w:val="24"/>
                <w:highlight w:val="none"/>
              </w:rPr>
              <w:t>过程产生的少量臭气，由于项目原水中悬浮物主要为无机质，有机质含量很少，同时污泥在厂区堆存时间较短，因此臭气产生量很少，本次评价仅做定性分析。</w:t>
            </w:r>
          </w:p>
          <w:p>
            <w:pPr>
              <w:spacing w:line="360" w:lineRule="auto"/>
              <w:rPr>
                <w:b/>
                <w:bCs/>
                <w:sz w:val="24"/>
                <w:highlight w:val="none"/>
              </w:rPr>
            </w:pPr>
            <w:r>
              <w:rPr>
                <w:b/>
                <w:bCs/>
                <w:sz w:val="24"/>
                <w:highlight w:val="none"/>
              </w:rPr>
              <w:t>1.2污染治理技术可行性分析</w:t>
            </w:r>
          </w:p>
          <w:p>
            <w:pPr>
              <w:spacing w:line="360" w:lineRule="auto"/>
              <w:ind w:firstLineChars="200" w:firstLine="480"/>
              <w:rPr>
                <w:sz w:val="24"/>
                <w:highlight w:val="none"/>
              </w:rPr>
            </w:pPr>
            <w:r>
              <w:rPr>
                <w:rFonts w:hint="eastAsia"/>
                <w:sz w:val="24"/>
                <w:highlight w:val="none"/>
              </w:rPr>
              <w:t>本项目原水在厂内净化过程中产生的沉砂污泥发生腐败变质进而产生恶臭气体的源强很小，同时企业对污泥池污泥做到及时的外运处置，厂内储存期短，也有效控制了污泥发生厌氧腐败的可能，另外，净水厂场内和厂界种植绿化进一步降低恶臭影响。因此本项目污泥</w:t>
            </w:r>
            <w:r>
              <w:rPr>
                <w:rFonts w:hint="eastAsia"/>
                <w:sz w:val="24"/>
                <w:lang w:val="en-US" w:eastAsia="zh-CN"/>
                <w:highlight w:val="none"/>
              </w:rPr>
              <w:t>脱水</w:t>
            </w:r>
            <w:r>
              <w:rPr>
                <w:rFonts w:hint="eastAsia"/>
                <w:sz w:val="24"/>
                <w:highlight w:val="none"/>
              </w:rPr>
              <w:t>等过程中产生的微量恶臭气体对周围的环境影响可接受。</w:t>
            </w:r>
          </w:p>
          <w:p>
            <w:pPr>
              <w:spacing w:line="360" w:lineRule="auto"/>
              <w:ind w:firstLineChars="200" w:firstLine="480"/>
              <w:rPr>
                <w:sz w:val="24"/>
                <w:highlight w:val="none"/>
              </w:rPr>
            </w:pPr>
            <w:r>
              <w:rPr>
                <w:rFonts w:hint="eastAsia"/>
                <w:sz w:val="24"/>
                <w:highlight w:val="none"/>
              </w:rPr>
              <w:t>污泥将产生少量异味，通过加强通风和厂区绿化，定时喷洒除臭剂、污泥及时运走，厂区周围种植高大乔木及乔灌草结合的方式，厂界满足《恶臭污染物排放标准》（GB14554-93）二级标准，对外环境影响可接受。</w:t>
            </w:r>
          </w:p>
          <w:p>
            <w:pPr>
              <w:spacing w:line="360" w:lineRule="auto"/>
              <w:rPr>
                <w:b/>
                <w:bCs/>
                <w:sz w:val="24"/>
                <w:highlight w:val="none"/>
              </w:rPr>
            </w:pPr>
            <w:r>
              <w:rPr>
                <w:b/>
                <w:bCs/>
                <w:sz w:val="24"/>
                <w:highlight w:val="none"/>
              </w:rPr>
              <w:t>1.3</w:t>
            </w:r>
            <w:r>
              <w:rPr>
                <w:rFonts w:hint="eastAsia"/>
                <w:b/>
                <w:bCs/>
                <w:sz w:val="24"/>
                <w:highlight w:val="none"/>
              </w:rPr>
              <w:t>监测要求</w:t>
            </w:r>
          </w:p>
          <w:p>
            <w:pPr>
              <w:spacing w:line="360" w:lineRule="auto"/>
              <w:ind w:firstLineChars="200" w:firstLine="480"/>
              <w:rPr>
                <w:sz w:val="24"/>
                <w:highlight w:val="none"/>
              </w:rPr>
            </w:pPr>
            <w:r>
              <w:rPr>
                <w:rFonts w:hint="eastAsia"/>
                <w:sz w:val="24"/>
                <w:highlight w:val="none"/>
              </w:rPr>
              <w:t>根据《排污单位自行监测技术指南</w:t>
            </w:r>
            <w:r>
              <w:rPr>
                <w:sz w:val="24"/>
                <w:highlight w:val="none"/>
              </w:rPr>
              <w:t xml:space="preserve"> </w:t>
            </w:r>
            <w:r>
              <w:rPr>
                <w:rFonts w:hint="eastAsia"/>
                <w:sz w:val="24"/>
                <w:highlight w:val="none"/>
              </w:rPr>
              <w:t>总则》（</w:t>
            </w:r>
            <w:r>
              <w:rPr>
                <w:sz w:val="24"/>
                <w:highlight w:val="none"/>
              </w:rPr>
              <w:t>HJ819-2017</w:t>
            </w:r>
            <w:r>
              <w:rPr>
                <w:rFonts w:hint="eastAsia"/>
                <w:sz w:val="24"/>
                <w:highlight w:val="none"/>
              </w:rPr>
              <w:t>），本项目无相关自行监测要求。</w:t>
            </w:r>
            <w:r>
              <w:rPr>
                <w:sz w:val="24"/>
                <w:highlight w:val="none"/>
              </w:rPr>
              <w:t xml:space="preserve"> </w:t>
            </w:r>
          </w:p>
          <w:p>
            <w:pPr>
              <w:spacing w:line="360" w:lineRule="auto"/>
              <w:rPr>
                <w:b/>
                <w:bCs/>
                <w:sz w:val="24"/>
                <w:highlight w:val="none"/>
              </w:rPr>
            </w:pPr>
            <w:r>
              <w:rPr>
                <w:b/>
                <w:bCs/>
                <w:sz w:val="24"/>
                <w:highlight w:val="none"/>
              </w:rPr>
              <w:t>2、废水</w:t>
            </w:r>
          </w:p>
          <w:p>
            <w:pPr>
              <w:spacing w:line="360" w:lineRule="auto"/>
              <w:rPr>
                <w:b/>
                <w:bCs/>
                <w:sz w:val="24"/>
                <w:highlight w:val="none"/>
              </w:rPr>
            </w:pPr>
            <w:bookmarkStart w:id="16" w:name="bookmark163"/>
            <w:r>
              <w:rPr>
                <w:b/>
                <w:bCs/>
                <w:sz w:val="24"/>
                <w:highlight w:val="none"/>
              </w:rPr>
              <w:t>2.1废水污染物产排污情况</w:t>
            </w:r>
          </w:p>
          <w:p>
            <w:pPr>
              <w:spacing w:line="360" w:lineRule="auto"/>
              <w:ind w:firstLineChars="200" w:firstLine="480"/>
              <w:rPr>
                <w:rFonts w:eastAsia="宋体"/>
                <w:sz w:val="24"/>
                <w:lang w:val="en-US" w:eastAsia="zh-CN"/>
                <w:highlight w:val="none"/>
              </w:rPr>
            </w:pPr>
            <w:r>
              <w:rPr>
                <w:rFonts w:hint="eastAsia"/>
                <w:sz w:val="24"/>
                <w:lang w:eastAsia="zh-CN"/>
                <w:highlight w:val="none"/>
              </w:rPr>
              <w:t>（</w:t>
            </w:r>
            <w:r>
              <w:rPr>
                <w:rFonts w:hint="eastAsia"/>
                <w:sz w:val="24"/>
                <w:lang w:val="en-US" w:eastAsia="zh-CN"/>
                <w:highlight w:val="none"/>
              </w:rPr>
              <w:t>1</w:t>
            </w:r>
            <w:r>
              <w:rPr>
                <w:rFonts w:hint="eastAsia"/>
                <w:sz w:val="24"/>
                <w:lang w:eastAsia="zh-CN"/>
                <w:highlight w:val="none"/>
              </w:rPr>
              <w:t>）</w:t>
            </w:r>
            <w:r>
              <w:rPr>
                <w:rFonts w:hint="eastAsia"/>
                <w:sz w:val="24"/>
                <w:lang w:val="en-US" w:eastAsia="zh-CN"/>
                <w:highlight w:val="none"/>
              </w:rPr>
              <w:t>生活污水</w:t>
            </w:r>
          </w:p>
          <w:p>
            <w:pPr>
              <w:spacing w:line="360" w:lineRule="auto"/>
              <w:ind w:firstLineChars="200" w:firstLine="480"/>
              <w:rPr>
                <w:sz w:val="24"/>
                <w:u w:val="none"/>
                <w:highlight w:val="none"/>
              </w:rPr>
            </w:pPr>
            <w:r>
              <w:rPr>
                <w:rFonts w:cs="Times New Roman"/>
                <w:color w:val="auto"/>
                <w:sz w:val="24"/>
                <w:szCs w:val="24"/>
                <w:u w:val="none"/>
                <w:highlight w:val="none"/>
              </w:rPr>
              <w:t>水厂劳动定员为</w:t>
            </w:r>
            <w:r>
              <w:rPr>
                <w:rFonts w:cs="Times New Roman" w:hint="eastAsia"/>
                <w:color w:val="auto"/>
                <w:sz w:val="24"/>
                <w:szCs w:val="24"/>
                <w:u w:val="none"/>
                <w:lang w:val="en-US" w:eastAsia="zh-CN"/>
                <w:highlight w:val="none"/>
              </w:rPr>
              <w:t>15</w:t>
            </w:r>
            <w:r>
              <w:rPr>
                <w:rFonts w:cs="Times New Roman"/>
                <w:color w:val="auto"/>
                <w:sz w:val="24"/>
                <w:szCs w:val="24"/>
                <w:u w:val="none"/>
                <w:highlight w:val="none"/>
              </w:rPr>
              <w:t>人，均</w:t>
            </w:r>
            <w:r>
              <w:rPr>
                <w:rFonts w:cs="Times New Roman" w:hint="eastAsia"/>
                <w:color w:val="auto"/>
                <w:sz w:val="24"/>
                <w:szCs w:val="24"/>
                <w:u w:val="none"/>
                <w:lang w:val="en-US" w:eastAsia="zh-CN"/>
                <w:highlight w:val="none"/>
              </w:rPr>
              <w:t>不</w:t>
            </w:r>
            <w:r>
              <w:rPr>
                <w:rFonts w:cs="Times New Roman"/>
                <w:color w:val="auto"/>
                <w:sz w:val="24"/>
                <w:szCs w:val="24"/>
                <w:u w:val="none"/>
                <w:highlight w:val="none"/>
              </w:rPr>
              <w:t>在厂区内食宿。根据《湖南省用水定额》（DB43/T 388-2020），居民生活用水按每人4</w:t>
            </w:r>
            <w:r>
              <w:rPr>
                <w:rFonts w:cs="Times New Roman" w:hint="eastAsia"/>
                <w:color w:val="auto"/>
                <w:sz w:val="24"/>
                <w:szCs w:val="24"/>
                <w:u w:val="none"/>
                <w:highlight w:val="none"/>
              </w:rPr>
              <w:t>0</w:t>
            </w:r>
            <w:r>
              <w:rPr>
                <w:rFonts w:cs="Times New Roman"/>
                <w:color w:val="auto"/>
                <w:sz w:val="24"/>
                <w:szCs w:val="24"/>
                <w:u w:val="none"/>
                <w:highlight w:val="none"/>
              </w:rPr>
              <w:t>L/d计，则水厂生活用水</w:t>
            </w:r>
            <w:r>
              <w:rPr>
                <w:rFonts w:cs="Times New Roman" w:hint="eastAsia"/>
                <w:color w:val="auto"/>
                <w:sz w:val="24"/>
                <w:szCs w:val="24"/>
                <w:u w:val="none"/>
                <w:lang w:val="en-US" w:eastAsia="zh-CN"/>
                <w:highlight w:val="none"/>
              </w:rPr>
              <w:t>0.6</w:t>
            </w:r>
            <w:r>
              <w:rPr>
                <w:rFonts w:cs="Times New Roman"/>
                <w:color w:val="auto"/>
                <w:sz w:val="24"/>
                <w:szCs w:val="24"/>
                <w:u w:val="none"/>
                <w:highlight w:val="none"/>
              </w:rPr>
              <w:t>m</w:t>
            </w:r>
            <w:r>
              <w:rPr>
                <w:rFonts w:cs="Times New Roman"/>
                <w:color w:val="auto"/>
                <w:sz w:val="24"/>
                <w:szCs w:val="24"/>
                <w:u w:val="none"/>
                <w:vertAlign w:val="superscript"/>
                <w:highlight w:val="none"/>
              </w:rPr>
              <w:t>3</w:t>
            </w:r>
            <w:r>
              <w:rPr>
                <w:rFonts w:cs="Times New Roman"/>
                <w:color w:val="auto"/>
                <w:sz w:val="24"/>
                <w:szCs w:val="24"/>
                <w:u w:val="none"/>
                <w:highlight w:val="none"/>
              </w:rPr>
              <w:t>/d（</w:t>
            </w:r>
            <w:r>
              <w:rPr>
                <w:rFonts w:cs="Times New Roman" w:hint="eastAsia"/>
                <w:color w:val="auto"/>
                <w:sz w:val="24"/>
                <w:szCs w:val="24"/>
                <w:u w:val="none"/>
                <w:lang w:val="en-US" w:eastAsia="zh-CN"/>
                <w:highlight w:val="none"/>
              </w:rPr>
              <w:t>219m</w:t>
            </w:r>
            <w:r>
              <w:rPr>
                <w:rFonts w:cs="Times New Roman"/>
                <w:color w:val="auto"/>
                <w:sz w:val="24"/>
                <w:szCs w:val="24"/>
                <w:u w:val="none"/>
                <w:vertAlign w:val="superscript"/>
                <w:highlight w:val="none"/>
              </w:rPr>
              <w:t>3</w:t>
            </w:r>
            <w:r>
              <w:rPr>
                <w:rFonts w:cs="Times New Roman"/>
                <w:color w:val="auto"/>
                <w:sz w:val="24"/>
                <w:szCs w:val="24"/>
                <w:u w:val="none"/>
                <w:highlight w:val="none"/>
              </w:rPr>
              <w:t>/a）。废水排放系数取0.8，废水排放量为</w:t>
            </w:r>
            <w:r>
              <w:rPr>
                <w:rFonts w:cs="Times New Roman" w:hint="eastAsia"/>
                <w:color w:val="auto"/>
                <w:sz w:val="24"/>
                <w:szCs w:val="24"/>
                <w:u w:val="none"/>
                <w:lang w:val="en-US" w:eastAsia="zh-CN"/>
                <w:highlight w:val="none"/>
              </w:rPr>
              <w:t>0.48</w:t>
            </w:r>
            <w:r>
              <w:rPr>
                <w:rFonts w:cs="Times New Roman"/>
                <w:color w:val="auto"/>
                <w:sz w:val="24"/>
                <w:szCs w:val="24"/>
                <w:u w:val="none"/>
                <w:highlight w:val="none"/>
              </w:rPr>
              <w:t>m</w:t>
            </w:r>
            <w:r>
              <w:rPr>
                <w:rFonts w:cs="Times New Roman"/>
                <w:color w:val="auto"/>
                <w:sz w:val="24"/>
                <w:szCs w:val="24"/>
                <w:u w:val="none"/>
                <w:vertAlign w:val="superscript"/>
                <w:highlight w:val="none"/>
              </w:rPr>
              <w:t>3</w:t>
            </w:r>
            <w:r>
              <w:rPr>
                <w:rFonts w:cs="Times New Roman"/>
                <w:color w:val="auto"/>
                <w:sz w:val="24"/>
                <w:szCs w:val="24"/>
                <w:u w:val="none"/>
                <w:highlight w:val="none"/>
              </w:rPr>
              <w:t>/d（</w:t>
            </w:r>
            <w:r>
              <w:rPr>
                <w:rFonts w:cs="Times New Roman" w:hint="eastAsia"/>
                <w:color w:val="auto"/>
                <w:sz w:val="24"/>
                <w:szCs w:val="24"/>
                <w:u w:val="none"/>
                <w:lang w:val="en-US" w:eastAsia="zh-CN"/>
                <w:highlight w:val="none"/>
              </w:rPr>
              <w:t>175.2</w:t>
            </w:r>
            <w:r>
              <w:rPr>
                <w:rFonts w:cs="Times New Roman"/>
                <w:color w:val="auto"/>
                <w:sz w:val="24"/>
                <w:szCs w:val="24"/>
                <w:u w:val="none"/>
                <w:highlight w:val="none"/>
              </w:rPr>
              <w:t>m</w:t>
            </w:r>
            <w:r>
              <w:rPr>
                <w:rFonts w:cs="Times New Roman"/>
                <w:color w:val="auto"/>
                <w:sz w:val="24"/>
                <w:szCs w:val="24"/>
                <w:u w:val="none"/>
                <w:vertAlign w:val="superscript"/>
                <w:highlight w:val="none"/>
              </w:rPr>
              <w:t>3</w:t>
            </w:r>
            <w:r>
              <w:rPr>
                <w:rFonts w:cs="Times New Roman"/>
                <w:color w:val="auto"/>
                <w:sz w:val="24"/>
                <w:szCs w:val="24"/>
                <w:u w:val="none"/>
                <w:highlight w:val="none"/>
              </w:rPr>
              <w:t>/a）</w:t>
            </w:r>
            <w:r>
              <w:rPr>
                <w:rFonts w:cs="Times New Roman" w:hint="eastAsia"/>
                <w:color w:val="auto"/>
                <w:sz w:val="24"/>
                <w:szCs w:val="24"/>
                <w:u w:val="none"/>
                <w:lang w:eastAsia="zh-CN"/>
                <w:highlight w:val="none"/>
              </w:rPr>
              <w:t>，</w:t>
            </w:r>
            <w:r>
              <w:rPr>
                <w:rFonts w:hint="eastAsia"/>
                <w:sz w:val="24"/>
                <w:u w:val="none"/>
                <w:lang w:val="en-US" w:eastAsia="zh-CN"/>
                <w:highlight w:val="none"/>
              </w:rPr>
              <w:t>生活污水经化粪池处理后用于农肥，不外排</w:t>
            </w:r>
            <w:r>
              <w:rPr>
                <w:rFonts w:cs="Times New Roman"/>
                <w:color w:val="auto"/>
                <w:sz w:val="24"/>
                <w:szCs w:val="24"/>
                <w:u w:val="none"/>
                <w:highlight w:val="none"/>
              </w:rPr>
              <w:t>。</w:t>
            </w:r>
          </w:p>
          <w:p>
            <w:pPr>
              <w:pStyle w:val="17"/>
              <w:adjustRightInd w:val="0"/>
              <w:snapToGrid w:val="0"/>
              <w:spacing w:line="360" w:lineRule="auto"/>
              <w:ind w:firstLineChars="200" w:firstLine="480"/>
              <w:jc w:val="left"/>
              <w:rPr>
                <w:rFonts w:eastAsia="宋体"/>
                <w:sz w:val="24"/>
                <w:szCs w:val="24"/>
                <w:u w:val="single"/>
                <w:lang w:val="en-US" w:eastAsia="zh-CN"/>
                <w:highlight w:val="none"/>
              </w:rPr>
            </w:pPr>
            <w:r>
              <w:rPr>
                <w:rFonts w:eastAsia="宋体" w:hint="eastAsia"/>
                <w:sz w:val="24"/>
                <w:szCs w:val="24"/>
                <w:u w:val="single"/>
                <w:lang w:eastAsia="zh-CN"/>
                <w:highlight w:val="none"/>
              </w:rPr>
              <w:t>（</w:t>
            </w:r>
            <w:r>
              <w:rPr>
                <w:rFonts w:eastAsia="宋体" w:hint="eastAsia"/>
                <w:sz w:val="24"/>
                <w:szCs w:val="24"/>
                <w:u w:val="single"/>
                <w:lang w:val="en-US" w:eastAsia="zh-CN"/>
                <w:highlight w:val="none"/>
              </w:rPr>
              <w:t>2</w:t>
            </w:r>
            <w:r>
              <w:rPr>
                <w:rFonts w:eastAsia="宋体" w:hint="eastAsia"/>
                <w:sz w:val="24"/>
                <w:szCs w:val="24"/>
                <w:u w:val="single"/>
                <w:lang w:eastAsia="zh-CN"/>
                <w:highlight w:val="none"/>
              </w:rPr>
              <w:t>）</w:t>
            </w:r>
            <w:r>
              <w:rPr>
                <w:rFonts w:eastAsia="宋体" w:hint="eastAsia"/>
                <w:sz w:val="24"/>
                <w:szCs w:val="24"/>
                <w:u w:val="single"/>
                <w:lang w:val="en-US" w:eastAsia="zh-CN"/>
                <w:highlight w:val="none"/>
              </w:rPr>
              <w:t>生产废水</w:t>
            </w:r>
          </w:p>
          <w:p>
            <w:pPr>
              <w:pStyle w:val="17"/>
              <w:adjustRightInd w:val="0"/>
              <w:snapToGrid w:val="0"/>
              <w:spacing w:line="360" w:lineRule="auto"/>
              <w:ind w:firstLineChars="200" w:firstLine="480"/>
              <w:jc w:val="left"/>
              <w:rPr>
                <w:rFonts w:eastAsia="宋体"/>
                <w:sz w:val="24"/>
                <w:szCs w:val="24"/>
                <w:u w:val="single"/>
                <w:highlight w:val="none"/>
              </w:rPr>
            </w:pPr>
            <w:r>
              <w:rPr>
                <w:rFonts w:eastAsia="宋体"/>
                <w:sz w:val="24"/>
                <w:szCs w:val="24"/>
                <w:u w:val="single"/>
                <w:highlight w:val="none"/>
              </w:rPr>
              <w:t>本项目生产废水包括滤池反冲洗水、沉淀池排泥水。</w:t>
            </w:r>
            <w:r>
              <w:rPr>
                <w:rFonts w:eastAsia="宋体" w:hint="eastAsia"/>
                <w:sz w:val="24"/>
                <w:szCs w:val="24"/>
                <w:u w:val="single"/>
                <w:highlight w:val="none"/>
              </w:rPr>
              <w:t>参考《排放源统计调查产排污核算方法和系数手册》</w:t>
            </w:r>
            <w:r>
              <w:rPr>
                <w:rFonts w:eastAsia="宋体"/>
                <w:sz w:val="24"/>
                <w:szCs w:val="24"/>
                <w:u w:val="single"/>
                <w:highlight w:val="none"/>
              </w:rPr>
              <w:t>4610自来水生产和供应行业系数手册</w:t>
            </w:r>
            <w:r>
              <w:rPr>
                <w:rFonts w:eastAsia="宋体" w:hint="eastAsia"/>
                <w:sz w:val="24"/>
                <w:szCs w:val="24"/>
                <w:u w:val="single"/>
                <w:highlight w:val="none"/>
              </w:rPr>
              <w:t>-产物系数详见下表。</w:t>
            </w:r>
          </w:p>
          <w:p>
            <w:pPr>
              <w:jc w:val="center"/>
              <w:rPr>
                <w:b/>
                <w:bCs/>
                <w:szCs w:val="21"/>
                <w:u w:val="single"/>
                <w:highlight w:val="none"/>
              </w:rPr>
            </w:pPr>
            <w:r>
              <w:rPr>
                <w:b/>
                <w:bCs/>
                <w:szCs w:val="21"/>
                <w:u w:val="single"/>
                <w:highlight w:val="none"/>
              </w:rPr>
              <w:t xml:space="preserve">表4-1  </w:t>
            </w:r>
            <w:r>
              <w:rPr>
                <w:rFonts w:hint="eastAsia"/>
                <w:b/>
                <w:bCs/>
                <w:szCs w:val="21"/>
                <w:u w:val="single"/>
                <w:highlight w:val="none"/>
              </w:rPr>
              <w:t>自来水生产和供应行业系数</w:t>
            </w:r>
            <w:r>
              <w:rPr>
                <w:b/>
                <w:bCs/>
                <w:szCs w:val="21"/>
                <w:u w:val="single"/>
                <w:highlight w:val="none"/>
              </w:rPr>
              <w:t>摘录表</w:t>
            </w:r>
          </w:p>
          <w:tbl>
            <w:tblPr>
              <w:jc w:val="left"/>
              <w:tblInd w:w="0" w:type="dxa"/>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679"/>
              <w:gridCol w:w="708"/>
              <w:gridCol w:w="749"/>
              <w:gridCol w:w="952"/>
              <w:gridCol w:w="709"/>
              <w:gridCol w:w="708"/>
              <w:gridCol w:w="1276"/>
              <w:gridCol w:w="1277"/>
              <w:gridCol w:w="1077"/>
            </w:tblGrid>
            <w:tr>
              <w:trPr>
                <w:trHeight w:val="283"/>
              </w:trPr>
              <w:tc>
                <w:tcPr>
                  <w:tcW w:w="417" w:type="pct"/>
                  <w:shd w:val="clear" w:color="auto" w:fill="auto"/>
                  <w:vAlign w:val="center"/>
                </w:tcPr>
                <w:p>
                  <w:pPr>
                    <w:jc w:val="center"/>
                    <w:rPr>
                      <w:b/>
                      <w:bCs/>
                      <w:szCs w:val="21"/>
                      <w:u w:val="single"/>
                      <w:highlight w:val="none"/>
                    </w:rPr>
                  </w:pPr>
                  <w:r>
                    <w:rPr>
                      <w:b/>
                      <w:bCs/>
                      <w:szCs w:val="21"/>
                      <w:u w:val="single"/>
                      <w:highlight w:val="none"/>
                    </w:rPr>
                    <w:t>工段名称</w:t>
                  </w:r>
                </w:p>
              </w:tc>
              <w:tc>
                <w:tcPr>
                  <w:tcW w:w="435" w:type="pct"/>
                  <w:shd w:val="clear" w:color="auto" w:fill="auto"/>
                  <w:vAlign w:val="center"/>
                </w:tcPr>
                <w:p>
                  <w:pPr>
                    <w:jc w:val="center"/>
                    <w:rPr>
                      <w:b/>
                      <w:bCs/>
                      <w:szCs w:val="21"/>
                      <w:u w:val="single"/>
                      <w:highlight w:val="none"/>
                    </w:rPr>
                  </w:pPr>
                  <w:r>
                    <w:rPr>
                      <w:b/>
                      <w:bCs/>
                      <w:szCs w:val="21"/>
                      <w:u w:val="single"/>
                      <w:highlight w:val="none"/>
                    </w:rPr>
                    <w:t>产品名称</w:t>
                  </w:r>
                </w:p>
              </w:tc>
              <w:tc>
                <w:tcPr>
                  <w:tcW w:w="460" w:type="pct"/>
                  <w:shd w:val="clear" w:color="auto" w:fill="auto"/>
                  <w:vAlign w:val="center"/>
                </w:tcPr>
                <w:p>
                  <w:pPr>
                    <w:jc w:val="center"/>
                    <w:rPr>
                      <w:b/>
                      <w:bCs/>
                      <w:szCs w:val="21"/>
                      <w:u w:val="single"/>
                      <w:highlight w:val="none"/>
                    </w:rPr>
                  </w:pPr>
                  <w:r>
                    <w:rPr>
                      <w:b/>
                      <w:bCs/>
                      <w:szCs w:val="21"/>
                      <w:u w:val="single"/>
                      <w:highlight w:val="none"/>
                    </w:rPr>
                    <w:t>原料名称</w:t>
                  </w:r>
                </w:p>
              </w:tc>
              <w:tc>
                <w:tcPr>
                  <w:tcW w:w="585" w:type="pct"/>
                  <w:shd w:val="clear" w:color="auto" w:fill="auto"/>
                  <w:vAlign w:val="center"/>
                </w:tcPr>
                <w:p>
                  <w:pPr>
                    <w:jc w:val="center"/>
                    <w:rPr>
                      <w:b/>
                      <w:bCs/>
                      <w:szCs w:val="21"/>
                      <w:u w:val="single"/>
                      <w:highlight w:val="none"/>
                    </w:rPr>
                  </w:pPr>
                  <w:r>
                    <w:rPr>
                      <w:b/>
                      <w:bCs/>
                      <w:szCs w:val="21"/>
                      <w:u w:val="single"/>
                      <w:highlight w:val="none"/>
                    </w:rPr>
                    <w:t>工艺名称</w:t>
                  </w:r>
                </w:p>
              </w:tc>
              <w:tc>
                <w:tcPr>
                  <w:tcW w:w="436" w:type="pct"/>
                  <w:shd w:val="clear" w:color="auto" w:fill="auto"/>
                  <w:vAlign w:val="center"/>
                </w:tcPr>
                <w:p>
                  <w:pPr>
                    <w:jc w:val="center"/>
                    <w:rPr>
                      <w:b/>
                      <w:bCs/>
                      <w:szCs w:val="21"/>
                      <w:u w:val="single"/>
                      <w:highlight w:val="none"/>
                    </w:rPr>
                  </w:pPr>
                  <w:r>
                    <w:rPr>
                      <w:b/>
                      <w:bCs/>
                      <w:szCs w:val="21"/>
                      <w:u w:val="single"/>
                      <w:highlight w:val="none"/>
                    </w:rPr>
                    <w:t>规模等级</w:t>
                  </w:r>
                </w:p>
              </w:tc>
              <w:tc>
                <w:tcPr>
                  <w:tcW w:w="435" w:type="pct"/>
                  <w:shd w:val="clear" w:color="auto" w:fill="auto"/>
                  <w:vAlign w:val="center"/>
                </w:tcPr>
                <w:p>
                  <w:pPr>
                    <w:jc w:val="center"/>
                    <w:rPr>
                      <w:b/>
                      <w:bCs/>
                      <w:szCs w:val="21"/>
                      <w:u w:val="single"/>
                      <w:highlight w:val="none"/>
                    </w:rPr>
                  </w:pPr>
                  <w:r>
                    <w:rPr>
                      <w:b/>
                      <w:bCs/>
                      <w:szCs w:val="21"/>
                      <w:u w:val="single"/>
                      <w:highlight w:val="none"/>
                    </w:rPr>
                    <w:t>污染物</w:t>
                  </w:r>
                  <w:r>
                    <w:rPr>
                      <w:rFonts w:hint="eastAsia"/>
                      <w:b/>
                      <w:bCs/>
                      <w:szCs w:val="21"/>
                      <w:u w:val="single"/>
                      <w:highlight w:val="none"/>
                    </w:rPr>
                    <w:t>类别</w:t>
                  </w:r>
                </w:p>
              </w:tc>
              <w:tc>
                <w:tcPr>
                  <w:tcW w:w="784" w:type="pct"/>
                  <w:shd w:val="clear" w:color="auto" w:fill="auto"/>
                  <w:vAlign w:val="center"/>
                </w:tcPr>
                <w:p>
                  <w:pPr>
                    <w:jc w:val="center"/>
                    <w:rPr>
                      <w:b/>
                      <w:bCs/>
                      <w:szCs w:val="21"/>
                      <w:u w:val="single"/>
                      <w:highlight w:val="none"/>
                    </w:rPr>
                  </w:pPr>
                  <w:r>
                    <w:rPr>
                      <w:b/>
                      <w:bCs/>
                      <w:szCs w:val="21"/>
                      <w:u w:val="single"/>
                      <w:highlight w:val="none"/>
                    </w:rPr>
                    <w:t>污染物指标</w:t>
                  </w:r>
                </w:p>
              </w:tc>
              <w:tc>
                <w:tcPr>
                  <w:tcW w:w="785" w:type="pct"/>
                  <w:vAlign w:val="center"/>
                </w:tcPr>
                <w:p>
                  <w:pPr>
                    <w:jc w:val="center"/>
                    <w:rPr>
                      <w:b/>
                      <w:bCs/>
                      <w:szCs w:val="21"/>
                      <w:u w:val="single"/>
                      <w:highlight w:val="none"/>
                    </w:rPr>
                  </w:pPr>
                  <w:r>
                    <w:rPr>
                      <w:rFonts w:hint="eastAsia"/>
                      <w:b/>
                      <w:bCs/>
                      <w:szCs w:val="21"/>
                      <w:u w:val="single"/>
                      <w:highlight w:val="none"/>
                    </w:rPr>
                    <w:t>单位</w:t>
                  </w:r>
                </w:p>
              </w:tc>
              <w:tc>
                <w:tcPr>
                  <w:tcW w:w="662" w:type="pct"/>
                  <w:shd w:val="clear" w:color="auto" w:fill="auto"/>
                  <w:vAlign w:val="center"/>
                </w:tcPr>
                <w:p>
                  <w:pPr>
                    <w:jc w:val="center"/>
                    <w:rPr>
                      <w:b/>
                      <w:bCs/>
                      <w:szCs w:val="21"/>
                      <w:u w:val="single"/>
                      <w:highlight w:val="none"/>
                    </w:rPr>
                  </w:pPr>
                  <w:r>
                    <w:rPr>
                      <w:b/>
                      <w:bCs/>
                      <w:szCs w:val="21"/>
                      <w:u w:val="single"/>
                      <w:highlight w:val="none"/>
                    </w:rPr>
                    <w:t>产污系数</w:t>
                  </w:r>
                </w:p>
              </w:tc>
            </w:tr>
            <w:tr>
              <w:trPr>
                <w:trHeight w:val="283"/>
              </w:trPr>
              <w:tc>
                <w:tcPr>
                  <w:tcW w:w="417" w:type="pct"/>
                  <w:vMerge w:val="restart"/>
                  <w:shd w:val="clear" w:color="auto" w:fill="auto"/>
                  <w:vAlign w:val="center"/>
                </w:tcPr>
                <w:p>
                  <w:pPr>
                    <w:jc w:val="center"/>
                    <w:rPr>
                      <w:szCs w:val="21"/>
                      <w:u w:val="single"/>
                      <w:highlight w:val="none"/>
                    </w:rPr>
                  </w:pPr>
                  <w:r>
                    <w:rPr>
                      <w:szCs w:val="21"/>
                      <w:u w:val="single"/>
                      <w:highlight w:val="none"/>
                    </w:rPr>
                    <w:t>/</w:t>
                  </w:r>
                </w:p>
              </w:tc>
              <w:tc>
                <w:tcPr>
                  <w:tcW w:w="435" w:type="pct"/>
                  <w:vMerge w:val="restart"/>
                  <w:shd w:val="clear" w:color="auto" w:fill="auto"/>
                  <w:vAlign w:val="center"/>
                </w:tcPr>
                <w:p>
                  <w:pPr>
                    <w:jc w:val="center"/>
                    <w:rPr>
                      <w:szCs w:val="21"/>
                      <w:u w:val="single"/>
                      <w:highlight w:val="none"/>
                    </w:rPr>
                  </w:pPr>
                  <w:r>
                    <w:rPr>
                      <w:szCs w:val="21"/>
                      <w:u w:val="single"/>
                      <w:highlight w:val="none"/>
                    </w:rPr>
                    <w:t>自来水</w:t>
                  </w:r>
                </w:p>
              </w:tc>
              <w:tc>
                <w:tcPr>
                  <w:tcW w:w="460" w:type="pct"/>
                  <w:vMerge w:val="restart"/>
                  <w:shd w:val="clear" w:color="auto" w:fill="auto"/>
                  <w:vAlign w:val="center"/>
                </w:tcPr>
                <w:p>
                  <w:pPr>
                    <w:jc w:val="center"/>
                    <w:rPr>
                      <w:szCs w:val="21"/>
                      <w:u w:val="single"/>
                      <w:highlight w:val="none"/>
                    </w:rPr>
                  </w:pPr>
                  <w:r>
                    <w:rPr>
                      <w:szCs w:val="21"/>
                      <w:u w:val="single"/>
                      <w:highlight w:val="none"/>
                    </w:rPr>
                    <w:t>地表水</w:t>
                  </w:r>
                </w:p>
              </w:tc>
              <w:tc>
                <w:tcPr>
                  <w:tcW w:w="585" w:type="pct"/>
                  <w:vMerge w:val="restart"/>
                  <w:shd w:val="clear" w:color="auto" w:fill="auto"/>
                  <w:vAlign w:val="center"/>
                </w:tcPr>
                <w:p>
                  <w:pPr>
                    <w:jc w:val="center"/>
                    <w:rPr>
                      <w:szCs w:val="21"/>
                      <w:u w:val="single"/>
                      <w:highlight w:val="none"/>
                    </w:rPr>
                  </w:pPr>
                  <w:r>
                    <w:rPr>
                      <w:szCs w:val="21"/>
                      <w:u w:val="single"/>
                      <w:highlight w:val="none"/>
                    </w:rPr>
                    <w:t>混凝沉淀（或澄清）过滤消毒工艺</w:t>
                  </w:r>
                </w:p>
              </w:tc>
              <w:tc>
                <w:tcPr>
                  <w:tcW w:w="436" w:type="pct"/>
                  <w:vMerge w:val="restart"/>
                  <w:shd w:val="clear" w:color="auto" w:fill="auto"/>
                  <w:vAlign w:val="center"/>
                </w:tcPr>
                <w:p>
                  <w:pPr>
                    <w:jc w:val="center"/>
                    <w:rPr>
                      <w:szCs w:val="21"/>
                      <w:u w:val="single"/>
                      <w:highlight w:val="none"/>
                    </w:rPr>
                  </w:pPr>
                  <w:r>
                    <w:rPr>
                      <w:szCs w:val="21"/>
                      <w:u w:val="single"/>
                      <w:highlight w:val="none"/>
                    </w:rPr>
                    <w:t>≤5万吨/日</w:t>
                  </w:r>
                </w:p>
              </w:tc>
              <w:tc>
                <w:tcPr>
                  <w:tcW w:w="435" w:type="pct"/>
                  <w:vMerge w:val="restart"/>
                  <w:shd w:val="clear" w:color="auto" w:fill="auto"/>
                  <w:vAlign w:val="center"/>
                </w:tcPr>
                <w:p>
                  <w:pPr>
                    <w:jc w:val="center"/>
                    <w:rPr>
                      <w:szCs w:val="21"/>
                      <w:u w:val="single"/>
                      <w:highlight w:val="none"/>
                    </w:rPr>
                  </w:pPr>
                  <w:r>
                    <w:rPr>
                      <w:szCs w:val="21"/>
                      <w:u w:val="single"/>
                      <w:highlight w:val="none"/>
                    </w:rPr>
                    <w:t>废水</w:t>
                  </w:r>
                </w:p>
              </w:tc>
              <w:tc>
                <w:tcPr>
                  <w:tcW w:w="784" w:type="pct"/>
                  <w:shd w:val="clear" w:color="auto" w:fill="auto"/>
                  <w:vAlign w:val="center"/>
                </w:tcPr>
                <w:p>
                  <w:pPr>
                    <w:jc w:val="center"/>
                    <w:rPr>
                      <w:szCs w:val="21"/>
                      <w:u w:val="single"/>
                      <w:highlight w:val="none"/>
                    </w:rPr>
                  </w:pPr>
                  <w:r>
                    <w:rPr>
                      <w:szCs w:val="21"/>
                      <w:u w:val="single"/>
                      <w:highlight w:val="none"/>
                    </w:rPr>
                    <w:t>工业废水量</w:t>
                  </w:r>
                </w:p>
              </w:tc>
              <w:tc>
                <w:tcPr>
                  <w:tcW w:w="785" w:type="pct"/>
                  <w:vAlign w:val="center"/>
                </w:tcPr>
                <w:p>
                  <w:pPr>
                    <w:jc w:val="center"/>
                    <w:rPr>
                      <w:szCs w:val="21"/>
                      <w:u w:val="single"/>
                      <w:highlight w:val="none"/>
                    </w:rPr>
                  </w:pPr>
                  <w:r>
                    <w:rPr>
                      <w:szCs w:val="21"/>
                      <w:u w:val="single"/>
                      <w:highlight w:val="none"/>
                    </w:rPr>
                    <w:t>吨/吨-产品</w:t>
                  </w:r>
                </w:p>
              </w:tc>
              <w:tc>
                <w:tcPr>
                  <w:tcW w:w="662" w:type="pct"/>
                  <w:shd w:val="clear" w:color="auto" w:fill="auto"/>
                  <w:vAlign w:val="center"/>
                </w:tcPr>
                <w:p>
                  <w:pPr>
                    <w:jc w:val="center"/>
                    <w:rPr>
                      <w:szCs w:val="21"/>
                      <w:u w:val="single"/>
                      <w:highlight w:val="none"/>
                    </w:rPr>
                  </w:pPr>
                  <w:r>
                    <w:rPr>
                      <w:szCs w:val="21"/>
                      <w:u w:val="single"/>
                      <w:highlight w:val="none"/>
                    </w:rPr>
                    <w:t>6.16×10</w:t>
                  </w:r>
                  <w:r>
                    <w:rPr>
                      <w:szCs w:val="21"/>
                      <w:u w:val="single"/>
                      <w:vertAlign w:val="superscript"/>
                      <w:highlight w:val="none"/>
                    </w:rPr>
                    <w:t>-2</w:t>
                  </w:r>
                </w:p>
              </w:tc>
            </w:tr>
            <w:tr>
              <w:trPr>
                <w:trHeight w:val="283"/>
              </w:trPr>
              <w:tc>
                <w:tcPr>
                  <w:tcW w:w="417" w:type="pct"/>
                  <w:vMerge/>
                  <w:shd w:val="clear" w:color="auto" w:fill="auto"/>
                  <w:vAlign w:val="center"/>
                </w:tcPr>
                <w:p/>
              </w:tc>
              <w:tc>
                <w:tcPr>
                  <w:tcW w:w="435" w:type="pct"/>
                  <w:vMerge/>
                  <w:shd w:val="clear" w:color="auto" w:fill="auto"/>
                  <w:vAlign w:val="center"/>
                </w:tcPr>
                <w:p/>
              </w:tc>
              <w:tc>
                <w:tcPr>
                  <w:tcW w:w="460" w:type="pct"/>
                  <w:vMerge/>
                  <w:shd w:val="clear" w:color="auto" w:fill="auto"/>
                  <w:vAlign w:val="center"/>
                </w:tcPr>
                <w:p/>
              </w:tc>
              <w:tc>
                <w:tcPr>
                  <w:tcW w:w="585" w:type="pct"/>
                  <w:vMerge/>
                  <w:shd w:val="clear" w:color="auto" w:fill="auto"/>
                  <w:vAlign w:val="center"/>
                </w:tcPr>
                <w:p/>
              </w:tc>
              <w:tc>
                <w:tcPr>
                  <w:tcW w:w="436" w:type="pct"/>
                  <w:vMerge/>
                  <w:shd w:val="clear" w:color="auto" w:fill="auto"/>
                  <w:vAlign w:val="center"/>
                </w:tcPr>
                <w:p/>
              </w:tc>
              <w:tc>
                <w:tcPr>
                  <w:tcW w:w="435" w:type="pct"/>
                  <w:vMerge/>
                  <w:shd w:val="clear" w:color="auto" w:fill="auto"/>
                  <w:vAlign w:val="center"/>
                </w:tcPr>
                <w:p/>
              </w:tc>
              <w:tc>
                <w:tcPr>
                  <w:tcW w:w="784" w:type="pct"/>
                  <w:shd w:val="clear" w:color="auto" w:fill="auto"/>
                  <w:vAlign w:val="center"/>
                </w:tcPr>
                <w:p>
                  <w:pPr>
                    <w:jc w:val="center"/>
                    <w:rPr>
                      <w:szCs w:val="21"/>
                      <w:u w:val="single"/>
                      <w:highlight w:val="none"/>
                    </w:rPr>
                  </w:pPr>
                  <w:r>
                    <w:rPr>
                      <w:rFonts w:hint="eastAsia"/>
                      <w:szCs w:val="21"/>
                      <w:u w:val="single"/>
                      <w:highlight w:val="none"/>
                    </w:rPr>
                    <w:t>化学需氧量</w:t>
                  </w:r>
                </w:p>
              </w:tc>
              <w:tc>
                <w:tcPr>
                  <w:tcW w:w="785" w:type="pct"/>
                  <w:vAlign w:val="center"/>
                </w:tcPr>
                <w:p>
                  <w:pPr>
                    <w:jc w:val="center"/>
                    <w:rPr>
                      <w:szCs w:val="21"/>
                      <w:u w:val="single"/>
                      <w:highlight w:val="none"/>
                    </w:rPr>
                  </w:pPr>
                  <w:r>
                    <w:rPr>
                      <w:rFonts w:hint="eastAsia"/>
                      <w:u w:val="single"/>
                      <w:highlight w:val="none"/>
                    </w:rPr>
                    <w:t>克/吨-产品</w:t>
                  </w:r>
                </w:p>
              </w:tc>
              <w:tc>
                <w:tcPr>
                  <w:tcW w:w="662" w:type="pct"/>
                  <w:shd w:val="clear" w:color="auto" w:fill="auto"/>
                  <w:vAlign w:val="center"/>
                </w:tcPr>
                <w:p>
                  <w:pPr>
                    <w:jc w:val="center"/>
                    <w:rPr>
                      <w:szCs w:val="21"/>
                      <w:u w:val="single"/>
                      <w:highlight w:val="none"/>
                    </w:rPr>
                  </w:pPr>
                  <w:r>
                    <w:rPr>
                      <w:rFonts w:hint="eastAsia"/>
                      <w:szCs w:val="21"/>
                      <w:u w:val="single"/>
                      <w:highlight w:val="none"/>
                    </w:rPr>
                    <w:t>1</w:t>
                  </w:r>
                  <w:r>
                    <w:rPr>
                      <w:szCs w:val="21"/>
                      <w:u w:val="single"/>
                      <w:highlight w:val="none"/>
                    </w:rPr>
                    <w:t>.13</w:t>
                  </w:r>
                </w:p>
              </w:tc>
            </w:tr>
            <w:tr>
              <w:trPr>
                <w:trHeight w:val="283"/>
              </w:trPr>
              <w:tc>
                <w:tcPr>
                  <w:tcW w:w="417" w:type="pct"/>
                  <w:vMerge/>
                  <w:shd w:val="clear" w:color="auto" w:fill="auto"/>
                  <w:vAlign w:val="center"/>
                </w:tcPr>
                <w:p/>
              </w:tc>
              <w:tc>
                <w:tcPr>
                  <w:tcW w:w="435" w:type="pct"/>
                  <w:vMerge/>
                  <w:shd w:val="clear" w:color="auto" w:fill="auto"/>
                  <w:vAlign w:val="center"/>
                </w:tcPr>
                <w:p/>
              </w:tc>
              <w:tc>
                <w:tcPr>
                  <w:tcW w:w="460" w:type="pct"/>
                  <w:vMerge/>
                  <w:shd w:val="clear" w:color="auto" w:fill="auto"/>
                  <w:vAlign w:val="center"/>
                </w:tcPr>
                <w:p/>
              </w:tc>
              <w:tc>
                <w:tcPr>
                  <w:tcW w:w="585" w:type="pct"/>
                  <w:vMerge/>
                  <w:shd w:val="clear" w:color="auto" w:fill="auto"/>
                  <w:vAlign w:val="center"/>
                </w:tcPr>
                <w:p/>
              </w:tc>
              <w:tc>
                <w:tcPr>
                  <w:tcW w:w="436" w:type="pct"/>
                  <w:vMerge/>
                  <w:shd w:val="clear" w:color="auto" w:fill="auto"/>
                  <w:vAlign w:val="center"/>
                </w:tcPr>
                <w:p/>
              </w:tc>
              <w:tc>
                <w:tcPr>
                  <w:tcW w:w="435" w:type="pct"/>
                  <w:vMerge/>
                  <w:shd w:val="clear" w:color="auto" w:fill="auto"/>
                  <w:vAlign w:val="center"/>
                </w:tcPr>
                <w:p/>
              </w:tc>
              <w:tc>
                <w:tcPr>
                  <w:tcW w:w="784" w:type="pct"/>
                  <w:shd w:val="clear" w:color="auto" w:fill="auto"/>
                  <w:vAlign w:val="center"/>
                </w:tcPr>
                <w:p>
                  <w:pPr>
                    <w:jc w:val="center"/>
                    <w:rPr>
                      <w:szCs w:val="21"/>
                      <w:u w:val="single"/>
                      <w:highlight w:val="none"/>
                    </w:rPr>
                  </w:pPr>
                  <w:r>
                    <w:rPr>
                      <w:rFonts w:hint="eastAsia"/>
                      <w:szCs w:val="21"/>
                      <w:u w:val="single"/>
                      <w:highlight w:val="none"/>
                    </w:rPr>
                    <w:t>氨氮</w:t>
                  </w:r>
                </w:p>
              </w:tc>
              <w:tc>
                <w:tcPr>
                  <w:tcW w:w="785" w:type="pct"/>
                  <w:vAlign w:val="center"/>
                </w:tcPr>
                <w:p>
                  <w:pPr>
                    <w:jc w:val="center"/>
                    <w:rPr>
                      <w:szCs w:val="21"/>
                      <w:u w:val="single"/>
                      <w:highlight w:val="none"/>
                    </w:rPr>
                  </w:pPr>
                  <w:r>
                    <w:rPr>
                      <w:rFonts w:hint="eastAsia"/>
                      <w:u w:val="single"/>
                      <w:highlight w:val="none"/>
                    </w:rPr>
                    <w:t>克/吨-产品</w:t>
                  </w:r>
                </w:p>
              </w:tc>
              <w:tc>
                <w:tcPr>
                  <w:tcW w:w="662" w:type="pct"/>
                  <w:shd w:val="clear" w:color="auto" w:fill="auto"/>
                  <w:vAlign w:val="center"/>
                </w:tcPr>
                <w:p>
                  <w:pPr>
                    <w:jc w:val="center"/>
                    <w:rPr>
                      <w:szCs w:val="21"/>
                      <w:u w:val="single"/>
                      <w:highlight w:val="none"/>
                    </w:rPr>
                  </w:pPr>
                  <w:r>
                    <w:rPr>
                      <w:szCs w:val="21"/>
                      <w:u w:val="single"/>
                      <w:highlight w:val="none"/>
                    </w:rPr>
                    <w:t>2.91×10</w:t>
                  </w:r>
                  <w:r>
                    <w:rPr>
                      <w:szCs w:val="21"/>
                      <w:u w:val="single"/>
                      <w:vertAlign w:val="superscript"/>
                      <w:highlight w:val="none"/>
                    </w:rPr>
                    <w:t>-2</w:t>
                  </w:r>
                </w:p>
              </w:tc>
            </w:tr>
            <w:tr>
              <w:trPr>
                <w:trHeight w:val="283"/>
              </w:trPr>
              <w:tc>
                <w:tcPr>
                  <w:tcW w:w="417" w:type="pct"/>
                  <w:vMerge/>
                  <w:shd w:val="clear" w:color="auto" w:fill="auto"/>
                  <w:vAlign w:val="center"/>
                </w:tcPr>
                <w:p/>
              </w:tc>
              <w:tc>
                <w:tcPr>
                  <w:tcW w:w="435" w:type="pct"/>
                  <w:vMerge/>
                  <w:shd w:val="clear" w:color="auto" w:fill="auto"/>
                  <w:vAlign w:val="center"/>
                </w:tcPr>
                <w:p/>
              </w:tc>
              <w:tc>
                <w:tcPr>
                  <w:tcW w:w="460" w:type="pct"/>
                  <w:vMerge/>
                  <w:shd w:val="clear" w:color="auto" w:fill="auto"/>
                  <w:vAlign w:val="center"/>
                </w:tcPr>
                <w:p/>
              </w:tc>
              <w:tc>
                <w:tcPr>
                  <w:tcW w:w="585" w:type="pct"/>
                  <w:vMerge/>
                  <w:shd w:val="clear" w:color="auto" w:fill="auto"/>
                  <w:vAlign w:val="center"/>
                </w:tcPr>
                <w:p/>
              </w:tc>
              <w:tc>
                <w:tcPr>
                  <w:tcW w:w="436" w:type="pct"/>
                  <w:vMerge/>
                  <w:shd w:val="clear" w:color="auto" w:fill="auto"/>
                  <w:vAlign w:val="center"/>
                </w:tcPr>
                <w:p/>
              </w:tc>
              <w:tc>
                <w:tcPr>
                  <w:tcW w:w="435" w:type="pct"/>
                  <w:vMerge/>
                  <w:shd w:val="clear" w:color="auto" w:fill="auto"/>
                  <w:vAlign w:val="center"/>
                </w:tcPr>
                <w:p/>
              </w:tc>
              <w:tc>
                <w:tcPr>
                  <w:tcW w:w="784" w:type="pct"/>
                  <w:shd w:val="clear" w:color="auto" w:fill="auto"/>
                  <w:vAlign w:val="center"/>
                </w:tcPr>
                <w:p>
                  <w:pPr>
                    <w:jc w:val="center"/>
                    <w:rPr>
                      <w:szCs w:val="21"/>
                      <w:u w:val="single"/>
                      <w:highlight w:val="none"/>
                    </w:rPr>
                  </w:pPr>
                  <w:r>
                    <w:rPr>
                      <w:rFonts w:hint="eastAsia"/>
                      <w:szCs w:val="21"/>
                      <w:u w:val="single"/>
                      <w:highlight w:val="none"/>
                    </w:rPr>
                    <w:t>总氮</w:t>
                  </w:r>
                </w:p>
              </w:tc>
              <w:tc>
                <w:tcPr>
                  <w:tcW w:w="785" w:type="pct"/>
                  <w:vAlign w:val="center"/>
                </w:tcPr>
                <w:p>
                  <w:pPr>
                    <w:jc w:val="center"/>
                    <w:rPr>
                      <w:szCs w:val="21"/>
                      <w:u w:val="single"/>
                      <w:highlight w:val="none"/>
                    </w:rPr>
                  </w:pPr>
                  <w:r>
                    <w:rPr>
                      <w:rFonts w:hint="eastAsia"/>
                      <w:u w:val="single"/>
                      <w:highlight w:val="none"/>
                    </w:rPr>
                    <w:t>克/吨-产品</w:t>
                  </w:r>
                </w:p>
              </w:tc>
              <w:tc>
                <w:tcPr>
                  <w:tcW w:w="662" w:type="pct"/>
                  <w:shd w:val="clear" w:color="auto" w:fill="auto"/>
                  <w:vAlign w:val="center"/>
                </w:tcPr>
                <w:p>
                  <w:pPr>
                    <w:jc w:val="center"/>
                    <w:rPr>
                      <w:szCs w:val="21"/>
                      <w:u w:val="single"/>
                      <w:highlight w:val="none"/>
                    </w:rPr>
                  </w:pPr>
                  <w:r>
                    <w:rPr>
                      <w:rFonts w:hint="eastAsia"/>
                      <w:szCs w:val="21"/>
                      <w:u w:val="single"/>
                      <w:highlight w:val="none"/>
                    </w:rPr>
                    <w:t>0</w:t>
                  </w:r>
                  <w:r>
                    <w:rPr>
                      <w:szCs w:val="21"/>
                      <w:u w:val="single"/>
                      <w:highlight w:val="none"/>
                    </w:rPr>
                    <w:t>.383</w:t>
                  </w:r>
                </w:p>
              </w:tc>
            </w:tr>
            <w:tr>
              <w:trPr>
                <w:trHeight w:val="283"/>
              </w:trPr>
              <w:tc>
                <w:tcPr>
                  <w:tcW w:w="417" w:type="pct"/>
                  <w:vMerge/>
                  <w:shd w:val="clear" w:color="auto" w:fill="auto"/>
                  <w:vAlign w:val="center"/>
                </w:tcPr>
                <w:p/>
              </w:tc>
              <w:tc>
                <w:tcPr>
                  <w:tcW w:w="435" w:type="pct"/>
                  <w:vMerge/>
                  <w:shd w:val="clear" w:color="auto" w:fill="auto"/>
                  <w:vAlign w:val="center"/>
                </w:tcPr>
                <w:p/>
              </w:tc>
              <w:tc>
                <w:tcPr>
                  <w:tcW w:w="460" w:type="pct"/>
                  <w:vMerge/>
                  <w:shd w:val="clear" w:color="auto" w:fill="auto"/>
                  <w:vAlign w:val="center"/>
                </w:tcPr>
                <w:p/>
              </w:tc>
              <w:tc>
                <w:tcPr>
                  <w:tcW w:w="585" w:type="pct"/>
                  <w:vMerge/>
                  <w:shd w:val="clear" w:color="auto" w:fill="auto"/>
                  <w:vAlign w:val="center"/>
                </w:tcPr>
                <w:p/>
              </w:tc>
              <w:tc>
                <w:tcPr>
                  <w:tcW w:w="436" w:type="pct"/>
                  <w:vMerge/>
                  <w:shd w:val="clear" w:color="auto" w:fill="auto"/>
                  <w:vAlign w:val="center"/>
                </w:tcPr>
                <w:p/>
              </w:tc>
              <w:tc>
                <w:tcPr>
                  <w:tcW w:w="435" w:type="pct"/>
                  <w:vMerge/>
                  <w:shd w:val="clear" w:color="auto" w:fill="auto"/>
                  <w:vAlign w:val="center"/>
                </w:tcPr>
                <w:p/>
              </w:tc>
              <w:tc>
                <w:tcPr>
                  <w:tcW w:w="784" w:type="pct"/>
                  <w:shd w:val="clear" w:color="auto" w:fill="auto"/>
                  <w:vAlign w:val="center"/>
                </w:tcPr>
                <w:p>
                  <w:pPr>
                    <w:jc w:val="center"/>
                    <w:rPr>
                      <w:szCs w:val="21"/>
                      <w:u w:val="single"/>
                      <w:highlight w:val="none"/>
                    </w:rPr>
                  </w:pPr>
                  <w:r>
                    <w:rPr>
                      <w:rFonts w:hint="eastAsia"/>
                      <w:szCs w:val="21"/>
                      <w:u w:val="single"/>
                      <w:highlight w:val="none"/>
                    </w:rPr>
                    <w:t>总磷</w:t>
                  </w:r>
                </w:p>
              </w:tc>
              <w:tc>
                <w:tcPr>
                  <w:tcW w:w="785" w:type="pct"/>
                  <w:vAlign w:val="center"/>
                </w:tcPr>
                <w:p>
                  <w:pPr>
                    <w:jc w:val="center"/>
                    <w:rPr>
                      <w:szCs w:val="21"/>
                      <w:u w:val="single"/>
                      <w:highlight w:val="none"/>
                    </w:rPr>
                  </w:pPr>
                  <w:r>
                    <w:rPr>
                      <w:rFonts w:hint="eastAsia"/>
                      <w:u w:val="single"/>
                      <w:highlight w:val="none"/>
                    </w:rPr>
                    <w:t>克/吨-产品</w:t>
                  </w:r>
                </w:p>
              </w:tc>
              <w:tc>
                <w:tcPr>
                  <w:tcW w:w="662" w:type="pct"/>
                  <w:shd w:val="clear" w:color="auto" w:fill="auto"/>
                  <w:vAlign w:val="center"/>
                </w:tcPr>
                <w:p>
                  <w:pPr>
                    <w:jc w:val="center"/>
                    <w:rPr>
                      <w:szCs w:val="21"/>
                      <w:u w:val="single"/>
                      <w:highlight w:val="none"/>
                    </w:rPr>
                  </w:pPr>
                  <w:r>
                    <w:rPr>
                      <w:rFonts w:hint="eastAsia"/>
                      <w:szCs w:val="21"/>
                      <w:u w:val="single"/>
                      <w:highlight w:val="none"/>
                    </w:rPr>
                    <w:t>2</w:t>
                  </w:r>
                  <w:r>
                    <w:rPr>
                      <w:szCs w:val="21"/>
                      <w:u w:val="single"/>
                      <w:highlight w:val="none"/>
                    </w:rPr>
                    <w:t>.25×10</w:t>
                  </w:r>
                  <w:r>
                    <w:rPr>
                      <w:szCs w:val="21"/>
                      <w:u w:val="single"/>
                      <w:vertAlign w:val="superscript"/>
                      <w:highlight w:val="none"/>
                    </w:rPr>
                    <w:t>-2</w:t>
                  </w:r>
                </w:p>
              </w:tc>
            </w:tr>
          </w:tbl>
          <w:p>
            <w:pPr>
              <w:snapToGrid w:val="0"/>
              <w:spacing w:line="360" w:lineRule="auto"/>
              <w:ind w:firstLineChars="200" w:firstLine="480"/>
              <w:contextualSpacing/>
              <w:rPr>
                <w:color w:val="000000"/>
                <w:sz w:val="24"/>
                <w:u w:val="none"/>
                <w:highlight w:val="none"/>
              </w:rPr>
            </w:pPr>
            <w:r>
              <w:rPr>
                <w:rFonts w:hint="eastAsia"/>
                <w:sz w:val="24"/>
                <w:u w:val="single"/>
                <w:highlight w:val="none"/>
              </w:rPr>
              <w:t>项目本期</w:t>
            </w:r>
            <w:r>
              <w:rPr>
                <w:sz w:val="24"/>
                <w:u w:val="single"/>
                <w:highlight w:val="none"/>
              </w:rPr>
              <w:t>建设规模为</w:t>
            </w:r>
            <w:r>
              <w:rPr>
                <w:rFonts w:hint="eastAsia"/>
                <w:sz w:val="24"/>
                <w:u w:val="single"/>
                <w:lang w:val="en-US" w:eastAsia="zh-CN"/>
                <w:highlight w:val="none"/>
              </w:rPr>
              <w:t>1.0</w:t>
            </w:r>
            <w:r>
              <w:rPr>
                <w:sz w:val="24"/>
                <w:u w:val="single"/>
                <w:highlight w:val="none"/>
              </w:rPr>
              <w:t>万m</w:t>
            </w:r>
            <w:r>
              <w:rPr>
                <w:sz w:val="24"/>
                <w:u w:val="single"/>
                <w:vertAlign w:val="superscript"/>
                <w:highlight w:val="none"/>
              </w:rPr>
              <w:t>3</w:t>
            </w:r>
            <w:r>
              <w:rPr>
                <w:sz w:val="24"/>
                <w:u w:val="single"/>
                <w:highlight w:val="none"/>
              </w:rPr>
              <w:t>/d</w:t>
            </w:r>
            <w:r>
              <w:rPr>
                <w:rFonts w:hint="eastAsia"/>
                <w:sz w:val="24"/>
                <w:u w:val="single"/>
                <w:highlight w:val="none"/>
              </w:rPr>
              <w:t>，</w:t>
            </w:r>
            <w:r>
              <w:rPr>
                <w:sz w:val="24"/>
                <w:u w:val="single"/>
                <w:highlight w:val="none"/>
              </w:rPr>
              <w:t>则项目废水产生量为</w:t>
            </w:r>
            <w:r>
              <w:rPr>
                <w:rFonts w:hint="eastAsia"/>
                <w:sz w:val="24"/>
                <w:u w:val="single"/>
                <w:lang w:val="en-US" w:eastAsia="zh-CN"/>
                <w:highlight w:val="none"/>
              </w:rPr>
              <w:t>616</w:t>
            </w:r>
            <w:r>
              <w:rPr>
                <w:sz w:val="24"/>
                <w:u w:val="single"/>
                <w:highlight w:val="none"/>
              </w:rPr>
              <w:t>t/d（</w:t>
            </w:r>
            <w:r>
              <w:rPr>
                <w:rFonts w:hint="eastAsia"/>
                <w:sz w:val="24"/>
                <w:u w:val="single"/>
                <w:lang w:val="en-US" w:eastAsia="zh-CN"/>
                <w:highlight w:val="none"/>
              </w:rPr>
              <w:t>224840</w:t>
            </w:r>
            <w:r>
              <w:rPr>
                <w:sz w:val="24"/>
                <w:u w:val="single"/>
                <w:highlight w:val="none"/>
              </w:rPr>
              <w:t>t/a）</w:t>
            </w:r>
            <w:r>
              <w:rPr>
                <w:rFonts w:hint="eastAsia"/>
                <w:sz w:val="24"/>
                <w:u w:val="single"/>
                <w:highlight w:val="none"/>
              </w:rPr>
              <w:t>，</w:t>
            </w:r>
            <w:r>
              <w:rPr>
                <w:sz w:val="24"/>
                <w:u w:val="single"/>
                <w:highlight w:val="none"/>
              </w:rPr>
              <w:t>COD</w:t>
            </w:r>
            <w:r>
              <w:rPr>
                <w:sz w:val="24"/>
                <w:u w:val="single"/>
                <w:vertAlign w:val="subscript"/>
                <w:highlight w:val="none"/>
              </w:rPr>
              <w:t>Cr</w:t>
            </w:r>
            <w:r>
              <w:rPr>
                <w:sz w:val="24"/>
                <w:u w:val="single"/>
                <w:highlight w:val="none"/>
              </w:rPr>
              <w:t>产生量为</w:t>
            </w:r>
            <w:r>
              <w:rPr>
                <w:rFonts w:hint="eastAsia"/>
                <w:sz w:val="24"/>
                <w:u w:val="single"/>
                <w:lang w:val="en-US" w:eastAsia="zh-CN"/>
                <w:highlight w:val="none"/>
              </w:rPr>
              <w:t>4.125</w:t>
            </w:r>
            <w:r>
              <w:rPr>
                <w:sz w:val="24"/>
                <w:u w:val="single"/>
                <w:highlight w:val="none"/>
              </w:rPr>
              <w:t>t/a，NH</w:t>
            </w:r>
            <w:r>
              <w:rPr>
                <w:sz w:val="24"/>
                <w:u w:val="single"/>
                <w:vertAlign w:val="subscript"/>
                <w:highlight w:val="none"/>
              </w:rPr>
              <w:t>3</w:t>
            </w:r>
            <w:r>
              <w:rPr>
                <w:sz w:val="24"/>
                <w:u w:val="single"/>
                <w:highlight w:val="none"/>
              </w:rPr>
              <w:t>-N产生量为</w:t>
            </w:r>
            <w:r>
              <w:rPr>
                <w:rFonts w:hint="eastAsia"/>
                <w:sz w:val="24"/>
                <w:u w:val="single"/>
                <w:lang w:eastAsia="zh-CN"/>
                <w:highlight w:val="none"/>
              </w:rPr>
              <w:t>0.106</w:t>
            </w:r>
            <w:r>
              <w:rPr>
                <w:sz w:val="24"/>
                <w:u w:val="single"/>
                <w:highlight w:val="none"/>
              </w:rPr>
              <w:t>t/a，总氮产生量为</w:t>
            </w:r>
            <w:r>
              <w:rPr>
                <w:rFonts w:hint="eastAsia"/>
                <w:sz w:val="24"/>
                <w:u w:val="single"/>
                <w:lang w:val="en-US" w:eastAsia="zh-CN"/>
                <w:highlight w:val="none"/>
              </w:rPr>
              <w:t>1.398</w:t>
            </w:r>
            <w:r>
              <w:rPr>
                <w:sz w:val="24"/>
                <w:u w:val="single"/>
                <w:highlight w:val="none"/>
              </w:rPr>
              <w:t>t/a，总磷产生量为</w:t>
            </w:r>
            <w:r>
              <w:rPr>
                <w:rFonts w:hint="eastAsia"/>
                <w:sz w:val="24"/>
                <w:u w:val="single"/>
                <w:lang w:eastAsia="zh-CN"/>
                <w:highlight w:val="none"/>
              </w:rPr>
              <w:t>0.082</w:t>
            </w:r>
            <w:r>
              <w:rPr>
                <w:sz w:val="24"/>
                <w:u w:val="single"/>
                <w:highlight w:val="none"/>
              </w:rPr>
              <w:t>t/a，</w:t>
            </w:r>
            <w:r>
              <w:rPr>
                <w:color w:val="000000"/>
                <w:sz w:val="24"/>
                <w:u w:val="single"/>
                <w:highlight w:val="none"/>
              </w:rPr>
              <w:t>由此可知，COD</w:t>
            </w:r>
            <w:r>
              <w:rPr>
                <w:color w:val="000000"/>
                <w:sz w:val="24"/>
                <w:u w:val="single"/>
                <w:vertAlign w:val="subscript"/>
                <w:highlight w:val="none"/>
              </w:rPr>
              <w:t>Cr</w:t>
            </w:r>
            <w:r>
              <w:rPr>
                <w:color w:val="000000"/>
                <w:sz w:val="24"/>
                <w:u w:val="single"/>
                <w:highlight w:val="none"/>
              </w:rPr>
              <w:t>产生浓度约为</w:t>
            </w:r>
            <w:r>
              <w:rPr>
                <w:rFonts w:hint="eastAsia"/>
                <w:color w:val="000000"/>
                <w:sz w:val="24"/>
                <w:u w:val="single"/>
                <w:highlight w:val="none"/>
              </w:rPr>
              <w:t>18.3</w:t>
            </w:r>
            <w:r>
              <w:rPr>
                <w:color w:val="000000"/>
                <w:sz w:val="24"/>
                <w:u w:val="single"/>
                <w:highlight w:val="none"/>
              </w:rPr>
              <w:t>mg/L，NH</w:t>
            </w:r>
            <w:r>
              <w:rPr>
                <w:color w:val="000000"/>
                <w:sz w:val="24"/>
                <w:u w:val="single"/>
                <w:vertAlign w:val="subscript"/>
                <w:highlight w:val="none"/>
              </w:rPr>
              <w:t>3</w:t>
            </w:r>
            <w:r>
              <w:rPr>
                <w:color w:val="000000"/>
                <w:sz w:val="24"/>
                <w:u w:val="single"/>
                <w:highlight w:val="none"/>
              </w:rPr>
              <w:t>-N产生浓度约为0.</w:t>
            </w:r>
            <w:r>
              <w:rPr>
                <w:rFonts w:hint="eastAsia"/>
                <w:color w:val="000000"/>
                <w:sz w:val="24"/>
                <w:u w:val="single"/>
                <w:highlight w:val="none"/>
              </w:rPr>
              <w:t>47</w:t>
            </w:r>
            <w:r>
              <w:rPr>
                <w:color w:val="000000"/>
                <w:sz w:val="24"/>
                <w:u w:val="single"/>
                <w:highlight w:val="none"/>
              </w:rPr>
              <w:t>mg/L，总氮产生浓度约为</w:t>
            </w:r>
            <w:r>
              <w:rPr>
                <w:rFonts w:hint="eastAsia"/>
                <w:color w:val="000000"/>
                <w:sz w:val="24"/>
                <w:u w:val="single"/>
                <w:highlight w:val="none"/>
              </w:rPr>
              <w:t>6.21</w:t>
            </w:r>
            <w:r>
              <w:rPr>
                <w:color w:val="000000"/>
                <w:sz w:val="24"/>
                <w:u w:val="single"/>
                <w:highlight w:val="none"/>
              </w:rPr>
              <w:t>mg/L，总磷产生浓度约为0.</w:t>
            </w:r>
            <w:r>
              <w:rPr>
                <w:rFonts w:hint="eastAsia"/>
                <w:color w:val="000000"/>
                <w:sz w:val="24"/>
                <w:u w:val="single"/>
                <w:highlight w:val="none"/>
              </w:rPr>
              <w:t>37</w:t>
            </w:r>
            <w:r>
              <w:rPr>
                <w:color w:val="000000"/>
                <w:sz w:val="24"/>
                <w:u w:val="single"/>
                <w:highlight w:val="none"/>
              </w:rPr>
              <w:t>mg/L</w:t>
            </w:r>
            <w:r>
              <w:rPr>
                <w:rFonts w:hint="eastAsia"/>
                <w:color w:val="000000"/>
                <w:sz w:val="24"/>
                <w:u w:val="single"/>
                <w:highlight w:val="none"/>
              </w:rPr>
              <w:t>，参照同类项目，</w:t>
            </w:r>
            <w:r>
              <w:rPr>
                <w:color w:val="000000"/>
                <w:sz w:val="24"/>
                <w:u w:val="single"/>
                <w:highlight w:val="none"/>
              </w:rPr>
              <w:t>悬浮物含量约为130mg/L</w:t>
            </w:r>
            <w:r>
              <w:rPr>
                <w:rFonts w:hint="eastAsia"/>
                <w:color w:val="000000"/>
                <w:sz w:val="24"/>
                <w:u w:val="single"/>
                <w:highlight w:val="none"/>
              </w:rPr>
              <w:t>。滤池反冲洗水收集至</w:t>
            </w:r>
            <w:r>
              <w:rPr>
                <w:rFonts w:hint="eastAsia"/>
                <w:sz w:val="24"/>
                <w:u w:val="single"/>
                <w:highlight w:val="none"/>
              </w:rPr>
              <w:t>絮凝沉淀池</w:t>
            </w:r>
            <w:r>
              <w:rPr>
                <w:rFonts w:hint="eastAsia"/>
                <w:color w:val="000000"/>
                <w:sz w:val="24"/>
                <w:u w:val="single"/>
                <w:highlight w:val="none"/>
              </w:rPr>
              <w:t>后回用于原水利用，不外排。沉淀池排泥水</w:t>
            </w:r>
            <w:r>
              <w:rPr>
                <w:rFonts w:hint="eastAsia"/>
                <w:sz w:val="24"/>
                <w:u w:val="single"/>
                <w:highlight w:val="none"/>
              </w:rPr>
              <w:t>排入</w:t>
            </w:r>
            <w:r>
              <w:rPr>
                <w:rFonts w:hint="eastAsia"/>
                <w:color w:val="000000"/>
                <w:sz w:val="24"/>
                <w:u w:val="single"/>
                <w:lang w:val="zh-CN" w:eastAsia="zh-CN"/>
                <w:highlight w:val="none"/>
              </w:rPr>
              <w:t>回用水池及排泥调节池</w:t>
            </w:r>
            <w:r>
              <w:rPr>
                <w:rFonts w:hint="eastAsia"/>
                <w:color w:val="000000"/>
                <w:sz w:val="24"/>
                <w:u w:val="single"/>
                <w:lang w:val="en-US" w:eastAsia="zh-CN"/>
                <w:highlight w:val="none"/>
              </w:rPr>
              <w:t>后回用</w:t>
            </w:r>
            <w:r>
              <w:rPr>
                <w:rFonts w:hint="eastAsia"/>
                <w:color w:val="000000"/>
                <w:sz w:val="24"/>
                <w:u w:val="single"/>
                <w:highlight w:val="none"/>
              </w:rPr>
              <w:t>，不外排</w:t>
            </w:r>
            <w:r>
              <w:rPr>
                <w:rFonts w:hint="eastAsia"/>
                <w:sz w:val="24"/>
                <w:u w:val="single"/>
                <w:highlight w:val="none"/>
              </w:rPr>
              <w:t>。</w:t>
            </w:r>
          </w:p>
          <w:p>
            <w:pPr>
              <w:spacing w:line="360" w:lineRule="auto"/>
              <w:ind w:firstLineChars="200" w:firstLine="480"/>
              <w:rPr>
                <w:sz w:val="24"/>
                <w:u w:val="single"/>
                <w:highlight w:val="none"/>
              </w:rPr>
            </w:pPr>
            <w:r>
              <w:rPr>
                <w:sz w:val="24"/>
                <w:u w:val="single"/>
                <w:highlight w:val="none"/>
              </w:rPr>
              <w:t>项目废水主要污染物产生及处理情况详见下表。</w:t>
            </w:r>
          </w:p>
          <w:p>
            <w:pPr>
              <w:pStyle w:val="37"/>
              <w:spacing w:after="0"/>
              <w:ind w:leftChars="0" w:left="0" w:firstLineChars="0" w:firstLine="0"/>
              <w:jc w:val="center"/>
              <w:rPr>
                <w:b/>
                <w:sz w:val="21"/>
                <w:szCs w:val="21"/>
                <w:u w:val="single"/>
                <w:highlight w:val="none"/>
              </w:rPr>
            </w:pPr>
            <w:r>
              <w:rPr>
                <w:b/>
                <w:sz w:val="21"/>
                <w:szCs w:val="21"/>
                <w:u w:val="single"/>
                <w:highlight w:val="none"/>
              </w:rPr>
              <w:t>表4-2  项目废水治理情况</w:t>
            </w:r>
          </w:p>
          <w:tbl>
            <w:tblPr>
              <w:jc w:val="center"/>
              <w:tblW w:w="5000" w:type="pct"/>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CellMar>
                <w:top w:w="0" w:type="dxa"/>
                <w:left w:w="108" w:type="dxa"/>
                <w:bottom w:w="0" w:type="dxa"/>
                <w:right w:w="108" w:type="dxa"/>
              </w:tblCellMar>
              <w:tblLook w:val="0600" w:firstRow="0" w:lastRow="0" w:firstColumn="0" w:lastColumn="0" w:noHBand="1" w:noVBand="1"/>
            </w:tblPr>
            <w:tblGrid>
              <w:gridCol w:w="913"/>
              <w:gridCol w:w="846"/>
              <w:gridCol w:w="854"/>
              <w:gridCol w:w="971"/>
              <w:gridCol w:w="793"/>
              <w:gridCol w:w="871"/>
              <w:gridCol w:w="1123"/>
              <w:gridCol w:w="984"/>
              <w:gridCol w:w="781"/>
            </w:tblGrid>
            <w:tr>
              <w:trPr>
                <w:cantSplit/>
                <w:trHeight w:val="283"/>
              </w:trPr>
              <w:tc>
                <w:tcPr>
                  <w:tcW w:w="566" w:type="pct"/>
                  <w:vMerge w:val="restart"/>
                  <w:vAlign w:val="center"/>
                </w:tcPr>
                <w:p>
                  <w:pPr>
                    <w:adjustRightInd w:val="0"/>
                    <w:snapToGrid w:val="0"/>
                    <w:jc w:val="center"/>
                    <w:rPr>
                      <w:b/>
                      <w:bCs/>
                      <w:szCs w:val="21"/>
                      <w:u w:val="single"/>
                      <w:highlight w:val="none"/>
                    </w:rPr>
                  </w:pPr>
                  <w:r>
                    <w:rPr>
                      <w:b/>
                      <w:bCs/>
                      <w:szCs w:val="21"/>
                      <w:u w:val="single"/>
                      <w:highlight w:val="none"/>
                    </w:rPr>
                    <w:t>污染源</w:t>
                  </w:r>
                </w:p>
              </w:tc>
              <w:tc>
                <w:tcPr>
                  <w:tcW w:w="520" w:type="pct"/>
                  <w:vMerge w:val="restart"/>
                  <w:vAlign w:val="center"/>
                </w:tcPr>
                <w:p>
                  <w:pPr>
                    <w:adjustRightInd w:val="0"/>
                    <w:snapToGrid w:val="0"/>
                    <w:jc w:val="center"/>
                    <w:rPr>
                      <w:b/>
                      <w:bCs/>
                      <w:szCs w:val="21"/>
                      <w:u w:val="single"/>
                      <w:highlight w:val="none"/>
                    </w:rPr>
                  </w:pPr>
                  <w:r>
                    <w:rPr>
                      <w:b/>
                      <w:bCs/>
                      <w:szCs w:val="21"/>
                      <w:u w:val="single"/>
                      <w:highlight w:val="none"/>
                    </w:rPr>
                    <w:t>污水量t/a</w:t>
                  </w:r>
                </w:p>
              </w:tc>
              <w:tc>
                <w:tcPr>
                  <w:tcW w:w="529" w:type="pct"/>
                  <w:vMerge w:val="restart"/>
                  <w:tcMar>
                    <w:left w:w="0" w:type="dxa"/>
                    <w:right w:w="0" w:type="dxa"/>
                  </w:tcMar>
                  <w:vAlign w:val="center"/>
                </w:tcPr>
                <w:p>
                  <w:pPr>
                    <w:adjustRightInd w:val="0"/>
                    <w:snapToGrid w:val="0"/>
                    <w:jc w:val="center"/>
                    <w:rPr>
                      <w:b/>
                      <w:bCs/>
                      <w:szCs w:val="21"/>
                      <w:u w:val="single"/>
                      <w:highlight w:val="none"/>
                    </w:rPr>
                  </w:pPr>
                  <w:r>
                    <w:rPr>
                      <w:b/>
                      <w:bCs/>
                      <w:szCs w:val="21"/>
                      <w:u w:val="single"/>
                      <w:highlight w:val="none"/>
                    </w:rPr>
                    <w:t>污染物</w:t>
                  </w:r>
                </w:p>
                <w:p>
                  <w:pPr>
                    <w:adjustRightInd w:val="0"/>
                    <w:snapToGrid w:val="0"/>
                    <w:jc w:val="center"/>
                    <w:rPr>
                      <w:b/>
                      <w:bCs/>
                      <w:szCs w:val="21"/>
                      <w:u w:val="single"/>
                      <w:highlight w:val="none"/>
                    </w:rPr>
                  </w:pPr>
                  <w:r>
                    <w:rPr>
                      <w:b/>
                      <w:bCs/>
                      <w:szCs w:val="21"/>
                      <w:u w:val="single"/>
                      <w:highlight w:val="none"/>
                    </w:rPr>
                    <w:t>名称</w:t>
                  </w:r>
                </w:p>
              </w:tc>
              <w:tc>
                <w:tcPr>
                  <w:tcW w:w="1055" w:type="pct"/>
                  <w:gridSpan w:val="2"/>
                  <w:tcMar>
                    <w:left w:w="0" w:type="dxa"/>
                    <w:right w:w="0" w:type="dxa"/>
                  </w:tcMar>
                  <w:vAlign w:val="center"/>
                </w:tcPr>
                <w:p>
                  <w:pPr>
                    <w:adjustRightInd w:val="0"/>
                    <w:snapToGrid w:val="0"/>
                    <w:jc w:val="center"/>
                    <w:rPr>
                      <w:b/>
                      <w:bCs/>
                      <w:szCs w:val="21"/>
                      <w:u w:val="single"/>
                      <w:highlight w:val="none"/>
                    </w:rPr>
                  </w:pPr>
                  <w:r>
                    <w:rPr>
                      <w:b/>
                      <w:bCs/>
                      <w:szCs w:val="21"/>
                      <w:u w:val="single"/>
                      <w:highlight w:val="none"/>
                    </w:rPr>
                    <w:t>产生情况</w:t>
                  </w:r>
                </w:p>
              </w:tc>
              <w:tc>
                <w:tcPr>
                  <w:tcW w:w="540" w:type="pct"/>
                  <w:vMerge w:val="restart"/>
                  <w:tcMar>
                    <w:left w:w="0" w:type="dxa"/>
                    <w:right w:w="0" w:type="dxa"/>
                  </w:tcMar>
                  <w:vAlign w:val="center"/>
                </w:tcPr>
                <w:p>
                  <w:pPr>
                    <w:adjustRightInd w:val="0"/>
                    <w:snapToGrid w:val="0"/>
                    <w:jc w:val="center"/>
                    <w:rPr>
                      <w:b/>
                      <w:bCs/>
                      <w:szCs w:val="21"/>
                      <w:u w:val="single"/>
                      <w:highlight w:val="none"/>
                    </w:rPr>
                  </w:pPr>
                  <w:r>
                    <w:rPr>
                      <w:b/>
                      <w:bCs/>
                      <w:szCs w:val="21"/>
                      <w:u w:val="single"/>
                      <w:highlight w:val="none"/>
                    </w:rPr>
                    <w:t>治理措施</w:t>
                  </w:r>
                </w:p>
              </w:tc>
              <w:tc>
                <w:tcPr>
                  <w:tcW w:w="1306" w:type="pct"/>
                  <w:gridSpan w:val="2"/>
                  <w:vAlign w:val="center"/>
                </w:tcPr>
                <w:p>
                  <w:pPr>
                    <w:adjustRightInd w:val="0"/>
                    <w:snapToGrid w:val="0"/>
                    <w:jc w:val="center"/>
                    <w:rPr>
                      <w:b/>
                      <w:bCs/>
                      <w:szCs w:val="21"/>
                      <w:u w:val="single"/>
                      <w:highlight w:val="none"/>
                    </w:rPr>
                  </w:pPr>
                  <w:r>
                    <w:rPr>
                      <w:b/>
                      <w:bCs/>
                      <w:szCs w:val="21"/>
                      <w:u w:val="single"/>
                      <w:highlight w:val="none"/>
                    </w:rPr>
                    <w:t>排放情况</w:t>
                  </w:r>
                </w:p>
              </w:tc>
              <w:tc>
                <w:tcPr>
                  <w:tcW w:w="484" w:type="pct"/>
                  <w:vMerge w:val="restart"/>
                  <w:tcMar>
                    <w:left w:w="0" w:type="dxa"/>
                    <w:right w:w="0" w:type="dxa"/>
                  </w:tcMar>
                  <w:vAlign w:val="center"/>
                </w:tcPr>
                <w:p>
                  <w:pPr>
                    <w:adjustRightInd w:val="0"/>
                    <w:snapToGrid w:val="0"/>
                    <w:jc w:val="center"/>
                    <w:rPr>
                      <w:b/>
                      <w:bCs/>
                      <w:szCs w:val="21"/>
                      <w:u w:val="single"/>
                      <w:highlight w:val="none"/>
                    </w:rPr>
                  </w:pPr>
                  <w:r>
                    <w:rPr>
                      <w:b/>
                      <w:bCs/>
                      <w:szCs w:val="21"/>
                      <w:u w:val="single"/>
                      <w:highlight w:val="none"/>
                    </w:rPr>
                    <w:t>排放</w:t>
                  </w:r>
                </w:p>
                <w:p>
                  <w:pPr>
                    <w:adjustRightInd w:val="0"/>
                    <w:snapToGrid w:val="0"/>
                    <w:jc w:val="center"/>
                    <w:rPr>
                      <w:szCs w:val="21"/>
                      <w:u w:val="single"/>
                      <w:highlight w:val="none"/>
                    </w:rPr>
                  </w:pPr>
                  <w:r>
                    <w:rPr>
                      <w:b/>
                      <w:bCs/>
                      <w:szCs w:val="21"/>
                      <w:u w:val="single"/>
                      <w:highlight w:val="none"/>
                    </w:rPr>
                    <w:t>去向</w:t>
                  </w:r>
                </w:p>
              </w:tc>
            </w:tr>
            <w:tr>
              <w:trPr>
                <w:cantSplit/>
                <w:trHeight w:val="283"/>
              </w:trPr>
              <w:tc>
                <w:tcPr>
                  <w:tcW w:w="566" w:type="pct"/>
                  <w:vMerge/>
                  <w:vAlign w:val="center"/>
                </w:tcPr>
                <w:p/>
              </w:tc>
              <w:tc>
                <w:tcPr>
                  <w:tcW w:w="520" w:type="pct"/>
                  <w:vMerge/>
                  <w:vAlign w:val="center"/>
                </w:tcPr>
                <w:p/>
              </w:tc>
              <w:tc>
                <w:tcPr>
                  <w:tcW w:w="529" w:type="pct"/>
                  <w:vMerge/>
                  <w:tcMar>
                    <w:left w:w="0" w:type="dxa"/>
                    <w:right w:w="0" w:type="dxa"/>
                  </w:tcMar>
                  <w:vAlign w:val="center"/>
                </w:tcPr>
                <w:p/>
              </w:tc>
              <w:tc>
                <w:tcPr>
                  <w:tcW w:w="602" w:type="pct"/>
                  <w:tcMar>
                    <w:left w:w="0" w:type="dxa"/>
                    <w:right w:w="0" w:type="dxa"/>
                  </w:tcMar>
                  <w:vAlign w:val="center"/>
                </w:tcPr>
                <w:p>
                  <w:pPr>
                    <w:adjustRightInd w:val="0"/>
                    <w:snapToGrid w:val="0"/>
                    <w:jc w:val="center"/>
                    <w:rPr>
                      <w:b/>
                      <w:bCs/>
                      <w:szCs w:val="21"/>
                      <w:u w:val="single"/>
                      <w:highlight w:val="none"/>
                    </w:rPr>
                  </w:pPr>
                  <w:r>
                    <w:rPr>
                      <w:b/>
                      <w:bCs/>
                      <w:szCs w:val="21"/>
                      <w:u w:val="single"/>
                      <w:highlight w:val="none"/>
                    </w:rPr>
                    <w:t>产生浓度</w:t>
                  </w:r>
                </w:p>
                <w:p>
                  <w:pPr>
                    <w:adjustRightInd w:val="0"/>
                    <w:snapToGrid w:val="0"/>
                    <w:jc w:val="center"/>
                    <w:rPr>
                      <w:b/>
                      <w:bCs/>
                      <w:szCs w:val="21"/>
                      <w:u w:val="single"/>
                      <w:highlight w:val="none"/>
                    </w:rPr>
                  </w:pPr>
                  <w:r>
                    <w:rPr>
                      <w:b/>
                      <w:bCs/>
                      <w:szCs w:val="21"/>
                      <w:u w:val="single"/>
                      <w:highlight w:val="none"/>
                    </w:rPr>
                    <w:t>（mg/L）</w:t>
                  </w:r>
                </w:p>
              </w:tc>
              <w:tc>
                <w:tcPr>
                  <w:tcW w:w="453" w:type="pct"/>
                  <w:tcMar>
                    <w:left w:w="0" w:type="dxa"/>
                    <w:right w:w="0" w:type="dxa"/>
                  </w:tcMar>
                  <w:vAlign w:val="center"/>
                </w:tcPr>
                <w:p>
                  <w:pPr>
                    <w:adjustRightInd w:val="0"/>
                    <w:snapToGrid w:val="0"/>
                    <w:jc w:val="center"/>
                    <w:rPr>
                      <w:b/>
                      <w:bCs/>
                      <w:szCs w:val="21"/>
                      <w:u w:val="single"/>
                      <w:highlight w:val="none"/>
                    </w:rPr>
                  </w:pPr>
                  <w:r>
                    <w:rPr>
                      <w:b/>
                      <w:bCs/>
                      <w:szCs w:val="21"/>
                      <w:u w:val="single"/>
                      <w:highlight w:val="none"/>
                    </w:rPr>
                    <w:t>产生量</w:t>
                  </w:r>
                </w:p>
                <w:p>
                  <w:pPr>
                    <w:adjustRightInd w:val="0"/>
                    <w:snapToGrid w:val="0"/>
                    <w:jc w:val="center"/>
                    <w:rPr>
                      <w:b/>
                      <w:bCs/>
                      <w:szCs w:val="21"/>
                      <w:u w:val="single"/>
                      <w:highlight w:val="none"/>
                    </w:rPr>
                  </w:pPr>
                  <w:r>
                    <w:rPr>
                      <w:b/>
                      <w:bCs/>
                      <w:szCs w:val="21"/>
                      <w:u w:val="single"/>
                      <w:highlight w:val="none"/>
                    </w:rPr>
                    <w:t>（t/a）</w:t>
                  </w:r>
                </w:p>
              </w:tc>
              <w:tc>
                <w:tcPr>
                  <w:tcW w:w="540" w:type="pct"/>
                  <w:vMerge/>
                  <w:tcMar>
                    <w:left w:w="0" w:type="dxa"/>
                    <w:right w:w="0" w:type="dxa"/>
                  </w:tcMar>
                  <w:vAlign w:val="center"/>
                </w:tcPr>
                <w:p/>
              </w:tc>
              <w:tc>
                <w:tcPr>
                  <w:tcW w:w="696" w:type="pct"/>
                  <w:vAlign w:val="center"/>
                </w:tcPr>
                <w:p>
                  <w:pPr>
                    <w:adjustRightInd w:val="0"/>
                    <w:snapToGrid w:val="0"/>
                    <w:jc w:val="center"/>
                    <w:rPr>
                      <w:b/>
                      <w:bCs/>
                      <w:szCs w:val="21"/>
                      <w:u w:val="single"/>
                      <w:highlight w:val="none"/>
                    </w:rPr>
                  </w:pPr>
                  <w:r>
                    <w:rPr>
                      <w:b/>
                      <w:bCs/>
                      <w:szCs w:val="21"/>
                      <w:u w:val="single"/>
                      <w:highlight w:val="none"/>
                    </w:rPr>
                    <w:t>排放浓度</w:t>
                  </w:r>
                </w:p>
                <w:p>
                  <w:pPr>
                    <w:adjustRightInd w:val="0"/>
                    <w:snapToGrid w:val="0"/>
                    <w:jc w:val="center"/>
                    <w:rPr>
                      <w:b/>
                      <w:bCs/>
                      <w:szCs w:val="21"/>
                      <w:u w:val="single"/>
                      <w:highlight w:val="none"/>
                    </w:rPr>
                  </w:pPr>
                  <w:r>
                    <w:rPr>
                      <w:b/>
                      <w:bCs/>
                      <w:szCs w:val="21"/>
                      <w:u w:val="single"/>
                      <w:highlight w:val="none"/>
                    </w:rPr>
                    <w:t>（mg/L）</w:t>
                  </w:r>
                </w:p>
              </w:tc>
              <w:tc>
                <w:tcPr>
                  <w:tcW w:w="610" w:type="pct"/>
                  <w:vAlign w:val="center"/>
                </w:tcPr>
                <w:p>
                  <w:pPr>
                    <w:adjustRightInd w:val="0"/>
                    <w:snapToGrid w:val="0"/>
                    <w:jc w:val="center"/>
                    <w:rPr>
                      <w:b/>
                      <w:bCs/>
                      <w:szCs w:val="21"/>
                      <w:u w:val="single"/>
                      <w:highlight w:val="none"/>
                    </w:rPr>
                  </w:pPr>
                  <w:r>
                    <w:rPr>
                      <w:b/>
                      <w:bCs/>
                      <w:szCs w:val="21"/>
                      <w:u w:val="single"/>
                      <w:highlight w:val="none"/>
                    </w:rPr>
                    <w:t>排放量</w:t>
                  </w:r>
                </w:p>
                <w:p>
                  <w:pPr>
                    <w:adjustRightInd w:val="0"/>
                    <w:snapToGrid w:val="0"/>
                    <w:jc w:val="center"/>
                    <w:rPr>
                      <w:b/>
                      <w:bCs/>
                      <w:szCs w:val="21"/>
                      <w:u w:val="single"/>
                      <w:highlight w:val="none"/>
                    </w:rPr>
                  </w:pPr>
                  <w:r>
                    <w:rPr>
                      <w:b/>
                      <w:bCs/>
                      <w:szCs w:val="21"/>
                      <w:u w:val="single"/>
                      <w:highlight w:val="none"/>
                    </w:rPr>
                    <w:t>（t/a）</w:t>
                  </w:r>
                </w:p>
              </w:tc>
              <w:tc>
                <w:tcPr>
                  <w:tcW w:w="484" w:type="pct"/>
                  <w:vMerge/>
                  <w:tcMar>
                    <w:left w:w="0" w:type="dxa"/>
                    <w:right w:w="0" w:type="dxa"/>
                  </w:tcMar>
                  <w:vAlign w:val="center"/>
                </w:tcPr>
                <w:p/>
              </w:tc>
            </w:tr>
            <w:tr>
              <w:trPr>
                <w:cantSplit/>
                <w:trHeight w:val="283"/>
              </w:trPr>
              <w:tc>
                <w:tcPr>
                  <w:tcW w:w="566" w:type="pct"/>
                  <w:vMerge w:val="restart"/>
                  <w:vAlign w:val="center"/>
                </w:tcPr>
                <w:p>
                  <w:pPr>
                    <w:adjustRightInd w:val="0"/>
                    <w:snapToGrid w:val="0"/>
                    <w:jc w:val="center"/>
                    <w:rPr>
                      <w:szCs w:val="21"/>
                      <w:u w:val="single"/>
                      <w:highlight w:val="none"/>
                    </w:rPr>
                  </w:pPr>
                  <w:r>
                    <w:rPr>
                      <w:rFonts w:hint="eastAsia"/>
                      <w:szCs w:val="21"/>
                      <w:u w:val="single"/>
                      <w:highlight w:val="none"/>
                    </w:rPr>
                    <w:t>滤池反冲洗水、沉淀池排泥水</w:t>
                  </w:r>
                </w:p>
              </w:tc>
              <w:tc>
                <w:tcPr>
                  <w:tcW w:w="520" w:type="pct"/>
                  <w:vMerge w:val="restart"/>
                  <w:vAlign w:val="center"/>
                </w:tcPr>
                <w:p>
                  <w:pPr>
                    <w:adjustRightInd w:val="0"/>
                    <w:snapToGrid w:val="0"/>
                    <w:jc w:val="center"/>
                    <w:rPr>
                      <w:rFonts w:eastAsia="宋体"/>
                      <w:szCs w:val="21"/>
                      <w:u w:val="single"/>
                      <w:lang w:val="en-US" w:eastAsia="zh-CN"/>
                      <w:highlight w:val="none"/>
                    </w:rPr>
                  </w:pPr>
                  <w:r>
                    <w:rPr>
                      <w:rFonts w:hint="eastAsia"/>
                      <w:szCs w:val="21"/>
                      <w:u w:val="single"/>
                      <w:lang w:val="en-US" w:eastAsia="zh-CN"/>
                      <w:highlight w:val="none"/>
                    </w:rPr>
                    <w:t>224840</w:t>
                  </w:r>
                </w:p>
              </w:tc>
              <w:tc>
                <w:tcPr>
                  <w:tcW w:w="529" w:type="pct"/>
                  <w:vAlign w:val="center"/>
                </w:tcPr>
                <w:p>
                  <w:pPr>
                    <w:adjustRightInd w:val="0"/>
                    <w:snapToGrid w:val="0"/>
                    <w:jc w:val="center"/>
                    <w:rPr>
                      <w:szCs w:val="21"/>
                      <w:u w:val="single"/>
                      <w:highlight w:val="none"/>
                    </w:rPr>
                  </w:pPr>
                  <w:r>
                    <w:rPr>
                      <w:color w:val="000000"/>
                      <w:szCs w:val="21"/>
                      <w:u w:val="single"/>
                      <w:highlight w:val="none"/>
                    </w:rPr>
                    <w:t>COD</w:t>
                  </w:r>
                  <w:r>
                    <w:rPr>
                      <w:color w:val="000000"/>
                      <w:szCs w:val="21"/>
                      <w:u w:val="single"/>
                      <w:vertAlign w:val="subscript"/>
                      <w:highlight w:val="none"/>
                    </w:rPr>
                    <w:t>Cr</w:t>
                  </w:r>
                </w:p>
              </w:tc>
              <w:tc>
                <w:tcPr>
                  <w:tcW w:w="602" w:type="pct"/>
                  <w:vAlign w:val="center"/>
                </w:tcPr>
                <w:p>
                  <w:pPr>
                    <w:adjustRightInd w:val="0"/>
                    <w:snapToGrid w:val="0"/>
                    <w:jc w:val="center"/>
                    <w:rPr>
                      <w:szCs w:val="21"/>
                      <w:u w:val="single"/>
                      <w:highlight w:val="none"/>
                    </w:rPr>
                  </w:pPr>
                  <w:r>
                    <w:rPr>
                      <w:rFonts w:hint="eastAsia"/>
                      <w:color w:val="000000"/>
                      <w:szCs w:val="21"/>
                      <w:u w:val="single"/>
                      <w:highlight w:val="none"/>
                    </w:rPr>
                    <w:t>18.3</w:t>
                  </w:r>
                </w:p>
              </w:tc>
              <w:tc>
                <w:tcPr>
                  <w:tcW w:w="453" w:type="pct"/>
                  <w:vAlign w:val="center"/>
                </w:tcPr>
                <w:p>
                  <w:pPr>
                    <w:widowControl/>
                    <w:adjustRightInd w:val="0"/>
                    <w:snapToGrid w:val="0"/>
                    <w:jc w:val="center"/>
                    <w:textAlignment w:val="center"/>
                    <w:rPr>
                      <w:rFonts w:eastAsia="宋体"/>
                      <w:color w:val="000000"/>
                      <w:szCs w:val="21"/>
                      <w:u w:val="single"/>
                      <w:lang w:val="en-US" w:eastAsia="zh-CN"/>
                      <w:highlight w:val="none"/>
                    </w:rPr>
                  </w:pPr>
                  <w:r>
                    <w:rPr>
                      <w:rFonts w:hint="eastAsia"/>
                      <w:szCs w:val="21"/>
                      <w:u w:val="single"/>
                      <w:lang w:val="en-US" w:eastAsia="zh-CN"/>
                      <w:highlight w:val="none"/>
                    </w:rPr>
                    <w:t>4.125</w:t>
                  </w:r>
                </w:p>
              </w:tc>
              <w:tc>
                <w:tcPr>
                  <w:tcW w:w="540" w:type="pct"/>
                  <w:vMerge w:val="restart"/>
                  <w:vAlign w:val="center"/>
                </w:tcPr>
                <w:p>
                  <w:pPr>
                    <w:adjustRightInd w:val="0"/>
                    <w:snapToGrid w:val="0"/>
                    <w:jc w:val="center"/>
                    <w:rPr>
                      <w:szCs w:val="21"/>
                      <w:u w:val="single"/>
                      <w:highlight w:val="none"/>
                    </w:rPr>
                  </w:pPr>
                  <w:r>
                    <w:rPr>
                      <w:szCs w:val="21"/>
                      <w:u w:val="single"/>
                      <w:highlight w:val="none"/>
                    </w:rPr>
                    <w:t>/</w:t>
                  </w:r>
                </w:p>
              </w:tc>
              <w:tc>
                <w:tcPr>
                  <w:tcW w:w="696" w:type="pct"/>
                  <w:vAlign w:val="center"/>
                </w:tcPr>
                <w:p>
                  <w:pPr>
                    <w:adjustRightInd w:val="0"/>
                    <w:snapToGrid w:val="0"/>
                    <w:jc w:val="center"/>
                    <w:rPr>
                      <w:szCs w:val="21"/>
                      <w:u w:val="single"/>
                      <w:highlight w:val="none"/>
                    </w:rPr>
                  </w:pPr>
                  <w:r>
                    <w:rPr>
                      <w:rFonts w:hint="eastAsia"/>
                      <w:color w:val="000000"/>
                      <w:szCs w:val="21"/>
                      <w:u w:val="single"/>
                      <w:highlight w:val="none"/>
                    </w:rPr>
                    <w:t>/</w:t>
                  </w:r>
                </w:p>
              </w:tc>
              <w:tc>
                <w:tcPr>
                  <w:tcW w:w="610" w:type="pct"/>
                  <w:vAlign w:val="center"/>
                </w:tcPr>
                <w:p>
                  <w:pPr>
                    <w:widowControl/>
                    <w:adjustRightInd w:val="0"/>
                    <w:snapToGrid w:val="0"/>
                    <w:jc w:val="center"/>
                    <w:textAlignment w:val="center"/>
                    <w:rPr>
                      <w:color w:val="000000"/>
                      <w:szCs w:val="21"/>
                      <w:u w:val="single"/>
                      <w:highlight w:val="none"/>
                    </w:rPr>
                  </w:pPr>
                  <w:r>
                    <w:rPr>
                      <w:rFonts w:hint="eastAsia"/>
                      <w:szCs w:val="21"/>
                      <w:u w:val="single"/>
                      <w:highlight w:val="none"/>
                    </w:rPr>
                    <w:t>/</w:t>
                  </w:r>
                </w:p>
              </w:tc>
              <w:tc>
                <w:tcPr>
                  <w:tcW w:w="484" w:type="pct"/>
                  <w:vMerge w:val="restart"/>
                  <w:vAlign w:val="center"/>
                </w:tcPr>
                <w:p>
                  <w:pPr>
                    <w:adjustRightInd w:val="0"/>
                    <w:snapToGrid w:val="0"/>
                    <w:jc w:val="center"/>
                    <w:rPr>
                      <w:szCs w:val="21"/>
                      <w:u w:val="single"/>
                      <w:highlight w:val="none"/>
                    </w:rPr>
                  </w:pPr>
                  <w:r>
                    <w:rPr>
                      <w:rFonts w:hint="eastAsia"/>
                      <w:szCs w:val="21"/>
                      <w:u w:val="single"/>
                      <w:highlight w:val="none"/>
                    </w:rPr>
                    <w:t>回用，不外排</w:t>
                  </w:r>
                </w:p>
              </w:tc>
            </w:tr>
            <w:tr>
              <w:trPr>
                <w:cantSplit/>
                <w:trHeight w:val="283"/>
              </w:trPr>
              <w:tc>
                <w:tcPr>
                  <w:tcW w:w="566" w:type="pct"/>
                  <w:vMerge/>
                  <w:vAlign w:val="center"/>
                </w:tcPr>
                <w:p/>
              </w:tc>
              <w:tc>
                <w:tcPr>
                  <w:tcW w:w="520" w:type="pct"/>
                  <w:vMerge/>
                  <w:vAlign w:val="center"/>
                </w:tcPr>
                <w:p/>
              </w:tc>
              <w:tc>
                <w:tcPr>
                  <w:tcW w:w="529" w:type="pct"/>
                  <w:vAlign w:val="center"/>
                </w:tcPr>
                <w:p>
                  <w:pPr>
                    <w:adjustRightInd w:val="0"/>
                    <w:snapToGrid w:val="0"/>
                    <w:jc w:val="center"/>
                    <w:rPr>
                      <w:szCs w:val="21"/>
                      <w:u w:val="single"/>
                      <w:highlight w:val="none"/>
                    </w:rPr>
                  </w:pPr>
                  <w:r>
                    <w:rPr>
                      <w:color w:val="000000"/>
                      <w:szCs w:val="21"/>
                      <w:u w:val="single"/>
                      <w:highlight w:val="none"/>
                    </w:rPr>
                    <w:t>NH</w:t>
                  </w:r>
                  <w:r>
                    <w:rPr>
                      <w:color w:val="000000"/>
                      <w:szCs w:val="21"/>
                      <w:u w:val="single"/>
                      <w:vertAlign w:val="subscript"/>
                      <w:highlight w:val="none"/>
                    </w:rPr>
                    <w:t>3</w:t>
                  </w:r>
                  <w:r>
                    <w:rPr>
                      <w:color w:val="000000"/>
                      <w:szCs w:val="21"/>
                      <w:u w:val="single"/>
                      <w:highlight w:val="none"/>
                    </w:rPr>
                    <w:t>-N</w:t>
                  </w:r>
                </w:p>
              </w:tc>
              <w:tc>
                <w:tcPr>
                  <w:tcW w:w="602" w:type="pct"/>
                  <w:vAlign w:val="center"/>
                </w:tcPr>
                <w:p>
                  <w:pPr>
                    <w:adjustRightInd w:val="0"/>
                    <w:snapToGrid w:val="0"/>
                    <w:jc w:val="center"/>
                    <w:rPr>
                      <w:szCs w:val="21"/>
                      <w:u w:val="single"/>
                      <w:highlight w:val="none"/>
                    </w:rPr>
                  </w:pPr>
                  <w:r>
                    <w:rPr>
                      <w:rFonts w:hint="eastAsia"/>
                      <w:szCs w:val="21"/>
                      <w:u w:val="single"/>
                      <w:highlight w:val="none"/>
                    </w:rPr>
                    <w:t>0.47</w:t>
                  </w:r>
                </w:p>
              </w:tc>
              <w:tc>
                <w:tcPr>
                  <w:tcW w:w="453" w:type="pct"/>
                  <w:vAlign w:val="center"/>
                </w:tcPr>
                <w:p>
                  <w:pPr>
                    <w:widowControl/>
                    <w:adjustRightInd w:val="0"/>
                    <w:snapToGrid w:val="0"/>
                    <w:jc w:val="center"/>
                    <w:textAlignment w:val="center"/>
                    <w:rPr>
                      <w:rFonts w:eastAsia="宋体" w:hint="eastAsia"/>
                      <w:color w:val="000000"/>
                      <w:szCs w:val="21"/>
                      <w:u w:val="single"/>
                      <w:lang w:val="en-US" w:eastAsia="zh-CN"/>
                      <w:highlight w:val="none"/>
                    </w:rPr>
                  </w:pPr>
                  <w:r>
                    <w:rPr>
                      <w:rFonts w:hint="eastAsia"/>
                      <w:color w:val="000000"/>
                      <w:szCs w:val="21"/>
                      <w:u w:val="single"/>
                      <w:lang w:eastAsia="zh-CN"/>
                      <w:highlight w:val="none"/>
                    </w:rPr>
                    <w:t>0.106</w:t>
                  </w:r>
                </w:p>
              </w:tc>
              <w:tc>
                <w:tcPr>
                  <w:tcW w:w="540" w:type="pct"/>
                  <w:vMerge/>
                  <w:vAlign w:val="center"/>
                </w:tcPr>
                <w:p/>
              </w:tc>
              <w:tc>
                <w:tcPr>
                  <w:tcW w:w="696" w:type="pct"/>
                  <w:vAlign w:val="center"/>
                </w:tcPr>
                <w:p>
                  <w:pPr>
                    <w:adjustRightInd w:val="0"/>
                    <w:snapToGrid w:val="0"/>
                    <w:jc w:val="center"/>
                    <w:rPr>
                      <w:szCs w:val="21"/>
                      <w:u w:val="single"/>
                      <w:highlight w:val="none"/>
                    </w:rPr>
                  </w:pPr>
                  <w:r>
                    <w:rPr>
                      <w:rFonts w:hint="eastAsia"/>
                      <w:color w:val="000000"/>
                      <w:szCs w:val="21"/>
                      <w:u w:val="single"/>
                      <w:highlight w:val="none"/>
                    </w:rPr>
                    <w:t>/</w:t>
                  </w:r>
                </w:p>
              </w:tc>
              <w:tc>
                <w:tcPr>
                  <w:tcW w:w="610" w:type="pct"/>
                  <w:vAlign w:val="center"/>
                </w:tcPr>
                <w:p>
                  <w:pPr>
                    <w:widowControl/>
                    <w:adjustRightInd w:val="0"/>
                    <w:snapToGrid w:val="0"/>
                    <w:jc w:val="center"/>
                    <w:textAlignment w:val="center"/>
                    <w:rPr>
                      <w:color w:val="000000"/>
                      <w:szCs w:val="21"/>
                      <w:u w:val="single"/>
                      <w:highlight w:val="none"/>
                    </w:rPr>
                  </w:pPr>
                  <w:r>
                    <w:rPr>
                      <w:rFonts w:hint="eastAsia"/>
                      <w:szCs w:val="21"/>
                      <w:u w:val="single"/>
                      <w:highlight w:val="none"/>
                    </w:rPr>
                    <w:t>/</w:t>
                  </w:r>
                </w:p>
              </w:tc>
              <w:tc>
                <w:tcPr>
                  <w:tcW w:w="484" w:type="pct"/>
                  <w:vMerge/>
                  <w:vAlign w:val="center"/>
                </w:tcPr>
                <w:p/>
              </w:tc>
            </w:tr>
            <w:tr>
              <w:trPr>
                <w:cantSplit/>
                <w:trHeight w:val="283"/>
              </w:trPr>
              <w:tc>
                <w:tcPr>
                  <w:tcW w:w="566" w:type="pct"/>
                  <w:vMerge/>
                  <w:vAlign w:val="center"/>
                </w:tcPr>
                <w:p/>
              </w:tc>
              <w:tc>
                <w:tcPr>
                  <w:tcW w:w="520" w:type="pct"/>
                  <w:vMerge/>
                  <w:vAlign w:val="center"/>
                </w:tcPr>
                <w:p/>
              </w:tc>
              <w:tc>
                <w:tcPr>
                  <w:tcW w:w="529" w:type="pct"/>
                  <w:vAlign w:val="center"/>
                </w:tcPr>
                <w:p>
                  <w:pPr>
                    <w:adjustRightInd w:val="0"/>
                    <w:snapToGrid w:val="0"/>
                    <w:jc w:val="center"/>
                    <w:rPr>
                      <w:szCs w:val="21"/>
                      <w:u w:val="single"/>
                      <w:highlight w:val="none"/>
                    </w:rPr>
                  </w:pPr>
                  <w:r>
                    <w:rPr>
                      <w:szCs w:val="21"/>
                      <w:u w:val="single"/>
                      <w:highlight w:val="none"/>
                    </w:rPr>
                    <w:t>总氮</w:t>
                  </w:r>
                </w:p>
              </w:tc>
              <w:tc>
                <w:tcPr>
                  <w:tcW w:w="602" w:type="pct"/>
                  <w:vAlign w:val="center"/>
                </w:tcPr>
                <w:p>
                  <w:pPr>
                    <w:adjustRightInd w:val="0"/>
                    <w:snapToGrid w:val="0"/>
                    <w:jc w:val="center"/>
                    <w:rPr>
                      <w:szCs w:val="21"/>
                      <w:u w:val="single"/>
                      <w:highlight w:val="none"/>
                    </w:rPr>
                  </w:pPr>
                  <w:r>
                    <w:rPr>
                      <w:rFonts w:hint="eastAsia"/>
                      <w:szCs w:val="21"/>
                      <w:u w:val="single"/>
                      <w:highlight w:val="none"/>
                    </w:rPr>
                    <w:t>6.21</w:t>
                  </w:r>
                </w:p>
              </w:tc>
              <w:tc>
                <w:tcPr>
                  <w:tcW w:w="453" w:type="pct"/>
                  <w:vAlign w:val="center"/>
                </w:tcPr>
                <w:p>
                  <w:pPr>
                    <w:widowControl/>
                    <w:adjustRightInd w:val="0"/>
                    <w:snapToGrid w:val="0"/>
                    <w:jc w:val="center"/>
                    <w:textAlignment w:val="center"/>
                    <w:rPr>
                      <w:rFonts w:eastAsia="宋体"/>
                      <w:color w:val="000000"/>
                      <w:szCs w:val="21"/>
                      <w:u w:val="single"/>
                      <w:lang w:val="en-US" w:eastAsia="zh-CN"/>
                      <w:highlight w:val="none"/>
                    </w:rPr>
                  </w:pPr>
                  <w:r>
                    <w:rPr>
                      <w:rFonts w:hint="eastAsia"/>
                      <w:color w:val="000000"/>
                      <w:szCs w:val="21"/>
                      <w:u w:val="single"/>
                      <w:lang w:val="en-US" w:eastAsia="zh-CN"/>
                      <w:highlight w:val="none"/>
                    </w:rPr>
                    <w:t>1.398</w:t>
                  </w:r>
                </w:p>
              </w:tc>
              <w:tc>
                <w:tcPr>
                  <w:tcW w:w="540" w:type="pct"/>
                  <w:vMerge/>
                  <w:vAlign w:val="center"/>
                </w:tcPr>
                <w:p/>
              </w:tc>
              <w:tc>
                <w:tcPr>
                  <w:tcW w:w="696" w:type="pct"/>
                  <w:vAlign w:val="center"/>
                </w:tcPr>
                <w:p>
                  <w:pPr>
                    <w:adjustRightInd w:val="0"/>
                    <w:snapToGrid w:val="0"/>
                    <w:jc w:val="center"/>
                    <w:rPr>
                      <w:szCs w:val="21"/>
                      <w:u w:val="single"/>
                      <w:highlight w:val="none"/>
                    </w:rPr>
                  </w:pPr>
                  <w:r>
                    <w:rPr>
                      <w:rFonts w:hint="eastAsia"/>
                      <w:color w:val="000000"/>
                      <w:szCs w:val="21"/>
                      <w:u w:val="single"/>
                      <w:highlight w:val="none"/>
                    </w:rPr>
                    <w:t>/</w:t>
                  </w:r>
                </w:p>
              </w:tc>
              <w:tc>
                <w:tcPr>
                  <w:tcW w:w="610" w:type="pct"/>
                  <w:vAlign w:val="center"/>
                </w:tcPr>
                <w:p>
                  <w:pPr>
                    <w:widowControl/>
                    <w:adjustRightInd w:val="0"/>
                    <w:snapToGrid w:val="0"/>
                    <w:jc w:val="center"/>
                    <w:textAlignment w:val="center"/>
                    <w:rPr>
                      <w:color w:val="000000"/>
                      <w:szCs w:val="21"/>
                      <w:u w:val="single"/>
                      <w:highlight w:val="none"/>
                    </w:rPr>
                  </w:pPr>
                  <w:r>
                    <w:rPr>
                      <w:rFonts w:hint="eastAsia"/>
                      <w:szCs w:val="21"/>
                      <w:u w:val="single"/>
                      <w:highlight w:val="none"/>
                    </w:rPr>
                    <w:t>/</w:t>
                  </w:r>
                </w:p>
              </w:tc>
              <w:tc>
                <w:tcPr>
                  <w:tcW w:w="484" w:type="pct"/>
                  <w:vMerge/>
                  <w:vAlign w:val="center"/>
                </w:tcPr>
                <w:p/>
              </w:tc>
            </w:tr>
            <w:tr>
              <w:trPr>
                <w:cantSplit/>
                <w:trHeight w:val="283"/>
              </w:trPr>
              <w:tc>
                <w:tcPr>
                  <w:tcW w:w="566" w:type="pct"/>
                  <w:vMerge/>
                  <w:vAlign w:val="center"/>
                </w:tcPr>
                <w:p/>
              </w:tc>
              <w:tc>
                <w:tcPr>
                  <w:tcW w:w="520" w:type="pct"/>
                  <w:vMerge/>
                  <w:vAlign w:val="center"/>
                </w:tcPr>
                <w:p/>
              </w:tc>
              <w:tc>
                <w:tcPr>
                  <w:tcW w:w="529" w:type="pct"/>
                  <w:vAlign w:val="center"/>
                </w:tcPr>
                <w:p>
                  <w:pPr>
                    <w:adjustRightInd w:val="0"/>
                    <w:snapToGrid w:val="0"/>
                    <w:jc w:val="center"/>
                    <w:rPr>
                      <w:szCs w:val="21"/>
                      <w:u w:val="single"/>
                      <w:highlight w:val="none"/>
                    </w:rPr>
                  </w:pPr>
                  <w:r>
                    <w:rPr>
                      <w:szCs w:val="21"/>
                      <w:u w:val="single"/>
                      <w:highlight w:val="none"/>
                    </w:rPr>
                    <w:t>总磷</w:t>
                  </w:r>
                </w:p>
              </w:tc>
              <w:tc>
                <w:tcPr>
                  <w:tcW w:w="602" w:type="pct"/>
                  <w:vAlign w:val="center"/>
                </w:tcPr>
                <w:p>
                  <w:pPr>
                    <w:adjustRightInd w:val="0"/>
                    <w:snapToGrid w:val="0"/>
                    <w:jc w:val="center"/>
                    <w:rPr>
                      <w:szCs w:val="21"/>
                      <w:u w:val="single"/>
                      <w:highlight w:val="none"/>
                    </w:rPr>
                  </w:pPr>
                  <w:r>
                    <w:rPr>
                      <w:rFonts w:hint="eastAsia"/>
                      <w:szCs w:val="21"/>
                      <w:u w:val="single"/>
                      <w:highlight w:val="none"/>
                    </w:rPr>
                    <w:t>0.37</w:t>
                  </w:r>
                </w:p>
              </w:tc>
              <w:tc>
                <w:tcPr>
                  <w:tcW w:w="453" w:type="pct"/>
                  <w:vAlign w:val="center"/>
                </w:tcPr>
                <w:p>
                  <w:pPr>
                    <w:widowControl/>
                    <w:adjustRightInd w:val="0"/>
                    <w:snapToGrid w:val="0"/>
                    <w:jc w:val="center"/>
                    <w:textAlignment w:val="center"/>
                    <w:rPr>
                      <w:rFonts w:eastAsia="宋体" w:hint="eastAsia"/>
                      <w:color w:val="000000"/>
                      <w:szCs w:val="21"/>
                      <w:u w:val="single"/>
                      <w:lang w:val="en-US" w:eastAsia="zh-CN"/>
                      <w:highlight w:val="none"/>
                    </w:rPr>
                  </w:pPr>
                  <w:r>
                    <w:rPr>
                      <w:rFonts w:hint="eastAsia"/>
                      <w:color w:val="000000"/>
                      <w:szCs w:val="21"/>
                      <w:u w:val="single"/>
                      <w:lang w:eastAsia="zh-CN"/>
                      <w:highlight w:val="none"/>
                    </w:rPr>
                    <w:t>0.082</w:t>
                  </w:r>
                </w:p>
              </w:tc>
              <w:tc>
                <w:tcPr>
                  <w:tcW w:w="540" w:type="pct"/>
                  <w:vMerge/>
                  <w:vAlign w:val="center"/>
                </w:tcPr>
                <w:p/>
              </w:tc>
              <w:tc>
                <w:tcPr>
                  <w:tcW w:w="696" w:type="pct"/>
                  <w:vAlign w:val="center"/>
                </w:tcPr>
                <w:p>
                  <w:pPr>
                    <w:adjustRightInd w:val="0"/>
                    <w:snapToGrid w:val="0"/>
                    <w:jc w:val="center"/>
                    <w:rPr>
                      <w:szCs w:val="21"/>
                      <w:u w:val="single"/>
                      <w:highlight w:val="none"/>
                    </w:rPr>
                  </w:pPr>
                  <w:r>
                    <w:rPr>
                      <w:rFonts w:hint="eastAsia"/>
                      <w:color w:val="000000"/>
                      <w:szCs w:val="21"/>
                      <w:u w:val="single"/>
                      <w:highlight w:val="none"/>
                    </w:rPr>
                    <w:t>/</w:t>
                  </w:r>
                </w:p>
              </w:tc>
              <w:tc>
                <w:tcPr>
                  <w:tcW w:w="610" w:type="pct"/>
                  <w:vAlign w:val="center"/>
                </w:tcPr>
                <w:p>
                  <w:pPr>
                    <w:widowControl/>
                    <w:adjustRightInd w:val="0"/>
                    <w:snapToGrid w:val="0"/>
                    <w:jc w:val="center"/>
                    <w:textAlignment w:val="center"/>
                    <w:rPr>
                      <w:color w:val="000000"/>
                      <w:szCs w:val="21"/>
                      <w:u w:val="single"/>
                      <w:highlight w:val="none"/>
                    </w:rPr>
                  </w:pPr>
                  <w:r>
                    <w:rPr>
                      <w:rFonts w:hint="eastAsia"/>
                      <w:szCs w:val="21"/>
                      <w:u w:val="single"/>
                      <w:highlight w:val="none"/>
                    </w:rPr>
                    <w:t>/</w:t>
                  </w:r>
                </w:p>
              </w:tc>
              <w:tc>
                <w:tcPr>
                  <w:tcW w:w="484" w:type="pct"/>
                  <w:vMerge/>
                  <w:vAlign w:val="center"/>
                </w:tcPr>
                <w:p/>
              </w:tc>
            </w:tr>
            <w:tr>
              <w:trPr>
                <w:cantSplit/>
                <w:trHeight w:val="283"/>
              </w:trPr>
              <w:tc>
                <w:tcPr>
                  <w:tcW w:w="566" w:type="pct"/>
                  <w:vMerge/>
                  <w:vAlign w:val="center"/>
                </w:tcPr>
                <w:p/>
              </w:tc>
              <w:tc>
                <w:tcPr>
                  <w:tcW w:w="520" w:type="pct"/>
                  <w:vMerge/>
                  <w:vAlign w:val="center"/>
                </w:tcPr>
                <w:p/>
              </w:tc>
              <w:tc>
                <w:tcPr>
                  <w:tcW w:w="529" w:type="pct"/>
                  <w:vAlign w:val="center"/>
                </w:tcPr>
                <w:p>
                  <w:pPr>
                    <w:adjustRightInd w:val="0"/>
                    <w:snapToGrid w:val="0"/>
                    <w:jc w:val="center"/>
                    <w:rPr>
                      <w:szCs w:val="21"/>
                      <w:u w:val="single"/>
                      <w:highlight w:val="none"/>
                    </w:rPr>
                  </w:pPr>
                  <w:r>
                    <w:rPr>
                      <w:szCs w:val="21"/>
                      <w:u w:val="single"/>
                      <w:highlight w:val="none"/>
                    </w:rPr>
                    <w:t>SS</w:t>
                  </w:r>
                </w:p>
              </w:tc>
              <w:tc>
                <w:tcPr>
                  <w:tcW w:w="602" w:type="pct"/>
                  <w:vAlign w:val="center"/>
                </w:tcPr>
                <w:p>
                  <w:pPr>
                    <w:adjustRightInd w:val="0"/>
                    <w:snapToGrid w:val="0"/>
                    <w:jc w:val="center"/>
                    <w:rPr>
                      <w:color w:val="000000"/>
                      <w:szCs w:val="21"/>
                      <w:u w:val="single"/>
                      <w:highlight w:val="none"/>
                    </w:rPr>
                  </w:pPr>
                  <w:r>
                    <w:rPr>
                      <w:rFonts w:hint="eastAsia"/>
                      <w:color w:val="000000"/>
                      <w:szCs w:val="21"/>
                      <w:u w:val="single"/>
                      <w:highlight w:val="none"/>
                    </w:rPr>
                    <w:t>130</w:t>
                  </w:r>
                </w:p>
              </w:tc>
              <w:tc>
                <w:tcPr>
                  <w:tcW w:w="453" w:type="pct"/>
                  <w:vAlign w:val="center"/>
                </w:tcPr>
                <w:p>
                  <w:pPr>
                    <w:widowControl/>
                    <w:adjustRightInd w:val="0"/>
                    <w:snapToGrid w:val="0"/>
                    <w:jc w:val="center"/>
                    <w:textAlignment w:val="center"/>
                    <w:rPr>
                      <w:rFonts w:eastAsia="宋体"/>
                      <w:color w:val="000000"/>
                      <w:szCs w:val="21"/>
                      <w:u w:val="single"/>
                      <w:lang w:val="en-US" w:eastAsia="zh-CN"/>
                      <w:highlight w:val="none"/>
                    </w:rPr>
                  </w:pPr>
                  <w:r>
                    <w:rPr>
                      <w:rFonts w:hint="eastAsia"/>
                      <w:color w:val="000000"/>
                      <w:szCs w:val="21"/>
                      <w:u w:val="single"/>
                      <w:lang w:val="en-US" w:eastAsia="zh-CN"/>
                      <w:highlight w:val="none"/>
                    </w:rPr>
                    <w:t>29.229</w:t>
                  </w:r>
                </w:p>
              </w:tc>
              <w:tc>
                <w:tcPr>
                  <w:tcW w:w="540" w:type="pct"/>
                  <w:vMerge/>
                  <w:vAlign w:val="center"/>
                </w:tcPr>
                <w:p/>
              </w:tc>
              <w:tc>
                <w:tcPr>
                  <w:tcW w:w="696" w:type="pct"/>
                  <w:vAlign w:val="center"/>
                </w:tcPr>
                <w:p>
                  <w:pPr>
                    <w:adjustRightInd w:val="0"/>
                    <w:snapToGrid w:val="0"/>
                    <w:jc w:val="center"/>
                    <w:rPr>
                      <w:szCs w:val="21"/>
                      <w:u w:val="single"/>
                      <w:highlight w:val="none"/>
                    </w:rPr>
                  </w:pPr>
                  <w:r>
                    <w:rPr>
                      <w:rFonts w:hint="eastAsia"/>
                      <w:color w:val="000000"/>
                      <w:szCs w:val="21"/>
                      <w:u w:val="single"/>
                      <w:highlight w:val="none"/>
                    </w:rPr>
                    <w:t>/</w:t>
                  </w:r>
                </w:p>
              </w:tc>
              <w:tc>
                <w:tcPr>
                  <w:tcW w:w="610" w:type="pct"/>
                  <w:vAlign w:val="center"/>
                </w:tcPr>
                <w:p>
                  <w:pPr>
                    <w:widowControl/>
                    <w:adjustRightInd w:val="0"/>
                    <w:snapToGrid w:val="0"/>
                    <w:jc w:val="center"/>
                    <w:textAlignment w:val="center"/>
                    <w:rPr>
                      <w:color w:val="000000"/>
                      <w:szCs w:val="21"/>
                      <w:u w:val="single"/>
                      <w:highlight w:val="none"/>
                    </w:rPr>
                  </w:pPr>
                  <w:r>
                    <w:rPr>
                      <w:rFonts w:hint="eastAsia"/>
                      <w:color w:val="000000"/>
                      <w:szCs w:val="21"/>
                      <w:u w:val="single"/>
                      <w:highlight w:val="none"/>
                    </w:rPr>
                    <w:t>/</w:t>
                  </w:r>
                </w:p>
              </w:tc>
              <w:tc>
                <w:tcPr>
                  <w:tcW w:w="484" w:type="pct"/>
                  <w:vMerge/>
                  <w:vAlign w:val="center"/>
                </w:tcPr>
                <w:p/>
              </w:tc>
            </w:tr>
          </w:tbl>
          <w:p>
            <w:pPr>
              <w:spacing w:line="360" w:lineRule="auto"/>
              <w:rPr>
                <w:sz w:val="24"/>
                <w:u w:val="none"/>
                <w:highlight w:val="none"/>
              </w:rPr>
            </w:pPr>
            <w:r>
              <w:rPr>
                <w:b/>
                <w:bCs/>
                <w:sz w:val="24"/>
                <w:u w:val="none"/>
                <w:highlight w:val="none"/>
              </w:rPr>
              <w:t>2.2废水污染治理设施可行性分析</w:t>
            </w:r>
          </w:p>
          <w:p>
            <w:pPr>
              <w:snapToGrid w:val="0"/>
              <w:spacing w:line="360" w:lineRule="auto"/>
              <w:ind w:firstLineChars="200" w:firstLine="480"/>
              <w:contextualSpacing/>
              <w:rPr>
                <w:bCs/>
                <w:sz w:val="24"/>
                <w:highlight w:val="none"/>
              </w:rPr>
            </w:pPr>
            <w:r>
              <w:rPr>
                <w:rFonts w:hint="eastAsia"/>
                <w:bCs/>
                <w:sz w:val="24"/>
                <w:highlight w:val="none"/>
              </w:rPr>
              <w:t>（1）生产废水</w:t>
            </w:r>
          </w:p>
          <w:p>
            <w:pPr>
              <w:snapToGrid w:val="0"/>
              <w:spacing w:line="360" w:lineRule="auto"/>
              <w:ind w:firstLineChars="200" w:firstLine="480"/>
              <w:contextualSpacing/>
              <w:rPr>
                <w:color w:val="000000"/>
                <w:sz w:val="24"/>
                <w:u w:val="single"/>
                <w:highlight w:val="none"/>
              </w:rPr>
            </w:pPr>
            <w:r>
              <w:rPr>
                <w:bCs/>
                <w:sz w:val="24"/>
                <w:u w:val="single"/>
                <w:highlight w:val="none"/>
              </w:rPr>
              <w:t>项目</w:t>
            </w:r>
            <w:r>
              <w:rPr>
                <w:rFonts w:hint="eastAsia"/>
                <w:sz w:val="24"/>
                <w:u w:val="single"/>
                <w:highlight w:val="none"/>
              </w:rPr>
              <w:t>生产废水主要为</w:t>
            </w:r>
            <w:r>
              <w:rPr>
                <w:sz w:val="24"/>
                <w:u w:val="single"/>
                <w:highlight w:val="none"/>
              </w:rPr>
              <w:t>滤池反冲洗水、沉淀池排泥水</w:t>
            </w:r>
            <w:r>
              <w:rPr>
                <w:rFonts w:hint="eastAsia"/>
                <w:sz w:val="24"/>
                <w:u w:val="single"/>
                <w:highlight w:val="none"/>
              </w:rPr>
              <w:t>。</w:t>
            </w:r>
            <w:r>
              <w:rPr>
                <w:color w:val="000000"/>
                <w:sz w:val="24"/>
                <w:u w:val="single"/>
                <w:highlight w:val="none"/>
              </w:rPr>
              <w:t>在滤池的过滤过程中，滤料层截留的杂质数量不断增加，因而滤料层阻力不断增加，滤池水头损失增大，水位也会随之升高，因而在过滤过程中需定时对滤池进行冲洗，冲洗完的废水主要污染物为SS，</w:t>
            </w:r>
            <w:r>
              <w:rPr>
                <w:rFonts w:hint="eastAsia"/>
                <w:color w:val="000000"/>
                <w:sz w:val="24"/>
                <w:u w:val="single"/>
                <w:highlight w:val="none"/>
              </w:rPr>
              <w:t>收集</w:t>
            </w:r>
            <w:r>
              <w:rPr>
                <w:color w:val="000000"/>
                <w:sz w:val="24"/>
                <w:u w:val="single"/>
                <w:highlight w:val="none"/>
              </w:rPr>
              <w:t>至</w:t>
            </w:r>
            <w:r>
              <w:rPr>
                <w:rFonts w:hint="eastAsia"/>
                <w:color w:val="000000"/>
                <w:sz w:val="24"/>
                <w:u w:val="single"/>
                <w:highlight w:val="none"/>
              </w:rPr>
              <w:t>回用水</w:t>
            </w:r>
            <w:r>
              <w:rPr>
                <w:color w:val="000000"/>
                <w:sz w:val="24"/>
                <w:u w:val="single"/>
                <w:highlight w:val="none"/>
              </w:rPr>
              <w:t>池</w:t>
            </w:r>
            <w:r>
              <w:rPr>
                <w:rFonts w:hint="eastAsia"/>
                <w:color w:val="000000"/>
                <w:sz w:val="24"/>
                <w:u w:val="single"/>
                <w:highlight w:val="none"/>
              </w:rPr>
              <w:t>后回用于原水利用</w:t>
            </w:r>
            <w:r>
              <w:rPr>
                <w:color w:val="000000"/>
                <w:sz w:val="24"/>
                <w:u w:val="single"/>
                <w:highlight w:val="none"/>
              </w:rPr>
              <w:t>，不外排</w:t>
            </w:r>
            <w:r>
              <w:rPr>
                <w:rFonts w:hint="eastAsia"/>
                <w:color w:val="000000"/>
                <w:sz w:val="24"/>
                <w:u w:val="single"/>
                <w:highlight w:val="none"/>
              </w:rPr>
              <w:t>；</w:t>
            </w:r>
            <w:r>
              <w:rPr>
                <w:color w:val="000000"/>
                <w:sz w:val="24"/>
                <w:u w:val="single"/>
                <w:highlight w:val="none"/>
              </w:rPr>
              <w:t>沉淀池排泥水</w:t>
            </w:r>
            <w:r>
              <w:rPr>
                <w:rFonts w:hint="eastAsia"/>
                <w:sz w:val="24"/>
                <w:u w:val="single"/>
                <w:highlight w:val="none"/>
              </w:rPr>
              <w:t>排入</w:t>
            </w:r>
            <w:r>
              <w:rPr>
                <w:rFonts w:hint="eastAsia"/>
                <w:color w:val="000000"/>
                <w:sz w:val="24"/>
                <w:u w:val="single"/>
                <w:lang w:val="zh-CN" w:eastAsia="zh-CN"/>
                <w:highlight w:val="none"/>
              </w:rPr>
              <w:t>回用水池及排泥调节池</w:t>
            </w:r>
            <w:r>
              <w:rPr>
                <w:rFonts w:hint="eastAsia"/>
                <w:color w:val="000000"/>
                <w:sz w:val="24"/>
                <w:u w:val="single"/>
                <w:lang w:val="en-US" w:eastAsia="zh-CN"/>
                <w:highlight w:val="none"/>
              </w:rPr>
              <w:t>后回用</w:t>
            </w:r>
            <w:r>
              <w:rPr>
                <w:rFonts w:hint="eastAsia"/>
                <w:color w:val="000000"/>
                <w:sz w:val="24"/>
                <w:u w:val="single"/>
                <w:highlight w:val="none"/>
              </w:rPr>
              <w:t>，不外排。</w:t>
            </w:r>
          </w:p>
          <w:p>
            <w:pPr>
              <w:keepNext w:val="0"/>
              <w:keepLines w:val="0"/>
              <w:pageBreakBefore w:val="0"/>
              <w:widowControl w:val="0"/>
              <w:kinsoku/>
              <w:wordWrap/>
              <w:overflowPunct/>
              <w:topLinePunct w:val="0"/>
              <w:bidi w:val="0"/>
              <w:adjustRightInd w:val="0"/>
              <w:snapToGrid w:val="0"/>
              <w:spacing w:line="360" w:lineRule="auto"/>
              <w:ind w:firstLineChars="200" w:firstLine="480"/>
              <w:contextualSpacing/>
              <w:textAlignment w:val="auto"/>
              <w:rPr>
                <w:sz w:val="24"/>
                <w:u w:val="single"/>
                <w:highlight w:val="none"/>
              </w:rPr>
            </w:pPr>
            <w:r>
              <w:rPr>
                <w:rFonts w:hint="eastAsia"/>
                <w:sz w:val="24"/>
                <w:u w:val="single"/>
                <w:highlight w:val="none"/>
              </w:rPr>
              <w:t>项目已根据供水规模及废水产生系数设计了</w:t>
            </w:r>
            <w:r>
              <w:rPr>
                <w:rFonts w:hint="eastAsia"/>
                <w:color w:val="000000"/>
                <w:sz w:val="24"/>
                <w:u w:val="single"/>
                <w:lang w:val="zh-CN" w:eastAsia="zh-CN"/>
                <w:highlight w:val="none"/>
              </w:rPr>
              <w:t>回用水池及排泥调节池</w:t>
            </w:r>
            <w:r>
              <w:rPr>
                <w:rFonts w:hint="eastAsia"/>
                <w:sz w:val="24"/>
                <w:u w:val="single"/>
                <w:highlight w:val="none"/>
              </w:rPr>
              <w:t>等相应池体的规模，能够满足生产废水的接收回用。</w:t>
            </w:r>
          </w:p>
          <w:p>
            <w:pPr>
              <w:keepNext w:val="0"/>
              <w:keepLines w:val="0"/>
              <w:pageBreakBefore w:val="0"/>
              <w:widowControl w:val="0"/>
              <w:kinsoku/>
              <w:wordWrap/>
              <w:overflowPunct/>
              <w:topLinePunct w:val="0"/>
              <w:bidi w:val="0"/>
              <w:adjustRightInd w:val="0"/>
              <w:snapToGrid w:val="0"/>
              <w:spacing w:line="360" w:lineRule="auto"/>
              <w:ind w:firstLineChars="200" w:firstLine="480"/>
              <w:contextualSpacing/>
              <w:textAlignment w:val="auto"/>
              <w:rPr>
                <w:sz w:val="24"/>
                <w:highlight w:val="none"/>
              </w:rPr>
            </w:pPr>
            <w:r>
              <w:rPr>
                <w:rFonts w:hint="eastAsia"/>
                <w:sz w:val="24"/>
                <w:highlight w:val="none"/>
              </w:rPr>
              <w:t>（2）生活污水</w:t>
            </w:r>
          </w:p>
          <w:p>
            <w:pPr>
              <w:pStyle w:val="101"/>
              <w:keepNext w:val="0"/>
              <w:keepLines w:val="0"/>
              <w:pageBreakBefore w:val="0"/>
              <w:widowControl w:val="0"/>
              <w:kinsoku/>
              <w:wordWrap/>
              <w:overflowPunct/>
              <w:topLinePunct w:val="0"/>
              <w:autoSpaceDE w:val="0"/>
              <w:autoSpaceDN w:val="0"/>
              <w:bidi w:val="0"/>
              <w:adjustRightInd w:val="0"/>
              <w:snapToGrid w:val="0"/>
              <w:spacing w:before="0" w:after="0" w:line="360" w:lineRule="auto"/>
              <w:ind w:firstLineChars="200" w:firstLine="480"/>
              <w:textAlignment w:val="auto"/>
              <w:rPr>
                <w:rFonts w:hAnsi="宋体" w:hint="eastAsia"/>
                <w:color w:val="auto"/>
                <w:kern w:val="2"/>
                <w:highlight w:val="none"/>
              </w:rPr>
            </w:pPr>
            <w:r>
              <w:rPr>
                <w:rFonts w:hint="eastAsia"/>
                <w:sz w:val="24"/>
                <w:highlight w:val="none"/>
              </w:rPr>
              <w:t>本项目员工生活污水</w:t>
            </w:r>
            <w:r>
              <w:rPr>
                <w:rFonts w:hint="eastAsia"/>
                <w:sz w:val="24"/>
                <w:lang w:eastAsia="zh-CN"/>
                <w:highlight w:val="none"/>
              </w:rPr>
              <w:t>，</w:t>
            </w:r>
            <w:r>
              <w:rPr>
                <w:rFonts w:hint="eastAsia"/>
                <w:sz w:val="24"/>
                <w:lang w:val="en-US" w:eastAsia="zh-CN"/>
                <w:highlight w:val="none"/>
              </w:rPr>
              <w:t>生活污水经化粪池处理后用于周边农肥，</w:t>
            </w:r>
            <w:r>
              <w:rPr>
                <w:rFonts w:ascii="宋体" w:eastAsia="宋体" w:cs="宋体" w:hAnsi="宋体" w:hint="eastAsia"/>
                <w:color w:val="auto"/>
                <w:kern w:val="0"/>
                <w:sz w:val="24"/>
                <w:szCs w:val="24"/>
                <w:lang w:val="en-US" w:eastAsia="zh-CN"/>
                <w:highlight w:val="none"/>
              </w:rPr>
              <w:t>不排入太青水库和附近沟渠。化粪池为生活污水通用处理设施，可满足生活污水的处理要求。本项目所在地为农村环境，周边有大片可以消纳农肥的农田及菜地，可消纳管理房的生活污水。因此，本项目运行期生活污水经化粪池处理后用作农灌是可行的</w:t>
            </w:r>
            <w:r>
              <w:rPr>
                <w:rFonts w:hint="eastAsia"/>
                <w:sz w:val="24"/>
                <w:highlight w:val="none"/>
              </w:rPr>
              <w:t>。</w:t>
            </w:r>
          </w:p>
          <w:p>
            <w:pPr>
              <w:keepNext w:val="0"/>
              <w:keepLines w:val="0"/>
              <w:pageBreakBefore w:val="0"/>
              <w:widowControl w:val="0"/>
              <w:kinsoku/>
              <w:wordWrap/>
              <w:overflowPunct/>
              <w:topLinePunct w:val="0"/>
              <w:bidi w:val="0"/>
              <w:adjustRightInd w:val="0"/>
              <w:snapToGrid w:val="0"/>
              <w:spacing w:line="360" w:lineRule="auto"/>
              <w:textAlignment w:val="auto"/>
              <w:rPr>
                <w:b/>
                <w:sz w:val="24"/>
                <w:highlight w:val="none"/>
              </w:rPr>
            </w:pPr>
            <w:r>
              <w:rPr>
                <w:b/>
                <w:sz w:val="24"/>
                <w:highlight w:val="none"/>
              </w:rPr>
              <w:t>2.5</w:t>
            </w:r>
            <w:r>
              <w:rPr>
                <w:b/>
                <w:bCs/>
                <w:sz w:val="24"/>
                <w:highlight w:val="none"/>
              </w:rPr>
              <w:t>监测要求</w:t>
            </w:r>
          </w:p>
          <w:p>
            <w:pPr>
              <w:keepNext w:val="0"/>
              <w:keepLines w:val="0"/>
              <w:pageBreakBefore w:val="0"/>
              <w:widowControl w:val="0"/>
              <w:kinsoku/>
              <w:wordWrap/>
              <w:overflowPunct/>
              <w:topLinePunct w:val="0"/>
              <w:bidi w:val="0"/>
              <w:adjustRightInd w:val="0"/>
              <w:snapToGrid w:val="0"/>
              <w:spacing w:line="360" w:lineRule="auto"/>
              <w:ind w:firstLineChars="200" w:firstLine="480"/>
              <w:jc w:val="left"/>
              <w:textAlignment w:val="auto"/>
              <w:rPr>
                <w:sz w:val="24"/>
                <w:highlight w:val="none"/>
              </w:rPr>
            </w:pPr>
            <w:r>
              <w:rPr>
                <w:rFonts w:hint="eastAsia"/>
                <w:color w:val="000000"/>
                <w:sz w:val="24"/>
                <w:u w:val="single"/>
                <w:highlight w:val="none"/>
              </w:rPr>
              <w:t>根据《排污单位自行监测技术指南 总则》（HJ819-2017），本项目废水无相关自行监测要求。</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b/>
                <w:sz w:val="24"/>
                <w:highlight w:val="none"/>
              </w:rPr>
            </w:pPr>
            <w:bookmarkEnd w:id="16"/>
            <w:r>
              <w:rPr>
                <w:b/>
                <w:sz w:val="24"/>
                <w:highlight w:val="none"/>
              </w:rPr>
              <w:t>3、噪声</w:t>
            </w:r>
          </w:p>
          <w:p>
            <w:pPr>
              <w:keepNext w:val="0"/>
              <w:keepLines w:val="0"/>
              <w:pageBreakBefore w:val="0"/>
              <w:widowControl w:val="0"/>
              <w:kinsoku/>
              <w:wordWrap/>
              <w:overflowPunct/>
              <w:topLinePunct w:val="0"/>
              <w:bidi w:val="0"/>
              <w:adjustRightInd w:val="0"/>
              <w:snapToGrid w:val="0"/>
              <w:spacing w:line="360" w:lineRule="auto"/>
              <w:ind w:firstLineChars="200" w:firstLine="480"/>
              <w:contextualSpacing/>
              <w:textAlignment w:val="auto"/>
              <w:rPr>
                <w:sz w:val="24"/>
                <w:u w:val="none"/>
                <w:highlight w:val="none"/>
              </w:rPr>
            </w:pPr>
            <w:r>
              <w:rPr>
                <w:rFonts w:hint="eastAsia"/>
                <w:sz w:val="24"/>
                <w:u w:val="none"/>
                <w:highlight w:val="none"/>
              </w:rPr>
              <w:t>（1）预测模型</w:t>
            </w:r>
          </w:p>
          <w:p>
            <w:pPr>
              <w:keepNext w:val="0"/>
              <w:keepLines w:val="0"/>
              <w:pageBreakBefore w:val="0"/>
              <w:widowControl w:val="0"/>
              <w:kinsoku/>
              <w:wordWrap/>
              <w:overflowPunct/>
              <w:topLinePunct w:val="0"/>
              <w:bidi w:val="0"/>
              <w:adjustRightInd w:val="0"/>
              <w:snapToGrid w:val="0"/>
              <w:spacing w:line="360" w:lineRule="auto"/>
              <w:ind w:firstLineChars="200" w:firstLine="480"/>
              <w:contextualSpacing/>
              <w:textAlignment w:val="auto"/>
              <w:rPr>
                <w:sz w:val="24"/>
                <w:u w:val="none"/>
                <w:highlight w:val="none"/>
              </w:rPr>
            </w:pPr>
            <w:r>
              <w:rPr>
                <w:rFonts w:hint="eastAsia"/>
                <w:sz w:val="24"/>
                <w:u w:val="none"/>
                <w:highlight w:val="none"/>
              </w:rPr>
              <w:t>根据项目建设内容及《环境影响评价技术导则—声环境》（HJ2.4-2021）的要求，项目环评采用的模型为《环境影响评价技术导则声环境》(HJ2.4.2021)附录A（规范性附录）户外声传播的衰减和附录B（规范性附录）中“B.1工业噪声预测计算模型”。</w:t>
            </w:r>
          </w:p>
          <w:p>
            <w:pPr>
              <w:keepNext w:val="0"/>
              <w:keepLines w:val="0"/>
              <w:pageBreakBefore w:val="0"/>
              <w:widowControl w:val="0"/>
              <w:kinsoku/>
              <w:wordWrap/>
              <w:overflowPunct/>
              <w:topLinePunct w:val="0"/>
              <w:bidi w:val="0"/>
              <w:adjustRightInd w:val="0"/>
              <w:snapToGrid w:val="0"/>
              <w:spacing w:line="360" w:lineRule="auto"/>
              <w:ind w:firstLineChars="200" w:firstLine="480"/>
              <w:contextualSpacing/>
              <w:textAlignment w:val="auto"/>
              <w:rPr>
                <w:sz w:val="24"/>
                <w:u w:val="none"/>
                <w:highlight w:val="none"/>
              </w:rPr>
            </w:pPr>
            <w:r>
              <w:rPr>
                <w:rFonts w:hint="eastAsia"/>
                <w:sz w:val="24"/>
                <w:u w:val="none"/>
                <w:highlight w:val="none"/>
              </w:rPr>
              <w:t>（2）预测参数</w:t>
            </w:r>
          </w:p>
          <w:p>
            <w:pPr>
              <w:keepNext w:val="0"/>
              <w:keepLines w:val="0"/>
              <w:pageBreakBefore w:val="0"/>
              <w:widowControl w:val="0"/>
              <w:kinsoku/>
              <w:wordWrap/>
              <w:overflowPunct/>
              <w:topLinePunct w:val="0"/>
              <w:bidi w:val="0"/>
              <w:adjustRightInd w:val="0"/>
              <w:snapToGrid w:val="0"/>
              <w:spacing w:line="360" w:lineRule="auto"/>
              <w:ind w:firstLineChars="200" w:firstLine="480"/>
              <w:contextualSpacing/>
              <w:textAlignment w:val="auto"/>
              <w:rPr>
                <w:sz w:val="24"/>
                <w:u w:val="none"/>
                <w:highlight w:val="none"/>
              </w:rPr>
            </w:pPr>
            <w:r>
              <w:rPr>
                <w:rFonts w:hint="eastAsia"/>
                <w:sz w:val="24"/>
                <w:u w:val="none"/>
                <w:highlight w:val="none"/>
              </w:rPr>
              <w:t>1）噪声源强</w:t>
            </w:r>
          </w:p>
          <w:p>
            <w:pPr>
              <w:keepNext w:val="0"/>
              <w:keepLines w:val="0"/>
              <w:pageBreakBefore w:val="0"/>
              <w:widowControl w:val="0"/>
              <w:kinsoku/>
              <w:wordWrap/>
              <w:overflowPunct/>
              <w:topLinePunct w:val="0"/>
              <w:bidi w:val="0"/>
              <w:adjustRightInd w:val="0"/>
              <w:snapToGrid w:val="0"/>
              <w:spacing w:line="360" w:lineRule="auto"/>
              <w:ind w:firstLineChars="200" w:firstLine="480"/>
              <w:textAlignment w:val="auto"/>
              <w:rPr>
                <w:highlight w:val="none"/>
              </w:rPr>
            </w:pPr>
            <w:r>
              <w:rPr>
                <w:rFonts w:hint="eastAsia"/>
                <w:sz w:val="24"/>
                <w:u w:val="none"/>
                <w:highlight w:val="none"/>
              </w:rPr>
              <w:t>本项目噪声源主要是反冲洗水泵、风机、空压机、离水泵</w:t>
            </w:r>
            <w:r>
              <w:rPr>
                <w:rFonts w:hint="eastAsia"/>
                <w:sz w:val="24"/>
                <w:u w:val="none"/>
                <w:lang w:eastAsia="zh-CN"/>
                <w:highlight w:val="none"/>
              </w:rPr>
              <w:t>、</w:t>
            </w:r>
            <w:r>
              <w:rPr>
                <w:rFonts w:hint="eastAsia"/>
                <w:sz w:val="24"/>
                <w:u w:val="none"/>
                <w:lang w:val="en-US" w:eastAsia="zh-CN"/>
                <w:highlight w:val="none"/>
              </w:rPr>
              <w:t>加压泵</w:t>
            </w:r>
            <w:r>
              <w:rPr>
                <w:rFonts w:hint="eastAsia"/>
                <w:sz w:val="24"/>
                <w:u w:val="none"/>
                <w:highlight w:val="none"/>
              </w:rPr>
              <w:t>等机械设备产生的噪声，根据国内同类行业的车间内噪声值的经验数据，其噪声级一般在70~85dB（A）之间。项目采取降噪措施后的声级情况见下表。</w:t>
            </w:r>
          </w:p>
        </w:tc>
      </w:tr>
    </w:tbl>
    <w:p>
      <w:pPr>
        <w:rPr>
          <w:highlight w:val="none"/>
        </w:rPr>
        <w:sectPr>
          <w:pgSz w:w="11907" w:h="16840"/>
          <w:pgMar w:top="1701" w:right="1531" w:bottom="2127" w:left="1531" w:header="851" w:footer="1417" w:gutter="0"/>
          <w:pgBorders>
            <w:top w:val="none" w:sz="0" w:space="0" w:color="auto"/>
            <w:left w:val="none" w:sz="0" w:space="0" w:color="auto"/>
            <w:bottom w:val="none" w:sz="0" w:space="0" w:color="auto"/>
            <w:right w:val="none" w:sz="0" w:space="0" w:color="auto"/>
          </w:pgBorders>
          <w:cols w:num="1" w:space="720"/>
          <w:docGrid w:linePitch="312" w:charSpace="0"/>
        </w:sectPr>
      </w:pPr>
    </w:p>
    <w:tbl>
      <w:tblPr>
        <w:jc w:val="cent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689"/>
        <w:gridCol w:w="12303"/>
      </w:tblGrid>
      <w:tr>
        <w:trPr>
          <w:trHeight w:val="397"/>
        </w:trPr>
        <w:tc>
          <w:tcPr>
            <w:tcW w:w="265" w:type="pct"/>
            <w:tcMar>
              <w:left w:w="28" w:type="dxa"/>
              <w:right w:w="28" w:type="dxa"/>
            </w:tcMar>
            <w:vAlign w:val="center"/>
          </w:tcPr>
          <w:p>
            <w:pPr>
              <w:jc w:val="center"/>
              <w:rPr>
                <w:bCs/>
                <w:sz w:val="24"/>
                <w:highlight w:val="none"/>
              </w:rPr>
            </w:pPr>
            <w:r>
              <w:rPr>
                <w:bCs/>
                <w:sz w:val="24"/>
                <w:highlight w:val="none"/>
              </w:rPr>
              <w:t>运营</w:t>
            </w:r>
          </w:p>
          <w:p>
            <w:pPr>
              <w:jc w:val="center"/>
              <w:rPr>
                <w:bCs/>
                <w:sz w:val="24"/>
                <w:highlight w:val="none"/>
              </w:rPr>
            </w:pPr>
            <w:r>
              <w:rPr>
                <w:bCs/>
                <w:sz w:val="24"/>
                <w:highlight w:val="none"/>
              </w:rPr>
              <w:t>期环</w:t>
            </w:r>
          </w:p>
          <w:p>
            <w:pPr>
              <w:jc w:val="center"/>
              <w:rPr>
                <w:bCs/>
                <w:sz w:val="24"/>
                <w:highlight w:val="none"/>
              </w:rPr>
            </w:pPr>
            <w:r>
              <w:rPr>
                <w:bCs/>
                <w:sz w:val="24"/>
                <w:highlight w:val="none"/>
              </w:rPr>
              <w:t>境影</w:t>
            </w:r>
          </w:p>
          <w:p>
            <w:pPr>
              <w:jc w:val="center"/>
              <w:rPr>
                <w:bCs/>
                <w:sz w:val="24"/>
                <w:highlight w:val="none"/>
              </w:rPr>
            </w:pPr>
            <w:r>
              <w:rPr>
                <w:bCs/>
                <w:sz w:val="24"/>
                <w:highlight w:val="none"/>
              </w:rPr>
              <w:t>响和</w:t>
            </w:r>
          </w:p>
          <w:p>
            <w:pPr>
              <w:jc w:val="center"/>
              <w:rPr>
                <w:bCs/>
                <w:sz w:val="24"/>
                <w:highlight w:val="none"/>
              </w:rPr>
            </w:pPr>
            <w:r>
              <w:rPr>
                <w:bCs/>
                <w:sz w:val="24"/>
                <w:highlight w:val="none"/>
              </w:rPr>
              <w:t>保护</w:t>
            </w:r>
          </w:p>
          <w:p>
            <w:pPr>
              <w:jc w:val="center"/>
              <w:rPr>
                <w:bCs/>
                <w:sz w:val="24"/>
                <w:highlight w:val="none"/>
              </w:rPr>
            </w:pPr>
            <w:r>
              <w:rPr>
                <w:bCs/>
                <w:sz w:val="24"/>
                <w:highlight w:val="none"/>
              </w:rPr>
              <w:t>措施</w:t>
            </w:r>
          </w:p>
        </w:tc>
        <w:tc>
          <w:tcPr>
            <w:tcW w:w="4735" w:type="pct"/>
            <w:shd w:val="clear" w:color="auto" w:fill="FFFFFF"/>
            <w:vAlign w:val="center"/>
          </w:tcPr>
          <w:p>
            <w:pPr>
              <w:pStyle w:val="108"/>
              <w:spacing w:beforeLines="50" w:before="120"/>
              <w:rPr>
                <w:bCs/>
                <w:u w:val="none"/>
                <w:highlight w:val="none"/>
              </w:rPr>
            </w:pPr>
            <w:r>
              <w:rPr>
                <w:bCs/>
                <w:u w:val="none"/>
                <w:highlight w:val="none"/>
              </w:rPr>
              <w:t>表</w:t>
            </w:r>
            <w:r>
              <w:rPr>
                <w:rFonts w:hint="eastAsia"/>
                <w:bCs/>
                <w:u w:val="none"/>
                <w:highlight w:val="none"/>
              </w:rPr>
              <w:t xml:space="preserve">4-3  </w:t>
            </w:r>
            <w:r>
              <w:rPr>
                <w:bCs/>
                <w:u w:val="none"/>
                <w:highlight w:val="none"/>
              </w:rPr>
              <w:t>工业企业噪声源强调查清单（室外声源）</w:t>
            </w:r>
          </w:p>
          <w:tbl>
            <w:tblPr>
              <w:jc w:val="center"/>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top w:w="0" w:type="dxa"/>
                <w:left w:w="0" w:type="dxa"/>
                <w:bottom w:w="0" w:type="dxa"/>
                <w:right w:w="0" w:type="dxa"/>
              </w:tblCellMar>
              <w:tblLook w:val="0600" w:firstRow="0" w:lastRow="0" w:firstColumn="0" w:lastColumn="0" w:noHBand="1" w:noVBand="1"/>
            </w:tblPr>
            <w:tblGrid>
              <w:gridCol w:w="544"/>
              <w:gridCol w:w="1728"/>
              <w:gridCol w:w="1301"/>
              <w:gridCol w:w="848"/>
              <w:gridCol w:w="1200"/>
              <w:gridCol w:w="1192"/>
              <w:gridCol w:w="1047"/>
              <w:gridCol w:w="1345"/>
              <w:gridCol w:w="1569"/>
              <w:gridCol w:w="1307"/>
            </w:tblGrid>
            <w:tr>
              <w:trPr>
                <w:trHeight w:val="340"/>
              </w:trPr>
              <w:tc>
                <w:tcPr>
                  <w:tcW w:w="183" w:type="pct"/>
                  <w:vMerge w:val="restart"/>
                  <w:tcBorders>
                    <w:tl2br w:val="nil"/>
                    <w:tr2bl w:val="nil"/>
                  </w:tcBorders>
                  <w:vAlign w:val="center"/>
                </w:tcPr>
                <w:p>
                  <w:pPr>
                    <w:pStyle w:val="71"/>
                    <w:rPr>
                      <w:rFonts w:ascii="Times New Roman" w:cs="Times New Roman" w:hAnsi="Times New Roman"/>
                      <w:b/>
                      <w:szCs w:val="21"/>
                      <w:u w:val="none"/>
                      <w:highlight w:val="none"/>
                    </w:rPr>
                  </w:pPr>
                  <w:r>
                    <w:rPr>
                      <w:rFonts w:ascii="Times New Roman" w:cs="Times New Roman" w:hAnsi="Times New Roman"/>
                      <w:b/>
                      <w:szCs w:val="21"/>
                      <w:u w:val="none"/>
                      <w:highlight w:val="none"/>
                    </w:rPr>
                    <w:t>序号</w:t>
                  </w:r>
                </w:p>
              </w:tc>
              <w:tc>
                <w:tcPr>
                  <w:tcW w:w="819" w:type="pct"/>
                  <w:vMerge w:val="restart"/>
                  <w:tcBorders>
                    <w:tl2br w:val="nil"/>
                    <w:tr2bl w:val="nil"/>
                  </w:tcBorders>
                  <w:vAlign w:val="center"/>
                </w:tcPr>
                <w:p>
                  <w:pPr>
                    <w:widowControl/>
                    <w:snapToGrid w:val="0"/>
                    <w:spacing w:line="320" w:lineRule="exact"/>
                    <w:jc w:val="center"/>
                    <w:rPr>
                      <w:b/>
                      <w:bCs/>
                      <w:szCs w:val="21"/>
                      <w:u w:val="none"/>
                      <w:highlight w:val="none"/>
                    </w:rPr>
                  </w:pPr>
                  <w:r>
                    <w:rPr>
                      <w:b/>
                      <w:bCs/>
                      <w:szCs w:val="21"/>
                      <w:u w:val="none"/>
                      <w:highlight w:val="none"/>
                    </w:rPr>
                    <w:t>所处</w:t>
                  </w:r>
                </w:p>
                <w:p>
                  <w:pPr>
                    <w:pStyle w:val="71"/>
                    <w:rPr>
                      <w:rFonts w:ascii="Times New Roman" w:cs="Times New Roman" w:hAnsi="Times New Roman"/>
                      <w:b/>
                      <w:szCs w:val="21"/>
                      <w:u w:val="none"/>
                      <w:highlight w:val="none"/>
                    </w:rPr>
                  </w:pPr>
                  <w:r>
                    <w:rPr>
                      <w:rFonts w:ascii="Times New Roman" w:hAnsi="Times New Roman"/>
                      <w:b/>
                      <w:bCs/>
                      <w:szCs w:val="21"/>
                      <w:u w:val="none"/>
                      <w:highlight w:val="none"/>
                    </w:rPr>
                    <w:t>位置</w:t>
                  </w:r>
                </w:p>
              </w:tc>
              <w:tc>
                <w:tcPr>
                  <w:tcW w:w="608" w:type="pct"/>
                  <w:vMerge w:val="restart"/>
                  <w:tcBorders>
                    <w:tl2br w:val="nil"/>
                    <w:tr2bl w:val="nil"/>
                  </w:tcBorders>
                  <w:vAlign w:val="center"/>
                </w:tcPr>
                <w:p>
                  <w:pPr>
                    <w:pStyle w:val="71"/>
                    <w:rPr>
                      <w:rFonts w:ascii="Times New Roman" w:cs="Times New Roman" w:hAnsi="Times New Roman"/>
                      <w:b/>
                      <w:szCs w:val="21"/>
                      <w:u w:val="none"/>
                      <w:highlight w:val="none"/>
                    </w:rPr>
                  </w:pPr>
                  <w:r>
                    <w:rPr>
                      <w:rFonts w:ascii="Times New Roman" w:cs="Times New Roman" w:hAnsi="Times New Roman"/>
                      <w:b/>
                      <w:szCs w:val="21"/>
                      <w:u w:val="none"/>
                      <w:highlight w:val="none"/>
                    </w:rPr>
                    <w:t>声源名称</w:t>
                  </w:r>
                </w:p>
              </w:tc>
              <w:tc>
                <w:tcPr>
                  <w:tcW w:w="353" w:type="pct"/>
                  <w:vMerge w:val="restart"/>
                  <w:tcBorders>
                    <w:tl2br w:val="nil"/>
                    <w:tr2bl w:val="nil"/>
                  </w:tcBorders>
                  <w:vAlign w:val="center"/>
                </w:tcPr>
                <w:p>
                  <w:pPr>
                    <w:pStyle w:val="71"/>
                    <w:rPr>
                      <w:rFonts w:ascii="Times New Roman" w:cs="Times New Roman" w:hAnsi="Times New Roman"/>
                      <w:b/>
                      <w:szCs w:val="21"/>
                      <w:u w:val="none"/>
                      <w:lang w:val="en-US"/>
                      <w:highlight w:val="none"/>
                    </w:rPr>
                  </w:pPr>
                  <w:r>
                    <w:rPr>
                      <w:rFonts w:ascii="Times New Roman" w:cs="Times New Roman" w:hAnsi="Times New Roman" w:hint="eastAsia"/>
                      <w:b/>
                      <w:szCs w:val="21"/>
                      <w:u w:val="none"/>
                      <w:lang w:val="en-US"/>
                      <w:highlight w:val="none"/>
                    </w:rPr>
                    <w:t>型号</w:t>
                  </w:r>
                </w:p>
              </w:tc>
              <w:tc>
                <w:tcPr>
                  <w:tcW w:w="1357" w:type="pct"/>
                  <w:gridSpan w:val="3"/>
                  <w:tcBorders>
                    <w:tl2br w:val="nil"/>
                    <w:tr2bl w:val="nil"/>
                  </w:tcBorders>
                  <w:vAlign w:val="center"/>
                </w:tcPr>
                <w:p>
                  <w:pPr>
                    <w:pStyle w:val="71"/>
                    <w:rPr>
                      <w:rFonts w:ascii="Times New Roman" w:cs="Times New Roman" w:hAnsi="Times New Roman"/>
                      <w:b/>
                      <w:szCs w:val="21"/>
                      <w:u w:val="none"/>
                      <w:highlight w:val="none"/>
                    </w:rPr>
                  </w:pPr>
                  <w:r>
                    <w:rPr>
                      <w:rFonts w:ascii="Times New Roman" w:cs="Times New Roman" w:hAnsi="Times New Roman"/>
                      <w:b/>
                      <w:szCs w:val="21"/>
                      <w:u w:val="none"/>
                      <w:highlight w:val="none"/>
                    </w:rPr>
                    <w:t>空间相对位置/m</w:t>
                  </w:r>
                </w:p>
              </w:tc>
              <w:tc>
                <w:tcPr>
                  <w:tcW w:w="574" w:type="pct"/>
                  <w:tcBorders>
                    <w:tl2br w:val="nil"/>
                    <w:tr2bl w:val="nil"/>
                  </w:tcBorders>
                  <w:vAlign w:val="center"/>
                </w:tcPr>
                <w:p>
                  <w:pPr>
                    <w:pStyle w:val="71"/>
                    <w:rPr>
                      <w:rFonts w:ascii="Times New Roman" w:cs="Times New Roman" w:hAnsi="Times New Roman"/>
                      <w:b/>
                      <w:szCs w:val="21"/>
                      <w:u w:val="none"/>
                      <w:highlight w:val="none"/>
                    </w:rPr>
                  </w:pPr>
                  <w:r>
                    <w:rPr>
                      <w:rFonts w:ascii="Times New Roman" w:cs="Times New Roman" w:hAnsi="Times New Roman"/>
                      <w:b/>
                      <w:szCs w:val="21"/>
                      <w:u w:val="none"/>
                      <w:highlight w:val="none"/>
                    </w:rPr>
                    <w:t>声源源强</w:t>
                  </w:r>
                </w:p>
              </w:tc>
              <w:tc>
                <w:tcPr>
                  <w:tcW w:w="641" w:type="pct"/>
                  <w:vMerge w:val="restart"/>
                  <w:tcBorders>
                    <w:tl2br w:val="nil"/>
                    <w:tr2bl w:val="nil"/>
                  </w:tcBorders>
                  <w:vAlign w:val="center"/>
                </w:tcPr>
                <w:p>
                  <w:pPr>
                    <w:pStyle w:val="71"/>
                    <w:rPr>
                      <w:rFonts w:ascii="Times New Roman" w:cs="Times New Roman" w:hAnsi="Times New Roman"/>
                      <w:b/>
                      <w:szCs w:val="21"/>
                      <w:u w:val="none"/>
                      <w:highlight w:val="none"/>
                    </w:rPr>
                  </w:pPr>
                  <w:r>
                    <w:rPr>
                      <w:rFonts w:ascii="Times New Roman" w:cs="Times New Roman" w:hAnsi="Times New Roman"/>
                      <w:b/>
                      <w:szCs w:val="21"/>
                      <w:u w:val="none"/>
                      <w:highlight w:val="none"/>
                    </w:rPr>
                    <w:t>声源控制措施</w:t>
                  </w:r>
                </w:p>
              </w:tc>
              <w:tc>
                <w:tcPr>
                  <w:tcW w:w="462" w:type="pct"/>
                  <w:vMerge w:val="restart"/>
                  <w:tcBorders>
                    <w:tl2br w:val="nil"/>
                    <w:tr2bl w:val="nil"/>
                  </w:tcBorders>
                  <w:vAlign w:val="center"/>
                </w:tcPr>
                <w:p>
                  <w:pPr>
                    <w:pStyle w:val="71"/>
                    <w:rPr>
                      <w:rFonts w:ascii="Times New Roman" w:cs="Times New Roman" w:hAnsi="Times New Roman"/>
                      <w:b/>
                      <w:szCs w:val="21"/>
                      <w:u w:val="none"/>
                      <w:highlight w:val="none"/>
                    </w:rPr>
                  </w:pPr>
                  <w:r>
                    <w:rPr>
                      <w:rFonts w:ascii="Times New Roman" w:cs="Times New Roman" w:hAnsi="Times New Roman"/>
                      <w:b/>
                      <w:szCs w:val="21"/>
                      <w:u w:val="none"/>
                      <w:highlight w:val="none"/>
                    </w:rPr>
                    <w:t>运行时段</w:t>
                  </w:r>
                </w:p>
              </w:tc>
            </w:tr>
            <w:tr>
              <w:trPr>
                <w:trHeight w:val="340"/>
              </w:trPr>
              <w:tc>
                <w:tcPr>
                  <w:tcW w:w="183" w:type="pct"/>
                  <w:vMerge/>
                  <w:tcBorders>
                    <w:tl2br w:val="nil"/>
                    <w:tr2bl w:val="nil"/>
                  </w:tcBorders>
                  <w:vAlign w:val="center"/>
                </w:tcPr>
                <w:p/>
              </w:tc>
              <w:tc>
                <w:tcPr>
                  <w:tcW w:w="819" w:type="pct"/>
                  <w:vMerge/>
                  <w:tcBorders>
                    <w:tl2br w:val="nil"/>
                    <w:tr2bl w:val="nil"/>
                  </w:tcBorders>
                  <w:vAlign w:val="center"/>
                </w:tcPr>
                <w:p/>
              </w:tc>
              <w:tc>
                <w:tcPr>
                  <w:tcW w:w="608" w:type="pct"/>
                  <w:vMerge/>
                  <w:tcBorders>
                    <w:tl2br w:val="nil"/>
                    <w:tr2bl w:val="nil"/>
                  </w:tcBorders>
                  <w:vAlign w:val="center"/>
                </w:tcPr>
                <w:p/>
              </w:tc>
              <w:tc>
                <w:tcPr>
                  <w:tcW w:w="353" w:type="pct"/>
                  <w:vMerge/>
                  <w:tcBorders>
                    <w:tl2br w:val="nil"/>
                    <w:tr2bl w:val="nil"/>
                  </w:tcBorders>
                  <w:vAlign w:val="center"/>
                </w:tcPr>
                <w:p/>
              </w:tc>
              <w:tc>
                <w:tcPr>
                  <w:tcW w:w="463" w:type="pct"/>
                  <w:tcBorders>
                    <w:tl2br w:val="nil"/>
                    <w:tr2bl w:val="nil"/>
                  </w:tcBorders>
                  <w:vAlign w:val="center"/>
                </w:tcPr>
                <w:p>
                  <w:pPr>
                    <w:pStyle w:val="71"/>
                    <w:rPr>
                      <w:rFonts w:ascii="Times New Roman" w:cs="Times New Roman" w:hAnsi="Times New Roman"/>
                      <w:b/>
                      <w:bCs/>
                      <w:szCs w:val="21"/>
                      <w:u w:val="none"/>
                      <w:highlight w:val="none"/>
                    </w:rPr>
                  </w:pPr>
                  <w:r>
                    <w:rPr>
                      <w:rFonts w:ascii="Times New Roman" w:cs="Times New Roman" w:hAnsi="Times New Roman"/>
                      <w:b/>
                      <w:bCs/>
                      <w:szCs w:val="21"/>
                      <w:u w:val="none"/>
                      <w:highlight w:val="none"/>
                    </w:rPr>
                    <w:t>X</w:t>
                  </w:r>
                </w:p>
              </w:tc>
              <w:tc>
                <w:tcPr>
                  <w:tcW w:w="458" w:type="pct"/>
                  <w:tcBorders>
                    <w:tl2br w:val="nil"/>
                    <w:tr2bl w:val="nil"/>
                  </w:tcBorders>
                  <w:vAlign w:val="center"/>
                </w:tcPr>
                <w:p>
                  <w:pPr>
                    <w:pStyle w:val="71"/>
                    <w:rPr>
                      <w:rFonts w:ascii="Times New Roman" w:cs="Times New Roman" w:hAnsi="Times New Roman"/>
                      <w:b/>
                      <w:bCs/>
                      <w:szCs w:val="21"/>
                      <w:u w:val="none"/>
                      <w:highlight w:val="none"/>
                    </w:rPr>
                  </w:pPr>
                  <w:r>
                    <w:rPr>
                      <w:rFonts w:ascii="Times New Roman" w:cs="Times New Roman" w:hAnsi="Times New Roman"/>
                      <w:b/>
                      <w:bCs/>
                      <w:szCs w:val="21"/>
                      <w:u w:val="none"/>
                      <w:highlight w:val="none"/>
                    </w:rPr>
                    <w:t>Y</w:t>
                  </w:r>
                </w:p>
              </w:tc>
              <w:tc>
                <w:tcPr>
                  <w:tcW w:w="436" w:type="pct"/>
                  <w:tcBorders>
                    <w:tl2br w:val="nil"/>
                    <w:tr2bl w:val="nil"/>
                  </w:tcBorders>
                  <w:vAlign w:val="center"/>
                </w:tcPr>
                <w:p>
                  <w:pPr>
                    <w:pStyle w:val="71"/>
                    <w:rPr>
                      <w:rFonts w:ascii="Times New Roman" w:cs="Times New Roman" w:hAnsi="Times New Roman"/>
                      <w:b/>
                      <w:bCs/>
                      <w:szCs w:val="21"/>
                      <w:u w:val="none"/>
                      <w:highlight w:val="none"/>
                    </w:rPr>
                  </w:pPr>
                  <w:r>
                    <w:rPr>
                      <w:rFonts w:ascii="Times New Roman" w:cs="Times New Roman" w:hAnsi="Times New Roman"/>
                      <w:b/>
                      <w:bCs/>
                      <w:szCs w:val="21"/>
                      <w:u w:val="none"/>
                      <w:highlight w:val="none"/>
                    </w:rPr>
                    <w:t>Z</w:t>
                  </w:r>
                </w:p>
              </w:tc>
              <w:tc>
                <w:tcPr>
                  <w:tcW w:w="574" w:type="pct"/>
                  <w:tcBorders>
                    <w:tl2br w:val="nil"/>
                    <w:tr2bl w:val="nil"/>
                  </w:tcBorders>
                  <w:vAlign w:val="center"/>
                </w:tcPr>
                <w:p>
                  <w:pPr>
                    <w:pStyle w:val="71"/>
                    <w:rPr>
                      <w:rFonts w:ascii="Times New Roman" w:cs="Times New Roman" w:hAnsi="Times New Roman"/>
                      <w:b/>
                      <w:bCs/>
                      <w:szCs w:val="21"/>
                      <w:u w:val="none"/>
                      <w:highlight w:val="none"/>
                    </w:rPr>
                  </w:pPr>
                  <w:r>
                    <w:rPr>
                      <w:rFonts w:ascii="Times New Roman" w:cs="Times New Roman" w:hAnsi="Times New Roman"/>
                      <w:b/>
                      <w:bCs/>
                      <w:szCs w:val="21"/>
                      <w:u w:val="none"/>
                      <w:highlight w:val="none"/>
                    </w:rPr>
                    <w:t>声功率级/dB(A)</w:t>
                  </w:r>
                </w:p>
              </w:tc>
              <w:tc>
                <w:tcPr>
                  <w:tcW w:w="641" w:type="pct"/>
                  <w:vMerge/>
                  <w:tcBorders>
                    <w:tl2br w:val="nil"/>
                    <w:tr2bl w:val="nil"/>
                  </w:tcBorders>
                  <w:vAlign w:val="center"/>
                </w:tcPr>
                <w:p/>
              </w:tc>
              <w:tc>
                <w:tcPr>
                  <w:tcW w:w="462" w:type="pct"/>
                  <w:vMerge/>
                  <w:tcBorders>
                    <w:tl2br w:val="nil"/>
                    <w:tr2bl w:val="nil"/>
                  </w:tcBorders>
                  <w:vAlign w:val="center"/>
                </w:tcPr>
                <w:p/>
              </w:tc>
            </w:tr>
            <w:tr>
              <w:trPr>
                <w:trHeight w:val="340"/>
              </w:trPr>
              <w:tc>
                <w:tcPr>
                  <w:tcW w:w="183" w:type="pct"/>
                  <w:tcBorders>
                    <w:tl2br w:val="nil"/>
                    <w:tr2bl w:val="nil"/>
                  </w:tcBorders>
                  <w:vAlign w:val="center"/>
                </w:tcPr>
                <w:p>
                  <w:pPr>
                    <w:jc w:val="center"/>
                    <w:rPr>
                      <w:szCs w:val="21"/>
                      <w:u w:val="none"/>
                      <w:highlight w:val="none"/>
                    </w:rPr>
                  </w:pPr>
                  <w:r>
                    <w:rPr>
                      <w:rFonts w:hint="eastAsia"/>
                      <w:szCs w:val="21"/>
                      <w:u w:val="none"/>
                      <w:highlight w:val="none"/>
                    </w:rPr>
                    <w:t>1</w:t>
                  </w:r>
                </w:p>
              </w:tc>
              <w:tc>
                <w:tcPr>
                  <w:tcW w:w="819" w:type="pct"/>
                  <w:vMerge w:val="restart"/>
                  <w:tcBorders>
                    <w:tl2br w:val="nil"/>
                    <w:tr2bl w:val="nil"/>
                  </w:tcBorders>
                  <w:vAlign w:val="center"/>
                </w:tcPr>
                <w:p>
                  <w:pPr>
                    <w:jc w:val="center"/>
                    <w:rPr>
                      <w:szCs w:val="21"/>
                      <w:u w:val="none"/>
                      <w:highlight w:val="none"/>
                    </w:rPr>
                  </w:pPr>
                  <w:r>
                    <w:rPr>
                      <w:rFonts w:hint="eastAsia"/>
                      <w:szCs w:val="21"/>
                      <w:u w:val="none"/>
                      <w:highlight w:val="none"/>
                    </w:rPr>
                    <w:t>网格絮凝斜管沉淀池</w:t>
                  </w:r>
                </w:p>
              </w:tc>
              <w:tc>
                <w:tcPr>
                  <w:tcW w:w="608" w:type="pct"/>
                  <w:tcBorders>
                    <w:tl2br w:val="nil"/>
                    <w:tr2bl w:val="nil"/>
                  </w:tcBorders>
                  <w:vAlign w:val="center"/>
                </w:tcPr>
                <w:p>
                  <w:pPr>
                    <w:jc w:val="center"/>
                    <w:rPr>
                      <w:szCs w:val="21"/>
                      <w:u w:val="none"/>
                      <w:highlight w:val="none"/>
                    </w:rPr>
                  </w:pPr>
                  <w:r>
                    <w:rPr>
                      <w:rFonts w:hint="eastAsia"/>
                      <w:kern w:val="0"/>
                      <w:szCs w:val="21"/>
                      <w:u w:val="none"/>
                      <w:highlight w:val="none"/>
                    </w:rPr>
                    <w:t>潜水泥浆泵-1</w:t>
                  </w:r>
                </w:p>
              </w:tc>
              <w:tc>
                <w:tcPr>
                  <w:tcW w:w="353" w:type="pct"/>
                  <w:tcBorders>
                    <w:tl2br w:val="nil"/>
                    <w:tr2bl w:val="nil"/>
                  </w:tcBorders>
                  <w:vAlign w:val="center"/>
                </w:tcPr>
                <w:p>
                  <w:pPr>
                    <w:jc w:val="center"/>
                    <w:rPr>
                      <w:szCs w:val="21"/>
                      <w:u w:val="none"/>
                      <w:highlight w:val="none"/>
                    </w:rPr>
                  </w:pPr>
                  <w:r>
                    <w:rPr>
                      <w:rFonts w:hint="eastAsia"/>
                      <w:szCs w:val="21"/>
                      <w:u w:val="none"/>
                      <w:highlight w:val="none"/>
                    </w:rPr>
                    <w:t>/</w:t>
                  </w:r>
                </w:p>
              </w:tc>
              <w:tc>
                <w:tcPr>
                  <w:tcW w:w="463" w:type="pct"/>
                  <w:tcBorders>
                    <w:tl2br w:val="nil"/>
                    <w:tr2bl w:val="nil"/>
                  </w:tcBorders>
                  <w:vAlign w:val="center"/>
                </w:tcPr>
                <w:p>
                  <w:pPr>
                    <w:pStyle w:val="71"/>
                    <w:rPr>
                      <w:rFonts w:ascii="Times New Roman" w:cs="Times New Roman" w:hAnsi="Times New Roman"/>
                      <w:szCs w:val="21"/>
                      <w:u w:val="none"/>
                      <w:lang w:val="en-US"/>
                      <w:highlight w:val="none"/>
                    </w:rPr>
                  </w:pPr>
                  <w:r>
                    <w:rPr>
                      <w:rFonts w:ascii="Times New Roman" w:cs="Times New Roman" w:hAnsi="Times New Roman" w:hint="eastAsia"/>
                      <w:szCs w:val="21"/>
                      <w:u w:val="none"/>
                      <w:lang w:val="en-US" w:eastAsia="zh-CN"/>
                      <w:highlight w:val="none"/>
                    </w:rPr>
                    <w:t>18.7</w:t>
                  </w:r>
                </w:p>
              </w:tc>
              <w:tc>
                <w:tcPr>
                  <w:tcW w:w="458" w:type="pct"/>
                  <w:tcBorders>
                    <w:tl2br w:val="nil"/>
                    <w:tr2bl w:val="nil"/>
                  </w:tcBorders>
                  <w:vAlign w:val="center"/>
                </w:tcPr>
                <w:p>
                  <w:pPr>
                    <w:pStyle w:val="71"/>
                    <w:rPr>
                      <w:rFonts w:ascii="Times New Roman" w:eastAsia="宋体" w:cs="Times New Roman" w:hAnsi="Times New Roman"/>
                      <w:szCs w:val="21"/>
                      <w:u w:val="none"/>
                      <w:lang w:val="en-US" w:eastAsia="zh-CN"/>
                      <w:highlight w:val="none"/>
                    </w:rPr>
                  </w:pPr>
                  <w:r>
                    <w:rPr>
                      <w:rFonts w:ascii="Times New Roman" w:cs="Times New Roman" w:hAnsi="Times New Roman" w:hint="eastAsia"/>
                      <w:szCs w:val="21"/>
                      <w:u w:val="none"/>
                      <w:lang w:val="en-US" w:eastAsia="zh-CN"/>
                      <w:highlight w:val="none"/>
                    </w:rPr>
                    <w:t>6.5</w:t>
                  </w:r>
                </w:p>
              </w:tc>
              <w:tc>
                <w:tcPr>
                  <w:tcW w:w="436" w:type="pct"/>
                  <w:tcBorders>
                    <w:tl2br w:val="nil"/>
                    <w:tr2bl w:val="nil"/>
                  </w:tcBorders>
                  <w:vAlign w:val="center"/>
                </w:tcPr>
                <w:p>
                  <w:pPr>
                    <w:pStyle w:val="71"/>
                    <w:rPr>
                      <w:rFonts w:ascii="Times New Roman" w:cs="Times New Roman" w:hAnsi="Times New Roman"/>
                      <w:szCs w:val="21"/>
                      <w:u w:val="none"/>
                      <w:highlight w:val="none"/>
                    </w:rPr>
                  </w:pPr>
                  <w:r>
                    <w:rPr>
                      <w:rFonts w:ascii="Times New Roman" w:cs="Times New Roman" w:hAnsi="Times New Roman" w:hint="eastAsia"/>
                      <w:szCs w:val="21"/>
                      <w:u w:val="none"/>
                      <w:highlight w:val="none"/>
                    </w:rPr>
                    <w:t>1.2</w:t>
                  </w:r>
                </w:p>
              </w:tc>
              <w:tc>
                <w:tcPr>
                  <w:tcW w:w="574" w:type="pct"/>
                  <w:tcBorders>
                    <w:tl2br w:val="nil"/>
                    <w:tr2bl w:val="nil"/>
                  </w:tcBorders>
                  <w:vAlign w:val="center"/>
                </w:tcPr>
                <w:p>
                  <w:pPr>
                    <w:pStyle w:val="71"/>
                    <w:rPr>
                      <w:rFonts w:ascii="Times New Roman" w:cs="Times New Roman" w:hAnsi="Times New Roman"/>
                      <w:szCs w:val="21"/>
                      <w:u w:val="none"/>
                      <w:highlight w:val="none"/>
                    </w:rPr>
                  </w:pPr>
                  <w:r>
                    <w:rPr>
                      <w:rFonts w:ascii="Times New Roman" w:cs="Times New Roman" w:hAnsi="Times New Roman" w:hint="eastAsia"/>
                      <w:szCs w:val="21"/>
                      <w:u w:val="none"/>
                      <w:highlight w:val="none"/>
                    </w:rPr>
                    <w:t>70</w:t>
                  </w:r>
                </w:p>
              </w:tc>
              <w:tc>
                <w:tcPr>
                  <w:tcW w:w="641" w:type="pct"/>
                  <w:vMerge w:val="restart"/>
                  <w:tcBorders>
                    <w:tl2br w:val="nil"/>
                    <w:tr2bl w:val="nil"/>
                  </w:tcBorders>
                  <w:vAlign w:val="center"/>
                </w:tcPr>
                <w:p>
                  <w:pPr>
                    <w:pStyle w:val="106"/>
                    <w:adjustRightInd w:val="0"/>
                    <w:snapToGrid w:val="0"/>
                    <w:spacing w:line="240" w:lineRule="auto"/>
                    <w:ind w:right="0" w:firstLineChars="0" w:firstLine="0"/>
                    <w:jc w:val="center"/>
                    <w:rPr>
                      <w:rFonts w:hint="eastAsia"/>
                      <w:szCs w:val="21"/>
                      <w:u w:val="none"/>
                      <w:highlight w:val="none"/>
                    </w:rPr>
                  </w:pPr>
                  <w:r>
                    <w:rPr>
                      <w:rFonts w:hAnsi="Times New Roman" w:hint="eastAsia"/>
                      <w:sz w:val="21"/>
                      <w:szCs w:val="18"/>
                      <w:u w:val="none"/>
                      <w:highlight w:val="none"/>
                    </w:rPr>
                    <w:t>选用低噪声设备，减振等防护措施</w:t>
                  </w:r>
                </w:p>
              </w:tc>
              <w:tc>
                <w:tcPr>
                  <w:tcW w:w="462" w:type="pct"/>
                  <w:tcBorders>
                    <w:tl2br w:val="nil"/>
                    <w:tr2bl w:val="nil"/>
                  </w:tcBorders>
                  <w:vAlign w:val="center"/>
                </w:tcPr>
                <w:p>
                  <w:pPr>
                    <w:jc w:val="center"/>
                    <w:rPr>
                      <w:szCs w:val="21"/>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jc w:val="center"/>
                    <w:rPr>
                      <w:szCs w:val="21"/>
                      <w:u w:val="none"/>
                      <w:highlight w:val="none"/>
                    </w:rPr>
                  </w:pPr>
                  <w:r>
                    <w:rPr>
                      <w:rFonts w:hint="eastAsia"/>
                      <w:szCs w:val="21"/>
                      <w:u w:val="none"/>
                      <w:highlight w:val="none"/>
                    </w:rPr>
                    <w:t>2</w:t>
                  </w:r>
                </w:p>
              </w:tc>
              <w:tc>
                <w:tcPr>
                  <w:tcW w:w="819" w:type="pct"/>
                  <w:vMerge/>
                  <w:tcBorders>
                    <w:tl2br w:val="nil"/>
                    <w:tr2bl w:val="nil"/>
                  </w:tcBorders>
                  <w:vAlign w:val="center"/>
                </w:tcPr>
                <w:p/>
              </w:tc>
              <w:tc>
                <w:tcPr>
                  <w:tcW w:w="608" w:type="pct"/>
                  <w:tcBorders>
                    <w:tl2br w:val="nil"/>
                    <w:tr2bl w:val="nil"/>
                  </w:tcBorders>
                  <w:vAlign w:val="center"/>
                </w:tcPr>
                <w:p>
                  <w:pPr>
                    <w:jc w:val="center"/>
                    <w:rPr>
                      <w:kern w:val="0"/>
                      <w:szCs w:val="21"/>
                      <w:u w:val="none"/>
                      <w:highlight w:val="none"/>
                    </w:rPr>
                  </w:pPr>
                  <w:r>
                    <w:rPr>
                      <w:rFonts w:hint="eastAsia"/>
                      <w:kern w:val="0"/>
                      <w:szCs w:val="21"/>
                      <w:u w:val="none"/>
                      <w:highlight w:val="none"/>
                    </w:rPr>
                    <w:t>潜水泥浆泵-2</w:t>
                  </w:r>
                </w:p>
              </w:tc>
              <w:tc>
                <w:tcPr>
                  <w:tcW w:w="353" w:type="pct"/>
                  <w:tcBorders>
                    <w:tl2br w:val="nil"/>
                    <w:tr2bl w:val="nil"/>
                  </w:tcBorders>
                  <w:vAlign w:val="center"/>
                </w:tcPr>
                <w:p>
                  <w:pPr>
                    <w:jc w:val="center"/>
                    <w:rPr>
                      <w:szCs w:val="21"/>
                      <w:u w:val="none"/>
                      <w:highlight w:val="none"/>
                    </w:rPr>
                  </w:pPr>
                  <w:r>
                    <w:rPr>
                      <w:rFonts w:hint="eastAsia"/>
                      <w:szCs w:val="21"/>
                      <w:u w:val="none"/>
                      <w:highlight w:val="none"/>
                    </w:rPr>
                    <w:t>/</w:t>
                  </w:r>
                </w:p>
              </w:tc>
              <w:tc>
                <w:tcPr>
                  <w:tcW w:w="463" w:type="pct"/>
                  <w:tcBorders>
                    <w:tl2br w:val="nil"/>
                    <w:tr2bl w:val="nil"/>
                  </w:tcBorders>
                  <w:vAlign w:val="center"/>
                </w:tcPr>
                <w:p>
                  <w:pPr>
                    <w:pStyle w:val="71"/>
                    <w:rPr>
                      <w:rFonts w:ascii="Times New Roman" w:cs="Times New Roman" w:hAnsi="Times New Roman"/>
                      <w:szCs w:val="21"/>
                      <w:u w:val="none"/>
                      <w:lang w:val="en-US"/>
                      <w:highlight w:val="none"/>
                    </w:rPr>
                  </w:pPr>
                  <w:r>
                    <w:rPr>
                      <w:rFonts w:ascii="Times New Roman" w:cs="Times New Roman" w:hAnsi="Times New Roman" w:hint="eastAsia"/>
                      <w:szCs w:val="21"/>
                      <w:u w:val="none"/>
                      <w:lang w:val="en-US" w:eastAsia="zh-CN"/>
                      <w:highlight w:val="none"/>
                    </w:rPr>
                    <w:t>18.7</w:t>
                  </w:r>
                </w:p>
              </w:tc>
              <w:tc>
                <w:tcPr>
                  <w:tcW w:w="458" w:type="pct"/>
                  <w:tcBorders>
                    <w:tl2br w:val="nil"/>
                    <w:tr2bl w:val="nil"/>
                  </w:tcBorders>
                  <w:vAlign w:val="center"/>
                </w:tcPr>
                <w:p>
                  <w:pPr>
                    <w:pStyle w:val="71"/>
                    <w:rPr>
                      <w:rFonts w:ascii="Times New Roman" w:eastAsia="宋体" w:cs="Times New Roman" w:hAnsi="Times New Roman"/>
                      <w:szCs w:val="21"/>
                      <w:u w:val="none"/>
                      <w:lang w:val="en-US" w:eastAsia="zh-CN"/>
                      <w:highlight w:val="none"/>
                    </w:rPr>
                  </w:pPr>
                  <w:r>
                    <w:rPr>
                      <w:rFonts w:ascii="Times New Roman" w:cs="Times New Roman" w:hAnsi="Times New Roman" w:hint="eastAsia"/>
                      <w:szCs w:val="21"/>
                      <w:u w:val="none"/>
                      <w:lang w:val="en-US" w:eastAsia="zh-CN"/>
                      <w:highlight w:val="none"/>
                    </w:rPr>
                    <w:t>6.5</w:t>
                  </w:r>
                </w:p>
              </w:tc>
              <w:tc>
                <w:tcPr>
                  <w:tcW w:w="436" w:type="pct"/>
                  <w:tcBorders>
                    <w:tl2br w:val="nil"/>
                    <w:tr2bl w:val="nil"/>
                  </w:tcBorders>
                  <w:vAlign w:val="center"/>
                </w:tcPr>
                <w:p>
                  <w:pPr>
                    <w:pStyle w:val="71"/>
                    <w:rPr>
                      <w:rFonts w:ascii="Times New Roman" w:cs="Times New Roman" w:hAnsi="Times New Roman"/>
                      <w:szCs w:val="21"/>
                      <w:u w:val="none"/>
                      <w:highlight w:val="none"/>
                    </w:rPr>
                  </w:pPr>
                  <w:r>
                    <w:rPr>
                      <w:rFonts w:ascii="Times New Roman" w:cs="Times New Roman" w:hAnsi="Times New Roman" w:hint="eastAsia"/>
                      <w:szCs w:val="21"/>
                      <w:u w:val="none"/>
                      <w:highlight w:val="none"/>
                    </w:rPr>
                    <w:t>1.2</w:t>
                  </w:r>
                </w:p>
              </w:tc>
              <w:tc>
                <w:tcPr>
                  <w:tcW w:w="574" w:type="pct"/>
                  <w:tcBorders>
                    <w:tl2br w:val="nil"/>
                    <w:tr2bl w:val="nil"/>
                  </w:tcBorders>
                  <w:vAlign w:val="center"/>
                </w:tcPr>
                <w:p>
                  <w:pPr>
                    <w:pStyle w:val="71"/>
                    <w:rPr>
                      <w:rFonts w:ascii="Times New Roman" w:cs="Times New Roman" w:hAnsi="Times New Roman"/>
                      <w:szCs w:val="21"/>
                      <w:u w:val="none"/>
                      <w:highlight w:val="none"/>
                    </w:rPr>
                  </w:pPr>
                  <w:r>
                    <w:rPr>
                      <w:rFonts w:ascii="Times New Roman" w:cs="Times New Roman" w:hAnsi="Times New Roman" w:hint="eastAsia"/>
                      <w:szCs w:val="21"/>
                      <w:u w:val="none"/>
                      <w:highlight w:val="none"/>
                    </w:rPr>
                    <w:t>70</w:t>
                  </w:r>
                </w:p>
              </w:tc>
              <w:tc>
                <w:tcPr>
                  <w:tcW w:w="641" w:type="pct"/>
                  <w:vMerge/>
                  <w:tcBorders>
                    <w:tl2br w:val="nil"/>
                    <w:tr2bl w:val="nil"/>
                  </w:tcBorders>
                  <w:vAlign w:val="center"/>
                </w:tcPr>
                <w:p/>
              </w:tc>
              <w:tc>
                <w:tcPr>
                  <w:tcW w:w="462" w:type="pct"/>
                  <w:tcBorders>
                    <w:tl2br w:val="nil"/>
                    <w:tr2bl w:val="nil"/>
                  </w:tcBorders>
                  <w:vAlign w:val="center"/>
                </w:tcPr>
                <w:p>
                  <w:pPr>
                    <w:jc w:val="center"/>
                    <w:rPr>
                      <w:szCs w:val="21"/>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jc w:val="center"/>
                    <w:rPr>
                      <w:rFonts w:eastAsia="宋体" w:hint="eastAsia"/>
                      <w:szCs w:val="21"/>
                      <w:u w:val="none"/>
                      <w:lang w:eastAsia="zh-CN"/>
                      <w:highlight w:val="none"/>
                    </w:rPr>
                  </w:pPr>
                  <w:r>
                    <w:rPr>
                      <w:rFonts w:hint="eastAsia"/>
                      <w:kern w:val="0"/>
                      <w:szCs w:val="21"/>
                      <w:u w:val="none"/>
                      <w:lang w:val="en-US" w:eastAsia="zh-CN"/>
                      <w:highlight w:val="none"/>
                    </w:rPr>
                    <w:t>3</w:t>
                  </w:r>
                </w:p>
              </w:tc>
              <w:tc>
                <w:tcPr>
                  <w:tcW w:w="819" w:type="pct"/>
                  <w:vMerge/>
                  <w:tcBorders>
                    <w:tl2br w:val="nil"/>
                    <w:tr2bl w:val="nil"/>
                  </w:tcBorders>
                  <w:vAlign w:val="center"/>
                </w:tcPr>
                <w:p/>
              </w:tc>
              <w:tc>
                <w:tcPr>
                  <w:tcW w:w="608" w:type="pct"/>
                  <w:tcBorders>
                    <w:tl2br w:val="nil"/>
                    <w:tr2bl w:val="nil"/>
                  </w:tcBorders>
                  <w:vAlign w:val="center"/>
                </w:tcPr>
                <w:p>
                  <w:pPr>
                    <w:jc w:val="center"/>
                    <w:rPr>
                      <w:kern w:val="0"/>
                      <w:szCs w:val="21"/>
                      <w:u w:val="none"/>
                      <w:highlight w:val="none"/>
                    </w:rPr>
                  </w:pPr>
                  <w:r>
                    <w:rPr>
                      <w:rFonts w:hint="eastAsia"/>
                      <w:kern w:val="0"/>
                      <w:szCs w:val="21"/>
                      <w:u w:val="none"/>
                      <w:highlight w:val="none"/>
                    </w:rPr>
                    <w:t>潜水泵</w:t>
                  </w:r>
                </w:p>
              </w:tc>
              <w:tc>
                <w:tcPr>
                  <w:tcW w:w="353" w:type="pct"/>
                  <w:tcBorders>
                    <w:tl2br w:val="nil"/>
                    <w:tr2bl w:val="nil"/>
                  </w:tcBorders>
                  <w:vAlign w:val="center"/>
                </w:tcPr>
                <w:p>
                  <w:pPr>
                    <w:jc w:val="center"/>
                    <w:rPr>
                      <w:szCs w:val="21"/>
                      <w:u w:val="none"/>
                      <w:highlight w:val="none"/>
                    </w:rPr>
                  </w:pPr>
                  <w:r>
                    <w:rPr>
                      <w:rFonts w:hint="eastAsia"/>
                      <w:szCs w:val="21"/>
                      <w:u w:val="none"/>
                      <w:highlight w:val="none"/>
                    </w:rPr>
                    <w:t>/</w:t>
                  </w:r>
                </w:p>
              </w:tc>
              <w:tc>
                <w:tcPr>
                  <w:tcW w:w="463" w:type="pct"/>
                  <w:tcBorders>
                    <w:tl2br w:val="nil"/>
                    <w:tr2bl w:val="nil"/>
                  </w:tcBorders>
                  <w:vAlign w:val="center"/>
                </w:tcPr>
                <w:p>
                  <w:pPr>
                    <w:pStyle w:val="71"/>
                    <w:rPr>
                      <w:rFonts w:ascii="Times New Roman" w:cs="Times New Roman" w:hAnsi="Times New Roman"/>
                      <w:szCs w:val="21"/>
                      <w:u w:val="none"/>
                      <w:lang w:val="en-US"/>
                      <w:highlight w:val="none"/>
                    </w:rPr>
                  </w:pPr>
                  <w:r>
                    <w:rPr>
                      <w:rFonts w:ascii="Times New Roman" w:cs="Times New Roman" w:hAnsi="Times New Roman" w:hint="eastAsia"/>
                      <w:szCs w:val="21"/>
                      <w:u w:val="none"/>
                      <w:lang w:val="en-US" w:eastAsia="zh-CN"/>
                      <w:highlight w:val="none"/>
                    </w:rPr>
                    <w:t>30.5</w:t>
                  </w:r>
                </w:p>
              </w:tc>
              <w:tc>
                <w:tcPr>
                  <w:tcW w:w="458" w:type="pct"/>
                  <w:tcBorders>
                    <w:tl2br w:val="nil"/>
                    <w:tr2bl w:val="nil"/>
                  </w:tcBorders>
                  <w:vAlign w:val="center"/>
                </w:tcPr>
                <w:p>
                  <w:pPr>
                    <w:pStyle w:val="71"/>
                    <w:rPr>
                      <w:rFonts w:ascii="Times New Roman" w:cs="Times New Roman" w:hAnsi="Times New Roman"/>
                      <w:szCs w:val="21"/>
                      <w:u w:val="none"/>
                      <w:highlight w:val="none"/>
                    </w:rPr>
                  </w:pPr>
                  <w:r>
                    <w:rPr>
                      <w:rFonts w:ascii="Times New Roman" w:cs="Times New Roman" w:hAnsi="Times New Roman" w:hint="eastAsia"/>
                      <w:szCs w:val="21"/>
                      <w:u w:val="none"/>
                      <w:highlight w:val="none"/>
                    </w:rPr>
                    <w:t>8.1</w:t>
                  </w:r>
                </w:p>
              </w:tc>
              <w:tc>
                <w:tcPr>
                  <w:tcW w:w="436" w:type="pct"/>
                  <w:tcBorders>
                    <w:tl2br w:val="nil"/>
                    <w:tr2bl w:val="nil"/>
                  </w:tcBorders>
                  <w:vAlign w:val="center"/>
                </w:tcPr>
                <w:p>
                  <w:pPr>
                    <w:pStyle w:val="71"/>
                    <w:rPr>
                      <w:rFonts w:ascii="Times New Roman" w:cs="Times New Roman" w:hAnsi="Times New Roman"/>
                      <w:szCs w:val="21"/>
                      <w:u w:val="none"/>
                      <w:highlight w:val="none"/>
                    </w:rPr>
                  </w:pPr>
                  <w:r>
                    <w:rPr>
                      <w:rFonts w:ascii="Times New Roman" w:cs="Times New Roman" w:hAnsi="Times New Roman" w:hint="eastAsia"/>
                      <w:szCs w:val="21"/>
                      <w:u w:val="none"/>
                      <w:highlight w:val="none"/>
                    </w:rPr>
                    <w:t>1.2</w:t>
                  </w:r>
                </w:p>
              </w:tc>
              <w:tc>
                <w:tcPr>
                  <w:tcW w:w="574" w:type="pct"/>
                  <w:tcBorders>
                    <w:tl2br w:val="nil"/>
                    <w:tr2bl w:val="nil"/>
                  </w:tcBorders>
                  <w:vAlign w:val="center"/>
                </w:tcPr>
                <w:p>
                  <w:pPr>
                    <w:pStyle w:val="71"/>
                    <w:rPr>
                      <w:rFonts w:ascii="Times New Roman" w:cs="Times New Roman" w:hAnsi="Times New Roman"/>
                      <w:szCs w:val="21"/>
                      <w:u w:val="none"/>
                      <w:highlight w:val="none"/>
                    </w:rPr>
                  </w:pPr>
                  <w:r>
                    <w:rPr>
                      <w:rFonts w:ascii="Times New Roman" w:cs="Times New Roman" w:hAnsi="Times New Roman" w:hint="eastAsia"/>
                      <w:szCs w:val="21"/>
                      <w:u w:val="none"/>
                      <w:highlight w:val="none"/>
                    </w:rPr>
                    <w:t>70</w:t>
                  </w:r>
                </w:p>
              </w:tc>
              <w:tc>
                <w:tcPr>
                  <w:tcW w:w="641" w:type="pct"/>
                  <w:vMerge/>
                  <w:tcBorders>
                    <w:tl2br w:val="nil"/>
                    <w:tr2bl w:val="nil"/>
                  </w:tcBorders>
                  <w:vAlign w:val="center"/>
                </w:tcPr>
                <w:p/>
              </w:tc>
              <w:tc>
                <w:tcPr>
                  <w:tcW w:w="462" w:type="pct"/>
                  <w:tcBorders>
                    <w:tl2br w:val="nil"/>
                    <w:tr2bl w:val="nil"/>
                  </w:tcBorders>
                  <w:vAlign w:val="center"/>
                </w:tcPr>
                <w:p>
                  <w:pPr>
                    <w:jc w:val="center"/>
                    <w:rPr>
                      <w:szCs w:val="18"/>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widowControl/>
                    <w:jc w:val="center"/>
                    <w:textAlignment w:val="center"/>
                    <w:rPr>
                      <w:rFonts w:eastAsia="宋体" w:hint="eastAsia"/>
                      <w:szCs w:val="21"/>
                      <w:u w:val="none"/>
                      <w:lang w:eastAsia="zh-CN"/>
                      <w:highlight w:val="none"/>
                    </w:rPr>
                  </w:pPr>
                  <w:r>
                    <w:rPr>
                      <w:rFonts w:hint="eastAsia"/>
                      <w:szCs w:val="18"/>
                      <w:u w:val="none"/>
                      <w:lang w:val="en-US" w:eastAsia="zh-CN"/>
                      <w:highlight w:val="none"/>
                    </w:rPr>
                    <w:t>4</w:t>
                  </w:r>
                </w:p>
              </w:tc>
              <w:tc>
                <w:tcPr>
                  <w:tcW w:w="819" w:type="pct"/>
                  <w:vMerge w:val="restart"/>
                  <w:tcBorders>
                    <w:tl2br w:val="nil"/>
                    <w:tr2bl w:val="nil"/>
                  </w:tcBorders>
                  <w:vAlign w:val="center"/>
                </w:tcPr>
                <w:p>
                  <w:pPr>
                    <w:widowControl/>
                    <w:jc w:val="center"/>
                    <w:textAlignment w:val="center"/>
                    <w:rPr>
                      <w:szCs w:val="21"/>
                      <w:u w:val="none"/>
                      <w:highlight w:val="none"/>
                    </w:rPr>
                  </w:pPr>
                  <w:r>
                    <w:rPr>
                      <w:rFonts w:hint="eastAsia"/>
                      <w:szCs w:val="21"/>
                      <w:u w:val="none"/>
                      <w:highlight w:val="none"/>
                    </w:rPr>
                    <w:t>排水排泥</w:t>
                  </w:r>
                </w:p>
              </w:tc>
              <w:tc>
                <w:tcPr>
                  <w:tcW w:w="608" w:type="pct"/>
                  <w:tcBorders>
                    <w:tl2br w:val="nil"/>
                    <w:tr2bl w:val="nil"/>
                  </w:tcBorders>
                  <w:vAlign w:val="center"/>
                </w:tcPr>
                <w:p>
                  <w:pPr>
                    <w:widowControl/>
                    <w:jc w:val="center"/>
                    <w:textAlignment w:val="center"/>
                    <w:rPr>
                      <w:rFonts w:cs="宋体"/>
                      <w:szCs w:val="21"/>
                      <w:u w:val="none"/>
                      <w:highlight w:val="none"/>
                    </w:rPr>
                  </w:pPr>
                  <w:r>
                    <w:rPr>
                      <w:rFonts w:hint="eastAsia"/>
                      <w:szCs w:val="21"/>
                      <w:u w:val="none"/>
                      <w:highlight w:val="none"/>
                    </w:rPr>
                    <w:t>提升泵-1</w:t>
                  </w:r>
                </w:p>
              </w:tc>
              <w:tc>
                <w:tcPr>
                  <w:tcW w:w="353" w:type="pct"/>
                  <w:tcBorders>
                    <w:tl2br w:val="nil"/>
                    <w:tr2bl w:val="nil"/>
                  </w:tcBorders>
                  <w:vAlign w:val="center"/>
                </w:tcPr>
                <w:p>
                  <w:pPr>
                    <w:widowControl/>
                    <w:jc w:val="center"/>
                    <w:textAlignment w:val="center"/>
                    <w:rPr>
                      <w:rFonts w:cs="宋体"/>
                      <w:kern w:val="0"/>
                      <w:szCs w:val="18"/>
                      <w:u w:val="none"/>
                      <w:highlight w:val="none"/>
                    </w:rPr>
                  </w:pPr>
                  <w:r>
                    <w:rPr>
                      <w:rFonts w:cs="宋体" w:hint="eastAsia"/>
                      <w:kern w:val="0"/>
                      <w:szCs w:val="18"/>
                      <w:u w:val="none"/>
                      <w:highlight w:val="none"/>
                    </w:rPr>
                    <w:t>/</w:t>
                  </w:r>
                </w:p>
              </w:tc>
              <w:tc>
                <w:tcPr>
                  <w:tcW w:w="463" w:type="pct"/>
                  <w:tcBorders>
                    <w:tl2br w:val="nil"/>
                    <w:tr2bl w:val="nil"/>
                  </w:tcBorders>
                  <w:vAlign w:val="center"/>
                </w:tcPr>
                <w:p>
                  <w:pPr>
                    <w:widowControl/>
                    <w:jc w:val="center"/>
                    <w:textAlignment w:val="center"/>
                    <w:rPr>
                      <w:rFonts w:cs="宋体"/>
                      <w:kern w:val="0"/>
                      <w:szCs w:val="18"/>
                      <w:u w:val="none"/>
                      <w:lang w:val="en-US"/>
                      <w:highlight w:val="none"/>
                    </w:rPr>
                  </w:pPr>
                  <w:r>
                    <w:rPr>
                      <w:rFonts w:cs="宋体" w:hint="eastAsia"/>
                      <w:kern w:val="0"/>
                      <w:szCs w:val="18"/>
                      <w:u w:val="none"/>
                      <w:lang w:val="en-US" w:eastAsia="zh-CN"/>
                      <w:highlight w:val="none"/>
                    </w:rPr>
                    <w:t>45.6</w:t>
                  </w:r>
                </w:p>
              </w:tc>
              <w:tc>
                <w:tcPr>
                  <w:tcW w:w="458" w:type="pct"/>
                  <w:tcBorders>
                    <w:tl2br w:val="nil"/>
                    <w:tr2bl w:val="nil"/>
                  </w:tcBorders>
                  <w:vAlign w:val="center"/>
                </w:tcPr>
                <w:p>
                  <w:pPr>
                    <w:widowControl/>
                    <w:jc w:val="center"/>
                    <w:textAlignment w:val="center"/>
                    <w:rPr>
                      <w:rFonts w:eastAsia="宋体" w:cs="宋体"/>
                      <w:kern w:val="0"/>
                      <w:szCs w:val="18"/>
                      <w:u w:val="none"/>
                      <w:lang w:val="en-US" w:eastAsia="zh-CN"/>
                      <w:highlight w:val="none"/>
                    </w:rPr>
                  </w:pPr>
                  <w:r>
                    <w:rPr>
                      <w:rFonts w:cs="宋体" w:hint="eastAsia"/>
                      <w:kern w:val="0"/>
                      <w:szCs w:val="18"/>
                      <w:u w:val="none"/>
                      <w:lang w:val="en-US" w:eastAsia="zh-CN"/>
                      <w:highlight w:val="none"/>
                    </w:rPr>
                    <w:t>-16.4</w:t>
                  </w:r>
                </w:p>
              </w:tc>
              <w:tc>
                <w:tcPr>
                  <w:tcW w:w="436" w:type="pct"/>
                  <w:tcBorders>
                    <w:tl2br w:val="nil"/>
                    <w:tr2bl w:val="nil"/>
                  </w:tcBorders>
                  <w:vAlign w:val="center"/>
                </w:tcPr>
                <w:p>
                  <w:pPr>
                    <w:widowControl/>
                    <w:jc w:val="center"/>
                    <w:textAlignment w:val="center"/>
                    <w:rPr>
                      <w:rFonts w:cs="宋体"/>
                      <w:kern w:val="0"/>
                      <w:szCs w:val="18"/>
                      <w:u w:val="none"/>
                      <w:highlight w:val="none"/>
                    </w:rPr>
                  </w:pPr>
                  <w:r>
                    <w:rPr>
                      <w:rFonts w:cs="宋体" w:hint="eastAsia"/>
                      <w:kern w:val="0"/>
                      <w:szCs w:val="18"/>
                      <w:u w:val="none"/>
                      <w:highlight w:val="none"/>
                    </w:rPr>
                    <w:t>1.2</w:t>
                  </w:r>
                </w:p>
              </w:tc>
              <w:tc>
                <w:tcPr>
                  <w:tcW w:w="574" w:type="pct"/>
                  <w:tcBorders>
                    <w:tl2br w:val="nil"/>
                    <w:tr2bl w:val="nil"/>
                  </w:tcBorders>
                  <w:vAlign w:val="center"/>
                </w:tcPr>
                <w:p>
                  <w:pPr>
                    <w:widowControl/>
                    <w:jc w:val="center"/>
                    <w:textAlignment w:val="center"/>
                    <w:rPr>
                      <w:rFonts w:cs="宋体"/>
                      <w:kern w:val="0"/>
                      <w:szCs w:val="18"/>
                      <w:u w:val="none"/>
                      <w:highlight w:val="none"/>
                    </w:rPr>
                  </w:pPr>
                  <w:r>
                    <w:rPr>
                      <w:rFonts w:cs="宋体" w:hint="eastAsia"/>
                      <w:kern w:val="0"/>
                      <w:szCs w:val="18"/>
                      <w:u w:val="none"/>
                      <w:highlight w:val="none"/>
                    </w:rPr>
                    <w:t>70</w:t>
                  </w:r>
                </w:p>
              </w:tc>
              <w:tc>
                <w:tcPr>
                  <w:tcW w:w="641" w:type="pct"/>
                  <w:vMerge/>
                  <w:tcBorders>
                    <w:tl2br w:val="nil"/>
                    <w:tr2bl w:val="nil"/>
                  </w:tcBorders>
                  <w:vAlign w:val="center"/>
                </w:tcPr>
                <w:p/>
              </w:tc>
              <w:tc>
                <w:tcPr>
                  <w:tcW w:w="462" w:type="pct"/>
                  <w:tcBorders>
                    <w:tl2br w:val="nil"/>
                    <w:tr2bl w:val="nil"/>
                  </w:tcBorders>
                  <w:vAlign w:val="center"/>
                </w:tcPr>
                <w:p>
                  <w:pPr>
                    <w:snapToGrid w:val="0"/>
                    <w:jc w:val="center"/>
                    <w:rPr>
                      <w:szCs w:val="21"/>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widowControl/>
                    <w:jc w:val="center"/>
                    <w:textAlignment w:val="center"/>
                    <w:rPr>
                      <w:rFonts w:eastAsia="宋体" w:hint="eastAsia"/>
                      <w:szCs w:val="21"/>
                      <w:u w:val="none"/>
                      <w:lang w:eastAsia="zh-CN"/>
                      <w:highlight w:val="none"/>
                    </w:rPr>
                  </w:pPr>
                  <w:r>
                    <w:rPr>
                      <w:rFonts w:hint="eastAsia"/>
                      <w:szCs w:val="18"/>
                      <w:u w:val="none"/>
                      <w:lang w:val="en-US" w:eastAsia="zh-CN"/>
                      <w:highlight w:val="none"/>
                    </w:rPr>
                    <w:t>5</w:t>
                  </w:r>
                </w:p>
              </w:tc>
              <w:tc>
                <w:tcPr>
                  <w:tcW w:w="819" w:type="pct"/>
                  <w:vMerge/>
                  <w:tcBorders>
                    <w:tl2br w:val="nil"/>
                    <w:tr2bl w:val="nil"/>
                  </w:tcBorders>
                  <w:vAlign w:val="center"/>
                </w:tcPr>
                <w:p/>
              </w:tc>
              <w:tc>
                <w:tcPr>
                  <w:tcW w:w="608" w:type="pct"/>
                  <w:tcBorders>
                    <w:tl2br w:val="nil"/>
                    <w:tr2bl w:val="nil"/>
                  </w:tcBorders>
                  <w:vAlign w:val="center"/>
                </w:tcPr>
                <w:p>
                  <w:pPr>
                    <w:widowControl/>
                    <w:adjustRightInd w:val="0"/>
                    <w:snapToGrid w:val="0"/>
                    <w:jc w:val="center"/>
                    <w:textAlignment w:val="center"/>
                    <w:rPr>
                      <w:kern w:val="0"/>
                      <w:szCs w:val="21"/>
                      <w:u w:val="none"/>
                      <w:highlight w:val="none"/>
                    </w:rPr>
                  </w:pPr>
                  <w:r>
                    <w:rPr>
                      <w:rFonts w:hint="eastAsia"/>
                      <w:szCs w:val="21"/>
                      <w:u w:val="none"/>
                      <w:highlight w:val="none"/>
                    </w:rPr>
                    <w:t>提升泵-2</w:t>
                  </w:r>
                </w:p>
              </w:tc>
              <w:tc>
                <w:tcPr>
                  <w:tcW w:w="353" w:type="pct"/>
                  <w:tcBorders>
                    <w:tl2br w:val="nil"/>
                    <w:tr2bl w:val="nil"/>
                  </w:tcBorders>
                  <w:vAlign w:val="center"/>
                </w:tcPr>
                <w:p>
                  <w:pPr>
                    <w:widowControl/>
                    <w:jc w:val="center"/>
                    <w:textAlignment w:val="center"/>
                    <w:rPr>
                      <w:rFonts w:cs="宋体"/>
                      <w:kern w:val="0"/>
                      <w:szCs w:val="18"/>
                      <w:u w:val="none"/>
                      <w:highlight w:val="none"/>
                    </w:rPr>
                  </w:pPr>
                  <w:r>
                    <w:rPr>
                      <w:rFonts w:cs="宋体" w:hint="eastAsia"/>
                      <w:kern w:val="0"/>
                      <w:szCs w:val="18"/>
                      <w:u w:val="none"/>
                      <w:highlight w:val="none"/>
                    </w:rPr>
                    <w:t>/</w:t>
                  </w:r>
                </w:p>
              </w:tc>
              <w:tc>
                <w:tcPr>
                  <w:tcW w:w="463" w:type="pct"/>
                  <w:tcBorders>
                    <w:tl2br w:val="nil"/>
                    <w:tr2bl w:val="nil"/>
                  </w:tcBorders>
                  <w:vAlign w:val="center"/>
                </w:tcPr>
                <w:p>
                  <w:pPr>
                    <w:widowControl/>
                    <w:jc w:val="center"/>
                    <w:textAlignment w:val="center"/>
                    <w:rPr>
                      <w:rFonts w:cs="宋体"/>
                      <w:kern w:val="0"/>
                      <w:szCs w:val="18"/>
                      <w:u w:val="none"/>
                      <w:highlight w:val="none"/>
                    </w:rPr>
                  </w:pPr>
                  <w:r>
                    <w:rPr>
                      <w:rFonts w:cs="宋体" w:hint="eastAsia"/>
                      <w:kern w:val="0"/>
                      <w:szCs w:val="18"/>
                      <w:u w:val="none"/>
                      <w:lang w:val="en-US" w:eastAsia="zh-CN"/>
                      <w:highlight w:val="none"/>
                    </w:rPr>
                    <w:t>44</w:t>
                  </w:r>
                  <w:r>
                    <w:rPr>
                      <w:rFonts w:cs="宋体" w:hint="eastAsia"/>
                      <w:kern w:val="0"/>
                      <w:szCs w:val="18"/>
                      <w:u w:val="none"/>
                      <w:highlight w:val="none"/>
                    </w:rPr>
                    <w:t>.7</w:t>
                  </w:r>
                </w:p>
              </w:tc>
              <w:tc>
                <w:tcPr>
                  <w:tcW w:w="458" w:type="pct"/>
                  <w:tcBorders>
                    <w:tl2br w:val="nil"/>
                    <w:tr2bl w:val="nil"/>
                  </w:tcBorders>
                  <w:vAlign w:val="center"/>
                </w:tcPr>
                <w:p>
                  <w:pPr>
                    <w:widowControl/>
                    <w:jc w:val="center"/>
                    <w:textAlignment w:val="center"/>
                    <w:rPr>
                      <w:rFonts w:cs="宋体"/>
                      <w:kern w:val="0"/>
                      <w:szCs w:val="18"/>
                      <w:u w:val="none"/>
                      <w:highlight w:val="none"/>
                    </w:rPr>
                  </w:pPr>
                  <w:r>
                    <w:rPr>
                      <w:rFonts w:cs="宋体" w:hint="eastAsia"/>
                      <w:kern w:val="0"/>
                      <w:szCs w:val="18"/>
                      <w:u w:val="none"/>
                      <w:lang w:val="en-US" w:eastAsia="zh-CN"/>
                      <w:highlight w:val="none"/>
                    </w:rPr>
                    <w:t>-16.4</w:t>
                  </w:r>
                </w:p>
              </w:tc>
              <w:tc>
                <w:tcPr>
                  <w:tcW w:w="436" w:type="pct"/>
                  <w:tcBorders>
                    <w:tl2br w:val="nil"/>
                    <w:tr2bl w:val="nil"/>
                  </w:tcBorders>
                  <w:vAlign w:val="center"/>
                </w:tcPr>
                <w:p>
                  <w:pPr>
                    <w:widowControl/>
                    <w:jc w:val="center"/>
                    <w:textAlignment w:val="center"/>
                    <w:rPr>
                      <w:rFonts w:cs="宋体"/>
                      <w:kern w:val="0"/>
                      <w:szCs w:val="18"/>
                      <w:u w:val="none"/>
                      <w:highlight w:val="none"/>
                    </w:rPr>
                  </w:pPr>
                  <w:r>
                    <w:rPr>
                      <w:rFonts w:cs="宋体" w:hint="eastAsia"/>
                      <w:kern w:val="0"/>
                      <w:szCs w:val="18"/>
                      <w:u w:val="none"/>
                      <w:highlight w:val="none"/>
                    </w:rPr>
                    <w:t>1.2</w:t>
                  </w:r>
                </w:p>
              </w:tc>
              <w:tc>
                <w:tcPr>
                  <w:tcW w:w="574" w:type="pct"/>
                  <w:tcBorders>
                    <w:tl2br w:val="nil"/>
                    <w:tr2bl w:val="nil"/>
                  </w:tcBorders>
                  <w:vAlign w:val="center"/>
                </w:tcPr>
                <w:p>
                  <w:pPr>
                    <w:widowControl/>
                    <w:jc w:val="center"/>
                    <w:textAlignment w:val="center"/>
                    <w:rPr>
                      <w:rFonts w:cs="宋体"/>
                      <w:kern w:val="0"/>
                      <w:szCs w:val="18"/>
                      <w:u w:val="none"/>
                      <w:highlight w:val="none"/>
                    </w:rPr>
                  </w:pPr>
                  <w:r>
                    <w:rPr>
                      <w:rFonts w:cs="宋体" w:hint="eastAsia"/>
                      <w:kern w:val="0"/>
                      <w:szCs w:val="18"/>
                      <w:u w:val="none"/>
                      <w:highlight w:val="none"/>
                    </w:rPr>
                    <w:t>70</w:t>
                  </w:r>
                </w:p>
              </w:tc>
              <w:tc>
                <w:tcPr>
                  <w:tcW w:w="641" w:type="pct"/>
                  <w:vMerge/>
                  <w:tcBorders>
                    <w:tl2br w:val="nil"/>
                    <w:tr2bl w:val="nil"/>
                  </w:tcBorders>
                  <w:vAlign w:val="center"/>
                </w:tcPr>
                <w:p/>
              </w:tc>
              <w:tc>
                <w:tcPr>
                  <w:tcW w:w="462" w:type="pct"/>
                  <w:tcBorders>
                    <w:tl2br w:val="nil"/>
                    <w:tr2bl w:val="nil"/>
                  </w:tcBorders>
                  <w:vAlign w:val="center"/>
                </w:tcPr>
                <w:p>
                  <w:pPr>
                    <w:snapToGrid w:val="0"/>
                    <w:jc w:val="center"/>
                    <w:rPr>
                      <w:szCs w:val="21"/>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widowControl/>
                    <w:jc w:val="center"/>
                    <w:textAlignment w:val="center"/>
                    <w:rPr>
                      <w:rFonts w:eastAsia="宋体"/>
                      <w:szCs w:val="18"/>
                      <w:u w:val="none"/>
                      <w:lang w:val="en-US" w:eastAsia="zh-CN"/>
                      <w:highlight w:val="none"/>
                    </w:rPr>
                  </w:pPr>
                  <w:r>
                    <w:rPr>
                      <w:rFonts w:hint="eastAsia"/>
                      <w:szCs w:val="18"/>
                      <w:u w:val="none"/>
                      <w:lang w:val="en-US" w:eastAsia="zh-CN"/>
                      <w:highlight w:val="none"/>
                    </w:rPr>
                    <w:t>6</w:t>
                  </w:r>
                </w:p>
              </w:tc>
              <w:tc>
                <w:tcPr>
                  <w:tcW w:w="5000" w:type="pct"/>
                  <w:tcBorders>
                    <w:tl2br w:val="nil"/>
                    <w:tr2bl w:val="nil"/>
                  </w:tcBorders>
                  <w:vAlign w:val="center"/>
                </w:tcPr>
                <w:p>
                  <w:pPr>
                    <w:widowControl/>
                    <w:spacing w:line="240" w:lineRule="auto"/>
                    <w:jc w:val="center"/>
                    <w:rPr>
                      <w:rFonts w:eastAsia="宋体"/>
                      <w:kern w:val="0"/>
                      <w:szCs w:val="18"/>
                      <w:u w:val="none"/>
                      <w:lang w:val="en-US" w:eastAsia="zh-CN"/>
                      <w:highlight w:val="none"/>
                    </w:rPr>
                  </w:pPr>
                  <w:r>
                    <w:rPr>
                      <w:rFonts w:ascii="宋体" w:eastAsia="宋体" w:cs="宋体" w:hAnsi="宋体" w:hint="eastAsia"/>
                      <w:kern w:val="0"/>
                      <w:sz w:val="21"/>
                      <w:szCs w:val="21"/>
                      <w:lang w:val="en-US" w:eastAsia="zh-CN"/>
                      <w:highlight w:val="none"/>
                    </w:rPr>
                    <w:t>探裕-遇市村加压泵站</w:t>
                  </w:r>
                </w:p>
              </w:tc>
              <w:tc>
                <w:tcPr>
                  <w:tcW w:w="608" w:type="pct"/>
                  <w:tcBorders>
                    <w:tl2br w:val="nil"/>
                    <w:tr2bl w:val="nil"/>
                  </w:tcBorders>
                  <w:vAlign w:val="center"/>
                </w:tcPr>
                <w:p>
                  <w:pPr>
                    <w:widowControl/>
                    <w:adjustRightInd w:val="0"/>
                    <w:snapToGrid w:val="0"/>
                    <w:jc w:val="center"/>
                    <w:textAlignment w:val="center"/>
                    <w:rPr>
                      <w:rFonts w:eastAsia="宋体"/>
                      <w:szCs w:val="21"/>
                      <w:u w:val="none"/>
                      <w:lang w:val="en-US" w:eastAsia="zh-CN"/>
                      <w:highlight w:val="none"/>
                    </w:rPr>
                  </w:pPr>
                  <w:r>
                    <w:rPr>
                      <w:rFonts w:hint="eastAsia"/>
                      <w:szCs w:val="21"/>
                      <w:u w:val="none"/>
                      <w:lang w:val="en-US" w:eastAsia="zh-CN"/>
                      <w:highlight w:val="none"/>
                    </w:rPr>
                    <w:t>加压泵-1</w:t>
                  </w:r>
                </w:p>
              </w:tc>
              <w:tc>
                <w:tcPr>
                  <w:tcW w:w="353" w:type="pct"/>
                  <w:tcBorders>
                    <w:tl2br w:val="nil"/>
                    <w:tr2bl w:val="nil"/>
                  </w:tcBorders>
                  <w:vAlign w:val="center"/>
                </w:tcPr>
                <w:p>
                  <w:pPr>
                    <w:jc w:val="center"/>
                    <w:rPr>
                      <w:rFonts w:cs="宋体" w:hint="eastAsia"/>
                      <w:kern w:val="0"/>
                      <w:szCs w:val="18"/>
                      <w:u w:val="none"/>
                      <w:highlight w:val="none"/>
                    </w:rPr>
                  </w:pPr>
                  <w:r>
                    <w:rPr>
                      <w:rFonts w:hint="eastAsia"/>
                      <w:szCs w:val="21"/>
                      <w:u w:val="none"/>
                      <w:highlight w:val="none"/>
                    </w:rPr>
                    <w:t>/</w:t>
                  </w:r>
                </w:p>
              </w:tc>
              <w:tc>
                <w:tcPr>
                  <w:tcW w:w="463" w:type="pct"/>
                  <w:tcBorders>
                    <w:tl2br w:val="nil"/>
                    <w:tr2bl w:val="nil"/>
                  </w:tcBorders>
                  <w:vAlign w:val="center"/>
                </w:tcPr>
                <w:p>
                  <w:pPr>
                    <w:widowControl/>
                    <w:jc w:val="center"/>
                    <w:textAlignment w:val="center"/>
                    <w:rPr>
                      <w:rFonts w:cs="宋体" w:hint="eastAsia"/>
                      <w:kern w:val="0"/>
                      <w:szCs w:val="18"/>
                      <w:u w:val="none"/>
                      <w:highlight w:val="none"/>
                    </w:rPr>
                  </w:pPr>
                  <w:r>
                    <w:rPr>
                      <w:rFonts w:hint="eastAsia"/>
                      <w:szCs w:val="21"/>
                      <w:u w:val="none"/>
                      <w:highlight w:val="none"/>
                    </w:rPr>
                    <w:t>/</w:t>
                  </w:r>
                </w:p>
              </w:tc>
              <w:tc>
                <w:tcPr>
                  <w:tcW w:w="458" w:type="pct"/>
                  <w:tcBorders>
                    <w:tl2br w:val="nil"/>
                    <w:tr2bl w:val="nil"/>
                  </w:tcBorders>
                  <w:vAlign w:val="center"/>
                </w:tcPr>
                <w:p>
                  <w:pPr>
                    <w:widowControl/>
                    <w:jc w:val="center"/>
                    <w:textAlignment w:val="center"/>
                    <w:rPr>
                      <w:rFonts w:cs="宋体" w:hint="eastAsia"/>
                      <w:kern w:val="0"/>
                      <w:szCs w:val="18"/>
                      <w:u w:val="none"/>
                      <w:highlight w:val="none"/>
                    </w:rPr>
                  </w:pPr>
                  <w:r>
                    <w:rPr>
                      <w:rFonts w:hint="eastAsia"/>
                      <w:szCs w:val="21"/>
                      <w:u w:val="none"/>
                      <w:highlight w:val="none"/>
                    </w:rPr>
                    <w:t>/</w:t>
                  </w:r>
                </w:p>
              </w:tc>
              <w:tc>
                <w:tcPr>
                  <w:tcW w:w="436" w:type="pct"/>
                  <w:tcBorders>
                    <w:tl2br w:val="nil"/>
                    <w:tr2bl w:val="nil"/>
                  </w:tcBorders>
                  <w:vAlign w:val="center"/>
                </w:tcPr>
                <w:p>
                  <w:pPr>
                    <w:widowControl/>
                    <w:jc w:val="center"/>
                    <w:textAlignment w:val="center"/>
                    <w:rPr>
                      <w:rFonts w:cs="宋体" w:hint="eastAsia"/>
                      <w:kern w:val="0"/>
                      <w:szCs w:val="18"/>
                      <w:u w:val="none"/>
                      <w:highlight w:val="none"/>
                    </w:rPr>
                  </w:pPr>
                  <w:r>
                    <w:rPr>
                      <w:rFonts w:cs="宋体" w:hint="eastAsia"/>
                      <w:kern w:val="0"/>
                      <w:szCs w:val="18"/>
                      <w:u w:val="none"/>
                      <w:highlight w:val="none"/>
                    </w:rPr>
                    <w:t>1.2</w:t>
                  </w:r>
                </w:p>
              </w:tc>
              <w:tc>
                <w:tcPr>
                  <w:tcW w:w="574" w:type="pct"/>
                  <w:tcBorders>
                    <w:tl2br w:val="nil"/>
                    <w:tr2bl w:val="nil"/>
                  </w:tcBorders>
                  <w:vAlign w:val="center"/>
                </w:tcPr>
                <w:p>
                  <w:pPr>
                    <w:widowControl/>
                    <w:jc w:val="center"/>
                    <w:textAlignment w:val="center"/>
                    <w:rPr>
                      <w:rFonts w:eastAsia="宋体" w:cs="宋体"/>
                      <w:kern w:val="0"/>
                      <w:szCs w:val="18"/>
                      <w:u w:val="none"/>
                      <w:lang w:val="en-US" w:eastAsia="zh-CN"/>
                      <w:highlight w:val="none"/>
                    </w:rPr>
                  </w:pPr>
                  <w:r>
                    <w:rPr>
                      <w:rFonts w:cs="宋体" w:hint="eastAsia"/>
                      <w:kern w:val="0"/>
                      <w:szCs w:val="18"/>
                      <w:u w:val="none"/>
                      <w:lang w:val="en-US" w:eastAsia="zh-CN"/>
                      <w:highlight w:val="none"/>
                    </w:rPr>
                    <w:t>70</w:t>
                  </w:r>
                </w:p>
              </w:tc>
              <w:tc>
                <w:tcPr>
                  <w:tcW w:w="641" w:type="pct"/>
                  <w:vMerge/>
                  <w:tcBorders>
                    <w:tl2br w:val="nil"/>
                    <w:tr2bl w:val="nil"/>
                  </w:tcBorders>
                  <w:vAlign w:val="center"/>
                </w:tcPr>
                <w:p/>
              </w:tc>
              <w:tc>
                <w:tcPr>
                  <w:tcW w:w="462" w:type="pct"/>
                  <w:tcBorders>
                    <w:tl2br w:val="nil"/>
                    <w:tr2bl w:val="nil"/>
                  </w:tcBorders>
                  <w:vAlign w:val="center"/>
                </w:tcPr>
                <w:p>
                  <w:pPr>
                    <w:snapToGrid w:val="0"/>
                    <w:jc w:val="center"/>
                    <w:rPr>
                      <w:rFonts w:hint="eastAsia"/>
                      <w:szCs w:val="18"/>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widowControl/>
                    <w:jc w:val="center"/>
                    <w:textAlignment w:val="center"/>
                    <w:rPr>
                      <w:rFonts w:eastAsia="宋体"/>
                      <w:szCs w:val="18"/>
                      <w:u w:val="none"/>
                      <w:lang w:val="en-US" w:eastAsia="zh-CN"/>
                      <w:highlight w:val="none"/>
                    </w:rPr>
                  </w:pPr>
                  <w:r>
                    <w:rPr>
                      <w:rFonts w:hint="eastAsia"/>
                      <w:szCs w:val="18"/>
                      <w:u w:val="none"/>
                      <w:lang w:val="en-US" w:eastAsia="zh-CN"/>
                      <w:highlight w:val="none"/>
                    </w:rPr>
                    <w:t>7</w:t>
                  </w:r>
                </w:p>
              </w:tc>
              <w:tc>
                <w:tcPr>
                  <w:tcW w:w="5000" w:type="pct"/>
                  <w:tcBorders>
                    <w:tl2br w:val="nil"/>
                    <w:tr2bl w:val="nil"/>
                  </w:tcBorders>
                  <w:vAlign w:val="center"/>
                </w:tcPr>
                <w:p>
                  <w:pPr>
                    <w:widowControl/>
                    <w:spacing w:line="240" w:lineRule="auto"/>
                    <w:jc w:val="center"/>
                    <w:rPr>
                      <w:rFonts w:eastAsia="宋体"/>
                      <w:kern w:val="0"/>
                      <w:szCs w:val="18"/>
                      <w:u w:val="none"/>
                      <w:lang w:val="en-US" w:eastAsia="zh-CN"/>
                      <w:highlight w:val="none"/>
                    </w:rPr>
                  </w:pPr>
                  <w:r>
                    <w:rPr>
                      <w:rFonts w:ascii="宋体" w:eastAsia="宋体" w:cs="宋体" w:hAnsi="宋体" w:hint="eastAsia"/>
                      <w:kern w:val="0"/>
                      <w:sz w:val="21"/>
                      <w:szCs w:val="21"/>
                      <w:lang w:val="en-US" w:eastAsia="zh-CN"/>
                      <w:highlight w:val="none"/>
                    </w:rPr>
                    <w:t>东门村加压泵站</w:t>
                  </w:r>
                </w:p>
              </w:tc>
              <w:tc>
                <w:tcPr>
                  <w:tcW w:w="608" w:type="pct"/>
                  <w:tcBorders>
                    <w:tl2br w:val="nil"/>
                    <w:tr2bl w:val="nil"/>
                  </w:tcBorders>
                  <w:vAlign w:val="center"/>
                </w:tcPr>
                <w:p>
                  <w:pPr>
                    <w:widowControl/>
                    <w:adjustRightInd w:val="0"/>
                    <w:snapToGrid w:val="0"/>
                    <w:jc w:val="center"/>
                    <w:textAlignment w:val="center"/>
                    <w:rPr>
                      <w:szCs w:val="21"/>
                      <w:u w:val="none"/>
                      <w:lang w:val="en-US"/>
                      <w:highlight w:val="none"/>
                    </w:rPr>
                  </w:pPr>
                  <w:r>
                    <w:rPr>
                      <w:rFonts w:hint="eastAsia"/>
                      <w:szCs w:val="21"/>
                      <w:u w:val="none"/>
                      <w:lang w:val="en-US" w:eastAsia="zh-CN"/>
                      <w:highlight w:val="none"/>
                    </w:rPr>
                    <w:t>加压泵-2</w:t>
                  </w:r>
                </w:p>
              </w:tc>
              <w:tc>
                <w:tcPr>
                  <w:tcW w:w="353" w:type="pct"/>
                  <w:tcBorders>
                    <w:tl2br w:val="nil"/>
                    <w:tr2bl w:val="nil"/>
                  </w:tcBorders>
                  <w:vAlign w:val="center"/>
                </w:tcPr>
                <w:p>
                  <w:pPr>
                    <w:jc w:val="center"/>
                    <w:rPr>
                      <w:rFonts w:cs="宋体" w:hint="eastAsia"/>
                      <w:kern w:val="0"/>
                      <w:szCs w:val="18"/>
                      <w:u w:val="none"/>
                      <w:highlight w:val="none"/>
                    </w:rPr>
                  </w:pPr>
                  <w:r>
                    <w:rPr>
                      <w:rFonts w:hint="eastAsia"/>
                      <w:szCs w:val="21"/>
                      <w:u w:val="none"/>
                      <w:highlight w:val="none"/>
                    </w:rPr>
                    <w:t>/</w:t>
                  </w:r>
                </w:p>
              </w:tc>
              <w:tc>
                <w:tcPr>
                  <w:tcW w:w="463" w:type="pct"/>
                  <w:tcBorders>
                    <w:tl2br w:val="nil"/>
                    <w:tr2bl w:val="nil"/>
                  </w:tcBorders>
                  <w:vAlign w:val="center"/>
                </w:tcPr>
                <w:p>
                  <w:pPr>
                    <w:widowControl/>
                    <w:jc w:val="center"/>
                    <w:textAlignment w:val="center"/>
                    <w:rPr>
                      <w:rFonts w:cs="宋体" w:hint="eastAsia"/>
                      <w:kern w:val="0"/>
                      <w:szCs w:val="18"/>
                      <w:u w:val="none"/>
                      <w:highlight w:val="none"/>
                    </w:rPr>
                  </w:pPr>
                  <w:r>
                    <w:rPr>
                      <w:rFonts w:hint="eastAsia"/>
                      <w:szCs w:val="21"/>
                      <w:u w:val="none"/>
                      <w:highlight w:val="none"/>
                    </w:rPr>
                    <w:t>/</w:t>
                  </w:r>
                </w:p>
              </w:tc>
              <w:tc>
                <w:tcPr>
                  <w:tcW w:w="458" w:type="pct"/>
                  <w:tcBorders>
                    <w:tl2br w:val="nil"/>
                    <w:tr2bl w:val="nil"/>
                  </w:tcBorders>
                  <w:vAlign w:val="center"/>
                </w:tcPr>
                <w:p>
                  <w:pPr>
                    <w:widowControl/>
                    <w:jc w:val="center"/>
                    <w:textAlignment w:val="center"/>
                    <w:rPr>
                      <w:rFonts w:cs="宋体" w:hint="eastAsia"/>
                      <w:kern w:val="0"/>
                      <w:szCs w:val="18"/>
                      <w:u w:val="none"/>
                      <w:highlight w:val="none"/>
                    </w:rPr>
                  </w:pPr>
                  <w:r>
                    <w:rPr>
                      <w:rFonts w:hint="eastAsia"/>
                      <w:szCs w:val="21"/>
                      <w:u w:val="none"/>
                      <w:highlight w:val="none"/>
                    </w:rPr>
                    <w:t>/</w:t>
                  </w:r>
                </w:p>
              </w:tc>
              <w:tc>
                <w:tcPr>
                  <w:tcW w:w="436" w:type="pct"/>
                  <w:tcBorders>
                    <w:tl2br w:val="nil"/>
                    <w:tr2bl w:val="nil"/>
                  </w:tcBorders>
                  <w:vAlign w:val="center"/>
                </w:tcPr>
                <w:p>
                  <w:pPr>
                    <w:widowControl/>
                    <w:jc w:val="center"/>
                    <w:textAlignment w:val="center"/>
                    <w:rPr>
                      <w:rFonts w:cs="宋体" w:hint="eastAsia"/>
                      <w:kern w:val="0"/>
                      <w:szCs w:val="18"/>
                      <w:u w:val="none"/>
                      <w:highlight w:val="none"/>
                    </w:rPr>
                  </w:pPr>
                  <w:r>
                    <w:rPr>
                      <w:rFonts w:cs="宋体" w:hint="eastAsia"/>
                      <w:kern w:val="0"/>
                      <w:szCs w:val="18"/>
                      <w:u w:val="none"/>
                      <w:highlight w:val="none"/>
                    </w:rPr>
                    <w:t>1.2</w:t>
                  </w:r>
                </w:p>
              </w:tc>
              <w:tc>
                <w:tcPr>
                  <w:tcW w:w="574" w:type="pct"/>
                  <w:tcBorders>
                    <w:tl2br w:val="nil"/>
                    <w:tr2bl w:val="nil"/>
                  </w:tcBorders>
                  <w:vAlign w:val="center"/>
                </w:tcPr>
                <w:p>
                  <w:pPr>
                    <w:widowControl/>
                    <w:jc w:val="center"/>
                    <w:textAlignment w:val="center"/>
                    <w:rPr>
                      <w:rFonts w:eastAsia="宋体" w:cs="宋体"/>
                      <w:kern w:val="0"/>
                      <w:szCs w:val="18"/>
                      <w:u w:val="none"/>
                      <w:lang w:val="en-US" w:eastAsia="zh-CN"/>
                      <w:highlight w:val="none"/>
                    </w:rPr>
                  </w:pPr>
                  <w:r>
                    <w:rPr>
                      <w:rFonts w:cs="宋体" w:hint="eastAsia"/>
                      <w:kern w:val="0"/>
                      <w:szCs w:val="18"/>
                      <w:u w:val="none"/>
                      <w:lang w:val="en-US" w:eastAsia="zh-CN"/>
                      <w:highlight w:val="none"/>
                    </w:rPr>
                    <w:t>70</w:t>
                  </w:r>
                </w:p>
              </w:tc>
              <w:tc>
                <w:tcPr>
                  <w:tcW w:w="641" w:type="pct"/>
                  <w:vMerge/>
                  <w:tcBorders>
                    <w:tl2br w:val="nil"/>
                    <w:tr2bl w:val="nil"/>
                  </w:tcBorders>
                  <w:vAlign w:val="center"/>
                </w:tcPr>
                <w:p/>
              </w:tc>
              <w:tc>
                <w:tcPr>
                  <w:tcW w:w="462" w:type="pct"/>
                  <w:tcBorders>
                    <w:tl2br w:val="nil"/>
                    <w:tr2bl w:val="nil"/>
                  </w:tcBorders>
                  <w:vAlign w:val="center"/>
                </w:tcPr>
                <w:p>
                  <w:pPr>
                    <w:snapToGrid w:val="0"/>
                    <w:jc w:val="center"/>
                    <w:rPr>
                      <w:rFonts w:hint="eastAsia"/>
                      <w:szCs w:val="18"/>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widowControl/>
                    <w:jc w:val="center"/>
                    <w:textAlignment w:val="center"/>
                    <w:rPr>
                      <w:szCs w:val="18"/>
                      <w:u w:val="none"/>
                      <w:lang w:val="en-US" w:eastAsia="zh-CN"/>
                      <w:highlight w:val="none"/>
                    </w:rPr>
                  </w:pPr>
                  <w:r>
                    <w:rPr>
                      <w:rFonts w:hint="eastAsia"/>
                      <w:szCs w:val="18"/>
                      <w:u w:val="none"/>
                      <w:lang w:val="en-US" w:eastAsia="zh-CN"/>
                      <w:highlight w:val="none"/>
                    </w:rPr>
                    <w:t>8</w:t>
                  </w:r>
                </w:p>
              </w:tc>
              <w:tc>
                <w:tcPr>
                  <w:tcW w:w="819" w:type="pct"/>
                  <w:tcBorders>
                    <w:tl2br w:val="nil"/>
                    <w:tr2bl w:val="nil"/>
                  </w:tcBorders>
                  <w:vAlign w:val="center"/>
                </w:tcPr>
                <w:p>
                  <w:pPr>
                    <w:widowControl/>
                    <w:jc w:val="center"/>
                    <w:textAlignment w:val="center"/>
                    <w:rPr>
                      <w:rFonts w:hint="eastAsia"/>
                      <w:kern w:val="0"/>
                      <w:szCs w:val="18"/>
                      <w:u w:val="none"/>
                      <w:lang w:val="en-US" w:eastAsia="zh-CN"/>
                      <w:highlight w:val="none"/>
                    </w:rPr>
                  </w:pPr>
                  <w:r>
                    <w:rPr>
                      <w:rFonts w:ascii="宋体" w:eastAsia="宋体" w:cs="宋体" w:hAnsi="宋体" w:hint="eastAsia"/>
                      <w:kern w:val="0"/>
                      <w:sz w:val="21"/>
                      <w:szCs w:val="21"/>
                      <w:lang w:val="en-US" w:eastAsia="zh-CN"/>
                      <w:highlight w:val="none"/>
                    </w:rPr>
                    <w:t>干管D加压泵站</w:t>
                  </w:r>
                </w:p>
              </w:tc>
              <w:tc>
                <w:tcPr>
                  <w:tcW w:w="608" w:type="pct"/>
                  <w:tcBorders>
                    <w:tl2br w:val="nil"/>
                    <w:tr2bl w:val="nil"/>
                  </w:tcBorders>
                  <w:vAlign w:val="center"/>
                </w:tcPr>
                <w:p>
                  <w:pPr>
                    <w:widowControl/>
                    <w:adjustRightInd w:val="0"/>
                    <w:snapToGrid w:val="0"/>
                    <w:jc w:val="center"/>
                    <w:textAlignment w:val="center"/>
                    <w:rPr>
                      <w:szCs w:val="21"/>
                      <w:u w:val="none"/>
                      <w:lang w:val="en-US" w:eastAsia="zh-CN"/>
                      <w:highlight w:val="none"/>
                    </w:rPr>
                  </w:pPr>
                  <w:r>
                    <w:rPr>
                      <w:rFonts w:hint="eastAsia"/>
                      <w:szCs w:val="21"/>
                      <w:u w:val="none"/>
                      <w:lang w:val="en-US" w:eastAsia="zh-CN"/>
                      <w:highlight w:val="none"/>
                    </w:rPr>
                    <w:t>加压泵-3</w:t>
                  </w:r>
                </w:p>
              </w:tc>
              <w:tc>
                <w:tcPr>
                  <w:tcW w:w="353" w:type="pct"/>
                  <w:tcBorders>
                    <w:tl2br w:val="nil"/>
                    <w:tr2bl w:val="nil"/>
                  </w:tcBorders>
                  <w:vAlign w:val="center"/>
                </w:tcPr>
                <w:p>
                  <w:pPr>
                    <w:jc w:val="center"/>
                    <w:rPr>
                      <w:rFonts w:hint="eastAsia"/>
                      <w:szCs w:val="21"/>
                      <w:u w:val="none"/>
                      <w:highlight w:val="none"/>
                    </w:rPr>
                  </w:pPr>
                  <w:r>
                    <w:rPr>
                      <w:rFonts w:hint="eastAsia"/>
                      <w:szCs w:val="21"/>
                      <w:u w:val="none"/>
                      <w:highlight w:val="none"/>
                    </w:rPr>
                    <w:t>/</w:t>
                  </w:r>
                </w:p>
              </w:tc>
              <w:tc>
                <w:tcPr>
                  <w:tcW w:w="463" w:type="pct"/>
                  <w:tcBorders>
                    <w:tl2br w:val="nil"/>
                    <w:tr2bl w:val="nil"/>
                  </w:tcBorders>
                  <w:vAlign w:val="center"/>
                </w:tcPr>
                <w:p>
                  <w:pPr>
                    <w:widowControl/>
                    <w:jc w:val="center"/>
                    <w:textAlignment w:val="center"/>
                    <w:rPr>
                      <w:rFonts w:hint="eastAsia"/>
                      <w:szCs w:val="21"/>
                      <w:u w:val="none"/>
                      <w:highlight w:val="none"/>
                    </w:rPr>
                  </w:pPr>
                  <w:r>
                    <w:rPr>
                      <w:rFonts w:hint="eastAsia"/>
                      <w:szCs w:val="21"/>
                      <w:u w:val="none"/>
                      <w:highlight w:val="none"/>
                    </w:rPr>
                    <w:t>/</w:t>
                  </w:r>
                </w:p>
              </w:tc>
              <w:tc>
                <w:tcPr>
                  <w:tcW w:w="458" w:type="pct"/>
                  <w:tcBorders>
                    <w:tl2br w:val="nil"/>
                    <w:tr2bl w:val="nil"/>
                  </w:tcBorders>
                  <w:vAlign w:val="center"/>
                </w:tcPr>
                <w:p>
                  <w:pPr>
                    <w:widowControl/>
                    <w:jc w:val="center"/>
                    <w:textAlignment w:val="center"/>
                    <w:rPr>
                      <w:rFonts w:hint="eastAsia"/>
                      <w:szCs w:val="21"/>
                      <w:u w:val="none"/>
                      <w:highlight w:val="none"/>
                    </w:rPr>
                  </w:pPr>
                  <w:r>
                    <w:rPr>
                      <w:rFonts w:hint="eastAsia"/>
                      <w:szCs w:val="21"/>
                      <w:u w:val="none"/>
                      <w:highlight w:val="none"/>
                    </w:rPr>
                    <w:t>/</w:t>
                  </w:r>
                </w:p>
              </w:tc>
              <w:tc>
                <w:tcPr>
                  <w:tcW w:w="436" w:type="pct"/>
                  <w:tcBorders>
                    <w:tl2br w:val="nil"/>
                    <w:tr2bl w:val="nil"/>
                  </w:tcBorders>
                  <w:vAlign w:val="center"/>
                </w:tcPr>
                <w:p>
                  <w:pPr>
                    <w:widowControl/>
                    <w:jc w:val="center"/>
                    <w:textAlignment w:val="center"/>
                    <w:rPr>
                      <w:rFonts w:cs="宋体" w:hint="eastAsia"/>
                      <w:kern w:val="0"/>
                      <w:szCs w:val="18"/>
                      <w:u w:val="none"/>
                      <w:highlight w:val="none"/>
                    </w:rPr>
                  </w:pPr>
                  <w:r>
                    <w:rPr>
                      <w:rFonts w:cs="宋体" w:hint="eastAsia"/>
                      <w:kern w:val="0"/>
                      <w:szCs w:val="18"/>
                      <w:u w:val="none"/>
                      <w:highlight w:val="none"/>
                    </w:rPr>
                    <w:t>1.2</w:t>
                  </w:r>
                </w:p>
              </w:tc>
              <w:tc>
                <w:tcPr>
                  <w:tcW w:w="574" w:type="pct"/>
                  <w:tcBorders>
                    <w:tl2br w:val="nil"/>
                    <w:tr2bl w:val="nil"/>
                  </w:tcBorders>
                  <w:vAlign w:val="center"/>
                </w:tcPr>
                <w:p>
                  <w:pPr>
                    <w:widowControl/>
                    <w:jc w:val="center"/>
                    <w:textAlignment w:val="center"/>
                    <w:rPr>
                      <w:rFonts w:cs="宋体" w:hint="eastAsia"/>
                      <w:kern w:val="0"/>
                      <w:szCs w:val="18"/>
                      <w:u w:val="none"/>
                      <w:lang w:val="en-US" w:eastAsia="zh-CN"/>
                      <w:highlight w:val="none"/>
                    </w:rPr>
                  </w:pPr>
                  <w:r>
                    <w:rPr>
                      <w:rFonts w:cs="宋体" w:hint="eastAsia"/>
                      <w:kern w:val="0"/>
                      <w:szCs w:val="18"/>
                      <w:u w:val="none"/>
                      <w:lang w:val="en-US" w:eastAsia="zh-CN"/>
                      <w:highlight w:val="none"/>
                    </w:rPr>
                    <w:t>70</w:t>
                  </w:r>
                </w:p>
              </w:tc>
              <w:tc>
                <w:tcPr>
                  <w:tcW w:w="641" w:type="pct"/>
                  <w:vMerge/>
                  <w:tcBorders>
                    <w:tl2br w:val="nil"/>
                    <w:tr2bl w:val="nil"/>
                  </w:tcBorders>
                  <w:vAlign w:val="center"/>
                </w:tcPr>
                <w:p/>
              </w:tc>
              <w:tc>
                <w:tcPr>
                  <w:tcW w:w="2830" w:type="pct"/>
                  <w:tcBorders>
                    <w:tl2br w:val="nil"/>
                    <w:tr2bl w:val="nil"/>
                  </w:tcBorders>
                  <w:vAlign w:val="center"/>
                </w:tcPr>
                <w:p>
                  <w:pPr>
                    <w:snapToGrid w:val="0"/>
                    <w:jc w:val="center"/>
                    <w:rPr>
                      <w:rFonts w:hint="eastAsia"/>
                      <w:szCs w:val="18"/>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widowControl/>
                    <w:jc w:val="center"/>
                    <w:textAlignment w:val="center"/>
                    <w:rPr>
                      <w:szCs w:val="18"/>
                      <w:u w:val="none"/>
                      <w:lang w:val="en-US" w:eastAsia="zh-CN"/>
                      <w:highlight w:val="none"/>
                    </w:rPr>
                  </w:pPr>
                  <w:r>
                    <w:rPr>
                      <w:rFonts w:hint="eastAsia"/>
                      <w:szCs w:val="18"/>
                      <w:u w:val="none"/>
                      <w:lang w:val="en-US" w:eastAsia="zh-CN"/>
                      <w:highlight w:val="none"/>
                    </w:rPr>
                    <w:t>9</w:t>
                  </w:r>
                </w:p>
              </w:tc>
              <w:tc>
                <w:tcPr>
                  <w:tcW w:w="819" w:type="pct"/>
                  <w:tcBorders>
                    <w:tl2br w:val="nil"/>
                    <w:tr2bl w:val="nil"/>
                  </w:tcBorders>
                  <w:vAlign w:val="center"/>
                </w:tcPr>
                <w:p>
                  <w:pPr>
                    <w:widowControl/>
                    <w:jc w:val="center"/>
                    <w:textAlignment w:val="center"/>
                    <w:rPr>
                      <w:rFonts w:hint="eastAsia"/>
                      <w:kern w:val="0"/>
                      <w:szCs w:val="18"/>
                      <w:u w:val="none"/>
                      <w:lang w:val="en-US" w:eastAsia="zh-CN"/>
                      <w:highlight w:val="none"/>
                    </w:rPr>
                  </w:pPr>
                  <w:r>
                    <w:rPr>
                      <w:rFonts w:ascii="宋体" w:eastAsia="宋体" w:cs="宋体" w:hAnsi="宋体" w:hint="eastAsia"/>
                      <w:kern w:val="0"/>
                      <w:sz w:val="21"/>
                      <w:szCs w:val="21"/>
                      <w:lang w:val="en-US" w:eastAsia="zh-CN"/>
                      <w:highlight w:val="none"/>
                    </w:rPr>
                    <w:t>三岔湾加压泵站</w:t>
                  </w:r>
                </w:p>
              </w:tc>
              <w:tc>
                <w:tcPr>
                  <w:tcW w:w="608" w:type="pct"/>
                  <w:tcBorders>
                    <w:tl2br w:val="nil"/>
                    <w:tr2bl w:val="nil"/>
                  </w:tcBorders>
                  <w:vAlign w:val="center"/>
                </w:tcPr>
                <w:p>
                  <w:pPr>
                    <w:widowControl/>
                    <w:adjustRightInd w:val="0"/>
                    <w:snapToGrid w:val="0"/>
                    <w:jc w:val="center"/>
                    <w:textAlignment w:val="center"/>
                    <w:rPr>
                      <w:szCs w:val="21"/>
                      <w:u w:val="none"/>
                      <w:lang w:val="en-US" w:eastAsia="zh-CN"/>
                      <w:highlight w:val="none"/>
                    </w:rPr>
                  </w:pPr>
                  <w:r>
                    <w:rPr>
                      <w:rFonts w:hint="eastAsia"/>
                      <w:szCs w:val="21"/>
                      <w:u w:val="none"/>
                      <w:lang w:val="en-US" w:eastAsia="zh-CN"/>
                      <w:highlight w:val="none"/>
                    </w:rPr>
                    <w:t>加压泵-4</w:t>
                  </w:r>
                </w:p>
              </w:tc>
              <w:tc>
                <w:tcPr>
                  <w:tcW w:w="353" w:type="pct"/>
                  <w:tcBorders>
                    <w:tl2br w:val="nil"/>
                    <w:tr2bl w:val="nil"/>
                  </w:tcBorders>
                  <w:vAlign w:val="center"/>
                </w:tcPr>
                <w:p>
                  <w:pPr>
                    <w:jc w:val="center"/>
                    <w:rPr>
                      <w:rFonts w:hint="eastAsia"/>
                      <w:szCs w:val="21"/>
                      <w:u w:val="none"/>
                      <w:highlight w:val="none"/>
                    </w:rPr>
                  </w:pPr>
                  <w:r>
                    <w:rPr>
                      <w:rFonts w:hint="eastAsia"/>
                      <w:szCs w:val="21"/>
                      <w:u w:val="none"/>
                      <w:highlight w:val="none"/>
                    </w:rPr>
                    <w:t>/</w:t>
                  </w:r>
                </w:p>
              </w:tc>
              <w:tc>
                <w:tcPr>
                  <w:tcW w:w="463" w:type="pct"/>
                  <w:tcBorders>
                    <w:tl2br w:val="nil"/>
                    <w:tr2bl w:val="nil"/>
                  </w:tcBorders>
                  <w:vAlign w:val="center"/>
                </w:tcPr>
                <w:p>
                  <w:pPr>
                    <w:widowControl/>
                    <w:jc w:val="center"/>
                    <w:textAlignment w:val="center"/>
                    <w:rPr>
                      <w:rFonts w:hint="eastAsia"/>
                      <w:szCs w:val="21"/>
                      <w:u w:val="none"/>
                      <w:highlight w:val="none"/>
                    </w:rPr>
                  </w:pPr>
                  <w:r>
                    <w:rPr>
                      <w:rFonts w:hint="eastAsia"/>
                      <w:szCs w:val="21"/>
                      <w:u w:val="none"/>
                      <w:highlight w:val="none"/>
                    </w:rPr>
                    <w:t>/</w:t>
                  </w:r>
                </w:p>
              </w:tc>
              <w:tc>
                <w:tcPr>
                  <w:tcW w:w="458" w:type="pct"/>
                  <w:tcBorders>
                    <w:tl2br w:val="nil"/>
                    <w:tr2bl w:val="nil"/>
                  </w:tcBorders>
                  <w:vAlign w:val="center"/>
                </w:tcPr>
                <w:p>
                  <w:pPr>
                    <w:widowControl/>
                    <w:jc w:val="center"/>
                    <w:textAlignment w:val="center"/>
                    <w:rPr>
                      <w:rFonts w:hint="eastAsia"/>
                      <w:szCs w:val="21"/>
                      <w:u w:val="none"/>
                      <w:highlight w:val="none"/>
                    </w:rPr>
                  </w:pPr>
                  <w:r>
                    <w:rPr>
                      <w:rFonts w:hint="eastAsia"/>
                      <w:szCs w:val="21"/>
                      <w:u w:val="none"/>
                      <w:highlight w:val="none"/>
                    </w:rPr>
                    <w:t>/</w:t>
                  </w:r>
                </w:p>
              </w:tc>
              <w:tc>
                <w:tcPr>
                  <w:tcW w:w="436" w:type="pct"/>
                  <w:tcBorders>
                    <w:tl2br w:val="nil"/>
                    <w:tr2bl w:val="nil"/>
                  </w:tcBorders>
                  <w:vAlign w:val="center"/>
                </w:tcPr>
                <w:p>
                  <w:pPr>
                    <w:widowControl/>
                    <w:jc w:val="center"/>
                    <w:textAlignment w:val="center"/>
                    <w:rPr>
                      <w:rFonts w:cs="宋体" w:hint="eastAsia"/>
                      <w:kern w:val="0"/>
                      <w:szCs w:val="18"/>
                      <w:u w:val="none"/>
                      <w:highlight w:val="none"/>
                    </w:rPr>
                  </w:pPr>
                  <w:r>
                    <w:rPr>
                      <w:rFonts w:cs="宋体" w:hint="eastAsia"/>
                      <w:kern w:val="0"/>
                      <w:szCs w:val="18"/>
                      <w:u w:val="none"/>
                      <w:highlight w:val="none"/>
                    </w:rPr>
                    <w:t>1.2</w:t>
                  </w:r>
                </w:p>
              </w:tc>
              <w:tc>
                <w:tcPr>
                  <w:tcW w:w="574" w:type="pct"/>
                  <w:tcBorders>
                    <w:tl2br w:val="nil"/>
                    <w:tr2bl w:val="nil"/>
                  </w:tcBorders>
                  <w:vAlign w:val="center"/>
                </w:tcPr>
                <w:p>
                  <w:pPr>
                    <w:widowControl/>
                    <w:jc w:val="center"/>
                    <w:textAlignment w:val="center"/>
                    <w:rPr>
                      <w:rFonts w:cs="宋体" w:hint="eastAsia"/>
                      <w:kern w:val="0"/>
                      <w:szCs w:val="18"/>
                      <w:u w:val="none"/>
                      <w:lang w:val="en-US" w:eastAsia="zh-CN"/>
                      <w:highlight w:val="none"/>
                    </w:rPr>
                  </w:pPr>
                  <w:r>
                    <w:rPr>
                      <w:rFonts w:cs="宋体" w:hint="eastAsia"/>
                      <w:kern w:val="0"/>
                      <w:szCs w:val="18"/>
                      <w:u w:val="none"/>
                      <w:lang w:val="en-US" w:eastAsia="zh-CN"/>
                      <w:highlight w:val="none"/>
                    </w:rPr>
                    <w:t>70</w:t>
                  </w:r>
                </w:p>
              </w:tc>
              <w:tc>
                <w:tcPr>
                  <w:tcW w:w="641" w:type="pct"/>
                  <w:vMerge/>
                  <w:tcBorders>
                    <w:tl2br w:val="nil"/>
                    <w:tr2bl w:val="nil"/>
                  </w:tcBorders>
                  <w:vAlign w:val="center"/>
                </w:tcPr>
                <w:p/>
              </w:tc>
              <w:tc>
                <w:tcPr>
                  <w:tcW w:w="2830" w:type="pct"/>
                  <w:tcBorders>
                    <w:tl2br w:val="nil"/>
                    <w:tr2bl w:val="nil"/>
                  </w:tcBorders>
                  <w:vAlign w:val="center"/>
                </w:tcPr>
                <w:p>
                  <w:pPr>
                    <w:snapToGrid w:val="0"/>
                    <w:jc w:val="center"/>
                    <w:rPr>
                      <w:rFonts w:hint="eastAsia"/>
                      <w:szCs w:val="18"/>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widowControl/>
                    <w:jc w:val="center"/>
                    <w:textAlignment w:val="center"/>
                    <w:rPr>
                      <w:szCs w:val="18"/>
                      <w:u w:val="none"/>
                      <w:lang w:val="en-US" w:eastAsia="zh-CN"/>
                      <w:highlight w:val="none"/>
                    </w:rPr>
                  </w:pPr>
                  <w:r>
                    <w:rPr>
                      <w:rFonts w:hint="eastAsia"/>
                      <w:szCs w:val="18"/>
                      <w:u w:val="none"/>
                      <w:lang w:val="en-US" w:eastAsia="zh-CN"/>
                      <w:highlight w:val="none"/>
                    </w:rPr>
                    <w:t>10</w:t>
                  </w:r>
                </w:p>
              </w:tc>
              <w:tc>
                <w:tcPr>
                  <w:tcW w:w="5000" w:type="pct"/>
                  <w:tcBorders>
                    <w:tl2br w:val="nil"/>
                    <w:tr2bl w:val="nil"/>
                  </w:tcBorders>
                  <w:vAlign w:val="center"/>
                </w:tcPr>
                <w:p>
                  <w:pPr>
                    <w:widowControl/>
                    <w:spacing w:line="240" w:lineRule="auto"/>
                    <w:jc w:val="center"/>
                    <w:rPr>
                      <w:rFonts w:hint="eastAsia"/>
                      <w:kern w:val="0"/>
                      <w:szCs w:val="18"/>
                      <w:u w:val="none"/>
                      <w:lang w:val="en-US" w:eastAsia="zh-CN"/>
                      <w:highlight w:val="none"/>
                    </w:rPr>
                  </w:pPr>
                  <w:r>
                    <w:rPr>
                      <w:rFonts w:ascii="宋体" w:eastAsia="宋体" w:cs="宋体" w:hAnsi="宋体" w:hint="eastAsia"/>
                      <w:kern w:val="0"/>
                      <w:sz w:val="21"/>
                      <w:szCs w:val="21"/>
                      <w:lang w:val="en-US" w:eastAsia="zh-CN"/>
                      <w:highlight w:val="none"/>
                    </w:rPr>
                    <w:t>楠木加压泵站</w:t>
                  </w:r>
                </w:p>
              </w:tc>
              <w:tc>
                <w:tcPr>
                  <w:tcW w:w="608" w:type="pct"/>
                  <w:tcBorders>
                    <w:tl2br w:val="nil"/>
                    <w:tr2bl w:val="nil"/>
                  </w:tcBorders>
                  <w:vAlign w:val="center"/>
                </w:tcPr>
                <w:p>
                  <w:pPr>
                    <w:widowControl/>
                    <w:adjustRightInd w:val="0"/>
                    <w:snapToGrid w:val="0"/>
                    <w:jc w:val="center"/>
                    <w:textAlignment w:val="center"/>
                    <w:rPr>
                      <w:szCs w:val="21"/>
                      <w:u w:val="none"/>
                      <w:lang w:val="en-US" w:eastAsia="zh-CN"/>
                      <w:highlight w:val="none"/>
                    </w:rPr>
                  </w:pPr>
                  <w:r>
                    <w:rPr>
                      <w:rFonts w:hint="eastAsia"/>
                      <w:szCs w:val="21"/>
                      <w:u w:val="none"/>
                      <w:lang w:val="en-US" w:eastAsia="zh-CN"/>
                      <w:highlight w:val="none"/>
                    </w:rPr>
                    <w:t>加压泵-5</w:t>
                  </w:r>
                </w:p>
              </w:tc>
              <w:tc>
                <w:tcPr>
                  <w:tcW w:w="353" w:type="pct"/>
                  <w:tcBorders>
                    <w:tl2br w:val="nil"/>
                    <w:tr2bl w:val="nil"/>
                  </w:tcBorders>
                  <w:vAlign w:val="center"/>
                </w:tcPr>
                <w:p>
                  <w:pPr>
                    <w:jc w:val="center"/>
                    <w:rPr>
                      <w:rFonts w:hint="eastAsia"/>
                      <w:szCs w:val="21"/>
                      <w:u w:val="none"/>
                      <w:highlight w:val="none"/>
                    </w:rPr>
                  </w:pPr>
                  <w:r>
                    <w:rPr>
                      <w:rFonts w:hint="eastAsia"/>
                      <w:szCs w:val="21"/>
                      <w:u w:val="none"/>
                      <w:highlight w:val="none"/>
                    </w:rPr>
                    <w:t>/</w:t>
                  </w:r>
                </w:p>
              </w:tc>
              <w:tc>
                <w:tcPr>
                  <w:tcW w:w="463" w:type="pct"/>
                  <w:tcBorders>
                    <w:tl2br w:val="nil"/>
                    <w:tr2bl w:val="nil"/>
                  </w:tcBorders>
                  <w:vAlign w:val="center"/>
                </w:tcPr>
                <w:p>
                  <w:pPr>
                    <w:widowControl/>
                    <w:jc w:val="center"/>
                    <w:textAlignment w:val="center"/>
                    <w:rPr>
                      <w:rFonts w:hint="eastAsia"/>
                      <w:szCs w:val="21"/>
                      <w:u w:val="none"/>
                      <w:highlight w:val="none"/>
                    </w:rPr>
                  </w:pPr>
                  <w:r>
                    <w:rPr>
                      <w:rFonts w:hint="eastAsia"/>
                      <w:szCs w:val="21"/>
                      <w:u w:val="none"/>
                      <w:highlight w:val="none"/>
                    </w:rPr>
                    <w:t>/</w:t>
                  </w:r>
                </w:p>
              </w:tc>
              <w:tc>
                <w:tcPr>
                  <w:tcW w:w="458" w:type="pct"/>
                  <w:tcBorders>
                    <w:tl2br w:val="nil"/>
                    <w:tr2bl w:val="nil"/>
                  </w:tcBorders>
                  <w:vAlign w:val="center"/>
                </w:tcPr>
                <w:p>
                  <w:pPr>
                    <w:widowControl/>
                    <w:jc w:val="center"/>
                    <w:textAlignment w:val="center"/>
                    <w:rPr>
                      <w:rFonts w:hint="eastAsia"/>
                      <w:szCs w:val="21"/>
                      <w:u w:val="none"/>
                      <w:highlight w:val="none"/>
                    </w:rPr>
                  </w:pPr>
                  <w:r>
                    <w:rPr>
                      <w:rFonts w:hint="eastAsia"/>
                      <w:szCs w:val="21"/>
                      <w:u w:val="none"/>
                      <w:highlight w:val="none"/>
                    </w:rPr>
                    <w:t>/</w:t>
                  </w:r>
                </w:p>
              </w:tc>
              <w:tc>
                <w:tcPr>
                  <w:tcW w:w="436" w:type="pct"/>
                  <w:tcBorders>
                    <w:tl2br w:val="nil"/>
                    <w:tr2bl w:val="nil"/>
                  </w:tcBorders>
                  <w:vAlign w:val="center"/>
                </w:tcPr>
                <w:p>
                  <w:pPr>
                    <w:widowControl/>
                    <w:jc w:val="center"/>
                    <w:textAlignment w:val="center"/>
                    <w:rPr>
                      <w:rFonts w:cs="宋体" w:hint="eastAsia"/>
                      <w:kern w:val="0"/>
                      <w:szCs w:val="18"/>
                      <w:u w:val="none"/>
                      <w:highlight w:val="none"/>
                    </w:rPr>
                  </w:pPr>
                  <w:r>
                    <w:rPr>
                      <w:rFonts w:cs="宋体" w:hint="eastAsia"/>
                      <w:kern w:val="0"/>
                      <w:szCs w:val="18"/>
                      <w:u w:val="none"/>
                      <w:highlight w:val="none"/>
                    </w:rPr>
                    <w:t>1.2</w:t>
                  </w:r>
                </w:p>
              </w:tc>
              <w:tc>
                <w:tcPr>
                  <w:tcW w:w="574" w:type="pct"/>
                  <w:tcBorders>
                    <w:tl2br w:val="nil"/>
                    <w:tr2bl w:val="nil"/>
                  </w:tcBorders>
                  <w:vAlign w:val="center"/>
                </w:tcPr>
                <w:p>
                  <w:pPr>
                    <w:widowControl/>
                    <w:jc w:val="center"/>
                    <w:textAlignment w:val="center"/>
                    <w:rPr>
                      <w:rFonts w:cs="宋体" w:hint="eastAsia"/>
                      <w:kern w:val="0"/>
                      <w:szCs w:val="18"/>
                      <w:u w:val="none"/>
                      <w:lang w:val="en-US" w:eastAsia="zh-CN"/>
                      <w:highlight w:val="none"/>
                    </w:rPr>
                  </w:pPr>
                  <w:r>
                    <w:rPr>
                      <w:rFonts w:cs="宋体" w:hint="eastAsia"/>
                      <w:kern w:val="0"/>
                      <w:szCs w:val="18"/>
                      <w:u w:val="none"/>
                      <w:lang w:val="en-US" w:eastAsia="zh-CN"/>
                      <w:highlight w:val="none"/>
                    </w:rPr>
                    <w:t>70</w:t>
                  </w:r>
                </w:p>
              </w:tc>
              <w:tc>
                <w:tcPr>
                  <w:tcW w:w="641" w:type="pct"/>
                  <w:vMerge/>
                  <w:tcBorders>
                    <w:tl2br w:val="nil"/>
                    <w:tr2bl w:val="nil"/>
                  </w:tcBorders>
                  <w:vAlign w:val="center"/>
                </w:tcPr>
                <w:p/>
              </w:tc>
              <w:tc>
                <w:tcPr>
                  <w:tcW w:w="2830" w:type="pct"/>
                  <w:tcBorders>
                    <w:tl2br w:val="nil"/>
                    <w:tr2bl w:val="nil"/>
                  </w:tcBorders>
                  <w:vAlign w:val="center"/>
                </w:tcPr>
                <w:p>
                  <w:pPr>
                    <w:snapToGrid w:val="0"/>
                    <w:jc w:val="center"/>
                    <w:rPr>
                      <w:rFonts w:hint="eastAsia"/>
                      <w:szCs w:val="18"/>
                      <w:u w:val="none"/>
                      <w:highlight w:val="none"/>
                    </w:rPr>
                  </w:pPr>
                  <w:r>
                    <w:rPr>
                      <w:rFonts w:hint="eastAsia"/>
                      <w:szCs w:val="18"/>
                      <w:u w:val="none"/>
                      <w:highlight w:val="none"/>
                    </w:rPr>
                    <w:t>24h/d</w:t>
                  </w:r>
                </w:p>
              </w:tc>
            </w:tr>
            <w:tr>
              <w:trPr>
                <w:trHeight w:val="340"/>
              </w:trPr>
              <w:tc>
                <w:tcPr>
                  <w:tcW w:w="183" w:type="pct"/>
                  <w:tcBorders>
                    <w:tl2br w:val="nil"/>
                    <w:tr2bl w:val="nil"/>
                  </w:tcBorders>
                  <w:vAlign w:val="center"/>
                </w:tcPr>
                <w:p>
                  <w:pPr>
                    <w:widowControl/>
                    <w:jc w:val="center"/>
                    <w:textAlignment w:val="center"/>
                    <w:rPr>
                      <w:szCs w:val="18"/>
                      <w:u w:val="none"/>
                      <w:lang w:val="en-US" w:eastAsia="zh-CN"/>
                      <w:highlight w:val="none"/>
                    </w:rPr>
                  </w:pPr>
                  <w:r>
                    <w:rPr>
                      <w:rFonts w:hint="eastAsia"/>
                      <w:szCs w:val="18"/>
                      <w:u w:val="none"/>
                      <w:lang w:val="en-US" w:eastAsia="zh-CN"/>
                      <w:highlight w:val="none"/>
                    </w:rPr>
                    <w:t>11</w:t>
                  </w:r>
                </w:p>
              </w:tc>
              <w:tc>
                <w:tcPr>
                  <w:tcW w:w="5000" w:type="pct"/>
                  <w:tcBorders>
                    <w:tl2br w:val="nil"/>
                    <w:tr2bl w:val="nil"/>
                  </w:tcBorders>
                  <w:vAlign w:val="center"/>
                </w:tcPr>
                <w:p>
                  <w:pPr>
                    <w:widowControl/>
                    <w:spacing w:line="240" w:lineRule="auto"/>
                    <w:jc w:val="center"/>
                    <w:rPr>
                      <w:rFonts w:hint="eastAsia"/>
                      <w:kern w:val="0"/>
                      <w:szCs w:val="18"/>
                      <w:u w:val="none"/>
                      <w:lang w:val="en-US" w:eastAsia="zh-CN"/>
                      <w:highlight w:val="none"/>
                    </w:rPr>
                  </w:pPr>
                  <w:r>
                    <w:rPr>
                      <w:rFonts w:ascii="宋体" w:eastAsia="宋体" w:cs="宋体" w:hAnsi="宋体" w:hint="eastAsia"/>
                      <w:kern w:val="0"/>
                      <w:sz w:val="21"/>
                      <w:szCs w:val="21"/>
                      <w:lang w:val="en-US" w:eastAsia="zh-CN"/>
                      <w:highlight w:val="none"/>
                    </w:rPr>
                    <w:t>古台加压泵站</w:t>
                  </w:r>
                </w:p>
              </w:tc>
              <w:tc>
                <w:tcPr>
                  <w:tcW w:w="608" w:type="pct"/>
                  <w:tcBorders>
                    <w:tl2br w:val="nil"/>
                    <w:tr2bl w:val="nil"/>
                  </w:tcBorders>
                  <w:vAlign w:val="center"/>
                </w:tcPr>
                <w:p>
                  <w:pPr>
                    <w:widowControl/>
                    <w:adjustRightInd w:val="0"/>
                    <w:snapToGrid w:val="0"/>
                    <w:jc w:val="center"/>
                    <w:textAlignment w:val="center"/>
                    <w:rPr>
                      <w:szCs w:val="21"/>
                      <w:u w:val="none"/>
                      <w:lang w:val="en-US" w:eastAsia="zh-CN"/>
                      <w:highlight w:val="none"/>
                    </w:rPr>
                  </w:pPr>
                  <w:r>
                    <w:rPr>
                      <w:rFonts w:hint="eastAsia"/>
                      <w:szCs w:val="21"/>
                      <w:u w:val="none"/>
                      <w:lang w:val="en-US" w:eastAsia="zh-CN"/>
                      <w:highlight w:val="none"/>
                    </w:rPr>
                    <w:t>加压泵-6</w:t>
                  </w:r>
                </w:p>
              </w:tc>
              <w:tc>
                <w:tcPr>
                  <w:tcW w:w="353" w:type="pct"/>
                  <w:tcBorders>
                    <w:tl2br w:val="nil"/>
                    <w:tr2bl w:val="nil"/>
                  </w:tcBorders>
                  <w:vAlign w:val="center"/>
                </w:tcPr>
                <w:p>
                  <w:pPr>
                    <w:jc w:val="center"/>
                    <w:rPr>
                      <w:rFonts w:hint="eastAsia"/>
                      <w:szCs w:val="21"/>
                      <w:u w:val="none"/>
                      <w:highlight w:val="none"/>
                    </w:rPr>
                  </w:pPr>
                  <w:r>
                    <w:rPr>
                      <w:rFonts w:hint="eastAsia"/>
                      <w:szCs w:val="21"/>
                      <w:u w:val="none"/>
                      <w:highlight w:val="none"/>
                    </w:rPr>
                    <w:t>/</w:t>
                  </w:r>
                </w:p>
              </w:tc>
              <w:tc>
                <w:tcPr>
                  <w:tcW w:w="463" w:type="pct"/>
                  <w:tcBorders>
                    <w:tl2br w:val="nil"/>
                    <w:tr2bl w:val="nil"/>
                  </w:tcBorders>
                  <w:vAlign w:val="center"/>
                </w:tcPr>
                <w:p>
                  <w:pPr>
                    <w:widowControl/>
                    <w:jc w:val="center"/>
                    <w:textAlignment w:val="center"/>
                    <w:rPr>
                      <w:rFonts w:hint="eastAsia"/>
                      <w:szCs w:val="21"/>
                      <w:u w:val="none"/>
                      <w:highlight w:val="none"/>
                    </w:rPr>
                  </w:pPr>
                  <w:r>
                    <w:rPr>
                      <w:rFonts w:hint="eastAsia"/>
                      <w:szCs w:val="21"/>
                      <w:u w:val="none"/>
                      <w:highlight w:val="none"/>
                    </w:rPr>
                    <w:t>/</w:t>
                  </w:r>
                </w:p>
              </w:tc>
              <w:tc>
                <w:tcPr>
                  <w:tcW w:w="458" w:type="pct"/>
                  <w:tcBorders>
                    <w:tl2br w:val="nil"/>
                    <w:tr2bl w:val="nil"/>
                  </w:tcBorders>
                  <w:vAlign w:val="center"/>
                </w:tcPr>
                <w:p>
                  <w:pPr>
                    <w:widowControl/>
                    <w:jc w:val="center"/>
                    <w:textAlignment w:val="center"/>
                    <w:rPr>
                      <w:rFonts w:hint="eastAsia"/>
                      <w:szCs w:val="21"/>
                      <w:u w:val="none"/>
                      <w:highlight w:val="none"/>
                    </w:rPr>
                  </w:pPr>
                  <w:r>
                    <w:rPr>
                      <w:rFonts w:hint="eastAsia"/>
                      <w:szCs w:val="21"/>
                      <w:u w:val="none"/>
                      <w:highlight w:val="none"/>
                    </w:rPr>
                    <w:t>/</w:t>
                  </w:r>
                </w:p>
              </w:tc>
              <w:tc>
                <w:tcPr>
                  <w:tcW w:w="436" w:type="pct"/>
                  <w:tcBorders>
                    <w:tl2br w:val="nil"/>
                    <w:tr2bl w:val="nil"/>
                  </w:tcBorders>
                  <w:vAlign w:val="center"/>
                </w:tcPr>
                <w:p>
                  <w:pPr>
                    <w:widowControl/>
                    <w:jc w:val="center"/>
                    <w:textAlignment w:val="center"/>
                    <w:rPr>
                      <w:rFonts w:cs="宋体" w:hint="eastAsia"/>
                      <w:kern w:val="0"/>
                      <w:szCs w:val="18"/>
                      <w:u w:val="none"/>
                      <w:highlight w:val="none"/>
                    </w:rPr>
                  </w:pPr>
                  <w:r>
                    <w:rPr>
                      <w:rFonts w:cs="宋体" w:hint="eastAsia"/>
                      <w:kern w:val="0"/>
                      <w:szCs w:val="18"/>
                      <w:u w:val="none"/>
                      <w:highlight w:val="none"/>
                    </w:rPr>
                    <w:t>1.2</w:t>
                  </w:r>
                </w:p>
              </w:tc>
              <w:tc>
                <w:tcPr>
                  <w:tcW w:w="574" w:type="pct"/>
                  <w:tcBorders>
                    <w:tl2br w:val="nil"/>
                    <w:tr2bl w:val="nil"/>
                  </w:tcBorders>
                  <w:vAlign w:val="center"/>
                </w:tcPr>
                <w:p>
                  <w:pPr>
                    <w:widowControl/>
                    <w:jc w:val="center"/>
                    <w:textAlignment w:val="center"/>
                    <w:rPr>
                      <w:rFonts w:cs="宋体" w:hint="eastAsia"/>
                      <w:kern w:val="0"/>
                      <w:szCs w:val="18"/>
                      <w:u w:val="none"/>
                      <w:lang w:val="en-US" w:eastAsia="zh-CN"/>
                      <w:highlight w:val="none"/>
                    </w:rPr>
                  </w:pPr>
                  <w:r>
                    <w:rPr>
                      <w:rFonts w:cs="宋体" w:hint="eastAsia"/>
                      <w:kern w:val="0"/>
                      <w:szCs w:val="18"/>
                      <w:u w:val="none"/>
                      <w:lang w:val="en-US" w:eastAsia="zh-CN"/>
                      <w:highlight w:val="none"/>
                    </w:rPr>
                    <w:t>70</w:t>
                  </w:r>
                </w:p>
              </w:tc>
              <w:tc>
                <w:tcPr>
                  <w:tcW w:w="641" w:type="pct"/>
                  <w:vMerge/>
                  <w:tcBorders>
                    <w:tl2br w:val="nil"/>
                    <w:tr2bl w:val="nil"/>
                  </w:tcBorders>
                  <w:vAlign w:val="center"/>
                </w:tcPr>
                <w:p/>
              </w:tc>
              <w:tc>
                <w:tcPr>
                  <w:tcW w:w="2830" w:type="pct"/>
                  <w:tcBorders>
                    <w:tl2br w:val="nil"/>
                    <w:tr2bl w:val="nil"/>
                  </w:tcBorders>
                  <w:vAlign w:val="center"/>
                </w:tcPr>
                <w:p>
                  <w:pPr>
                    <w:snapToGrid w:val="0"/>
                    <w:jc w:val="center"/>
                    <w:rPr>
                      <w:rFonts w:hint="eastAsia"/>
                      <w:szCs w:val="18"/>
                      <w:u w:val="none"/>
                      <w:highlight w:val="none"/>
                    </w:rPr>
                  </w:pPr>
                  <w:r>
                    <w:rPr>
                      <w:rFonts w:hint="eastAsia"/>
                      <w:szCs w:val="18"/>
                      <w:u w:val="none"/>
                      <w:highlight w:val="none"/>
                    </w:rPr>
                    <w:t>24h/d</w:t>
                  </w:r>
                </w:p>
              </w:tc>
            </w:tr>
          </w:tbl>
          <w:p>
            <w:pPr>
              <w:pStyle w:val="37"/>
              <w:spacing w:after="0"/>
              <w:ind w:leftChars="0" w:left="0" w:firstLineChars="0" w:firstLine="0"/>
              <w:jc w:val="center"/>
              <w:rPr>
                <w:b/>
                <w:sz w:val="21"/>
                <w:szCs w:val="21"/>
                <w:u w:val="none"/>
                <w:highlight w:val="none"/>
              </w:rPr>
            </w:pPr>
            <w:r>
              <w:rPr>
                <w:b/>
                <w:sz w:val="21"/>
                <w:szCs w:val="21"/>
                <w:u w:val="none"/>
                <w:highlight w:val="none"/>
              </w:rPr>
              <w:t>表4-</w:t>
            </w:r>
            <w:r>
              <w:rPr>
                <w:rFonts w:hint="eastAsia"/>
                <w:b/>
                <w:sz w:val="21"/>
                <w:szCs w:val="21"/>
                <w:u w:val="none"/>
                <w:highlight w:val="none"/>
              </w:rPr>
              <w:t>4</w:t>
            </w:r>
            <w:r>
              <w:rPr>
                <w:b/>
                <w:sz w:val="21"/>
                <w:szCs w:val="21"/>
                <w:u w:val="none"/>
                <w:highlight w:val="none"/>
              </w:rPr>
              <w:t xml:space="preserve">  </w:t>
            </w:r>
            <w:r>
              <w:rPr>
                <w:rFonts w:hint="eastAsia"/>
                <w:b/>
                <w:sz w:val="21"/>
                <w:szCs w:val="21"/>
                <w:u w:val="none"/>
                <w:highlight w:val="none"/>
              </w:rPr>
              <w:t>项目主要设备噪声源强（室内声源）</w:t>
            </w:r>
          </w:p>
          <w:tbl>
            <w:tblPr>
              <w:jc w:val="left"/>
              <w:tblInd w:w="0" w:type="dxa"/>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484"/>
              <w:gridCol w:w="492"/>
              <w:gridCol w:w="489"/>
              <w:gridCol w:w="510"/>
              <w:gridCol w:w="499"/>
              <w:gridCol w:w="454"/>
              <w:gridCol w:w="454"/>
              <w:gridCol w:w="349"/>
              <w:gridCol w:w="449"/>
              <w:gridCol w:w="607"/>
              <w:gridCol w:w="703"/>
              <w:gridCol w:w="444"/>
              <w:gridCol w:w="440"/>
              <w:gridCol w:w="440"/>
              <w:gridCol w:w="440"/>
              <w:gridCol w:w="441"/>
              <w:gridCol w:w="559"/>
              <w:gridCol w:w="438"/>
              <w:gridCol w:w="438"/>
              <w:gridCol w:w="438"/>
              <w:gridCol w:w="439"/>
              <w:gridCol w:w="442"/>
              <w:gridCol w:w="442"/>
              <w:gridCol w:w="442"/>
              <w:gridCol w:w="442"/>
              <w:gridCol w:w="302"/>
            </w:tblGrid>
            <w:tr>
              <w:trPr>
                <w:trHeight w:hRule="exact" w:val="792"/>
              </w:trPr>
              <w:tc>
                <w:tcPr>
                  <w:tcW w:w="176" w:type="pct"/>
                  <w:vMerge w:val="restart"/>
                  <w:vAlign w:val="center"/>
                </w:tcPr>
                <w:p>
                  <w:pPr>
                    <w:adjustRightInd w:val="0"/>
                    <w:snapToGrid w:val="0"/>
                    <w:jc w:val="center"/>
                    <w:rPr>
                      <w:szCs w:val="21"/>
                      <w:u w:val="none"/>
                      <w:highlight w:val="none"/>
                    </w:rPr>
                  </w:pPr>
                  <w:r>
                    <w:rPr>
                      <w:b/>
                      <w:szCs w:val="21"/>
                      <w:u w:val="none"/>
                      <w:highlight w:val="none"/>
                    </w:rPr>
                    <w:t>序号</w:t>
                  </w:r>
                </w:p>
              </w:tc>
              <w:tc>
                <w:tcPr>
                  <w:tcW w:w="201" w:type="pct"/>
                  <w:vMerge w:val="restart"/>
                  <w:vAlign w:val="center"/>
                </w:tcPr>
                <w:p>
                  <w:pPr>
                    <w:adjustRightInd w:val="0"/>
                    <w:snapToGrid w:val="0"/>
                    <w:jc w:val="center"/>
                    <w:rPr>
                      <w:szCs w:val="21"/>
                      <w:u w:val="none"/>
                      <w:highlight w:val="none"/>
                    </w:rPr>
                  </w:pPr>
                  <w:r>
                    <w:rPr>
                      <w:b/>
                      <w:szCs w:val="21"/>
                      <w:u w:val="none"/>
                      <w:highlight w:val="none"/>
                    </w:rPr>
                    <w:t>建筑物名称</w:t>
                  </w:r>
                </w:p>
              </w:tc>
              <w:tc>
                <w:tcPr>
                  <w:tcW w:w="192" w:type="pct"/>
                  <w:vMerge w:val="restart"/>
                  <w:vAlign w:val="center"/>
                </w:tcPr>
                <w:p>
                  <w:pPr>
                    <w:adjustRightInd w:val="0"/>
                    <w:snapToGrid w:val="0"/>
                    <w:jc w:val="center"/>
                    <w:rPr>
                      <w:szCs w:val="21"/>
                      <w:u w:val="none"/>
                      <w:highlight w:val="none"/>
                    </w:rPr>
                  </w:pPr>
                  <w:r>
                    <w:rPr>
                      <w:b/>
                      <w:szCs w:val="21"/>
                      <w:u w:val="none"/>
                      <w:highlight w:val="none"/>
                    </w:rPr>
                    <w:t>声源名称</w:t>
                  </w:r>
                </w:p>
              </w:tc>
              <w:tc>
                <w:tcPr>
                  <w:tcW w:w="257" w:type="pct"/>
                  <w:vAlign w:val="center"/>
                </w:tcPr>
                <w:p>
                  <w:pPr>
                    <w:adjustRightInd w:val="0"/>
                    <w:snapToGrid w:val="0"/>
                    <w:jc w:val="center"/>
                    <w:rPr>
                      <w:szCs w:val="21"/>
                      <w:u w:val="none"/>
                      <w:highlight w:val="none"/>
                    </w:rPr>
                  </w:pPr>
                  <w:r>
                    <w:rPr>
                      <w:b/>
                      <w:szCs w:val="21"/>
                      <w:u w:val="none"/>
                      <w:highlight w:val="none"/>
                    </w:rPr>
                    <w:t>声源源强</w:t>
                  </w:r>
                </w:p>
              </w:tc>
              <w:tc>
                <w:tcPr>
                  <w:tcW w:w="198" w:type="pct"/>
                  <w:vMerge w:val="restart"/>
                  <w:vAlign w:val="center"/>
                </w:tcPr>
                <w:p>
                  <w:pPr>
                    <w:adjustRightInd w:val="0"/>
                    <w:snapToGrid w:val="0"/>
                    <w:jc w:val="center"/>
                    <w:rPr>
                      <w:szCs w:val="21"/>
                      <w:u w:val="none"/>
                      <w:highlight w:val="none"/>
                    </w:rPr>
                  </w:pPr>
                  <w:r>
                    <w:rPr>
                      <w:b/>
                      <w:szCs w:val="21"/>
                      <w:u w:val="none"/>
                      <w:highlight w:val="none"/>
                    </w:rPr>
                    <w:t>声源控制措施</w:t>
                  </w:r>
                </w:p>
              </w:tc>
              <w:tc>
                <w:tcPr>
                  <w:tcW w:w="657" w:type="pct"/>
                  <w:gridSpan w:val="3"/>
                  <w:vAlign w:val="center"/>
                </w:tcPr>
                <w:p>
                  <w:pPr>
                    <w:adjustRightInd w:val="0"/>
                    <w:snapToGrid w:val="0"/>
                    <w:jc w:val="center"/>
                    <w:rPr>
                      <w:szCs w:val="21"/>
                      <w:u w:val="none"/>
                      <w:highlight w:val="none"/>
                    </w:rPr>
                  </w:pPr>
                  <w:r>
                    <w:rPr>
                      <w:b/>
                      <w:szCs w:val="21"/>
                      <w:u w:val="none"/>
                      <w:highlight w:val="none"/>
                    </w:rPr>
                    <w:t>空间相对位置/m</w:t>
                  </w:r>
                </w:p>
              </w:tc>
              <w:tc>
                <w:tcPr>
                  <w:tcW w:w="723" w:type="pct"/>
                  <w:gridSpan w:val="4"/>
                  <w:vAlign w:val="center"/>
                </w:tcPr>
                <w:p>
                  <w:pPr>
                    <w:adjustRightInd w:val="0"/>
                    <w:snapToGrid w:val="0"/>
                    <w:jc w:val="center"/>
                    <w:rPr>
                      <w:b/>
                      <w:szCs w:val="21"/>
                      <w:u w:val="none"/>
                      <w:highlight w:val="none"/>
                    </w:rPr>
                  </w:pPr>
                  <w:r>
                    <w:rPr>
                      <w:b/>
                      <w:szCs w:val="21"/>
                      <w:u w:val="none"/>
                      <w:highlight w:val="none"/>
                    </w:rPr>
                    <w:t>距室内边界距离/m</w:t>
                  </w:r>
                </w:p>
              </w:tc>
              <w:tc>
                <w:tcPr>
                  <w:tcW w:w="715" w:type="pct"/>
                  <w:gridSpan w:val="4"/>
                  <w:vAlign w:val="center"/>
                </w:tcPr>
                <w:p>
                  <w:pPr>
                    <w:adjustRightInd w:val="0"/>
                    <w:snapToGrid w:val="0"/>
                    <w:jc w:val="center"/>
                    <w:rPr>
                      <w:b/>
                      <w:szCs w:val="21"/>
                      <w:u w:val="none"/>
                      <w:highlight w:val="none"/>
                    </w:rPr>
                  </w:pPr>
                  <w:r>
                    <w:rPr>
                      <w:b/>
                      <w:szCs w:val="21"/>
                      <w:u w:val="none"/>
                      <w:highlight w:val="none"/>
                    </w:rPr>
                    <w:t>室内边界声级/dB(A)</w:t>
                  </w:r>
                </w:p>
              </w:tc>
              <w:tc>
                <w:tcPr>
                  <w:tcW w:w="203" w:type="pct"/>
                  <w:vMerge w:val="restart"/>
                  <w:vAlign w:val="center"/>
                </w:tcPr>
                <w:p>
                  <w:pPr>
                    <w:adjustRightInd w:val="0"/>
                    <w:snapToGrid w:val="0"/>
                    <w:jc w:val="center"/>
                    <w:rPr>
                      <w:szCs w:val="21"/>
                      <w:u w:val="none"/>
                      <w:highlight w:val="none"/>
                    </w:rPr>
                  </w:pPr>
                  <w:r>
                    <w:rPr>
                      <w:b/>
                      <w:szCs w:val="21"/>
                      <w:u w:val="none"/>
                      <w:highlight w:val="none"/>
                    </w:rPr>
                    <w:t>运行时段</w:t>
                  </w:r>
                </w:p>
              </w:tc>
              <w:tc>
                <w:tcPr>
                  <w:tcW w:w="691" w:type="pct"/>
                  <w:gridSpan w:val="4"/>
                  <w:vAlign w:val="center"/>
                </w:tcPr>
                <w:p>
                  <w:pPr>
                    <w:adjustRightInd w:val="0"/>
                    <w:snapToGrid w:val="0"/>
                    <w:jc w:val="center"/>
                    <w:rPr>
                      <w:b/>
                      <w:szCs w:val="21"/>
                      <w:u w:val="none"/>
                      <w:highlight w:val="none"/>
                    </w:rPr>
                  </w:pPr>
                  <w:r>
                    <w:rPr>
                      <w:b/>
                      <w:szCs w:val="21"/>
                      <w:u w:val="none"/>
                      <w:highlight w:val="none"/>
                    </w:rPr>
                    <w:t>建筑物插入损失/dB(A)</w:t>
                  </w:r>
                </w:p>
              </w:tc>
              <w:tc>
                <w:tcPr>
                  <w:tcW w:w="984" w:type="pct"/>
                  <w:gridSpan w:val="5"/>
                  <w:vAlign w:val="center"/>
                </w:tcPr>
                <w:p>
                  <w:pPr>
                    <w:adjustRightInd w:val="0"/>
                    <w:snapToGrid w:val="0"/>
                    <w:jc w:val="center"/>
                    <w:rPr>
                      <w:b/>
                      <w:szCs w:val="21"/>
                      <w:u w:val="none"/>
                      <w:highlight w:val="none"/>
                    </w:rPr>
                  </w:pPr>
                  <w:r>
                    <w:rPr>
                      <w:b/>
                      <w:szCs w:val="21"/>
                      <w:u w:val="none"/>
                      <w:highlight w:val="none"/>
                    </w:rPr>
                    <w:t>建筑物外噪声声压级/dB(A)</w:t>
                  </w:r>
                </w:p>
              </w:tc>
            </w:tr>
            <w:tr>
              <w:tc>
                <w:tcPr>
                  <w:tcW w:w="176" w:type="pct"/>
                  <w:vMerge/>
                  <w:shd w:val="clear" w:color="auto" w:fill="FFFFFF"/>
                  <w:tcMar>
                    <w:left w:w="0" w:type="dxa"/>
                    <w:right w:w="0" w:type="dxa"/>
                  </w:tcMar>
                  <w:vAlign w:val="center"/>
                </w:tcPr>
                <w:p/>
              </w:tc>
              <w:tc>
                <w:tcPr>
                  <w:tcW w:w="201" w:type="pct"/>
                  <w:vMerge/>
                  <w:shd w:val="clear" w:color="auto" w:fill="FFFFFF"/>
                  <w:tcMar>
                    <w:left w:w="0" w:type="dxa"/>
                    <w:right w:w="0" w:type="dxa"/>
                  </w:tcMar>
                  <w:vAlign w:val="center"/>
                </w:tcPr>
                <w:p/>
              </w:tc>
              <w:tc>
                <w:tcPr>
                  <w:tcW w:w="192" w:type="pct"/>
                  <w:vMerge/>
                  <w:shd w:val="clear" w:color="auto" w:fill="FFFFFF"/>
                  <w:tcMar>
                    <w:left w:w="0" w:type="dxa"/>
                    <w:right w:w="0" w:type="dxa"/>
                  </w:tcMar>
                  <w:vAlign w:val="center"/>
                </w:tcPr>
                <w:p/>
              </w:tc>
              <w:tc>
                <w:tcPr>
                  <w:tcW w:w="257"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声功率级/dB(A)</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X</w:t>
                  </w:r>
                </w:p>
              </w:tc>
              <w:tc>
                <w:tcPr>
                  <w:tcW w:w="219"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Y</w:t>
                  </w:r>
                </w:p>
              </w:tc>
              <w:tc>
                <w:tcPr>
                  <w:tcW w:w="219"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Z</w:t>
                  </w:r>
                </w:p>
              </w:tc>
              <w:tc>
                <w:tcPr>
                  <w:tcW w:w="178"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东</w:t>
                  </w:r>
                </w:p>
              </w:tc>
              <w:tc>
                <w:tcPr>
                  <w:tcW w:w="178"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南</w:t>
                  </w:r>
                </w:p>
              </w:tc>
              <w:tc>
                <w:tcPr>
                  <w:tcW w:w="178"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西</w:t>
                  </w:r>
                </w:p>
              </w:tc>
              <w:tc>
                <w:tcPr>
                  <w:tcW w:w="189"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北</w:t>
                  </w:r>
                </w:p>
              </w:tc>
              <w:tc>
                <w:tcPr>
                  <w:tcW w:w="178"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东</w:t>
                  </w:r>
                </w:p>
              </w:tc>
              <w:tc>
                <w:tcPr>
                  <w:tcW w:w="178"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南</w:t>
                  </w:r>
                </w:p>
              </w:tc>
              <w:tc>
                <w:tcPr>
                  <w:tcW w:w="178"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西</w:t>
                  </w:r>
                </w:p>
              </w:tc>
              <w:tc>
                <w:tcPr>
                  <w:tcW w:w="181"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北</w:t>
                  </w:r>
                </w:p>
              </w:tc>
              <w:tc>
                <w:tcPr>
                  <w:tcW w:w="203" w:type="pct"/>
                  <w:vMerge/>
                  <w:shd w:val="clear" w:color="auto" w:fill="FFFFFF"/>
                  <w:tcMar>
                    <w:left w:w="0" w:type="dxa"/>
                    <w:right w:w="0" w:type="dxa"/>
                  </w:tcMar>
                  <w:vAlign w:val="center"/>
                </w:tcPr>
                <w:p/>
              </w:tc>
              <w:tc>
                <w:tcPr>
                  <w:tcW w:w="172"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东</w:t>
                  </w:r>
                </w:p>
              </w:tc>
              <w:tc>
                <w:tcPr>
                  <w:tcW w:w="172"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南</w:t>
                  </w:r>
                </w:p>
              </w:tc>
              <w:tc>
                <w:tcPr>
                  <w:tcW w:w="172"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西</w:t>
                  </w:r>
                </w:p>
              </w:tc>
              <w:tc>
                <w:tcPr>
                  <w:tcW w:w="174"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北</w:t>
                  </w:r>
                </w:p>
              </w:tc>
              <w:tc>
                <w:tcPr>
                  <w:tcW w:w="183"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东</w:t>
                  </w:r>
                </w:p>
              </w:tc>
              <w:tc>
                <w:tcPr>
                  <w:tcW w:w="183"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南</w:t>
                  </w:r>
                </w:p>
              </w:tc>
              <w:tc>
                <w:tcPr>
                  <w:tcW w:w="183"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西</w:t>
                  </w:r>
                </w:p>
              </w:tc>
              <w:tc>
                <w:tcPr>
                  <w:tcW w:w="184"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北</w:t>
                  </w:r>
                </w:p>
              </w:tc>
              <w:tc>
                <w:tcPr>
                  <w:tcW w:w="251" w:type="pct"/>
                  <w:shd w:val="clear" w:color="auto" w:fill="FFFFFF"/>
                  <w:tcMar>
                    <w:left w:w="0" w:type="dxa"/>
                    <w:right w:w="0" w:type="dxa"/>
                  </w:tcMar>
                  <w:vAlign w:val="center"/>
                </w:tcPr>
                <w:p>
                  <w:pPr>
                    <w:adjustRightInd w:val="0"/>
                    <w:snapToGrid w:val="0"/>
                    <w:jc w:val="center"/>
                    <w:rPr>
                      <w:b/>
                      <w:bCs/>
                      <w:szCs w:val="21"/>
                      <w:u w:val="none"/>
                      <w:highlight w:val="none"/>
                    </w:rPr>
                  </w:pPr>
                  <w:r>
                    <w:rPr>
                      <w:b/>
                      <w:bCs/>
                      <w:szCs w:val="21"/>
                      <w:u w:val="none"/>
                      <w:highlight w:val="none"/>
                    </w:rPr>
                    <w:t>建筑物外距离</w:t>
                  </w:r>
                </w:p>
              </w:tc>
            </w:tr>
            <w:tr>
              <w:tc>
                <w:tcPr>
                  <w:tcW w:w="176"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c>
                <w:tcPr>
                  <w:tcW w:w="201" w:type="pct"/>
                  <w:vMerge w:val="restar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反冲洗泵房</w:t>
                  </w:r>
                </w:p>
              </w:tc>
              <w:tc>
                <w:tcPr>
                  <w:tcW w:w="19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反冲洗水泵</w:t>
                  </w:r>
                  <w:r>
                    <w:rPr>
                      <w:rFonts w:hint="eastAsia"/>
                      <w:szCs w:val="21"/>
                      <w:u w:val="none"/>
                      <w:highlight w:val="none"/>
                    </w:rPr>
                    <w:t>-1</w:t>
                  </w:r>
                </w:p>
              </w:tc>
              <w:tc>
                <w:tcPr>
                  <w:tcW w:w="257"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80</w:t>
                  </w:r>
                </w:p>
              </w:tc>
              <w:tc>
                <w:tcPr>
                  <w:tcW w:w="198" w:type="pct"/>
                  <w:vMerge w:val="restar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优选低噪声设备、建筑隔声、减震等。</w:t>
                  </w:r>
                </w:p>
              </w:tc>
              <w:tc>
                <w:tcPr>
                  <w:tcW w:w="219" w:type="pct"/>
                  <w:shd w:val="clear" w:color="auto" w:fill="FFFFFF"/>
                  <w:tcMar>
                    <w:left w:w="0" w:type="dxa"/>
                    <w:right w:w="0" w:type="dxa"/>
                  </w:tcMar>
                  <w:vAlign w:val="center"/>
                </w:tcPr>
                <w:p>
                  <w:pPr>
                    <w:jc w:val="center"/>
                    <w:rPr>
                      <w:szCs w:val="21"/>
                      <w:u w:val="none"/>
                      <w:lang w:val="en-US"/>
                      <w:highlight w:val="none"/>
                    </w:rPr>
                  </w:pPr>
                  <w:r>
                    <w:rPr>
                      <w:rFonts w:hint="eastAsia"/>
                      <w:szCs w:val="21"/>
                      <w:u w:val="none"/>
                      <w:lang w:val="en-US" w:eastAsia="zh-CN"/>
                      <w:highlight w:val="none"/>
                    </w:rPr>
                    <w:t>34.9</w:t>
                  </w:r>
                </w:p>
              </w:tc>
              <w:tc>
                <w:tcPr>
                  <w:tcW w:w="219"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w:t>
                  </w:r>
                  <w:r>
                    <w:rPr>
                      <w:rFonts w:hint="eastAsia"/>
                      <w:szCs w:val="21"/>
                      <w:u w:val="none"/>
                      <w:highlight w:val="none"/>
                    </w:rPr>
                    <w:t>.1</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45.1</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33.3</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97.2</w:t>
                  </w:r>
                </w:p>
              </w:tc>
              <w:tc>
                <w:tcPr>
                  <w:tcW w:w="18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20.6</w:t>
                  </w:r>
                </w:p>
              </w:tc>
              <w:tc>
                <w:tcPr>
                  <w:tcW w:w="178"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w:t>
                  </w:r>
                  <w:r>
                    <w:rPr>
                      <w:rFonts w:hint="eastAsia"/>
                      <w:szCs w:val="21"/>
                      <w:u w:val="none"/>
                      <w:highlight w:val="none"/>
                    </w:rPr>
                    <w:t>5.6</w:t>
                  </w:r>
                </w:p>
              </w:tc>
              <w:tc>
                <w:tcPr>
                  <w:tcW w:w="178"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51</w:t>
                  </w:r>
                  <w:r>
                    <w:rPr>
                      <w:rFonts w:hint="eastAsia"/>
                      <w:szCs w:val="21"/>
                      <w:u w:val="none"/>
                      <w:highlight w:val="none"/>
                    </w:rPr>
                    <w:t>.</w:t>
                  </w:r>
                  <w:r>
                    <w:rPr>
                      <w:rFonts w:hint="eastAsia"/>
                      <w:szCs w:val="21"/>
                      <w:u w:val="none"/>
                      <w:lang w:val="en-US" w:eastAsia="zh-CN"/>
                      <w:highlight w:val="none"/>
                    </w:rPr>
                    <w:t>5</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49.8</w:t>
                  </w:r>
                </w:p>
              </w:tc>
              <w:tc>
                <w:tcPr>
                  <w:tcW w:w="181"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56</w:t>
                  </w:r>
                  <w:r>
                    <w:rPr>
                      <w:rFonts w:hint="eastAsia"/>
                      <w:szCs w:val="21"/>
                      <w:u w:val="none"/>
                      <w:highlight w:val="none"/>
                    </w:rPr>
                    <w:t>.7</w:t>
                  </w:r>
                </w:p>
              </w:tc>
              <w:tc>
                <w:tcPr>
                  <w:tcW w:w="203" w:type="pct"/>
                  <w:vMerge w:val="restar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24h/d</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4"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12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2</w:t>
                  </w:r>
                  <w:r>
                    <w:rPr>
                      <w:rFonts w:hint="eastAsia"/>
                      <w:szCs w:val="21"/>
                      <w:u w:val="none"/>
                      <w:highlight w:val="none"/>
                    </w:rPr>
                    <w:t>5.6</w:t>
                  </w:r>
                </w:p>
              </w:tc>
              <w:tc>
                <w:tcPr>
                  <w:tcW w:w="112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31</w:t>
                  </w:r>
                  <w:r>
                    <w:rPr>
                      <w:rFonts w:hint="eastAsia"/>
                      <w:szCs w:val="21"/>
                      <w:u w:val="none"/>
                      <w:highlight w:val="none"/>
                    </w:rPr>
                    <w:t>.</w:t>
                  </w:r>
                  <w:r>
                    <w:rPr>
                      <w:rFonts w:hint="eastAsia"/>
                      <w:szCs w:val="21"/>
                      <w:u w:val="none"/>
                      <w:lang w:val="en-US" w:eastAsia="zh-CN"/>
                      <w:highlight w:val="none"/>
                    </w:rPr>
                    <w:t>5</w:t>
                  </w:r>
                </w:p>
              </w:tc>
              <w:tc>
                <w:tcPr>
                  <w:tcW w:w="112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29.8</w:t>
                  </w:r>
                </w:p>
              </w:tc>
              <w:tc>
                <w:tcPr>
                  <w:tcW w:w="1127"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36</w:t>
                  </w:r>
                  <w:r>
                    <w:rPr>
                      <w:rFonts w:hint="eastAsia"/>
                      <w:szCs w:val="21"/>
                      <w:u w:val="none"/>
                      <w:highlight w:val="none"/>
                    </w:rPr>
                    <w:t>.7</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r>
              <w:tc>
                <w:tcPr>
                  <w:tcW w:w="176"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p>
              </w:tc>
              <w:tc>
                <w:tcPr>
                  <w:tcW w:w="201" w:type="pct"/>
                  <w:vMerge/>
                  <w:shd w:val="clear" w:color="auto" w:fill="FFFFFF"/>
                  <w:tcMar>
                    <w:left w:w="0" w:type="dxa"/>
                    <w:right w:w="0" w:type="dxa"/>
                  </w:tcMar>
                  <w:vAlign w:val="center"/>
                </w:tcPr>
                <w:p/>
              </w:tc>
              <w:tc>
                <w:tcPr>
                  <w:tcW w:w="19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反冲洗水泵</w:t>
                  </w:r>
                  <w:r>
                    <w:rPr>
                      <w:rFonts w:hint="eastAsia"/>
                      <w:szCs w:val="21"/>
                      <w:u w:val="none"/>
                      <w:highlight w:val="none"/>
                    </w:rPr>
                    <w:t>-2</w:t>
                  </w:r>
                </w:p>
              </w:tc>
              <w:tc>
                <w:tcPr>
                  <w:tcW w:w="257"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80</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34</w:t>
                  </w:r>
                  <w:r>
                    <w:rPr>
                      <w:rFonts w:hint="eastAsia"/>
                      <w:szCs w:val="21"/>
                      <w:u w:val="none"/>
                      <w:highlight w:val="none"/>
                    </w:rPr>
                    <w:t>.</w:t>
                  </w:r>
                  <w:r>
                    <w:rPr>
                      <w:rFonts w:hint="eastAsia"/>
                      <w:szCs w:val="21"/>
                      <w:u w:val="none"/>
                      <w:lang w:val="en-US" w:eastAsia="zh-CN"/>
                      <w:highlight w:val="none"/>
                    </w:rPr>
                    <w:t>1</w:t>
                  </w:r>
                </w:p>
              </w:tc>
              <w:tc>
                <w:tcPr>
                  <w:tcW w:w="219"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w:t>
                  </w:r>
                  <w:r>
                    <w:rPr>
                      <w:rFonts w:hint="eastAsia"/>
                      <w:szCs w:val="21"/>
                      <w:u w:val="none"/>
                      <w:highlight w:val="none"/>
                    </w:rPr>
                    <w:t>.1</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45.9</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33.3</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96.4</w:t>
                  </w:r>
                </w:p>
              </w:tc>
              <w:tc>
                <w:tcPr>
                  <w:tcW w:w="18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20.6</w:t>
                  </w:r>
                </w:p>
              </w:tc>
              <w:tc>
                <w:tcPr>
                  <w:tcW w:w="178"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4</w:t>
                  </w:r>
                  <w:r>
                    <w:rPr>
                      <w:rFonts w:hint="eastAsia"/>
                      <w:szCs w:val="21"/>
                      <w:u w:val="none"/>
                      <w:highlight w:val="none"/>
                    </w:rPr>
                    <w:t>5.</w:t>
                  </w:r>
                  <w:r>
                    <w:rPr>
                      <w:rFonts w:hint="eastAsia"/>
                      <w:szCs w:val="21"/>
                      <w:u w:val="none"/>
                      <w:lang w:val="en-US" w:eastAsia="zh-CN"/>
                      <w:highlight w:val="none"/>
                    </w:rPr>
                    <w:t>3</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highlight w:val="none"/>
                    </w:rPr>
                    <w:t>5</w:t>
                  </w:r>
                  <w:r>
                    <w:rPr>
                      <w:rFonts w:hint="eastAsia"/>
                      <w:szCs w:val="21"/>
                      <w:u w:val="none"/>
                      <w:lang w:val="en-US" w:eastAsia="zh-CN"/>
                      <w:highlight w:val="none"/>
                    </w:rPr>
                    <w:t>1.5</w:t>
                  </w:r>
                </w:p>
              </w:tc>
              <w:tc>
                <w:tcPr>
                  <w:tcW w:w="178"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49</w:t>
                  </w:r>
                  <w:r>
                    <w:rPr>
                      <w:rFonts w:hint="eastAsia"/>
                      <w:szCs w:val="21"/>
                      <w:u w:val="none"/>
                      <w:highlight w:val="none"/>
                    </w:rPr>
                    <w:t>.6</w:t>
                  </w:r>
                </w:p>
              </w:tc>
              <w:tc>
                <w:tcPr>
                  <w:tcW w:w="181"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56</w:t>
                  </w:r>
                  <w:r>
                    <w:rPr>
                      <w:rFonts w:hint="eastAsia"/>
                      <w:szCs w:val="21"/>
                      <w:u w:val="none"/>
                      <w:highlight w:val="none"/>
                    </w:rPr>
                    <w:t>.7</w:t>
                  </w:r>
                </w:p>
              </w:tc>
              <w:tc>
                <w:tcPr>
                  <w:tcW w:w="203" w:type="pct"/>
                  <w:vMerge/>
                  <w:shd w:val="clear" w:color="auto" w:fill="FFFFFF"/>
                  <w:tcMar>
                    <w:left w:w="0" w:type="dxa"/>
                    <w:right w:w="0" w:type="dxa"/>
                  </w:tcMar>
                  <w:vAlign w:val="center"/>
                </w:tcP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4"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12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2</w:t>
                  </w:r>
                  <w:r>
                    <w:rPr>
                      <w:rFonts w:hint="eastAsia"/>
                      <w:szCs w:val="21"/>
                      <w:u w:val="none"/>
                      <w:highlight w:val="none"/>
                    </w:rPr>
                    <w:t>5.</w:t>
                  </w:r>
                  <w:r>
                    <w:rPr>
                      <w:rFonts w:hint="eastAsia"/>
                      <w:szCs w:val="21"/>
                      <w:u w:val="none"/>
                      <w:lang w:val="en-US" w:eastAsia="zh-CN"/>
                      <w:highlight w:val="none"/>
                    </w:rPr>
                    <w:t>3</w:t>
                  </w:r>
                </w:p>
              </w:tc>
              <w:tc>
                <w:tcPr>
                  <w:tcW w:w="112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31.5</w:t>
                  </w:r>
                </w:p>
              </w:tc>
              <w:tc>
                <w:tcPr>
                  <w:tcW w:w="112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29</w:t>
                  </w:r>
                  <w:r>
                    <w:rPr>
                      <w:rFonts w:hint="eastAsia"/>
                      <w:szCs w:val="21"/>
                      <w:u w:val="none"/>
                      <w:highlight w:val="none"/>
                    </w:rPr>
                    <w:t>.6</w:t>
                  </w:r>
                </w:p>
              </w:tc>
              <w:tc>
                <w:tcPr>
                  <w:tcW w:w="1127"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36</w:t>
                  </w:r>
                  <w:r>
                    <w:rPr>
                      <w:rFonts w:hint="eastAsia"/>
                      <w:szCs w:val="21"/>
                      <w:u w:val="none"/>
                      <w:highlight w:val="none"/>
                    </w:rPr>
                    <w:t>.7</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r>
              <w:tc>
                <w:tcPr>
                  <w:tcW w:w="176" w:type="pct"/>
                  <w:shd w:val="clear" w:color="auto" w:fill="FFFFFF"/>
                  <w:tcMar>
                    <w:left w:w="0" w:type="dxa"/>
                    <w:right w:w="0" w:type="dxa"/>
                  </w:tcMar>
                  <w:vAlign w:val="center"/>
                </w:tcPr>
                <w:p>
                  <w:pPr>
                    <w:adjustRightInd w:val="0"/>
                    <w:snapToGrid w:val="0"/>
                    <w:jc w:val="center"/>
                    <w:rPr>
                      <w:rFonts w:eastAsia="宋体" w:hint="eastAsia"/>
                      <w:szCs w:val="21"/>
                      <w:u w:val="none"/>
                      <w:lang w:val="en-US" w:eastAsia="zh-CN"/>
                      <w:highlight w:val="none"/>
                    </w:rPr>
                  </w:pPr>
                  <w:r>
                    <w:rPr>
                      <w:rFonts w:hint="eastAsia"/>
                      <w:szCs w:val="21"/>
                      <w:u w:val="none"/>
                      <w:lang w:val="en-US" w:eastAsia="zh-CN"/>
                      <w:highlight w:val="none"/>
                    </w:rPr>
                    <w:t>3</w:t>
                  </w:r>
                </w:p>
              </w:tc>
              <w:tc>
                <w:tcPr>
                  <w:tcW w:w="201" w:type="pct"/>
                  <w:vMerge/>
                  <w:shd w:val="clear" w:color="auto" w:fill="FFFFFF"/>
                  <w:tcMar>
                    <w:left w:w="0" w:type="dxa"/>
                    <w:right w:w="0" w:type="dxa"/>
                  </w:tcMar>
                  <w:vAlign w:val="center"/>
                </w:tcPr>
                <w:p/>
              </w:tc>
              <w:tc>
                <w:tcPr>
                  <w:tcW w:w="192" w:type="pct"/>
                  <w:shd w:val="clear" w:color="auto" w:fill="FFFFFF"/>
                  <w:tcMar>
                    <w:left w:w="0" w:type="dxa"/>
                    <w:right w:w="0" w:type="dxa"/>
                  </w:tcMar>
                  <w:vAlign w:val="center"/>
                </w:tcPr>
                <w:p>
                  <w:pPr>
                    <w:adjustRightInd w:val="0"/>
                    <w:snapToGrid w:val="0"/>
                    <w:jc w:val="center"/>
                    <w:rPr>
                      <w:rFonts w:eastAsia="宋体" w:hint="eastAsia"/>
                      <w:szCs w:val="21"/>
                      <w:u w:val="none"/>
                      <w:lang w:eastAsia="zh-CN"/>
                      <w:highlight w:val="none"/>
                    </w:rPr>
                  </w:pPr>
                  <w:r>
                    <w:rPr>
                      <w:szCs w:val="21"/>
                      <w:u w:val="none"/>
                      <w:highlight w:val="none"/>
                    </w:rPr>
                    <w:t>反冲洗水泵</w:t>
                  </w:r>
                  <w:r>
                    <w:rPr>
                      <w:rFonts w:hint="eastAsia"/>
                      <w:szCs w:val="21"/>
                      <w:u w:val="none"/>
                      <w:highlight w:val="none"/>
                    </w:rPr>
                    <w:t>-</w:t>
                  </w:r>
                  <w:r>
                    <w:rPr>
                      <w:rFonts w:hint="eastAsia"/>
                      <w:szCs w:val="21"/>
                      <w:u w:val="none"/>
                      <w:lang w:val="en-US" w:eastAsia="zh-CN"/>
                      <w:highlight w:val="none"/>
                    </w:rPr>
                    <w:t>3</w:t>
                  </w:r>
                </w:p>
              </w:tc>
              <w:tc>
                <w:tcPr>
                  <w:tcW w:w="257" w:type="pct"/>
                  <w:shd w:val="clear" w:color="auto" w:fill="FFFFFF"/>
                  <w:tcMar>
                    <w:left w:w="0" w:type="dxa"/>
                    <w:right w:w="0" w:type="dxa"/>
                  </w:tcMar>
                  <w:vAlign w:val="center"/>
                </w:tcPr>
                <w:p>
                  <w:pPr>
                    <w:adjustRightInd w:val="0"/>
                    <w:snapToGrid w:val="0"/>
                    <w:jc w:val="center"/>
                    <w:rPr>
                      <w:rFonts w:hint="eastAsia"/>
                      <w:szCs w:val="21"/>
                      <w:u w:val="none"/>
                      <w:highlight w:val="none"/>
                    </w:rPr>
                  </w:pPr>
                  <w:r>
                    <w:rPr>
                      <w:rFonts w:hint="eastAsia"/>
                      <w:szCs w:val="21"/>
                      <w:u w:val="none"/>
                      <w:highlight w:val="none"/>
                    </w:rPr>
                    <w:t>80</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jc w:val="center"/>
                    <w:rPr>
                      <w:rFonts w:eastAsia="宋体" w:hint="eastAsia"/>
                      <w:szCs w:val="21"/>
                      <w:u w:val="none"/>
                      <w:lang w:val="en-US" w:eastAsia="zh-CN"/>
                      <w:highlight w:val="none"/>
                    </w:rPr>
                  </w:pPr>
                  <w:r>
                    <w:rPr>
                      <w:rFonts w:hint="eastAsia"/>
                      <w:szCs w:val="21"/>
                      <w:u w:val="none"/>
                      <w:lang w:val="en-US" w:eastAsia="zh-CN"/>
                      <w:highlight w:val="none"/>
                    </w:rPr>
                    <w:t>33</w:t>
                  </w:r>
                  <w:r>
                    <w:rPr>
                      <w:rFonts w:hint="eastAsia"/>
                      <w:szCs w:val="21"/>
                      <w:u w:val="none"/>
                      <w:highlight w:val="none"/>
                    </w:rPr>
                    <w:t>.</w:t>
                  </w:r>
                  <w:r>
                    <w:rPr>
                      <w:rFonts w:hint="eastAsia"/>
                      <w:szCs w:val="21"/>
                      <w:u w:val="none"/>
                      <w:lang w:val="en-US" w:eastAsia="zh-CN"/>
                      <w:highlight w:val="none"/>
                    </w:rPr>
                    <w:t>5</w:t>
                  </w:r>
                </w:p>
              </w:tc>
              <w:tc>
                <w:tcPr>
                  <w:tcW w:w="219" w:type="pct"/>
                  <w:shd w:val="clear" w:color="auto" w:fill="FFFFFF"/>
                  <w:tcMar>
                    <w:left w:w="0" w:type="dxa"/>
                    <w:right w:w="0" w:type="dxa"/>
                  </w:tcMar>
                  <w:vAlign w:val="center"/>
                </w:tcPr>
                <w:p>
                  <w:pPr>
                    <w:jc w:val="center"/>
                    <w:rPr>
                      <w:rFonts w:hint="eastAsia"/>
                      <w:szCs w:val="21"/>
                      <w:u w:val="none"/>
                      <w:highlight w:val="none"/>
                    </w:rPr>
                  </w:pPr>
                  <w:r>
                    <w:rPr>
                      <w:rFonts w:hint="eastAsia"/>
                      <w:szCs w:val="21"/>
                      <w:u w:val="none"/>
                      <w:lang w:val="en-US" w:eastAsia="zh-CN"/>
                      <w:highlight w:val="none"/>
                    </w:rPr>
                    <w:t>4</w:t>
                  </w:r>
                  <w:r>
                    <w:rPr>
                      <w:rFonts w:hint="eastAsia"/>
                      <w:szCs w:val="21"/>
                      <w:u w:val="none"/>
                      <w:highlight w:val="none"/>
                    </w:rPr>
                    <w:t>.1</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78"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4</w:t>
                  </w:r>
                  <w:r>
                    <w:rPr>
                      <w:rFonts w:hint="eastAsia"/>
                      <w:szCs w:val="21"/>
                      <w:u w:val="none"/>
                      <w:highlight w:val="none"/>
                    </w:rPr>
                    <w:t>6.</w:t>
                  </w:r>
                  <w:r>
                    <w:rPr>
                      <w:rFonts w:hint="eastAsia"/>
                      <w:szCs w:val="21"/>
                      <w:u w:val="none"/>
                      <w:lang w:val="en-US" w:eastAsia="zh-CN"/>
                      <w:highlight w:val="none"/>
                    </w:rPr>
                    <w:t>5</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33.3</w:t>
                  </w:r>
                </w:p>
              </w:tc>
              <w:tc>
                <w:tcPr>
                  <w:tcW w:w="178"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9</w:t>
                  </w:r>
                  <w:r>
                    <w:rPr>
                      <w:rFonts w:hint="eastAsia"/>
                      <w:szCs w:val="21"/>
                      <w:u w:val="none"/>
                      <w:highlight w:val="none"/>
                    </w:rPr>
                    <w:t>5.</w:t>
                  </w:r>
                  <w:r>
                    <w:rPr>
                      <w:rFonts w:hint="eastAsia"/>
                      <w:szCs w:val="21"/>
                      <w:u w:val="none"/>
                      <w:lang w:val="en-US" w:eastAsia="zh-CN"/>
                      <w:highlight w:val="none"/>
                    </w:rPr>
                    <w:t>9</w:t>
                  </w:r>
                </w:p>
              </w:tc>
              <w:tc>
                <w:tcPr>
                  <w:tcW w:w="18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20.6</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45.1</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highlight w:val="none"/>
                    </w:rPr>
                    <w:t>5</w:t>
                  </w:r>
                  <w:r>
                    <w:rPr>
                      <w:rFonts w:hint="eastAsia"/>
                      <w:szCs w:val="21"/>
                      <w:u w:val="none"/>
                      <w:lang w:val="en-US" w:eastAsia="zh-CN"/>
                      <w:highlight w:val="none"/>
                    </w:rPr>
                    <w:t>1.5</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49.2</w:t>
                  </w:r>
                </w:p>
              </w:tc>
              <w:tc>
                <w:tcPr>
                  <w:tcW w:w="181" w:type="pct"/>
                  <w:shd w:val="clear" w:color="auto" w:fill="FFFFFF"/>
                  <w:tcMar>
                    <w:left w:w="0" w:type="dxa"/>
                    <w:right w:w="0" w:type="dxa"/>
                  </w:tcMar>
                  <w:vAlign w:val="center"/>
                </w:tcPr>
                <w:p>
                  <w:pPr>
                    <w:jc w:val="center"/>
                    <w:rPr>
                      <w:rFonts w:hint="eastAsia"/>
                      <w:szCs w:val="21"/>
                      <w:u w:val="none"/>
                      <w:highlight w:val="none"/>
                    </w:rPr>
                  </w:pPr>
                  <w:r>
                    <w:rPr>
                      <w:rFonts w:hint="eastAsia"/>
                      <w:szCs w:val="21"/>
                      <w:u w:val="none"/>
                      <w:lang w:val="en-US" w:eastAsia="zh-CN"/>
                      <w:highlight w:val="none"/>
                    </w:rPr>
                    <w:t>56</w:t>
                  </w:r>
                  <w:r>
                    <w:rPr>
                      <w:rFonts w:hint="eastAsia"/>
                      <w:szCs w:val="21"/>
                      <w:u w:val="none"/>
                      <w:highlight w:val="none"/>
                    </w:rPr>
                    <w:t>.7</w:t>
                  </w:r>
                </w:p>
              </w:tc>
              <w:tc>
                <w:tcPr>
                  <w:tcW w:w="203" w:type="pct"/>
                  <w:vMerge/>
                  <w:shd w:val="clear" w:color="auto" w:fill="FFFFFF"/>
                  <w:tcMar>
                    <w:left w:w="0" w:type="dxa"/>
                    <w:right w:w="0" w:type="dxa"/>
                  </w:tcMar>
                  <w:vAlign w:val="center"/>
                </w:tcP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4"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120" w:type="pct"/>
                  <w:shd w:val="clear" w:color="auto" w:fill="FFFFFF"/>
                  <w:tcMar>
                    <w:left w:w="0" w:type="dxa"/>
                    <w:right w:w="0" w:type="dxa"/>
                  </w:tcMar>
                  <w:vAlign w:val="center"/>
                </w:tcPr>
                <w:p>
                  <w:pPr>
                    <w:jc w:val="center"/>
                    <w:rPr>
                      <w:rFonts w:hint="eastAsia"/>
                      <w:szCs w:val="21"/>
                      <w:u w:val="none"/>
                      <w:highlight w:val="none"/>
                    </w:rPr>
                  </w:pPr>
                  <w:r>
                    <w:rPr>
                      <w:rFonts w:hint="eastAsia"/>
                      <w:szCs w:val="21"/>
                      <w:u w:val="none"/>
                      <w:lang w:val="en-US" w:eastAsia="zh-CN"/>
                      <w:highlight w:val="none"/>
                    </w:rPr>
                    <w:t>25.1</w:t>
                  </w:r>
                </w:p>
              </w:tc>
              <w:tc>
                <w:tcPr>
                  <w:tcW w:w="1120" w:type="pct"/>
                  <w:shd w:val="clear" w:color="auto" w:fill="FFFFFF"/>
                  <w:tcMar>
                    <w:left w:w="0" w:type="dxa"/>
                    <w:right w:w="0" w:type="dxa"/>
                  </w:tcMar>
                  <w:vAlign w:val="center"/>
                </w:tcPr>
                <w:p>
                  <w:pPr>
                    <w:jc w:val="center"/>
                    <w:rPr>
                      <w:rFonts w:hint="eastAsia"/>
                      <w:szCs w:val="21"/>
                      <w:u w:val="none"/>
                      <w:highlight w:val="none"/>
                    </w:rPr>
                  </w:pPr>
                  <w:r>
                    <w:rPr>
                      <w:rFonts w:hint="eastAsia"/>
                      <w:szCs w:val="21"/>
                      <w:u w:val="none"/>
                      <w:lang w:val="en-US" w:eastAsia="zh-CN"/>
                      <w:highlight w:val="none"/>
                    </w:rPr>
                    <w:t>31.5</w:t>
                  </w:r>
                </w:p>
              </w:tc>
              <w:tc>
                <w:tcPr>
                  <w:tcW w:w="1120" w:type="pct"/>
                  <w:shd w:val="clear" w:color="auto" w:fill="FFFFFF"/>
                  <w:tcMar>
                    <w:left w:w="0" w:type="dxa"/>
                    <w:right w:w="0" w:type="dxa"/>
                  </w:tcMar>
                  <w:vAlign w:val="center"/>
                </w:tcPr>
                <w:p>
                  <w:pPr>
                    <w:jc w:val="center"/>
                    <w:rPr>
                      <w:rFonts w:hint="eastAsia"/>
                      <w:szCs w:val="21"/>
                      <w:u w:val="none"/>
                      <w:highlight w:val="none"/>
                    </w:rPr>
                  </w:pPr>
                  <w:r>
                    <w:rPr>
                      <w:rFonts w:hint="eastAsia"/>
                      <w:szCs w:val="21"/>
                      <w:u w:val="none"/>
                      <w:lang w:val="en-US" w:eastAsia="zh-CN"/>
                      <w:highlight w:val="none"/>
                    </w:rPr>
                    <w:t>29.2</w:t>
                  </w:r>
                </w:p>
              </w:tc>
              <w:tc>
                <w:tcPr>
                  <w:tcW w:w="1127" w:type="pct"/>
                  <w:shd w:val="clear" w:color="auto" w:fill="FFFFFF"/>
                  <w:tcMar>
                    <w:left w:w="0" w:type="dxa"/>
                    <w:right w:w="0" w:type="dxa"/>
                  </w:tcMar>
                  <w:vAlign w:val="center"/>
                </w:tcPr>
                <w:p>
                  <w:pPr>
                    <w:jc w:val="center"/>
                    <w:rPr>
                      <w:rFonts w:hint="eastAsia"/>
                      <w:szCs w:val="21"/>
                      <w:u w:val="none"/>
                      <w:highlight w:val="none"/>
                    </w:rPr>
                  </w:pPr>
                  <w:r>
                    <w:rPr>
                      <w:rFonts w:hint="eastAsia"/>
                      <w:szCs w:val="21"/>
                      <w:u w:val="none"/>
                      <w:lang w:val="en-US" w:eastAsia="zh-CN"/>
                      <w:highlight w:val="none"/>
                    </w:rPr>
                    <w:t>36</w:t>
                  </w:r>
                  <w:r>
                    <w:rPr>
                      <w:rFonts w:hint="eastAsia"/>
                      <w:szCs w:val="21"/>
                      <w:u w:val="none"/>
                      <w:highlight w:val="none"/>
                    </w:rPr>
                    <w:t>.7</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r>
              <w:tc>
                <w:tcPr>
                  <w:tcW w:w="176" w:type="pct"/>
                  <w:shd w:val="clear" w:color="auto" w:fill="FFFFFF"/>
                  <w:tcMar>
                    <w:left w:w="0" w:type="dxa"/>
                    <w:right w:w="0" w:type="dxa"/>
                  </w:tcMar>
                  <w:vAlign w:val="center"/>
                </w:tcPr>
                <w:p>
                  <w:pPr>
                    <w:adjustRightInd w:val="0"/>
                    <w:snapToGrid w:val="0"/>
                    <w:jc w:val="center"/>
                    <w:rPr>
                      <w:rFonts w:eastAsia="宋体" w:hint="eastAsia"/>
                      <w:szCs w:val="21"/>
                      <w:u w:val="none"/>
                      <w:lang w:eastAsia="zh-CN"/>
                      <w:highlight w:val="none"/>
                    </w:rPr>
                  </w:pPr>
                  <w:r>
                    <w:rPr>
                      <w:rFonts w:hint="eastAsia"/>
                      <w:szCs w:val="21"/>
                      <w:u w:val="none"/>
                      <w:lang w:val="en-US" w:eastAsia="zh-CN"/>
                      <w:highlight w:val="none"/>
                    </w:rPr>
                    <w:t>4</w:t>
                  </w:r>
                </w:p>
              </w:tc>
              <w:tc>
                <w:tcPr>
                  <w:tcW w:w="201" w:type="pct"/>
                  <w:vMerge/>
                  <w:shd w:val="clear" w:color="auto" w:fill="FFFFFF"/>
                  <w:tcMar>
                    <w:left w:w="0" w:type="dxa"/>
                    <w:right w:w="0" w:type="dxa"/>
                  </w:tcMar>
                  <w:vAlign w:val="center"/>
                </w:tcPr>
                <w:p/>
              </w:tc>
              <w:tc>
                <w:tcPr>
                  <w:tcW w:w="19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风机</w:t>
                  </w:r>
                  <w:r>
                    <w:rPr>
                      <w:rFonts w:hint="eastAsia"/>
                      <w:szCs w:val="21"/>
                      <w:u w:val="none"/>
                      <w:highlight w:val="none"/>
                    </w:rPr>
                    <w:t>-1</w:t>
                  </w:r>
                </w:p>
              </w:tc>
              <w:tc>
                <w:tcPr>
                  <w:tcW w:w="257"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80</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17.1</w:t>
                  </w:r>
                </w:p>
              </w:tc>
              <w:tc>
                <w:tcPr>
                  <w:tcW w:w="219"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w:t>
                  </w:r>
                  <w:r>
                    <w:rPr>
                      <w:rFonts w:hint="eastAsia"/>
                      <w:szCs w:val="21"/>
                      <w:u w:val="none"/>
                      <w:highlight w:val="none"/>
                    </w:rPr>
                    <w:t>.7</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43.4</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32.1</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93.8</w:t>
                  </w:r>
                </w:p>
              </w:tc>
              <w:tc>
                <w:tcPr>
                  <w:tcW w:w="18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20.2</w:t>
                  </w:r>
                </w:p>
              </w:tc>
              <w:tc>
                <w:tcPr>
                  <w:tcW w:w="178"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w:t>
                  </w:r>
                  <w:r>
                    <w:rPr>
                      <w:rFonts w:hint="eastAsia"/>
                      <w:szCs w:val="21"/>
                      <w:u w:val="none"/>
                      <w:highlight w:val="none"/>
                    </w:rPr>
                    <w:t>6.0</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highlight w:val="none"/>
                    </w:rPr>
                    <w:t>5</w:t>
                  </w:r>
                  <w:r>
                    <w:rPr>
                      <w:rFonts w:hint="eastAsia"/>
                      <w:szCs w:val="21"/>
                      <w:u w:val="none"/>
                      <w:lang w:val="en-US" w:eastAsia="zh-CN"/>
                      <w:highlight w:val="none"/>
                    </w:rPr>
                    <w:t>0.0</w:t>
                  </w:r>
                </w:p>
              </w:tc>
              <w:tc>
                <w:tcPr>
                  <w:tcW w:w="178"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w:t>
                  </w:r>
                  <w:r>
                    <w:rPr>
                      <w:rFonts w:hint="eastAsia"/>
                      <w:szCs w:val="21"/>
                      <w:u w:val="none"/>
                      <w:highlight w:val="none"/>
                    </w:rPr>
                    <w:t>5.3</w:t>
                  </w:r>
                </w:p>
              </w:tc>
              <w:tc>
                <w:tcPr>
                  <w:tcW w:w="181"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56.8</w:t>
                  </w:r>
                </w:p>
              </w:tc>
              <w:tc>
                <w:tcPr>
                  <w:tcW w:w="203" w:type="pct"/>
                  <w:vMerge/>
                  <w:shd w:val="clear" w:color="auto" w:fill="FFFFFF"/>
                  <w:tcMar>
                    <w:left w:w="0" w:type="dxa"/>
                    <w:right w:w="0" w:type="dxa"/>
                  </w:tcMar>
                  <w:vAlign w:val="center"/>
                </w:tcP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4"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83"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2</w:t>
                  </w:r>
                  <w:r>
                    <w:rPr>
                      <w:rFonts w:hint="eastAsia"/>
                      <w:szCs w:val="21"/>
                      <w:u w:val="none"/>
                      <w:highlight w:val="none"/>
                    </w:rPr>
                    <w:t>6.0</w:t>
                  </w:r>
                </w:p>
              </w:tc>
              <w:tc>
                <w:tcPr>
                  <w:tcW w:w="183" w:type="pct"/>
                  <w:shd w:val="clear" w:color="auto" w:fill="FFFFFF"/>
                  <w:tcMar>
                    <w:left w:w="0" w:type="dxa"/>
                    <w:right w:w="0" w:type="dxa"/>
                  </w:tcMar>
                  <w:vAlign w:val="center"/>
                </w:tcPr>
                <w:p>
                  <w:pPr>
                    <w:adjustRightInd w:val="0"/>
                    <w:snapToGrid w:val="0"/>
                    <w:jc w:val="center"/>
                    <w:rPr>
                      <w:rFonts w:eastAsia="宋体"/>
                      <w:szCs w:val="21"/>
                      <w:u w:val="none"/>
                      <w:lang w:val="en-US" w:eastAsia="zh-CN"/>
                      <w:highlight w:val="none"/>
                    </w:rPr>
                  </w:pPr>
                  <w:r>
                    <w:rPr>
                      <w:rFonts w:hint="eastAsia"/>
                      <w:szCs w:val="21"/>
                      <w:u w:val="none"/>
                      <w:highlight w:val="none"/>
                    </w:rPr>
                    <w:t>3</w:t>
                  </w:r>
                  <w:r>
                    <w:rPr>
                      <w:rFonts w:hint="eastAsia"/>
                      <w:szCs w:val="21"/>
                      <w:u w:val="none"/>
                      <w:lang w:val="en-US" w:eastAsia="zh-CN"/>
                      <w:highlight w:val="none"/>
                    </w:rPr>
                    <w:t>0.0</w:t>
                  </w:r>
                </w:p>
              </w:tc>
              <w:tc>
                <w:tcPr>
                  <w:tcW w:w="183"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2</w:t>
                  </w:r>
                  <w:r>
                    <w:rPr>
                      <w:rFonts w:hint="eastAsia"/>
                      <w:szCs w:val="21"/>
                      <w:u w:val="none"/>
                      <w:highlight w:val="none"/>
                    </w:rPr>
                    <w:t>5.3</w:t>
                  </w:r>
                </w:p>
              </w:tc>
              <w:tc>
                <w:tcPr>
                  <w:tcW w:w="184" w:type="pct"/>
                  <w:shd w:val="clear" w:color="auto" w:fill="FFFFFF"/>
                  <w:tcMar>
                    <w:left w:w="0" w:type="dxa"/>
                    <w:right w:w="0" w:type="dxa"/>
                  </w:tcMar>
                  <w:vAlign w:val="center"/>
                </w:tcPr>
                <w:p>
                  <w:pPr>
                    <w:adjustRightInd w:val="0"/>
                    <w:snapToGrid w:val="0"/>
                    <w:jc w:val="center"/>
                    <w:rPr>
                      <w:rFonts w:eastAsia="宋体"/>
                      <w:szCs w:val="21"/>
                      <w:u w:val="none"/>
                      <w:lang w:val="en-US" w:eastAsia="zh-CN"/>
                      <w:highlight w:val="none"/>
                    </w:rPr>
                  </w:pPr>
                  <w:r>
                    <w:rPr>
                      <w:rFonts w:hint="eastAsia"/>
                      <w:szCs w:val="21"/>
                      <w:u w:val="none"/>
                      <w:lang w:val="en-US" w:eastAsia="zh-CN"/>
                      <w:highlight w:val="none"/>
                    </w:rPr>
                    <w:t>36.8</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r>
              <w:tc>
                <w:tcPr>
                  <w:tcW w:w="176" w:type="pct"/>
                  <w:shd w:val="clear" w:color="auto" w:fill="FFFFFF"/>
                  <w:tcMar>
                    <w:left w:w="0" w:type="dxa"/>
                    <w:right w:w="0" w:type="dxa"/>
                  </w:tcMar>
                  <w:vAlign w:val="center"/>
                </w:tcPr>
                <w:p>
                  <w:pPr>
                    <w:adjustRightInd w:val="0"/>
                    <w:snapToGrid w:val="0"/>
                    <w:jc w:val="center"/>
                    <w:rPr>
                      <w:rFonts w:eastAsia="宋体" w:hint="eastAsia"/>
                      <w:szCs w:val="21"/>
                      <w:u w:val="none"/>
                      <w:lang w:eastAsia="zh-CN"/>
                      <w:highlight w:val="none"/>
                    </w:rPr>
                  </w:pPr>
                  <w:r>
                    <w:rPr>
                      <w:rFonts w:hint="eastAsia"/>
                      <w:szCs w:val="21"/>
                      <w:u w:val="none"/>
                      <w:lang w:val="en-US" w:eastAsia="zh-CN"/>
                      <w:highlight w:val="none"/>
                    </w:rPr>
                    <w:t>5</w:t>
                  </w:r>
                </w:p>
              </w:tc>
              <w:tc>
                <w:tcPr>
                  <w:tcW w:w="201" w:type="pct"/>
                  <w:vMerge/>
                  <w:shd w:val="clear" w:color="auto" w:fill="FFFFFF"/>
                  <w:tcMar>
                    <w:left w:w="0" w:type="dxa"/>
                    <w:right w:w="0" w:type="dxa"/>
                  </w:tcMar>
                  <w:vAlign w:val="center"/>
                </w:tcPr>
                <w:p/>
              </w:tc>
              <w:tc>
                <w:tcPr>
                  <w:tcW w:w="19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风机</w:t>
                  </w:r>
                  <w:r>
                    <w:rPr>
                      <w:rFonts w:hint="eastAsia"/>
                      <w:szCs w:val="21"/>
                      <w:u w:val="none"/>
                      <w:highlight w:val="none"/>
                    </w:rPr>
                    <w:t>-2</w:t>
                  </w:r>
                </w:p>
              </w:tc>
              <w:tc>
                <w:tcPr>
                  <w:tcW w:w="257"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80</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17</w:t>
                  </w:r>
                  <w:r>
                    <w:rPr>
                      <w:rFonts w:hint="eastAsia"/>
                      <w:szCs w:val="21"/>
                      <w:u w:val="none"/>
                      <w:highlight w:val="none"/>
                    </w:rPr>
                    <w:t>.</w:t>
                  </w:r>
                  <w:r>
                    <w:rPr>
                      <w:rFonts w:hint="eastAsia"/>
                      <w:szCs w:val="21"/>
                      <w:u w:val="none"/>
                      <w:lang w:val="en-US" w:eastAsia="zh-CN"/>
                      <w:highlight w:val="none"/>
                    </w:rPr>
                    <w:t>8</w:t>
                  </w:r>
                </w:p>
              </w:tc>
              <w:tc>
                <w:tcPr>
                  <w:tcW w:w="219"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w:t>
                  </w:r>
                  <w:r>
                    <w:rPr>
                      <w:rFonts w:hint="eastAsia"/>
                      <w:szCs w:val="21"/>
                      <w:u w:val="none"/>
                      <w:highlight w:val="none"/>
                    </w:rPr>
                    <w:t>.7</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42.7</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32.1</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94.5</w:t>
                  </w:r>
                </w:p>
              </w:tc>
              <w:tc>
                <w:tcPr>
                  <w:tcW w:w="18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20.2</w:t>
                  </w:r>
                </w:p>
              </w:tc>
              <w:tc>
                <w:tcPr>
                  <w:tcW w:w="178"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w:t>
                  </w:r>
                  <w:r>
                    <w:rPr>
                      <w:rFonts w:hint="eastAsia"/>
                      <w:szCs w:val="21"/>
                      <w:u w:val="none"/>
                      <w:highlight w:val="none"/>
                    </w:rPr>
                    <w:t>6.3</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highlight w:val="none"/>
                    </w:rPr>
                    <w:t>5</w:t>
                  </w:r>
                  <w:r>
                    <w:rPr>
                      <w:rFonts w:hint="eastAsia"/>
                      <w:szCs w:val="21"/>
                      <w:u w:val="none"/>
                      <w:lang w:val="en-US" w:eastAsia="zh-CN"/>
                      <w:highlight w:val="none"/>
                    </w:rPr>
                    <w:t>0.0</w:t>
                  </w:r>
                </w:p>
              </w:tc>
              <w:tc>
                <w:tcPr>
                  <w:tcW w:w="178"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w:t>
                  </w:r>
                  <w:r>
                    <w:rPr>
                      <w:rFonts w:hint="eastAsia"/>
                      <w:szCs w:val="21"/>
                      <w:u w:val="none"/>
                      <w:highlight w:val="none"/>
                    </w:rPr>
                    <w:t>4.6</w:t>
                  </w:r>
                </w:p>
              </w:tc>
              <w:tc>
                <w:tcPr>
                  <w:tcW w:w="181"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56.8</w:t>
                  </w:r>
                </w:p>
              </w:tc>
              <w:tc>
                <w:tcPr>
                  <w:tcW w:w="203" w:type="pct"/>
                  <w:vMerge/>
                  <w:shd w:val="clear" w:color="auto" w:fill="FFFFFF"/>
                  <w:tcMar>
                    <w:left w:w="0" w:type="dxa"/>
                    <w:right w:w="0" w:type="dxa"/>
                  </w:tcMar>
                  <w:vAlign w:val="center"/>
                </w:tcP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4"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83"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2</w:t>
                  </w:r>
                  <w:r>
                    <w:rPr>
                      <w:rFonts w:hint="eastAsia"/>
                      <w:szCs w:val="21"/>
                      <w:u w:val="none"/>
                      <w:highlight w:val="none"/>
                    </w:rPr>
                    <w:t>6.3</w:t>
                  </w:r>
                </w:p>
              </w:tc>
              <w:tc>
                <w:tcPr>
                  <w:tcW w:w="183" w:type="pct"/>
                  <w:shd w:val="clear" w:color="auto" w:fill="FFFFFF"/>
                  <w:tcMar>
                    <w:left w:w="0" w:type="dxa"/>
                    <w:right w:w="0" w:type="dxa"/>
                  </w:tcMar>
                  <w:vAlign w:val="center"/>
                </w:tcPr>
                <w:p>
                  <w:pPr>
                    <w:adjustRightInd w:val="0"/>
                    <w:snapToGrid w:val="0"/>
                    <w:jc w:val="center"/>
                    <w:rPr>
                      <w:rFonts w:eastAsia="宋体"/>
                      <w:szCs w:val="21"/>
                      <w:u w:val="none"/>
                      <w:lang w:val="en-US" w:eastAsia="zh-CN"/>
                      <w:highlight w:val="none"/>
                    </w:rPr>
                  </w:pPr>
                  <w:r>
                    <w:rPr>
                      <w:rFonts w:hint="eastAsia"/>
                      <w:szCs w:val="21"/>
                      <w:u w:val="none"/>
                      <w:highlight w:val="none"/>
                    </w:rPr>
                    <w:t>3</w:t>
                  </w:r>
                  <w:r>
                    <w:rPr>
                      <w:rFonts w:hint="eastAsia"/>
                      <w:szCs w:val="21"/>
                      <w:u w:val="none"/>
                      <w:lang w:val="en-US" w:eastAsia="zh-CN"/>
                      <w:highlight w:val="none"/>
                    </w:rPr>
                    <w:t>0.0</w:t>
                  </w:r>
                </w:p>
              </w:tc>
              <w:tc>
                <w:tcPr>
                  <w:tcW w:w="183"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2</w:t>
                  </w:r>
                  <w:r>
                    <w:rPr>
                      <w:rFonts w:hint="eastAsia"/>
                      <w:szCs w:val="21"/>
                      <w:u w:val="none"/>
                      <w:highlight w:val="none"/>
                    </w:rPr>
                    <w:t>4.6</w:t>
                  </w:r>
                </w:p>
              </w:tc>
              <w:tc>
                <w:tcPr>
                  <w:tcW w:w="184" w:type="pct"/>
                  <w:shd w:val="clear" w:color="auto" w:fill="FFFFFF"/>
                  <w:tcMar>
                    <w:left w:w="0" w:type="dxa"/>
                    <w:right w:w="0" w:type="dxa"/>
                  </w:tcMar>
                  <w:vAlign w:val="center"/>
                </w:tcPr>
                <w:p>
                  <w:pPr>
                    <w:adjustRightInd w:val="0"/>
                    <w:snapToGrid w:val="0"/>
                    <w:jc w:val="center"/>
                    <w:rPr>
                      <w:rFonts w:eastAsia="宋体"/>
                      <w:szCs w:val="21"/>
                      <w:u w:val="none"/>
                      <w:lang w:val="en-US" w:eastAsia="zh-CN"/>
                      <w:highlight w:val="none"/>
                    </w:rPr>
                  </w:pPr>
                  <w:r>
                    <w:rPr>
                      <w:rFonts w:hint="eastAsia"/>
                      <w:szCs w:val="21"/>
                      <w:u w:val="none"/>
                      <w:lang w:val="en-US" w:eastAsia="zh-CN"/>
                      <w:highlight w:val="none"/>
                    </w:rPr>
                    <w:t>36.8</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r>
              <w:tc>
                <w:tcPr>
                  <w:tcW w:w="176" w:type="pct"/>
                  <w:shd w:val="clear" w:color="auto" w:fill="FFFFFF"/>
                  <w:tcMar>
                    <w:left w:w="0" w:type="dxa"/>
                    <w:right w:w="0" w:type="dxa"/>
                  </w:tcMar>
                  <w:vAlign w:val="center"/>
                </w:tcPr>
                <w:p>
                  <w:pPr>
                    <w:adjustRightInd w:val="0"/>
                    <w:snapToGrid w:val="0"/>
                    <w:jc w:val="center"/>
                    <w:rPr>
                      <w:rFonts w:eastAsia="宋体" w:hint="eastAsia"/>
                      <w:szCs w:val="21"/>
                      <w:u w:val="none"/>
                      <w:lang w:eastAsia="zh-CN"/>
                      <w:highlight w:val="none"/>
                    </w:rPr>
                  </w:pPr>
                  <w:r>
                    <w:rPr>
                      <w:rFonts w:hint="eastAsia"/>
                      <w:szCs w:val="21"/>
                      <w:u w:val="none"/>
                      <w:lang w:val="en-US" w:eastAsia="zh-CN"/>
                      <w:highlight w:val="none"/>
                    </w:rPr>
                    <w:t>6</w:t>
                  </w:r>
                </w:p>
              </w:tc>
              <w:tc>
                <w:tcPr>
                  <w:tcW w:w="201" w:type="pct"/>
                  <w:vMerge/>
                  <w:shd w:val="clear" w:color="auto" w:fill="FFFFFF"/>
                  <w:tcMar>
                    <w:left w:w="0" w:type="dxa"/>
                    <w:right w:w="0" w:type="dxa"/>
                  </w:tcMar>
                  <w:vAlign w:val="center"/>
                </w:tcPr>
                <w:p/>
              </w:tc>
              <w:tc>
                <w:tcPr>
                  <w:tcW w:w="192"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空压机</w:t>
                  </w:r>
                </w:p>
              </w:tc>
              <w:tc>
                <w:tcPr>
                  <w:tcW w:w="257"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85</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jc w:val="center"/>
                    <w:rPr>
                      <w:szCs w:val="21"/>
                      <w:u w:val="none"/>
                      <w:lang w:val="en-US"/>
                      <w:highlight w:val="none"/>
                    </w:rPr>
                  </w:pPr>
                  <w:r>
                    <w:rPr>
                      <w:rFonts w:hint="eastAsia"/>
                      <w:szCs w:val="21"/>
                      <w:u w:val="none"/>
                      <w:lang w:val="en-US" w:eastAsia="zh-CN"/>
                      <w:highlight w:val="none"/>
                    </w:rPr>
                    <w:t>5.9</w:t>
                  </w:r>
                </w:p>
              </w:tc>
              <w:tc>
                <w:tcPr>
                  <w:tcW w:w="219" w:type="pct"/>
                  <w:shd w:val="clear" w:color="auto" w:fill="FFFFFF"/>
                  <w:tcMar>
                    <w:left w:w="0" w:type="dxa"/>
                    <w:right w:w="0" w:type="dxa"/>
                  </w:tcMar>
                  <w:vAlign w:val="center"/>
                </w:tcPr>
                <w:p>
                  <w:pPr>
                    <w:jc w:val="center"/>
                    <w:rPr>
                      <w:szCs w:val="21"/>
                      <w:u w:val="none"/>
                      <w:highlight w:val="none"/>
                    </w:rPr>
                  </w:pPr>
                  <w:r>
                    <w:rPr>
                      <w:rFonts w:hint="eastAsia"/>
                      <w:szCs w:val="21"/>
                      <w:u w:val="none"/>
                      <w:highlight w:val="none"/>
                    </w:rPr>
                    <w:t>-</w:t>
                  </w:r>
                  <w:r>
                    <w:rPr>
                      <w:rFonts w:hint="eastAsia"/>
                      <w:szCs w:val="21"/>
                      <w:u w:val="none"/>
                      <w:lang w:val="en-US" w:eastAsia="zh-CN"/>
                      <w:highlight w:val="none"/>
                    </w:rPr>
                    <w:t>2</w:t>
                  </w:r>
                  <w:r>
                    <w:rPr>
                      <w:rFonts w:hint="eastAsia"/>
                      <w:szCs w:val="21"/>
                      <w:u w:val="none"/>
                      <w:highlight w:val="none"/>
                    </w:rPr>
                    <w:t>.8</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62.5</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20.1</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70.5</w:t>
                  </w:r>
                </w:p>
              </w:tc>
              <w:tc>
                <w:tcPr>
                  <w:tcW w:w="18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22.1</w:t>
                  </w:r>
                </w:p>
              </w:tc>
              <w:tc>
                <w:tcPr>
                  <w:tcW w:w="178"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57</w:t>
                  </w:r>
                  <w:r>
                    <w:rPr>
                      <w:rFonts w:hint="eastAsia"/>
                      <w:szCs w:val="21"/>
                      <w:u w:val="none"/>
                      <w:highlight w:val="none"/>
                    </w:rPr>
                    <w:t>.</w:t>
                  </w:r>
                  <w:r>
                    <w:rPr>
                      <w:rFonts w:hint="eastAsia"/>
                      <w:szCs w:val="21"/>
                      <w:u w:val="none"/>
                      <w:lang w:val="en-US" w:eastAsia="zh-CN"/>
                      <w:highlight w:val="none"/>
                    </w:rPr>
                    <w:t>8</w:t>
                  </w:r>
                </w:p>
              </w:tc>
              <w:tc>
                <w:tcPr>
                  <w:tcW w:w="178" w:type="pct"/>
                  <w:shd w:val="clear" w:color="auto" w:fill="FFFFFF"/>
                  <w:tcMar>
                    <w:left w:w="0" w:type="dxa"/>
                    <w:right w:w="0" w:type="dxa"/>
                  </w:tcMar>
                  <w:vAlign w:val="center"/>
                </w:tcPr>
                <w:p>
                  <w:pPr>
                    <w:jc w:val="center"/>
                    <w:rPr>
                      <w:szCs w:val="21"/>
                      <w:u w:val="none"/>
                      <w:highlight w:val="none"/>
                    </w:rPr>
                  </w:pPr>
                  <w:r>
                    <w:rPr>
                      <w:rFonts w:hint="eastAsia"/>
                      <w:szCs w:val="21"/>
                      <w:u w:val="none"/>
                      <w:highlight w:val="none"/>
                    </w:rPr>
                    <w:t>6</w:t>
                  </w:r>
                  <w:r>
                    <w:rPr>
                      <w:rFonts w:hint="eastAsia"/>
                      <w:szCs w:val="21"/>
                      <w:u w:val="none"/>
                      <w:lang w:val="en-US" w:eastAsia="zh-CN"/>
                      <w:highlight w:val="none"/>
                    </w:rPr>
                    <w:t>2</w:t>
                  </w:r>
                  <w:r>
                    <w:rPr>
                      <w:rFonts w:hint="eastAsia"/>
                      <w:szCs w:val="21"/>
                      <w:u w:val="none"/>
                      <w:highlight w:val="none"/>
                    </w:rPr>
                    <w:t>.2</w:t>
                  </w:r>
                </w:p>
              </w:tc>
              <w:tc>
                <w:tcPr>
                  <w:tcW w:w="178"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55</w:t>
                  </w:r>
                  <w:r>
                    <w:rPr>
                      <w:rFonts w:hint="eastAsia"/>
                      <w:szCs w:val="21"/>
                      <w:u w:val="none"/>
                      <w:highlight w:val="none"/>
                    </w:rPr>
                    <w:t>.1</w:t>
                  </w:r>
                </w:p>
              </w:tc>
              <w:tc>
                <w:tcPr>
                  <w:tcW w:w="181"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65</w:t>
                  </w:r>
                  <w:r>
                    <w:rPr>
                      <w:rFonts w:hint="eastAsia"/>
                      <w:szCs w:val="21"/>
                      <w:u w:val="none"/>
                      <w:highlight w:val="none"/>
                    </w:rPr>
                    <w:t>.</w:t>
                  </w:r>
                  <w:r>
                    <w:rPr>
                      <w:rFonts w:hint="eastAsia"/>
                      <w:szCs w:val="21"/>
                      <w:u w:val="none"/>
                      <w:lang w:val="en-US" w:eastAsia="zh-CN"/>
                      <w:highlight w:val="none"/>
                    </w:rPr>
                    <w:t>6</w:t>
                  </w:r>
                </w:p>
              </w:tc>
              <w:tc>
                <w:tcPr>
                  <w:tcW w:w="203" w:type="pct"/>
                  <w:vMerge/>
                  <w:shd w:val="clear" w:color="auto" w:fill="FFFFFF"/>
                  <w:tcMar>
                    <w:left w:w="0" w:type="dxa"/>
                    <w:right w:w="0" w:type="dxa"/>
                  </w:tcMar>
                  <w:vAlign w:val="center"/>
                </w:tcP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4"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83" w:type="pct"/>
                  <w:shd w:val="clear" w:color="auto" w:fill="FFFFFF"/>
                  <w:tcMar>
                    <w:left w:w="0" w:type="dxa"/>
                    <w:right w:w="0" w:type="dxa"/>
                  </w:tcMar>
                  <w:vAlign w:val="center"/>
                </w:tcPr>
                <w:p>
                  <w:pPr>
                    <w:adjustRightInd w:val="0"/>
                    <w:snapToGrid w:val="0"/>
                    <w:jc w:val="center"/>
                    <w:rPr>
                      <w:rFonts w:eastAsia="宋体"/>
                      <w:szCs w:val="21"/>
                      <w:u w:val="none"/>
                      <w:lang w:val="en-US" w:eastAsia="zh-CN"/>
                      <w:highlight w:val="none"/>
                    </w:rPr>
                  </w:pPr>
                  <w:r>
                    <w:rPr>
                      <w:rFonts w:hint="eastAsia"/>
                      <w:szCs w:val="21"/>
                      <w:u w:val="none"/>
                      <w:lang w:val="en-US" w:eastAsia="zh-CN"/>
                      <w:highlight w:val="none"/>
                    </w:rPr>
                    <w:t>37.8</w:t>
                  </w:r>
                </w:p>
              </w:tc>
              <w:tc>
                <w:tcPr>
                  <w:tcW w:w="183"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4</w:t>
                  </w:r>
                  <w:r>
                    <w:rPr>
                      <w:rFonts w:hint="eastAsia"/>
                      <w:szCs w:val="21"/>
                      <w:u w:val="none"/>
                      <w:lang w:val="en-US" w:eastAsia="zh-CN"/>
                      <w:highlight w:val="none"/>
                    </w:rPr>
                    <w:t>2</w:t>
                  </w:r>
                  <w:r>
                    <w:rPr>
                      <w:rFonts w:hint="eastAsia"/>
                      <w:szCs w:val="21"/>
                      <w:u w:val="none"/>
                      <w:highlight w:val="none"/>
                    </w:rPr>
                    <w:t>.2</w:t>
                  </w:r>
                </w:p>
              </w:tc>
              <w:tc>
                <w:tcPr>
                  <w:tcW w:w="183"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35</w:t>
                  </w:r>
                  <w:r>
                    <w:rPr>
                      <w:rFonts w:hint="eastAsia"/>
                      <w:szCs w:val="21"/>
                      <w:u w:val="none"/>
                      <w:highlight w:val="none"/>
                    </w:rPr>
                    <w:t>.1</w:t>
                  </w:r>
                </w:p>
              </w:tc>
              <w:tc>
                <w:tcPr>
                  <w:tcW w:w="184" w:type="pct"/>
                  <w:shd w:val="clear" w:color="auto" w:fill="FFFFFF"/>
                  <w:tcMar>
                    <w:left w:w="0" w:type="dxa"/>
                    <w:right w:w="0" w:type="dxa"/>
                  </w:tcMar>
                  <w:vAlign w:val="center"/>
                </w:tcPr>
                <w:p>
                  <w:pPr>
                    <w:adjustRightInd w:val="0"/>
                    <w:snapToGrid w:val="0"/>
                    <w:jc w:val="center"/>
                    <w:rPr>
                      <w:rFonts w:eastAsia="宋体"/>
                      <w:szCs w:val="21"/>
                      <w:u w:val="none"/>
                      <w:lang w:val="en-US" w:eastAsia="zh-CN"/>
                      <w:highlight w:val="none"/>
                    </w:rPr>
                  </w:pPr>
                  <w:r>
                    <w:rPr>
                      <w:rFonts w:hint="eastAsia"/>
                      <w:szCs w:val="21"/>
                      <w:u w:val="none"/>
                      <w:lang w:val="en-US" w:eastAsia="zh-CN"/>
                      <w:highlight w:val="none"/>
                    </w:rPr>
                    <w:t>45.6</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r>
              <w:tc>
                <w:tcPr>
                  <w:tcW w:w="176" w:type="pct"/>
                  <w:shd w:val="clear" w:color="auto" w:fill="FFFFFF"/>
                  <w:tcMar>
                    <w:left w:w="0" w:type="dxa"/>
                    <w:right w:w="0" w:type="dxa"/>
                  </w:tcMar>
                  <w:vAlign w:val="center"/>
                </w:tcPr>
                <w:p>
                  <w:pPr>
                    <w:adjustRightInd w:val="0"/>
                    <w:snapToGrid w:val="0"/>
                    <w:jc w:val="center"/>
                    <w:rPr>
                      <w:rFonts w:eastAsia="宋体" w:hint="eastAsia"/>
                      <w:szCs w:val="21"/>
                      <w:u w:val="none"/>
                      <w:lang w:eastAsia="zh-CN"/>
                      <w:highlight w:val="none"/>
                    </w:rPr>
                  </w:pPr>
                  <w:r>
                    <w:rPr>
                      <w:rFonts w:hint="eastAsia"/>
                      <w:szCs w:val="21"/>
                      <w:u w:val="none"/>
                      <w:lang w:val="en-US" w:eastAsia="zh-CN"/>
                      <w:highlight w:val="none"/>
                    </w:rPr>
                    <w:t>7</w:t>
                  </w:r>
                </w:p>
              </w:tc>
              <w:tc>
                <w:tcPr>
                  <w:tcW w:w="201" w:type="pct"/>
                  <w:vMerge/>
                  <w:shd w:val="clear" w:color="auto" w:fill="FFFFFF"/>
                  <w:tcMar>
                    <w:left w:w="0" w:type="dxa"/>
                    <w:right w:w="0" w:type="dxa"/>
                  </w:tcMar>
                  <w:vAlign w:val="center"/>
                </w:tcPr>
                <w:p/>
              </w:tc>
              <w:tc>
                <w:tcPr>
                  <w:tcW w:w="192"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离水泵-1</w:t>
                  </w:r>
                </w:p>
              </w:tc>
              <w:tc>
                <w:tcPr>
                  <w:tcW w:w="257" w:type="pct"/>
                  <w:shd w:val="clear" w:color="auto" w:fill="FFFFFF"/>
                  <w:tcMar>
                    <w:left w:w="0" w:type="dxa"/>
                    <w:right w:w="0" w:type="dxa"/>
                  </w:tcMar>
                  <w:vAlign w:val="center"/>
                </w:tcPr>
                <w:p>
                  <w:pPr>
                    <w:jc w:val="center"/>
                    <w:rPr>
                      <w:szCs w:val="21"/>
                      <w:u w:val="none"/>
                      <w:highlight w:val="none"/>
                    </w:rPr>
                  </w:pPr>
                  <w:r>
                    <w:rPr>
                      <w:szCs w:val="21"/>
                      <w:u w:val="none"/>
                      <w:highlight w:val="none"/>
                    </w:rPr>
                    <w:t>80</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highlight w:val="none"/>
                    </w:rPr>
                    <w:t>-</w:t>
                  </w:r>
                  <w:r>
                    <w:rPr>
                      <w:rFonts w:hint="eastAsia"/>
                      <w:szCs w:val="21"/>
                      <w:u w:val="none"/>
                      <w:lang w:val="en-US" w:eastAsia="zh-CN"/>
                      <w:highlight w:val="none"/>
                    </w:rPr>
                    <w:t>1</w:t>
                  </w:r>
                  <w:r>
                    <w:rPr>
                      <w:rFonts w:hint="eastAsia"/>
                      <w:szCs w:val="21"/>
                      <w:u w:val="none"/>
                      <w:highlight w:val="none"/>
                    </w:rPr>
                    <w:t>.</w:t>
                  </w:r>
                  <w:r>
                    <w:rPr>
                      <w:rFonts w:hint="eastAsia"/>
                      <w:szCs w:val="21"/>
                      <w:u w:val="none"/>
                      <w:lang w:val="en-US" w:eastAsia="zh-CN"/>
                      <w:highlight w:val="none"/>
                    </w:rPr>
                    <w:t>7</w:t>
                  </w:r>
                </w:p>
              </w:tc>
              <w:tc>
                <w:tcPr>
                  <w:tcW w:w="219"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highlight w:val="none"/>
                    </w:rPr>
                    <w:t>-</w:t>
                  </w:r>
                  <w:r>
                    <w:rPr>
                      <w:rFonts w:hint="eastAsia"/>
                      <w:szCs w:val="21"/>
                      <w:u w:val="none"/>
                      <w:lang w:val="en-US" w:eastAsia="zh-CN"/>
                      <w:highlight w:val="none"/>
                    </w:rPr>
                    <w:t>5</w:t>
                  </w:r>
                  <w:r>
                    <w:rPr>
                      <w:rFonts w:hint="eastAsia"/>
                      <w:szCs w:val="21"/>
                      <w:u w:val="none"/>
                      <w:highlight w:val="none"/>
                    </w:rPr>
                    <w:t>.</w:t>
                  </w:r>
                  <w:r>
                    <w:rPr>
                      <w:rFonts w:hint="eastAsia"/>
                      <w:szCs w:val="21"/>
                      <w:u w:val="none"/>
                      <w:lang w:val="en-US" w:eastAsia="zh-CN"/>
                      <w:highlight w:val="none"/>
                    </w:rPr>
                    <w:t>6</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75.2</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15.4</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56.4</w:t>
                  </w:r>
                </w:p>
              </w:tc>
              <w:tc>
                <w:tcPr>
                  <w:tcW w:w="18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10.4</w:t>
                  </w:r>
                </w:p>
              </w:tc>
              <w:tc>
                <w:tcPr>
                  <w:tcW w:w="178"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49</w:t>
                  </w:r>
                  <w:r>
                    <w:rPr>
                      <w:rFonts w:hint="eastAsia"/>
                      <w:szCs w:val="21"/>
                      <w:u w:val="none"/>
                      <w:highlight w:val="none"/>
                    </w:rPr>
                    <w:t>.</w:t>
                  </w:r>
                  <w:r>
                    <w:rPr>
                      <w:rFonts w:hint="eastAsia"/>
                      <w:szCs w:val="21"/>
                      <w:u w:val="none"/>
                      <w:lang w:val="en-US" w:eastAsia="zh-CN"/>
                      <w:highlight w:val="none"/>
                    </w:rPr>
                    <w:t>2</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59.3</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43.2</w:t>
                  </w:r>
                </w:p>
              </w:tc>
              <w:tc>
                <w:tcPr>
                  <w:tcW w:w="181" w:type="pct"/>
                  <w:shd w:val="clear" w:color="auto" w:fill="FFFFFF"/>
                  <w:tcMar>
                    <w:left w:w="0" w:type="dxa"/>
                    <w:right w:w="0" w:type="dxa"/>
                  </w:tcMar>
                  <w:vAlign w:val="center"/>
                </w:tcPr>
                <w:p>
                  <w:pPr>
                    <w:jc w:val="center"/>
                    <w:rPr>
                      <w:szCs w:val="21"/>
                      <w:u w:val="none"/>
                      <w:lang w:val="en-US"/>
                      <w:highlight w:val="none"/>
                    </w:rPr>
                  </w:pPr>
                  <w:r>
                    <w:rPr>
                      <w:rFonts w:hint="eastAsia"/>
                      <w:szCs w:val="21"/>
                      <w:u w:val="none"/>
                      <w:highlight w:val="none"/>
                    </w:rPr>
                    <w:t>6</w:t>
                  </w:r>
                  <w:r>
                    <w:rPr>
                      <w:rFonts w:hint="eastAsia"/>
                      <w:szCs w:val="21"/>
                      <w:u w:val="none"/>
                      <w:lang w:val="en-US" w:eastAsia="zh-CN"/>
                      <w:highlight w:val="none"/>
                    </w:rPr>
                    <w:t>4.5</w:t>
                  </w:r>
                </w:p>
              </w:tc>
              <w:tc>
                <w:tcPr>
                  <w:tcW w:w="203" w:type="pct"/>
                  <w:vMerge/>
                  <w:shd w:val="clear" w:color="auto" w:fill="FFFFFF"/>
                  <w:tcMar>
                    <w:left w:w="0" w:type="dxa"/>
                    <w:right w:w="0" w:type="dxa"/>
                  </w:tcMar>
                  <w:vAlign w:val="center"/>
                </w:tcP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4"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12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29</w:t>
                  </w:r>
                  <w:r>
                    <w:rPr>
                      <w:rFonts w:hint="eastAsia"/>
                      <w:szCs w:val="21"/>
                      <w:u w:val="none"/>
                      <w:highlight w:val="none"/>
                    </w:rPr>
                    <w:t>.</w:t>
                  </w:r>
                  <w:r>
                    <w:rPr>
                      <w:rFonts w:hint="eastAsia"/>
                      <w:szCs w:val="21"/>
                      <w:u w:val="none"/>
                      <w:lang w:val="en-US" w:eastAsia="zh-CN"/>
                      <w:highlight w:val="none"/>
                    </w:rPr>
                    <w:t>2</w:t>
                  </w:r>
                </w:p>
              </w:tc>
              <w:tc>
                <w:tcPr>
                  <w:tcW w:w="1120"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39.3</w:t>
                  </w:r>
                </w:p>
              </w:tc>
              <w:tc>
                <w:tcPr>
                  <w:tcW w:w="1120"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33.2</w:t>
                  </w:r>
                </w:p>
              </w:tc>
              <w:tc>
                <w:tcPr>
                  <w:tcW w:w="1127"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44.5</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r>
              <w:tc>
                <w:tcPr>
                  <w:tcW w:w="176" w:type="pct"/>
                  <w:shd w:val="clear" w:color="auto" w:fill="FFFFFF"/>
                  <w:tcMar>
                    <w:left w:w="0" w:type="dxa"/>
                    <w:right w:w="0" w:type="dxa"/>
                  </w:tcMar>
                  <w:vAlign w:val="center"/>
                </w:tcPr>
                <w:p>
                  <w:pPr>
                    <w:adjustRightInd w:val="0"/>
                    <w:snapToGrid w:val="0"/>
                    <w:jc w:val="center"/>
                    <w:rPr>
                      <w:rFonts w:eastAsia="宋体" w:hint="eastAsia"/>
                      <w:szCs w:val="21"/>
                      <w:u w:val="none"/>
                      <w:lang w:eastAsia="zh-CN"/>
                      <w:highlight w:val="none"/>
                    </w:rPr>
                  </w:pPr>
                  <w:r>
                    <w:rPr>
                      <w:rFonts w:hint="eastAsia"/>
                      <w:szCs w:val="21"/>
                      <w:u w:val="none"/>
                      <w:lang w:val="en-US" w:eastAsia="zh-CN"/>
                      <w:highlight w:val="none"/>
                    </w:rPr>
                    <w:t>8</w:t>
                  </w:r>
                </w:p>
              </w:tc>
              <w:tc>
                <w:tcPr>
                  <w:tcW w:w="201" w:type="pct"/>
                  <w:vMerge/>
                  <w:shd w:val="clear" w:color="auto" w:fill="FFFFFF"/>
                  <w:tcMar>
                    <w:left w:w="0" w:type="dxa"/>
                    <w:right w:w="0" w:type="dxa"/>
                  </w:tcMar>
                  <w:vAlign w:val="center"/>
                </w:tcPr>
                <w:p/>
              </w:tc>
              <w:tc>
                <w:tcPr>
                  <w:tcW w:w="192"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离水泵-2</w:t>
                  </w:r>
                </w:p>
              </w:tc>
              <w:tc>
                <w:tcPr>
                  <w:tcW w:w="257" w:type="pct"/>
                  <w:shd w:val="clear" w:color="auto" w:fill="FFFFFF"/>
                  <w:tcMar>
                    <w:left w:w="0" w:type="dxa"/>
                    <w:right w:w="0" w:type="dxa"/>
                  </w:tcMar>
                  <w:vAlign w:val="center"/>
                </w:tcPr>
                <w:p>
                  <w:pPr>
                    <w:jc w:val="center"/>
                    <w:rPr>
                      <w:szCs w:val="21"/>
                      <w:u w:val="none"/>
                      <w:highlight w:val="none"/>
                    </w:rPr>
                  </w:pPr>
                  <w:r>
                    <w:rPr>
                      <w:szCs w:val="21"/>
                      <w:u w:val="none"/>
                      <w:highlight w:val="none"/>
                    </w:rPr>
                    <w:t>80</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highlight w:val="none"/>
                    </w:rPr>
                    <w:t>-2.</w:t>
                  </w:r>
                  <w:r>
                    <w:rPr>
                      <w:rFonts w:hint="eastAsia"/>
                      <w:szCs w:val="21"/>
                      <w:u w:val="none"/>
                      <w:lang w:val="en-US" w:eastAsia="zh-CN"/>
                      <w:highlight w:val="none"/>
                    </w:rPr>
                    <w:t>2</w:t>
                  </w:r>
                </w:p>
              </w:tc>
              <w:tc>
                <w:tcPr>
                  <w:tcW w:w="219" w:type="pct"/>
                  <w:shd w:val="clear" w:color="auto" w:fill="FFFFFF"/>
                  <w:tcMar>
                    <w:left w:w="0" w:type="dxa"/>
                    <w:right w:w="0" w:type="dxa"/>
                  </w:tcMar>
                  <w:vAlign w:val="center"/>
                </w:tcPr>
                <w:p>
                  <w:pPr>
                    <w:jc w:val="center"/>
                    <w:rPr>
                      <w:szCs w:val="21"/>
                      <w:u w:val="none"/>
                      <w:lang w:val="en-US"/>
                      <w:highlight w:val="none"/>
                    </w:rPr>
                  </w:pPr>
                  <w:r>
                    <w:rPr>
                      <w:rFonts w:hint="eastAsia"/>
                      <w:szCs w:val="21"/>
                      <w:u w:val="none"/>
                      <w:highlight w:val="none"/>
                    </w:rPr>
                    <w:t>-</w:t>
                  </w:r>
                  <w:r>
                    <w:rPr>
                      <w:rFonts w:hint="eastAsia"/>
                      <w:szCs w:val="21"/>
                      <w:u w:val="none"/>
                      <w:lang w:val="en-US" w:eastAsia="zh-CN"/>
                      <w:highlight w:val="none"/>
                    </w:rPr>
                    <w:t>5.6</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78" w:type="pct"/>
                  <w:shd w:val="clear" w:color="auto" w:fill="FFFFFF"/>
                  <w:tcMar>
                    <w:left w:w="0" w:type="dxa"/>
                    <w:right w:w="0" w:type="dxa"/>
                  </w:tcMar>
                  <w:vAlign w:val="center"/>
                </w:tcPr>
                <w:p>
                  <w:pPr>
                    <w:jc w:val="center"/>
                    <w:rPr>
                      <w:szCs w:val="21"/>
                      <w:u w:val="none"/>
                      <w:lang w:val="en-US"/>
                      <w:highlight w:val="none"/>
                    </w:rPr>
                  </w:pPr>
                  <w:r>
                    <w:rPr>
                      <w:rFonts w:hint="eastAsia"/>
                      <w:szCs w:val="21"/>
                      <w:u w:val="none"/>
                      <w:lang w:val="en-US" w:eastAsia="zh-CN"/>
                      <w:highlight w:val="none"/>
                    </w:rPr>
                    <w:t>75.7</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15.4</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56.9</w:t>
                  </w:r>
                </w:p>
              </w:tc>
              <w:tc>
                <w:tcPr>
                  <w:tcW w:w="18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10.4</w:t>
                  </w:r>
                </w:p>
              </w:tc>
              <w:tc>
                <w:tcPr>
                  <w:tcW w:w="178"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48</w:t>
                  </w:r>
                  <w:r>
                    <w:rPr>
                      <w:rFonts w:hint="eastAsia"/>
                      <w:szCs w:val="21"/>
                      <w:u w:val="none"/>
                      <w:highlight w:val="none"/>
                    </w:rPr>
                    <w:t>.</w:t>
                  </w:r>
                  <w:r>
                    <w:rPr>
                      <w:rFonts w:hint="eastAsia"/>
                      <w:szCs w:val="21"/>
                      <w:u w:val="none"/>
                      <w:lang w:val="en-US" w:eastAsia="zh-CN"/>
                      <w:highlight w:val="none"/>
                    </w:rPr>
                    <w:t>7</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59.3</w:t>
                  </w:r>
                </w:p>
              </w:tc>
              <w:tc>
                <w:tcPr>
                  <w:tcW w:w="178"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42.7</w:t>
                  </w:r>
                </w:p>
              </w:tc>
              <w:tc>
                <w:tcPr>
                  <w:tcW w:w="181" w:type="pct"/>
                  <w:shd w:val="clear" w:color="auto" w:fill="FFFFFF"/>
                  <w:tcMar>
                    <w:left w:w="0" w:type="dxa"/>
                    <w:right w:w="0" w:type="dxa"/>
                  </w:tcMar>
                  <w:vAlign w:val="center"/>
                </w:tcPr>
                <w:p>
                  <w:pPr>
                    <w:jc w:val="center"/>
                    <w:rPr>
                      <w:szCs w:val="21"/>
                      <w:u w:val="none"/>
                      <w:lang w:val="en-US"/>
                      <w:highlight w:val="none"/>
                    </w:rPr>
                  </w:pPr>
                  <w:r>
                    <w:rPr>
                      <w:rFonts w:hint="eastAsia"/>
                      <w:szCs w:val="21"/>
                      <w:u w:val="none"/>
                      <w:highlight w:val="none"/>
                    </w:rPr>
                    <w:t>6</w:t>
                  </w:r>
                  <w:r>
                    <w:rPr>
                      <w:rFonts w:hint="eastAsia"/>
                      <w:szCs w:val="21"/>
                      <w:u w:val="none"/>
                      <w:lang w:val="en-US" w:eastAsia="zh-CN"/>
                      <w:highlight w:val="none"/>
                    </w:rPr>
                    <w:t>4.5</w:t>
                  </w:r>
                </w:p>
              </w:tc>
              <w:tc>
                <w:tcPr>
                  <w:tcW w:w="203" w:type="pct"/>
                  <w:vMerge/>
                  <w:shd w:val="clear" w:color="auto" w:fill="FFFFFF"/>
                  <w:tcMar>
                    <w:left w:w="0" w:type="dxa"/>
                    <w:right w:w="0" w:type="dxa"/>
                  </w:tcMar>
                  <w:vAlign w:val="center"/>
                </w:tcP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74"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12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28</w:t>
                  </w:r>
                  <w:r>
                    <w:rPr>
                      <w:rFonts w:hint="eastAsia"/>
                      <w:szCs w:val="21"/>
                      <w:u w:val="none"/>
                      <w:highlight w:val="none"/>
                    </w:rPr>
                    <w:t>.</w:t>
                  </w:r>
                  <w:r>
                    <w:rPr>
                      <w:rFonts w:hint="eastAsia"/>
                      <w:szCs w:val="21"/>
                      <w:u w:val="none"/>
                      <w:lang w:val="en-US" w:eastAsia="zh-CN"/>
                      <w:highlight w:val="none"/>
                    </w:rPr>
                    <w:t>7</w:t>
                  </w:r>
                </w:p>
              </w:tc>
              <w:tc>
                <w:tcPr>
                  <w:tcW w:w="1120"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39.3</w:t>
                  </w:r>
                </w:p>
              </w:tc>
              <w:tc>
                <w:tcPr>
                  <w:tcW w:w="1120"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32.7</w:t>
                  </w:r>
                </w:p>
              </w:tc>
              <w:tc>
                <w:tcPr>
                  <w:tcW w:w="1127"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44.5</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r>
              <w:tc>
                <w:tcPr>
                  <w:tcW w:w="176" w:type="pct"/>
                  <w:shd w:val="clear" w:color="auto" w:fill="FFFFFF"/>
                  <w:tcMar>
                    <w:left w:w="0" w:type="dxa"/>
                    <w:right w:w="0" w:type="dxa"/>
                  </w:tcMar>
                  <w:vAlign w:val="center"/>
                </w:tcPr>
                <w:p>
                  <w:pPr>
                    <w:adjustRightInd w:val="0"/>
                    <w:snapToGrid w:val="0"/>
                    <w:jc w:val="center"/>
                    <w:rPr>
                      <w:rFonts w:eastAsia="宋体" w:hint="eastAsia"/>
                      <w:szCs w:val="21"/>
                      <w:u w:val="none"/>
                      <w:lang w:eastAsia="zh-CN"/>
                      <w:highlight w:val="none"/>
                    </w:rPr>
                  </w:pPr>
                  <w:r>
                    <w:rPr>
                      <w:rFonts w:hint="eastAsia"/>
                      <w:szCs w:val="21"/>
                      <w:u w:val="none"/>
                      <w:lang w:val="en-US" w:eastAsia="zh-CN"/>
                      <w:highlight w:val="none"/>
                    </w:rPr>
                    <w:t>9</w:t>
                  </w:r>
                </w:p>
              </w:tc>
              <w:tc>
                <w:tcPr>
                  <w:tcW w:w="201" w:type="pct"/>
                  <w:vMerge/>
                  <w:shd w:val="clear" w:color="auto" w:fill="FFFFFF"/>
                  <w:tcMar>
                    <w:left w:w="0" w:type="dxa"/>
                    <w:right w:w="0" w:type="dxa"/>
                  </w:tcMar>
                  <w:vAlign w:val="center"/>
                </w:tcPr>
                <w:p/>
              </w:tc>
              <w:tc>
                <w:tcPr>
                  <w:tcW w:w="1175"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送水泵-1</w:t>
                  </w:r>
                </w:p>
              </w:tc>
              <w:tc>
                <w:tcPr>
                  <w:tcW w:w="257" w:type="pct"/>
                  <w:shd w:val="clear" w:color="auto" w:fill="FFFFFF"/>
                  <w:tcMar>
                    <w:left w:w="0" w:type="dxa"/>
                    <w:right w:w="0" w:type="dxa"/>
                  </w:tcMar>
                  <w:vAlign w:val="center"/>
                </w:tcPr>
                <w:p>
                  <w:pPr>
                    <w:jc w:val="center"/>
                    <w:rPr>
                      <w:szCs w:val="21"/>
                      <w:u w:val="none"/>
                      <w:highlight w:val="none"/>
                    </w:rPr>
                  </w:pPr>
                  <w:r>
                    <w:rPr>
                      <w:szCs w:val="21"/>
                      <w:u w:val="none"/>
                      <w:highlight w:val="none"/>
                    </w:rPr>
                    <w:t>70</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jc w:val="center"/>
                    <w:rPr>
                      <w:szCs w:val="21"/>
                      <w:u w:val="none"/>
                      <w:lang w:val="en-US"/>
                      <w:highlight w:val="none"/>
                    </w:rPr>
                  </w:pPr>
                  <w:r>
                    <w:rPr>
                      <w:rFonts w:hint="eastAsia"/>
                      <w:szCs w:val="21"/>
                      <w:u w:val="none"/>
                      <w:highlight w:val="none"/>
                    </w:rPr>
                    <w:t>-</w:t>
                  </w:r>
                  <w:r>
                    <w:rPr>
                      <w:rFonts w:hint="eastAsia"/>
                      <w:szCs w:val="21"/>
                      <w:u w:val="none"/>
                      <w:lang w:val="en-US" w:eastAsia="zh-CN"/>
                      <w:highlight w:val="none"/>
                    </w:rPr>
                    <w:t>42.8</w:t>
                  </w:r>
                </w:p>
              </w:tc>
              <w:tc>
                <w:tcPr>
                  <w:tcW w:w="21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10.7</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87.0</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19.6</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44.2</w:t>
                  </w:r>
                </w:p>
              </w:tc>
              <w:tc>
                <w:tcPr>
                  <w:tcW w:w="1157"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11.7</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45</w:t>
                  </w:r>
                  <w:r>
                    <w:rPr>
                      <w:rFonts w:hint="eastAsia"/>
                      <w:szCs w:val="21"/>
                      <w:u w:val="none"/>
                      <w:highlight w:val="none"/>
                    </w:rPr>
                    <w:t>.6</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57</w:t>
                  </w:r>
                  <w:r>
                    <w:rPr>
                      <w:rFonts w:hint="eastAsia"/>
                      <w:szCs w:val="21"/>
                      <w:u w:val="none"/>
                      <w:highlight w:val="none"/>
                    </w:rPr>
                    <w:t>.</w:t>
                  </w:r>
                  <w:r>
                    <w:rPr>
                      <w:rFonts w:hint="eastAsia"/>
                      <w:szCs w:val="21"/>
                      <w:u w:val="none"/>
                      <w:lang w:val="en-US" w:eastAsia="zh-CN"/>
                      <w:highlight w:val="none"/>
                    </w:rPr>
                    <w:t>9</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45.8</w:t>
                  </w:r>
                </w:p>
              </w:tc>
              <w:tc>
                <w:tcPr>
                  <w:tcW w:w="1107" w:type="pct"/>
                  <w:shd w:val="clear" w:color="auto" w:fill="FFFFFF"/>
                  <w:tcMar>
                    <w:left w:w="0" w:type="dxa"/>
                    <w:right w:w="0" w:type="dxa"/>
                  </w:tcMar>
                  <w:vAlign w:val="center"/>
                </w:tcPr>
                <w:p>
                  <w:pPr>
                    <w:jc w:val="center"/>
                    <w:rPr>
                      <w:szCs w:val="21"/>
                      <w:u w:val="none"/>
                      <w:highlight w:val="none"/>
                    </w:rPr>
                  </w:pPr>
                  <w:r>
                    <w:rPr>
                      <w:rFonts w:hint="eastAsia"/>
                      <w:szCs w:val="21"/>
                      <w:u w:val="none"/>
                      <w:highlight w:val="none"/>
                    </w:rPr>
                    <w:t>6</w:t>
                  </w:r>
                  <w:r>
                    <w:rPr>
                      <w:rFonts w:hint="eastAsia"/>
                      <w:szCs w:val="21"/>
                      <w:u w:val="none"/>
                      <w:lang w:val="en-US" w:eastAsia="zh-CN"/>
                      <w:highlight w:val="none"/>
                    </w:rPr>
                    <w:t>3</w:t>
                  </w:r>
                  <w:r>
                    <w:rPr>
                      <w:rFonts w:hint="eastAsia"/>
                      <w:szCs w:val="21"/>
                      <w:u w:val="none"/>
                      <w:highlight w:val="none"/>
                    </w:rPr>
                    <w:t>.2</w:t>
                  </w:r>
                </w:p>
              </w:tc>
              <w:tc>
                <w:tcPr>
                  <w:tcW w:w="1242" w:type="pct"/>
                  <w:vMerge w:val="restart"/>
                  <w:shd w:val="clear" w:color="auto" w:fill="FFFFFF"/>
                  <w:tcMar>
                    <w:left w:w="0" w:type="dxa"/>
                    <w:right w:w="0" w:type="dxa"/>
                  </w:tcMar>
                  <w:vAlign w:val="center"/>
                </w:tcPr>
                <w:p>
                  <w:pPr>
                    <w:adjustRightInd w:val="0"/>
                    <w:snapToGrid w:val="0"/>
                    <w:jc w:val="center"/>
                    <w:rPr>
                      <w:szCs w:val="21"/>
                      <w:u w:val="none"/>
                      <w:highlight w:val="none"/>
                    </w:rPr>
                  </w:pPr>
                </w:p>
              </w:tc>
              <w:tc>
                <w:tcPr>
                  <w:tcW w:w="105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05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05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070"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120"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25</w:t>
                  </w:r>
                  <w:r>
                    <w:rPr>
                      <w:rFonts w:hint="eastAsia"/>
                      <w:szCs w:val="21"/>
                      <w:u w:val="none"/>
                      <w:highlight w:val="none"/>
                    </w:rPr>
                    <w:t>.6</w:t>
                  </w:r>
                </w:p>
              </w:tc>
              <w:tc>
                <w:tcPr>
                  <w:tcW w:w="1120"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37.9</w:t>
                  </w:r>
                </w:p>
              </w:tc>
              <w:tc>
                <w:tcPr>
                  <w:tcW w:w="1120"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25.8</w:t>
                  </w:r>
                </w:p>
              </w:tc>
              <w:tc>
                <w:tcPr>
                  <w:tcW w:w="1127"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4</w:t>
                  </w:r>
                  <w:r>
                    <w:rPr>
                      <w:rFonts w:hint="eastAsia"/>
                      <w:szCs w:val="21"/>
                      <w:u w:val="none"/>
                      <w:lang w:val="en-US" w:eastAsia="zh-CN"/>
                      <w:highlight w:val="none"/>
                    </w:rPr>
                    <w:t>3</w:t>
                  </w:r>
                  <w:r>
                    <w:rPr>
                      <w:rFonts w:hint="eastAsia"/>
                      <w:szCs w:val="21"/>
                      <w:u w:val="none"/>
                      <w:highlight w:val="none"/>
                    </w:rPr>
                    <w:t>.2</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r>
              <w:tc>
                <w:tcPr>
                  <w:tcW w:w="176" w:type="pct"/>
                  <w:shd w:val="clear" w:color="auto" w:fill="FFFFFF"/>
                  <w:tcMar>
                    <w:left w:w="0" w:type="dxa"/>
                    <w:right w:w="0" w:type="dxa"/>
                  </w:tcMar>
                  <w:vAlign w:val="center"/>
                </w:tcPr>
                <w:p>
                  <w:pPr>
                    <w:adjustRightInd w:val="0"/>
                    <w:snapToGrid w:val="0"/>
                    <w:jc w:val="center"/>
                    <w:rPr>
                      <w:rFonts w:eastAsia="宋体" w:hint="eastAsia"/>
                      <w:szCs w:val="21"/>
                      <w:u w:val="none"/>
                      <w:lang w:eastAsia="zh-CN"/>
                      <w:highlight w:val="none"/>
                    </w:rPr>
                  </w:pPr>
                  <w:r>
                    <w:rPr>
                      <w:rFonts w:hint="eastAsia"/>
                      <w:szCs w:val="21"/>
                      <w:u w:val="none"/>
                      <w:highlight w:val="none"/>
                    </w:rPr>
                    <w:t>1</w:t>
                  </w:r>
                  <w:r>
                    <w:rPr>
                      <w:rFonts w:hint="eastAsia"/>
                      <w:szCs w:val="21"/>
                      <w:u w:val="none"/>
                      <w:lang w:val="en-US" w:eastAsia="zh-CN"/>
                      <w:highlight w:val="none"/>
                    </w:rPr>
                    <w:t>0</w:t>
                  </w:r>
                </w:p>
              </w:tc>
              <w:tc>
                <w:tcPr>
                  <w:tcW w:w="201" w:type="pct"/>
                  <w:vMerge/>
                  <w:shd w:val="clear" w:color="auto" w:fill="FFFFFF"/>
                  <w:tcMar>
                    <w:left w:w="0" w:type="dxa"/>
                    <w:right w:w="0" w:type="dxa"/>
                  </w:tcMar>
                  <w:vAlign w:val="center"/>
                </w:tcPr>
                <w:p/>
              </w:tc>
              <w:tc>
                <w:tcPr>
                  <w:tcW w:w="1175"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送水</w:t>
                  </w:r>
                  <w:r>
                    <w:rPr>
                      <w:rFonts w:hint="eastAsia"/>
                      <w:szCs w:val="21"/>
                      <w:u w:val="none"/>
                      <w:highlight w:val="none"/>
                    </w:rPr>
                    <w:t>泵</w:t>
                  </w:r>
                  <w:r>
                    <w:rPr>
                      <w:rFonts w:hint="eastAsia"/>
                      <w:szCs w:val="21"/>
                      <w:u w:val="none"/>
                      <w:lang w:val="en-US" w:eastAsia="zh-CN"/>
                      <w:highlight w:val="none"/>
                    </w:rPr>
                    <w:t>-2</w:t>
                  </w:r>
                </w:p>
              </w:tc>
              <w:tc>
                <w:tcPr>
                  <w:tcW w:w="257" w:type="pct"/>
                  <w:shd w:val="clear" w:color="auto" w:fill="FFFFFF"/>
                  <w:tcMar>
                    <w:left w:w="0" w:type="dxa"/>
                    <w:right w:w="0" w:type="dxa"/>
                  </w:tcMar>
                  <w:vAlign w:val="center"/>
                </w:tcPr>
                <w:p>
                  <w:pPr>
                    <w:jc w:val="center"/>
                    <w:rPr>
                      <w:szCs w:val="21"/>
                      <w:u w:val="none"/>
                      <w:highlight w:val="none"/>
                    </w:rPr>
                  </w:pPr>
                  <w:r>
                    <w:rPr>
                      <w:szCs w:val="21"/>
                      <w:u w:val="none"/>
                      <w:highlight w:val="none"/>
                    </w:rPr>
                    <w:t>70</w:t>
                  </w:r>
                </w:p>
              </w:tc>
              <w:tc>
                <w:tcPr>
                  <w:tcW w:w="198" w:type="pct"/>
                  <w:vMerge/>
                  <w:shd w:val="clear" w:color="auto" w:fill="FFFFFF"/>
                  <w:tcMar>
                    <w:left w:w="0" w:type="dxa"/>
                    <w:right w:w="0" w:type="dxa"/>
                  </w:tcMar>
                  <w:vAlign w:val="center"/>
                </w:tcPr>
                <w:p/>
              </w:tc>
              <w:tc>
                <w:tcPr>
                  <w:tcW w:w="219" w:type="pct"/>
                  <w:shd w:val="clear" w:color="auto" w:fill="FFFFFF"/>
                  <w:tcMar>
                    <w:left w:w="0" w:type="dxa"/>
                    <w:right w:w="0" w:type="dxa"/>
                  </w:tcMar>
                  <w:vAlign w:val="center"/>
                </w:tcPr>
                <w:p>
                  <w:pPr>
                    <w:jc w:val="center"/>
                    <w:rPr>
                      <w:szCs w:val="21"/>
                      <w:u w:val="none"/>
                      <w:lang w:val="en-US"/>
                      <w:highlight w:val="none"/>
                    </w:rPr>
                  </w:pPr>
                  <w:r>
                    <w:rPr>
                      <w:rFonts w:hint="eastAsia"/>
                      <w:szCs w:val="21"/>
                      <w:u w:val="none"/>
                      <w:highlight w:val="none"/>
                    </w:rPr>
                    <w:t>-</w:t>
                  </w:r>
                  <w:r>
                    <w:rPr>
                      <w:rFonts w:hint="eastAsia"/>
                      <w:szCs w:val="21"/>
                      <w:u w:val="none"/>
                      <w:lang w:val="en-US" w:eastAsia="zh-CN"/>
                      <w:highlight w:val="none"/>
                    </w:rPr>
                    <w:t>42.2</w:t>
                  </w:r>
                </w:p>
              </w:tc>
              <w:tc>
                <w:tcPr>
                  <w:tcW w:w="219" w:type="pct"/>
                  <w:shd w:val="clear" w:color="auto" w:fill="FFFFFF"/>
                  <w:tcMar>
                    <w:left w:w="0" w:type="dxa"/>
                    <w:right w:w="0" w:type="dxa"/>
                  </w:tcMar>
                  <w:vAlign w:val="center"/>
                </w:tcPr>
                <w:p>
                  <w:pPr>
                    <w:jc w:val="center"/>
                    <w:rPr>
                      <w:rFonts w:eastAsia="宋体"/>
                      <w:szCs w:val="21"/>
                      <w:u w:val="none"/>
                      <w:lang w:val="en-US" w:eastAsia="zh-CN"/>
                      <w:highlight w:val="none"/>
                    </w:rPr>
                  </w:pPr>
                  <w:r>
                    <w:rPr>
                      <w:rFonts w:hint="eastAsia"/>
                      <w:szCs w:val="21"/>
                      <w:u w:val="none"/>
                      <w:lang w:val="en-US" w:eastAsia="zh-CN"/>
                      <w:highlight w:val="none"/>
                    </w:rPr>
                    <w:t>11.0</w:t>
                  </w:r>
                </w:p>
              </w:tc>
              <w:tc>
                <w:tcPr>
                  <w:tcW w:w="219" w:type="pct"/>
                  <w:shd w:val="clear" w:color="auto" w:fill="FFFFFF"/>
                  <w:tcMar>
                    <w:left w:w="0" w:type="dxa"/>
                    <w:right w:w="0" w:type="dxa"/>
                  </w:tcMar>
                  <w:vAlign w:val="center"/>
                </w:tcPr>
                <w:p>
                  <w:pPr>
                    <w:jc w:val="center"/>
                    <w:rPr>
                      <w:szCs w:val="21"/>
                      <w:u w:val="none"/>
                      <w:highlight w:val="none"/>
                    </w:rPr>
                  </w:pPr>
                  <w:r>
                    <w:rPr>
                      <w:szCs w:val="21"/>
                      <w:u w:val="none"/>
                      <w:highlight w:val="none"/>
                    </w:rPr>
                    <w:t>1.2</w:t>
                  </w:r>
                </w:p>
              </w:tc>
              <w:tc>
                <w:tcPr>
                  <w:tcW w:w="1090" w:type="pct"/>
                  <w:shd w:val="clear" w:color="auto" w:fill="FFFFFF"/>
                  <w:tcMar>
                    <w:left w:w="0" w:type="dxa"/>
                    <w:right w:w="0" w:type="dxa"/>
                  </w:tcMar>
                  <w:vAlign w:val="center"/>
                </w:tcPr>
                <w:p>
                  <w:pPr>
                    <w:jc w:val="center"/>
                    <w:rPr>
                      <w:rFonts w:eastAsia="宋体" w:hint="eastAsia"/>
                      <w:szCs w:val="21"/>
                      <w:u w:val="none"/>
                      <w:lang w:eastAsia="zh-CN"/>
                      <w:highlight w:val="none"/>
                    </w:rPr>
                  </w:pPr>
                  <w:r>
                    <w:rPr>
                      <w:rFonts w:hint="eastAsia"/>
                      <w:szCs w:val="21"/>
                      <w:u w:val="none"/>
                      <w:lang w:val="en-US" w:eastAsia="zh-CN"/>
                      <w:highlight w:val="none"/>
                    </w:rPr>
                    <w:t>87</w:t>
                  </w:r>
                  <w:r>
                    <w:rPr>
                      <w:rFonts w:hint="eastAsia"/>
                      <w:szCs w:val="21"/>
                      <w:u w:val="none"/>
                      <w:highlight w:val="none"/>
                    </w:rPr>
                    <w:t>.</w:t>
                  </w:r>
                  <w:r>
                    <w:rPr>
                      <w:rFonts w:hint="eastAsia"/>
                      <w:szCs w:val="21"/>
                      <w:u w:val="none"/>
                      <w:lang w:val="en-US" w:eastAsia="zh-CN"/>
                      <w:highlight w:val="none"/>
                    </w:rPr>
                    <w:t>6</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19.6</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43.6</w:t>
                  </w:r>
                </w:p>
              </w:tc>
              <w:tc>
                <w:tcPr>
                  <w:tcW w:w="1157"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11.7</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45</w:t>
                  </w:r>
                  <w:r>
                    <w:rPr>
                      <w:rFonts w:hint="eastAsia"/>
                      <w:szCs w:val="21"/>
                      <w:u w:val="none"/>
                      <w:highlight w:val="none"/>
                    </w:rPr>
                    <w:t>.1</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57</w:t>
                  </w:r>
                  <w:r>
                    <w:rPr>
                      <w:rFonts w:hint="eastAsia"/>
                      <w:szCs w:val="21"/>
                      <w:u w:val="none"/>
                      <w:highlight w:val="none"/>
                    </w:rPr>
                    <w:t>.</w:t>
                  </w:r>
                  <w:r>
                    <w:rPr>
                      <w:rFonts w:hint="eastAsia"/>
                      <w:szCs w:val="21"/>
                      <w:u w:val="none"/>
                      <w:lang w:val="en-US" w:eastAsia="zh-CN"/>
                      <w:highlight w:val="none"/>
                    </w:rPr>
                    <w:t>9</w:t>
                  </w:r>
                </w:p>
              </w:tc>
              <w:tc>
                <w:tcPr>
                  <w:tcW w:w="1090" w:type="pct"/>
                  <w:shd w:val="clear" w:color="auto" w:fill="FFFFFF"/>
                  <w:tcMar>
                    <w:left w:w="0" w:type="dxa"/>
                    <w:right w:w="0" w:type="dxa"/>
                  </w:tcMar>
                  <w:vAlign w:val="center"/>
                </w:tcPr>
                <w:p>
                  <w:pPr>
                    <w:jc w:val="center"/>
                    <w:rPr>
                      <w:szCs w:val="21"/>
                      <w:u w:val="none"/>
                      <w:highlight w:val="none"/>
                    </w:rPr>
                  </w:pPr>
                  <w:r>
                    <w:rPr>
                      <w:rFonts w:hint="eastAsia"/>
                      <w:szCs w:val="21"/>
                      <w:u w:val="none"/>
                      <w:lang w:val="en-US" w:eastAsia="zh-CN"/>
                      <w:highlight w:val="none"/>
                    </w:rPr>
                    <w:t>46.1</w:t>
                  </w:r>
                </w:p>
              </w:tc>
              <w:tc>
                <w:tcPr>
                  <w:tcW w:w="1107" w:type="pct"/>
                  <w:shd w:val="clear" w:color="auto" w:fill="FFFFFF"/>
                  <w:tcMar>
                    <w:left w:w="0" w:type="dxa"/>
                    <w:right w:w="0" w:type="dxa"/>
                  </w:tcMar>
                  <w:vAlign w:val="center"/>
                </w:tcPr>
                <w:p>
                  <w:pPr>
                    <w:jc w:val="center"/>
                    <w:rPr>
                      <w:szCs w:val="21"/>
                      <w:u w:val="none"/>
                      <w:highlight w:val="none"/>
                    </w:rPr>
                  </w:pPr>
                  <w:r>
                    <w:rPr>
                      <w:rFonts w:hint="eastAsia"/>
                      <w:szCs w:val="21"/>
                      <w:u w:val="none"/>
                      <w:highlight w:val="none"/>
                    </w:rPr>
                    <w:t>6</w:t>
                  </w:r>
                  <w:r>
                    <w:rPr>
                      <w:rFonts w:hint="eastAsia"/>
                      <w:szCs w:val="21"/>
                      <w:u w:val="none"/>
                      <w:lang w:val="en-US" w:eastAsia="zh-CN"/>
                      <w:highlight w:val="none"/>
                    </w:rPr>
                    <w:t>3</w:t>
                  </w:r>
                  <w:r>
                    <w:rPr>
                      <w:rFonts w:hint="eastAsia"/>
                      <w:szCs w:val="21"/>
                      <w:u w:val="none"/>
                      <w:highlight w:val="none"/>
                    </w:rPr>
                    <w:t>.2</w:t>
                  </w:r>
                </w:p>
              </w:tc>
              <w:tc>
                <w:tcPr>
                  <w:tcW w:w="1242" w:type="pct"/>
                  <w:vMerge/>
                  <w:shd w:val="clear" w:color="auto" w:fill="FFFFFF"/>
                  <w:tcMar>
                    <w:left w:w="0" w:type="dxa"/>
                    <w:right w:w="0" w:type="dxa"/>
                  </w:tcMar>
                  <w:vAlign w:val="center"/>
                </w:tcPr>
                <w:p/>
              </w:tc>
              <w:tc>
                <w:tcPr>
                  <w:tcW w:w="105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05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052"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070"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2</w:t>
                  </w:r>
                  <w:r>
                    <w:rPr>
                      <w:rFonts w:hint="eastAsia"/>
                      <w:szCs w:val="21"/>
                      <w:u w:val="none"/>
                      <w:highlight w:val="none"/>
                    </w:rPr>
                    <w:t>0</w:t>
                  </w:r>
                  <w:r>
                    <w:rPr>
                      <w:szCs w:val="21"/>
                      <w:u w:val="none"/>
                      <w:highlight w:val="none"/>
                    </w:rPr>
                    <w:t>.0</w:t>
                  </w:r>
                </w:p>
              </w:tc>
              <w:tc>
                <w:tcPr>
                  <w:tcW w:w="1120"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25</w:t>
                  </w:r>
                  <w:r>
                    <w:rPr>
                      <w:rFonts w:hint="eastAsia"/>
                      <w:szCs w:val="21"/>
                      <w:u w:val="none"/>
                      <w:highlight w:val="none"/>
                    </w:rPr>
                    <w:t>.1</w:t>
                  </w:r>
                </w:p>
              </w:tc>
              <w:tc>
                <w:tcPr>
                  <w:tcW w:w="1120"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37.9</w:t>
                  </w:r>
                </w:p>
              </w:tc>
              <w:tc>
                <w:tcPr>
                  <w:tcW w:w="1120"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lang w:val="en-US" w:eastAsia="zh-CN"/>
                      <w:highlight w:val="none"/>
                    </w:rPr>
                    <w:t>26.1</w:t>
                  </w:r>
                </w:p>
              </w:tc>
              <w:tc>
                <w:tcPr>
                  <w:tcW w:w="1127" w:type="pct"/>
                  <w:shd w:val="clear" w:color="auto" w:fill="FFFFFF"/>
                  <w:tcMar>
                    <w:left w:w="0" w:type="dxa"/>
                    <w:right w:w="0" w:type="dxa"/>
                  </w:tcMar>
                  <w:vAlign w:val="center"/>
                </w:tcPr>
                <w:p>
                  <w:pPr>
                    <w:adjustRightInd w:val="0"/>
                    <w:snapToGrid w:val="0"/>
                    <w:jc w:val="center"/>
                    <w:rPr>
                      <w:szCs w:val="21"/>
                      <w:u w:val="none"/>
                      <w:highlight w:val="none"/>
                    </w:rPr>
                  </w:pPr>
                  <w:r>
                    <w:rPr>
                      <w:rFonts w:hint="eastAsia"/>
                      <w:szCs w:val="21"/>
                      <w:u w:val="none"/>
                      <w:highlight w:val="none"/>
                    </w:rPr>
                    <w:t>4</w:t>
                  </w:r>
                  <w:r>
                    <w:rPr>
                      <w:rFonts w:hint="eastAsia"/>
                      <w:szCs w:val="21"/>
                      <w:u w:val="none"/>
                      <w:lang w:val="en-US" w:eastAsia="zh-CN"/>
                      <w:highlight w:val="none"/>
                    </w:rPr>
                    <w:t>3</w:t>
                  </w:r>
                  <w:r>
                    <w:rPr>
                      <w:rFonts w:hint="eastAsia"/>
                      <w:szCs w:val="21"/>
                      <w:u w:val="none"/>
                      <w:highlight w:val="none"/>
                    </w:rPr>
                    <w:t>.2</w:t>
                  </w:r>
                </w:p>
              </w:tc>
              <w:tc>
                <w:tcPr>
                  <w:tcW w:w="251" w:type="pct"/>
                  <w:shd w:val="clear" w:color="auto" w:fill="FFFFFF"/>
                  <w:tcMar>
                    <w:left w:w="0" w:type="dxa"/>
                    <w:right w:w="0" w:type="dxa"/>
                  </w:tcMar>
                  <w:vAlign w:val="center"/>
                </w:tcPr>
                <w:p>
                  <w:pPr>
                    <w:adjustRightInd w:val="0"/>
                    <w:snapToGrid w:val="0"/>
                    <w:jc w:val="center"/>
                    <w:rPr>
                      <w:szCs w:val="21"/>
                      <w:u w:val="none"/>
                      <w:highlight w:val="none"/>
                    </w:rPr>
                  </w:pPr>
                  <w:r>
                    <w:rPr>
                      <w:szCs w:val="21"/>
                      <w:u w:val="none"/>
                      <w:highlight w:val="none"/>
                    </w:rPr>
                    <w:t>1</w:t>
                  </w:r>
                </w:p>
              </w:tc>
            </w:tr>
          </w:tbl>
          <w:p>
            <w:pPr>
              <w:pStyle w:val="53"/>
              <w:spacing w:line="360" w:lineRule="auto"/>
              <w:ind w:firstLineChars="0" w:firstLine="0"/>
              <w:rPr>
                <w:rFonts w:eastAsia="宋体"/>
                <w:b/>
                <w:color w:val="auto"/>
                <w:sz w:val="24"/>
                <w:highlight w:val="none"/>
              </w:rPr>
            </w:pPr>
          </w:p>
          <w:p>
            <w:pPr>
              <w:pStyle w:val="53"/>
              <w:spacing w:line="360" w:lineRule="auto"/>
              <w:ind w:firstLineChars="0" w:firstLine="0"/>
              <w:rPr>
                <w:rFonts w:eastAsia="宋体"/>
                <w:b/>
                <w:color w:val="auto"/>
                <w:sz w:val="24"/>
                <w:highlight w:val="none"/>
              </w:rPr>
            </w:pPr>
          </w:p>
          <w:p>
            <w:pPr>
              <w:pStyle w:val="53"/>
              <w:spacing w:line="360" w:lineRule="auto"/>
              <w:ind w:firstLineChars="0" w:firstLine="0"/>
              <w:rPr>
                <w:rFonts w:eastAsia="宋体"/>
                <w:b/>
                <w:color w:val="auto"/>
                <w:sz w:val="24"/>
                <w:highlight w:val="none"/>
              </w:rPr>
            </w:pPr>
          </w:p>
          <w:p>
            <w:pPr>
              <w:pStyle w:val="53"/>
              <w:spacing w:line="360" w:lineRule="auto"/>
              <w:ind w:firstLineChars="0" w:firstLine="0"/>
              <w:rPr>
                <w:rFonts w:eastAsia="宋体"/>
                <w:b/>
                <w:color w:val="auto"/>
                <w:sz w:val="24"/>
                <w:highlight w:val="none"/>
              </w:rPr>
            </w:pPr>
          </w:p>
          <w:p>
            <w:pPr>
              <w:pStyle w:val="53"/>
              <w:spacing w:line="360" w:lineRule="auto"/>
              <w:ind w:firstLineChars="0" w:firstLine="0"/>
              <w:rPr>
                <w:rFonts w:eastAsia="宋体"/>
                <w:b/>
                <w:color w:val="auto"/>
                <w:sz w:val="24"/>
                <w:highlight w:val="none"/>
              </w:rPr>
            </w:pPr>
          </w:p>
          <w:p>
            <w:pPr>
              <w:pStyle w:val="53"/>
              <w:spacing w:line="360" w:lineRule="auto"/>
              <w:ind w:firstLineChars="0" w:firstLine="0"/>
              <w:rPr>
                <w:rFonts w:eastAsia="宋体"/>
                <w:b/>
                <w:color w:val="auto"/>
                <w:sz w:val="24"/>
                <w:highlight w:val="none"/>
              </w:rPr>
            </w:pPr>
          </w:p>
        </w:tc>
      </w:tr>
    </w:tbl>
    <w:p>
      <w:pPr>
        <w:rPr>
          <w:highlight w:val="none"/>
        </w:rPr>
      </w:pPr>
    </w:p>
    <w:p>
      <w:pPr>
        <w:pStyle w:val="17"/>
        <w:rPr>
          <w:highlight w:val="none"/>
        </w:rPr>
        <w:sectPr>
          <w:pgSz w:w="16840" w:h="11907" w:orient="landscape"/>
          <w:pgMar w:top="1531" w:right="1701" w:bottom="1531" w:left="2127" w:header="851" w:footer="1417" w:gutter="0"/>
          <w:pgBorders>
            <w:top w:val="none" w:sz="0" w:space="0" w:color="auto"/>
            <w:left w:val="none" w:sz="0" w:space="0" w:color="auto"/>
            <w:bottom w:val="none" w:sz="0" w:space="0" w:color="auto"/>
            <w:right w:val="none" w:sz="0" w:space="0" w:color="auto"/>
          </w:pgBorders>
          <w:cols w:num="1" w:space="720"/>
          <w:docGrid w:linePitch="312" w:charSpace="0"/>
        </w:sectPr>
      </w:pPr>
    </w:p>
    <w:tbl>
      <w:tblPr>
        <w:jc w:val="cent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468"/>
        <w:gridCol w:w="8357"/>
      </w:tblGrid>
      <w:tr>
        <w:trPr>
          <w:trHeight w:val="397"/>
        </w:trPr>
        <w:tc>
          <w:tcPr>
            <w:tcW w:w="265" w:type="pct"/>
            <w:tcMar>
              <w:left w:w="28" w:type="dxa"/>
              <w:right w:w="28" w:type="dxa"/>
            </w:tcMar>
            <w:vAlign w:val="center"/>
          </w:tcPr>
          <w:p>
            <w:pPr>
              <w:jc w:val="center"/>
              <w:rPr>
                <w:bCs/>
                <w:sz w:val="24"/>
                <w:highlight w:val="none"/>
              </w:rPr>
            </w:pPr>
            <w:r>
              <w:rPr>
                <w:bCs/>
                <w:sz w:val="24"/>
                <w:highlight w:val="none"/>
              </w:rPr>
              <w:t>运营</w:t>
            </w:r>
          </w:p>
          <w:p>
            <w:pPr>
              <w:jc w:val="center"/>
              <w:rPr>
                <w:bCs/>
                <w:sz w:val="24"/>
                <w:highlight w:val="none"/>
              </w:rPr>
            </w:pPr>
            <w:r>
              <w:rPr>
                <w:bCs/>
                <w:sz w:val="24"/>
                <w:highlight w:val="none"/>
              </w:rPr>
              <w:t>期环</w:t>
            </w:r>
          </w:p>
          <w:p>
            <w:pPr>
              <w:jc w:val="center"/>
              <w:rPr>
                <w:bCs/>
                <w:sz w:val="24"/>
                <w:highlight w:val="none"/>
              </w:rPr>
            </w:pPr>
            <w:r>
              <w:rPr>
                <w:bCs/>
                <w:sz w:val="24"/>
                <w:highlight w:val="none"/>
              </w:rPr>
              <w:t>境影</w:t>
            </w:r>
          </w:p>
          <w:p>
            <w:pPr>
              <w:jc w:val="center"/>
              <w:rPr>
                <w:bCs/>
                <w:sz w:val="24"/>
                <w:highlight w:val="none"/>
              </w:rPr>
            </w:pPr>
            <w:r>
              <w:rPr>
                <w:bCs/>
                <w:sz w:val="24"/>
                <w:highlight w:val="none"/>
              </w:rPr>
              <w:t>响和</w:t>
            </w:r>
          </w:p>
          <w:p>
            <w:pPr>
              <w:jc w:val="center"/>
              <w:rPr>
                <w:bCs/>
                <w:sz w:val="24"/>
                <w:highlight w:val="none"/>
              </w:rPr>
            </w:pPr>
            <w:r>
              <w:rPr>
                <w:bCs/>
                <w:sz w:val="24"/>
                <w:highlight w:val="none"/>
              </w:rPr>
              <w:t>保护</w:t>
            </w:r>
          </w:p>
          <w:p>
            <w:pPr>
              <w:jc w:val="center"/>
              <w:rPr>
                <w:bCs/>
                <w:sz w:val="24"/>
                <w:highlight w:val="none"/>
              </w:rPr>
            </w:pPr>
            <w:r>
              <w:rPr>
                <w:bCs/>
                <w:sz w:val="24"/>
                <w:highlight w:val="none"/>
              </w:rPr>
              <w:t>措施</w:t>
            </w:r>
          </w:p>
        </w:tc>
        <w:tc>
          <w:tcPr>
            <w:tcW w:w="4735" w:type="pct"/>
            <w:shd w:val="clear" w:color="auto" w:fill="FFFFFF"/>
            <w:vAlign w:val="center"/>
          </w:tcPr>
          <w:p>
            <w:pPr>
              <w:spacing w:line="360" w:lineRule="auto"/>
              <w:ind w:firstLineChars="200" w:firstLine="480"/>
              <w:rPr>
                <w:sz w:val="24"/>
                <w:u w:val="none"/>
                <w:highlight w:val="none"/>
              </w:rPr>
            </w:pPr>
            <w:r>
              <w:rPr>
                <w:rFonts w:hint="eastAsia"/>
                <w:sz w:val="24"/>
                <w:u w:val="none"/>
                <w:highlight w:val="none"/>
              </w:rPr>
              <w:t>2）基础数据</w:t>
            </w:r>
          </w:p>
          <w:p>
            <w:pPr>
              <w:pStyle w:val="21"/>
              <w:adjustRightInd/>
              <w:snapToGrid/>
              <w:spacing w:beforeLines="0" w:before="0"/>
              <w:ind w:right="0"/>
              <w:rPr>
                <w:u w:val="none"/>
                <w:highlight w:val="none"/>
              </w:rPr>
            </w:pPr>
            <w:r>
              <w:rPr>
                <w:rFonts w:hint="eastAsia"/>
                <w:u w:val="none"/>
                <w:highlight w:val="none"/>
              </w:rPr>
              <w:t>项</w:t>
            </w:r>
            <w:r>
              <w:rPr>
                <w:u w:val="none"/>
                <w:highlight w:val="none"/>
              </w:rPr>
              <w:t>目噪声环境影响预测基础数据见表4-</w:t>
            </w:r>
            <w:r>
              <w:rPr>
                <w:rFonts w:hint="eastAsia"/>
                <w:u w:val="none"/>
                <w:highlight w:val="none"/>
              </w:rPr>
              <w:t>5</w:t>
            </w:r>
            <w:r>
              <w:rPr>
                <w:u w:val="none"/>
                <w:highlight w:val="none"/>
              </w:rPr>
              <w:t>。</w:t>
            </w:r>
          </w:p>
          <w:p>
            <w:pPr>
              <w:snapToGrid w:val="0"/>
              <w:contextualSpacing/>
              <w:jc w:val="center"/>
              <w:rPr>
                <w:b/>
                <w:szCs w:val="21"/>
                <w:u w:val="none"/>
                <w:highlight w:val="none"/>
              </w:rPr>
            </w:pPr>
            <w:r>
              <w:rPr>
                <w:b/>
                <w:szCs w:val="21"/>
                <w:u w:val="none"/>
                <w:highlight w:val="none"/>
              </w:rPr>
              <w:t>表4-</w:t>
            </w:r>
            <w:r>
              <w:rPr>
                <w:rFonts w:hint="eastAsia"/>
                <w:b/>
                <w:szCs w:val="21"/>
                <w:u w:val="none"/>
                <w:highlight w:val="none"/>
              </w:rPr>
              <w:t>5</w:t>
            </w:r>
            <w:r>
              <w:rPr>
                <w:b/>
                <w:szCs w:val="21"/>
                <w:u w:val="none"/>
                <w:highlight w:val="none"/>
              </w:rPr>
              <w:t xml:space="preserve">  项目噪声环境影响预测基础数据表</w:t>
            </w:r>
          </w:p>
          <w:tbl>
            <w:tblPr>
              <w:jc w:val="center"/>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CellMar>
                <w:top w:w="0" w:type="dxa"/>
                <w:left w:w="108" w:type="dxa"/>
                <w:bottom w:w="0" w:type="dxa"/>
                <w:right w:w="108" w:type="dxa"/>
              </w:tblCellMar>
              <w:tblLook w:val="0600" w:firstRow="0" w:lastRow="0" w:firstColumn="0" w:lastColumn="0" w:noHBand="1" w:noVBand="1"/>
            </w:tblPr>
            <w:tblGrid>
              <w:gridCol w:w="1406"/>
              <w:gridCol w:w="2661"/>
              <w:gridCol w:w="2036"/>
              <w:gridCol w:w="2034"/>
            </w:tblGrid>
            <w:tr>
              <w:trPr>
                <w:trHeight w:val="340"/>
              </w:trPr>
              <w:tc>
                <w:tcPr>
                  <w:tcW w:w="864" w:type="pct"/>
                  <w:vAlign w:val="center"/>
                </w:tcPr>
                <w:p>
                  <w:pPr>
                    <w:jc w:val="center"/>
                    <w:rPr>
                      <w:szCs w:val="21"/>
                      <w:u w:val="none"/>
                      <w:highlight w:val="none"/>
                    </w:rPr>
                  </w:pPr>
                  <w:r>
                    <w:rPr>
                      <w:b/>
                      <w:szCs w:val="21"/>
                      <w:u w:val="none"/>
                      <w:highlight w:val="none"/>
                    </w:rPr>
                    <w:t>序号</w:t>
                  </w:r>
                </w:p>
              </w:tc>
              <w:tc>
                <w:tcPr>
                  <w:tcW w:w="1635" w:type="pct"/>
                  <w:vAlign w:val="center"/>
                </w:tcPr>
                <w:p>
                  <w:pPr>
                    <w:jc w:val="center"/>
                    <w:rPr>
                      <w:szCs w:val="21"/>
                      <w:u w:val="none"/>
                      <w:highlight w:val="none"/>
                    </w:rPr>
                  </w:pPr>
                  <w:r>
                    <w:rPr>
                      <w:b/>
                      <w:szCs w:val="21"/>
                      <w:u w:val="none"/>
                      <w:highlight w:val="none"/>
                    </w:rPr>
                    <w:t>名称</w:t>
                  </w:r>
                </w:p>
              </w:tc>
              <w:tc>
                <w:tcPr>
                  <w:tcW w:w="1251" w:type="pct"/>
                  <w:vAlign w:val="center"/>
                </w:tcPr>
                <w:p>
                  <w:pPr>
                    <w:jc w:val="center"/>
                    <w:rPr>
                      <w:szCs w:val="21"/>
                      <w:u w:val="none"/>
                      <w:highlight w:val="none"/>
                    </w:rPr>
                  </w:pPr>
                  <w:r>
                    <w:rPr>
                      <w:b/>
                      <w:szCs w:val="21"/>
                      <w:u w:val="none"/>
                      <w:highlight w:val="none"/>
                    </w:rPr>
                    <w:t>单位</w:t>
                  </w:r>
                </w:p>
              </w:tc>
              <w:tc>
                <w:tcPr>
                  <w:tcW w:w="1250" w:type="pct"/>
                  <w:vAlign w:val="center"/>
                </w:tcPr>
                <w:p>
                  <w:pPr>
                    <w:jc w:val="center"/>
                    <w:rPr>
                      <w:szCs w:val="21"/>
                      <w:u w:val="none"/>
                      <w:highlight w:val="none"/>
                    </w:rPr>
                  </w:pPr>
                  <w:r>
                    <w:rPr>
                      <w:b/>
                      <w:szCs w:val="21"/>
                      <w:u w:val="none"/>
                      <w:highlight w:val="none"/>
                    </w:rPr>
                    <w:t>数据</w:t>
                  </w:r>
                </w:p>
              </w:tc>
            </w:tr>
            <w:tr>
              <w:trPr>
                <w:trHeight w:val="340"/>
              </w:trPr>
              <w:tc>
                <w:tcPr>
                  <w:tcW w:w="864" w:type="pct"/>
                  <w:shd w:val="clear" w:color="auto" w:fill="FFFFFF"/>
                  <w:vAlign w:val="center"/>
                </w:tcPr>
                <w:p>
                  <w:pPr>
                    <w:jc w:val="center"/>
                    <w:rPr>
                      <w:szCs w:val="21"/>
                      <w:u w:val="none"/>
                      <w:highlight w:val="none"/>
                    </w:rPr>
                  </w:pPr>
                  <w:r>
                    <w:rPr>
                      <w:szCs w:val="21"/>
                      <w:u w:val="none"/>
                      <w:highlight w:val="none"/>
                    </w:rPr>
                    <w:t>1</w:t>
                  </w:r>
                </w:p>
              </w:tc>
              <w:tc>
                <w:tcPr>
                  <w:tcW w:w="1635" w:type="pct"/>
                  <w:shd w:val="clear" w:color="auto" w:fill="FFFFFF"/>
                  <w:vAlign w:val="center"/>
                </w:tcPr>
                <w:p>
                  <w:pPr>
                    <w:jc w:val="center"/>
                    <w:rPr>
                      <w:szCs w:val="21"/>
                      <w:u w:val="none"/>
                      <w:highlight w:val="none"/>
                    </w:rPr>
                  </w:pPr>
                  <w:r>
                    <w:rPr>
                      <w:szCs w:val="21"/>
                      <w:u w:val="none"/>
                      <w:highlight w:val="none"/>
                    </w:rPr>
                    <w:t>年平均风速</w:t>
                  </w:r>
                </w:p>
              </w:tc>
              <w:tc>
                <w:tcPr>
                  <w:tcW w:w="1251" w:type="pct"/>
                  <w:shd w:val="clear" w:color="auto" w:fill="FFFFFF"/>
                  <w:vAlign w:val="center"/>
                </w:tcPr>
                <w:p>
                  <w:pPr>
                    <w:jc w:val="center"/>
                    <w:rPr>
                      <w:szCs w:val="21"/>
                      <w:u w:val="none"/>
                      <w:highlight w:val="none"/>
                    </w:rPr>
                  </w:pPr>
                  <w:r>
                    <w:rPr>
                      <w:szCs w:val="21"/>
                      <w:u w:val="none"/>
                      <w:highlight w:val="none"/>
                    </w:rPr>
                    <w:t>m/s</w:t>
                  </w:r>
                </w:p>
              </w:tc>
              <w:tc>
                <w:tcPr>
                  <w:tcW w:w="1250" w:type="pct"/>
                  <w:shd w:val="clear" w:color="auto" w:fill="FFFFFF"/>
                  <w:vAlign w:val="center"/>
                </w:tcPr>
                <w:p>
                  <w:pPr>
                    <w:jc w:val="center"/>
                    <w:rPr>
                      <w:rFonts w:eastAsia="宋体" w:hint="eastAsia"/>
                      <w:szCs w:val="21"/>
                      <w:u w:val="none"/>
                      <w:lang w:eastAsia="zh-CN"/>
                      <w:highlight w:val="none"/>
                    </w:rPr>
                  </w:pPr>
                  <w:r>
                    <w:rPr>
                      <w:szCs w:val="21"/>
                      <w:u w:val="none"/>
                      <w:highlight w:val="none"/>
                    </w:rPr>
                    <w:t>2</w:t>
                  </w:r>
                  <w:r>
                    <w:rPr>
                      <w:rFonts w:hint="eastAsia"/>
                      <w:szCs w:val="21"/>
                      <w:u w:val="none"/>
                      <w:highlight w:val="none"/>
                    </w:rPr>
                    <w:t>.</w:t>
                  </w:r>
                  <w:r>
                    <w:rPr>
                      <w:rFonts w:hint="eastAsia"/>
                      <w:szCs w:val="21"/>
                      <w:u w:val="none"/>
                      <w:lang w:val="en-US" w:eastAsia="zh-CN"/>
                      <w:highlight w:val="none"/>
                    </w:rPr>
                    <w:t>1</w:t>
                  </w:r>
                </w:p>
              </w:tc>
            </w:tr>
            <w:tr>
              <w:trPr>
                <w:trHeight w:val="340"/>
              </w:trPr>
              <w:tc>
                <w:tcPr>
                  <w:tcW w:w="864" w:type="pct"/>
                  <w:shd w:val="clear" w:color="auto" w:fill="FFFFFF"/>
                  <w:vAlign w:val="center"/>
                </w:tcPr>
                <w:p>
                  <w:pPr>
                    <w:jc w:val="center"/>
                    <w:rPr>
                      <w:szCs w:val="21"/>
                      <w:u w:val="none"/>
                      <w:highlight w:val="none"/>
                    </w:rPr>
                  </w:pPr>
                  <w:r>
                    <w:rPr>
                      <w:szCs w:val="21"/>
                      <w:u w:val="none"/>
                      <w:highlight w:val="none"/>
                    </w:rPr>
                    <w:t>2</w:t>
                  </w:r>
                </w:p>
              </w:tc>
              <w:tc>
                <w:tcPr>
                  <w:tcW w:w="1635" w:type="pct"/>
                  <w:shd w:val="clear" w:color="auto" w:fill="FFFFFF"/>
                  <w:vAlign w:val="center"/>
                </w:tcPr>
                <w:p>
                  <w:pPr>
                    <w:jc w:val="center"/>
                    <w:rPr>
                      <w:szCs w:val="21"/>
                      <w:u w:val="none"/>
                      <w:highlight w:val="none"/>
                    </w:rPr>
                  </w:pPr>
                  <w:r>
                    <w:rPr>
                      <w:szCs w:val="21"/>
                      <w:u w:val="none"/>
                      <w:highlight w:val="none"/>
                    </w:rPr>
                    <w:t>主导风向</w:t>
                  </w:r>
                </w:p>
              </w:tc>
              <w:tc>
                <w:tcPr>
                  <w:tcW w:w="1251" w:type="pct"/>
                  <w:shd w:val="clear" w:color="auto" w:fill="FFFFFF"/>
                  <w:vAlign w:val="center"/>
                </w:tcPr>
                <w:p>
                  <w:pPr>
                    <w:jc w:val="center"/>
                    <w:rPr>
                      <w:szCs w:val="21"/>
                      <w:u w:val="none"/>
                      <w:highlight w:val="none"/>
                    </w:rPr>
                  </w:pPr>
                  <w:r>
                    <w:rPr>
                      <w:szCs w:val="21"/>
                      <w:u w:val="none"/>
                      <w:highlight w:val="none"/>
                    </w:rPr>
                    <w:t>/</w:t>
                  </w:r>
                </w:p>
              </w:tc>
              <w:tc>
                <w:tcPr>
                  <w:tcW w:w="1250" w:type="pct"/>
                  <w:shd w:val="clear" w:color="auto" w:fill="FFFFFF"/>
                  <w:vAlign w:val="center"/>
                </w:tcPr>
                <w:p>
                  <w:pPr>
                    <w:jc w:val="center"/>
                    <w:rPr>
                      <w:szCs w:val="21"/>
                      <w:u w:val="none"/>
                      <w:highlight w:val="none"/>
                    </w:rPr>
                  </w:pPr>
                  <w:r>
                    <w:rPr>
                      <w:rFonts w:hint="eastAsia"/>
                      <w:szCs w:val="21"/>
                      <w:u w:val="none"/>
                      <w:highlight w:val="none"/>
                    </w:rPr>
                    <w:t>东</w:t>
                  </w:r>
                  <w:r>
                    <w:rPr>
                      <w:szCs w:val="21"/>
                      <w:u w:val="none"/>
                      <w:highlight w:val="none"/>
                    </w:rPr>
                    <w:t>北风</w:t>
                  </w:r>
                </w:p>
              </w:tc>
            </w:tr>
            <w:tr>
              <w:trPr>
                <w:trHeight w:val="340"/>
              </w:trPr>
              <w:tc>
                <w:tcPr>
                  <w:tcW w:w="864" w:type="pct"/>
                  <w:shd w:val="clear" w:color="auto" w:fill="FFFFFF"/>
                  <w:vAlign w:val="center"/>
                </w:tcPr>
                <w:p>
                  <w:pPr>
                    <w:jc w:val="center"/>
                    <w:rPr>
                      <w:szCs w:val="21"/>
                      <w:u w:val="none"/>
                      <w:highlight w:val="none"/>
                    </w:rPr>
                  </w:pPr>
                  <w:r>
                    <w:rPr>
                      <w:szCs w:val="21"/>
                      <w:u w:val="none"/>
                      <w:highlight w:val="none"/>
                    </w:rPr>
                    <w:t>3</w:t>
                  </w:r>
                </w:p>
              </w:tc>
              <w:tc>
                <w:tcPr>
                  <w:tcW w:w="1635" w:type="pct"/>
                  <w:shd w:val="clear" w:color="auto" w:fill="FFFFFF"/>
                  <w:vAlign w:val="center"/>
                </w:tcPr>
                <w:p>
                  <w:pPr>
                    <w:jc w:val="center"/>
                    <w:rPr>
                      <w:szCs w:val="21"/>
                      <w:u w:val="none"/>
                      <w:highlight w:val="none"/>
                    </w:rPr>
                  </w:pPr>
                  <w:r>
                    <w:rPr>
                      <w:szCs w:val="21"/>
                      <w:u w:val="none"/>
                      <w:highlight w:val="none"/>
                    </w:rPr>
                    <w:t>年平均气温</w:t>
                  </w:r>
                </w:p>
              </w:tc>
              <w:tc>
                <w:tcPr>
                  <w:tcW w:w="1251" w:type="pct"/>
                  <w:shd w:val="clear" w:color="auto" w:fill="FFFFFF"/>
                  <w:vAlign w:val="center"/>
                </w:tcPr>
                <w:p>
                  <w:pPr>
                    <w:jc w:val="center"/>
                    <w:rPr>
                      <w:szCs w:val="21"/>
                      <w:u w:val="none"/>
                      <w:highlight w:val="none"/>
                    </w:rPr>
                  </w:pPr>
                  <w:r>
                    <w:rPr>
                      <w:szCs w:val="21"/>
                      <w:u w:val="none"/>
                      <w:highlight w:val="none"/>
                    </w:rPr>
                    <w:t>℃</w:t>
                  </w:r>
                </w:p>
              </w:tc>
              <w:tc>
                <w:tcPr>
                  <w:tcW w:w="1250" w:type="pct"/>
                  <w:shd w:val="clear" w:color="auto" w:fill="FFFFFF"/>
                  <w:vAlign w:val="center"/>
                </w:tcPr>
                <w:p>
                  <w:pPr>
                    <w:jc w:val="center"/>
                    <w:rPr>
                      <w:rFonts w:eastAsia="宋体"/>
                      <w:szCs w:val="21"/>
                      <w:u w:val="none"/>
                      <w:lang w:val="en-US" w:eastAsia="zh-CN"/>
                      <w:highlight w:val="none"/>
                    </w:rPr>
                  </w:pPr>
                  <w:r>
                    <w:rPr>
                      <w:rFonts w:hint="eastAsia"/>
                      <w:szCs w:val="21"/>
                      <w:u w:val="none"/>
                      <w:lang w:val="en-US" w:eastAsia="zh-CN"/>
                      <w:highlight w:val="none"/>
                    </w:rPr>
                    <w:t>16.5</w:t>
                  </w:r>
                </w:p>
              </w:tc>
            </w:tr>
            <w:tr>
              <w:trPr>
                <w:trHeight w:val="340"/>
              </w:trPr>
              <w:tc>
                <w:tcPr>
                  <w:tcW w:w="864" w:type="pct"/>
                  <w:shd w:val="clear" w:color="auto" w:fill="FFFFFF"/>
                  <w:vAlign w:val="center"/>
                </w:tcPr>
                <w:p>
                  <w:pPr>
                    <w:jc w:val="center"/>
                    <w:rPr>
                      <w:szCs w:val="21"/>
                      <w:u w:val="none"/>
                      <w:highlight w:val="none"/>
                    </w:rPr>
                  </w:pPr>
                  <w:r>
                    <w:rPr>
                      <w:szCs w:val="21"/>
                      <w:u w:val="none"/>
                      <w:highlight w:val="none"/>
                    </w:rPr>
                    <w:t>4</w:t>
                  </w:r>
                </w:p>
              </w:tc>
              <w:tc>
                <w:tcPr>
                  <w:tcW w:w="1635" w:type="pct"/>
                  <w:shd w:val="clear" w:color="auto" w:fill="FFFFFF"/>
                  <w:vAlign w:val="center"/>
                </w:tcPr>
                <w:p>
                  <w:pPr>
                    <w:jc w:val="center"/>
                    <w:rPr>
                      <w:szCs w:val="21"/>
                      <w:u w:val="none"/>
                      <w:highlight w:val="none"/>
                    </w:rPr>
                  </w:pPr>
                  <w:r>
                    <w:rPr>
                      <w:szCs w:val="21"/>
                      <w:u w:val="none"/>
                      <w:highlight w:val="none"/>
                    </w:rPr>
                    <w:t>年平均相对湿度</w:t>
                  </w:r>
                </w:p>
              </w:tc>
              <w:tc>
                <w:tcPr>
                  <w:tcW w:w="1251" w:type="pct"/>
                  <w:shd w:val="clear" w:color="auto" w:fill="FFFFFF"/>
                  <w:vAlign w:val="center"/>
                </w:tcPr>
                <w:p>
                  <w:pPr>
                    <w:jc w:val="center"/>
                    <w:rPr>
                      <w:szCs w:val="21"/>
                      <w:u w:val="none"/>
                      <w:highlight w:val="none"/>
                    </w:rPr>
                  </w:pPr>
                  <w:r>
                    <w:rPr>
                      <w:szCs w:val="21"/>
                      <w:u w:val="none"/>
                      <w:highlight w:val="none"/>
                    </w:rPr>
                    <w:t>%</w:t>
                  </w:r>
                </w:p>
              </w:tc>
              <w:tc>
                <w:tcPr>
                  <w:tcW w:w="1250" w:type="pct"/>
                  <w:shd w:val="clear" w:color="auto" w:fill="FFFFFF"/>
                  <w:vAlign w:val="center"/>
                </w:tcPr>
                <w:p>
                  <w:pPr>
                    <w:jc w:val="center"/>
                    <w:rPr>
                      <w:szCs w:val="21"/>
                      <w:u w:val="none"/>
                      <w:highlight w:val="none"/>
                    </w:rPr>
                  </w:pPr>
                  <w:r>
                    <w:rPr>
                      <w:rFonts w:hint="eastAsia"/>
                      <w:szCs w:val="21"/>
                      <w:u w:val="none"/>
                      <w:lang w:val="en-US" w:eastAsia="zh-CN"/>
                      <w:highlight w:val="none"/>
                    </w:rPr>
                    <w:t>8</w:t>
                  </w:r>
                  <w:r>
                    <w:rPr>
                      <w:szCs w:val="21"/>
                      <w:u w:val="none"/>
                      <w:highlight w:val="none"/>
                    </w:rPr>
                    <w:t>0</w:t>
                  </w:r>
                </w:p>
              </w:tc>
            </w:tr>
            <w:tr>
              <w:trPr>
                <w:trHeight w:val="340"/>
              </w:trPr>
              <w:tc>
                <w:tcPr>
                  <w:tcW w:w="864" w:type="pct"/>
                  <w:shd w:val="clear" w:color="auto" w:fill="FFFFFF"/>
                  <w:vAlign w:val="center"/>
                </w:tcPr>
                <w:p>
                  <w:pPr>
                    <w:jc w:val="center"/>
                    <w:rPr>
                      <w:szCs w:val="21"/>
                      <w:u w:val="none"/>
                      <w:highlight w:val="none"/>
                    </w:rPr>
                  </w:pPr>
                  <w:r>
                    <w:rPr>
                      <w:szCs w:val="21"/>
                      <w:u w:val="none"/>
                      <w:highlight w:val="none"/>
                    </w:rPr>
                    <w:t>5</w:t>
                  </w:r>
                </w:p>
              </w:tc>
              <w:tc>
                <w:tcPr>
                  <w:tcW w:w="1635" w:type="pct"/>
                  <w:shd w:val="clear" w:color="auto" w:fill="FFFFFF"/>
                  <w:vAlign w:val="center"/>
                </w:tcPr>
                <w:p>
                  <w:pPr>
                    <w:jc w:val="center"/>
                    <w:rPr>
                      <w:szCs w:val="21"/>
                      <w:u w:val="none"/>
                      <w:highlight w:val="none"/>
                    </w:rPr>
                  </w:pPr>
                  <w:r>
                    <w:rPr>
                      <w:szCs w:val="21"/>
                      <w:u w:val="none"/>
                      <w:highlight w:val="none"/>
                    </w:rPr>
                    <w:t>大气压强</w:t>
                  </w:r>
                </w:p>
              </w:tc>
              <w:tc>
                <w:tcPr>
                  <w:tcW w:w="1251" w:type="pct"/>
                  <w:shd w:val="clear" w:color="auto" w:fill="FFFFFF"/>
                  <w:vAlign w:val="center"/>
                </w:tcPr>
                <w:p>
                  <w:pPr>
                    <w:jc w:val="center"/>
                    <w:rPr>
                      <w:szCs w:val="21"/>
                      <w:u w:val="none"/>
                      <w:highlight w:val="none"/>
                    </w:rPr>
                  </w:pPr>
                  <w:r>
                    <w:rPr>
                      <w:szCs w:val="21"/>
                      <w:u w:val="none"/>
                      <w:highlight w:val="none"/>
                    </w:rPr>
                    <w:t>atm</w:t>
                  </w:r>
                </w:p>
              </w:tc>
              <w:tc>
                <w:tcPr>
                  <w:tcW w:w="1250" w:type="pct"/>
                  <w:shd w:val="clear" w:color="auto" w:fill="FFFFFF"/>
                  <w:vAlign w:val="center"/>
                </w:tcPr>
                <w:p>
                  <w:pPr>
                    <w:jc w:val="center"/>
                    <w:rPr>
                      <w:szCs w:val="21"/>
                      <w:u w:val="none"/>
                      <w:highlight w:val="none"/>
                    </w:rPr>
                  </w:pPr>
                  <w:r>
                    <w:rPr>
                      <w:szCs w:val="21"/>
                      <w:u w:val="none"/>
                      <w:highlight w:val="none"/>
                    </w:rPr>
                    <w:t>1</w:t>
                  </w:r>
                </w:p>
              </w:tc>
            </w:tr>
          </w:tbl>
          <w:p>
            <w:pPr>
              <w:spacing w:line="360" w:lineRule="auto"/>
              <w:ind w:firstLineChars="200" w:firstLine="480"/>
              <w:rPr>
                <w:sz w:val="24"/>
                <w:u w:val="none"/>
                <w:highlight w:val="none"/>
              </w:rPr>
            </w:pPr>
            <w:r>
              <w:rPr>
                <w:rFonts w:hAnsi="宋体" w:hint="eastAsia"/>
                <w:kern w:val="0"/>
                <w:sz w:val="24"/>
                <w:u w:val="none"/>
                <w:highlight w:val="none"/>
              </w:rPr>
              <w:t>声源和预测点间的地形、高差、障碍物、树林、灌木等的分布情况以及地面覆盖情况（如草地、水面、水泥地面、土质地面等）</w:t>
            </w:r>
            <w:r>
              <w:rPr>
                <w:rFonts w:hAnsi="宋体" w:hint="eastAsia"/>
                <w:kern w:val="0"/>
                <w:sz w:val="24"/>
                <w:u w:val="none"/>
                <w:lang w:eastAsia="zh-CN"/>
                <w:highlight w:val="none"/>
              </w:rPr>
              <w:t>，</w:t>
            </w:r>
            <w:r>
              <w:rPr>
                <w:rFonts w:hAnsi="宋体" w:hint="eastAsia"/>
                <w:kern w:val="0"/>
                <w:sz w:val="24"/>
                <w:u w:val="none"/>
                <w:highlight w:val="none"/>
              </w:rPr>
              <w:t>根据现场踏勘、项目总平图等，并结合卫星图片地理信息数据确定，数据精度为</w:t>
            </w:r>
            <w:r>
              <w:rPr>
                <w:rFonts w:hAnsi="宋体"/>
                <w:kern w:val="0"/>
                <w:sz w:val="24"/>
                <w:u w:val="none"/>
                <w:highlight w:val="none"/>
              </w:rPr>
              <w:t>10m</w:t>
            </w:r>
            <w:r>
              <w:rPr>
                <w:rFonts w:hAnsi="宋体" w:hint="eastAsia"/>
                <w:kern w:val="0"/>
                <w:sz w:val="24"/>
                <w:u w:val="none"/>
                <w:highlight w:val="none"/>
              </w:rPr>
              <w:t>。</w:t>
            </w:r>
          </w:p>
          <w:p>
            <w:pPr>
              <w:spacing w:line="360" w:lineRule="auto"/>
              <w:ind w:firstLineChars="200" w:firstLine="480"/>
              <w:rPr>
                <w:sz w:val="24"/>
                <w:u w:val="none"/>
                <w:highlight w:val="none"/>
              </w:rPr>
            </w:pPr>
            <w:r>
              <w:rPr>
                <w:rFonts w:hint="eastAsia"/>
                <w:sz w:val="24"/>
                <w:u w:val="none"/>
                <w:highlight w:val="none"/>
              </w:rPr>
              <w:t>（3）预测结果</w:t>
            </w:r>
          </w:p>
          <w:p>
            <w:pPr>
              <w:spacing w:line="360" w:lineRule="auto"/>
              <w:ind w:firstLineChars="200" w:firstLine="480"/>
              <w:rPr>
                <w:sz w:val="24"/>
                <w:u w:val="none"/>
                <w:highlight w:val="none"/>
              </w:rPr>
            </w:pPr>
            <w:r>
              <w:rPr>
                <w:rFonts w:hAnsi="宋体" w:hint="eastAsia"/>
                <w:kern w:val="0"/>
                <w:sz w:val="24"/>
                <w:u w:val="none"/>
                <w:highlight w:val="none"/>
              </w:rPr>
              <w:t>根据噪声预测公式，预测点的昼、夜间噪声的预测结果见表4</w:t>
            </w:r>
            <w:r>
              <w:rPr>
                <w:rFonts w:hAnsi="宋体"/>
                <w:kern w:val="0"/>
                <w:sz w:val="24"/>
                <w:u w:val="none"/>
                <w:highlight w:val="none"/>
              </w:rPr>
              <w:t>-</w:t>
            </w:r>
            <w:r>
              <w:rPr>
                <w:rFonts w:hAnsi="宋体" w:hint="eastAsia"/>
                <w:kern w:val="0"/>
                <w:sz w:val="24"/>
                <w:u w:val="none"/>
                <w:highlight w:val="none"/>
              </w:rPr>
              <w:t>6。</w:t>
            </w:r>
          </w:p>
          <w:p>
            <w:pPr>
              <w:snapToGrid w:val="0"/>
              <w:contextualSpacing/>
              <w:jc w:val="center"/>
              <w:rPr>
                <w:b/>
                <w:szCs w:val="21"/>
                <w:u w:val="none"/>
                <w:highlight w:val="none"/>
              </w:rPr>
            </w:pPr>
            <w:r>
              <w:rPr>
                <w:b/>
                <w:szCs w:val="21"/>
                <w:u w:val="none"/>
                <w:highlight w:val="none"/>
              </w:rPr>
              <w:t>表4-</w:t>
            </w:r>
            <w:r>
              <w:rPr>
                <w:rFonts w:hint="eastAsia"/>
                <w:b/>
                <w:szCs w:val="21"/>
                <w:u w:val="none"/>
                <w:highlight w:val="none"/>
              </w:rPr>
              <w:t>6</w:t>
            </w:r>
            <w:r>
              <w:rPr>
                <w:b/>
                <w:szCs w:val="21"/>
                <w:u w:val="none"/>
                <w:highlight w:val="none"/>
              </w:rPr>
              <w:t xml:space="preserve">  </w:t>
            </w:r>
            <w:r>
              <w:rPr>
                <w:rFonts w:hint="eastAsia"/>
                <w:b/>
                <w:szCs w:val="21"/>
                <w:u w:val="none"/>
                <w:highlight w:val="none"/>
              </w:rPr>
              <w:t>厂界噪声预测结果与达标分析表</w:t>
            </w:r>
          </w:p>
          <w:tbl>
            <w:tblPr>
              <w:jc w:val="center"/>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CellMar>
                <w:top w:w="0" w:type="dxa"/>
                <w:left w:w="108" w:type="dxa"/>
                <w:bottom w:w="0" w:type="dxa"/>
                <w:right w:w="108" w:type="dxa"/>
              </w:tblCellMar>
              <w:tblLook w:val="0600" w:firstRow="0" w:lastRow="0" w:firstColumn="0" w:lastColumn="0" w:noHBand="1" w:noVBand="1"/>
            </w:tblPr>
            <w:tblGrid>
              <w:gridCol w:w="663"/>
              <w:gridCol w:w="2079"/>
              <w:gridCol w:w="800"/>
              <w:gridCol w:w="511"/>
              <w:gridCol w:w="800"/>
              <w:gridCol w:w="1279"/>
              <w:gridCol w:w="1296"/>
              <w:gridCol w:w="709"/>
            </w:tblGrid>
            <w:tr>
              <w:trPr>
                <w:trHeight w:val="340"/>
              </w:trPr>
              <w:tc>
                <w:tcPr>
                  <w:tcW w:w="486" w:type="pct"/>
                  <w:vMerge w:val="restart"/>
                  <w:vAlign w:val="center"/>
                </w:tcPr>
                <w:p>
                  <w:pPr>
                    <w:adjustRightInd w:val="0"/>
                    <w:snapToGrid w:val="0"/>
                    <w:jc w:val="center"/>
                    <w:rPr>
                      <w:sz w:val="21"/>
                      <w:szCs w:val="21"/>
                      <w:u w:val="none"/>
                      <w:highlight w:val="none"/>
                    </w:rPr>
                  </w:pPr>
                  <w:r>
                    <w:rPr>
                      <w:sz w:val="21"/>
                      <w:szCs w:val="21"/>
                      <w:u w:val="none"/>
                      <w:highlight w:val="none"/>
                    </w:rPr>
                    <w:t>预测方位</w:t>
                  </w:r>
                </w:p>
              </w:tc>
              <w:tc>
                <w:tcPr>
                  <w:tcW w:w="1523" w:type="pct"/>
                  <w:gridSpan w:val="3"/>
                  <w:vAlign w:val="center"/>
                </w:tcPr>
                <w:p>
                  <w:pPr>
                    <w:adjustRightInd w:val="0"/>
                    <w:snapToGrid w:val="0"/>
                    <w:jc w:val="center"/>
                    <w:rPr>
                      <w:sz w:val="21"/>
                      <w:szCs w:val="21"/>
                      <w:u w:val="none"/>
                      <w:highlight w:val="none"/>
                    </w:rPr>
                  </w:pPr>
                  <w:r>
                    <w:rPr>
                      <w:sz w:val="21"/>
                      <w:szCs w:val="21"/>
                      <w:u w:val="none"/>
                      <w:highlight w:val="none"/>
                    </w:rPr>
                    <w:t>最大值点空间相对位置/m</w:t>
                  </w:r>
                </w:p>
              </w:tc>
              <w:tc>
                <w:tcPr>
                  <w:tcW w:w="586" w:type="pct"/>
                  <w:vMerge w:val="restart"/>
                  <w:vAlign w:val="center"/>
                </w:tcPr>
                <w:p>
                  <w:pPr>
                    <w:adjustRightInd w:val="0"/>
                    <w:snapToGrid w:val="0"/>
                    <w:jc w:val="center"/>
                    <w:rPr>
                      <w:sz w:val="21"/>
                      <w:szCs w:val="21"/>
                      <w:u w:val="none"/>
                      <w:highlight w:val="none"/>
                    </w:rPr>
                  </w:pPr>
                  <w:r>
                    <w:rPr>
                      <w:sz w:val="21"/>
                      <w:szCs w:val="21"/>
                      <w:u w:val="none"/>
                      <w:highlight w:val="none"/>
                    </w:rPr>
                    <w:t>时段</w:t>
                  </w:r>
                </w:p>
              </w:tc>
              <w:tc>
                <w:tcPr>
                  <w:tcW w:w="937" w:type="pct"/>
                  <w:vMerge w:val="restart"/>
                  <w:vAlign w:val="center"/>
                </w:tcPr>
                <w:p>
                  <w:pPr>
                    <w:adjustRightInd w:val="0"/>
                    <w:snapToGrid w:val="0"/>
                    <w:jc w:val="center"/>
                    <w:rPr>
                      <w:sz w:val="21"/>
                      <w:szCs w:val="21"/>
                      <w:u w:val="none"/>
                      <w:highlight w:val="none"/>
                    </w:rPr>
                  </w:pPr>
                  <w:r>
                    <w:rPr>
                      <w:sz w:val="21"/>
                      <w:szCs w:val="21"/>
                      <w:u w:val="none"/>
                      <w:highlight w:val="none"/>
                    </w:rPr>
                    <w:t>贡献值（dB(A)）</w:t>
                  </w:r>
                </w:p>
              </w:tc>
              <w:tc>
                <w:tcPr>
                  <w:tcW w:w="949" w:type="pct"/>
                  <w:vMerge w:val="restart"/>
                  <w:vAlign w:val="center"/>
                </w:tcPr>
                <w:p>
                  <w:pPr>
                    <w:adjustRightInd w:val="0"/>
                    <w:snapToGrid w:val="0"/>
                    <w:jc w:val="center"/>
                    <w:rPr>
                      <w:sz w:val="21"/>
                      <w:szCs w:val="21"/>
                      <w:u w:val="none"/>
                      <w:highlight w:val="none"/>
                    </w:rPr>
                  </w:pPr>
                  <w:r>
                    <w:rPr>
                      <w:sz w:val="21"/>
                      <w:szCs w:val="21"/>
                      <w:u w:val="none"/>
                      <w:highlight w:val="none"/>
                    </w:rPr>
                    <w:t>标准限值（dB(A)）</w:t>
                  </w:r>
                </w:p>
              </w:tc>
              <w:tc>
                <w:tcPr>
                  <w:tcW w:w="519" w:type="pct"/>
                  <w:vMerge w:val="restart"/>
                  <w:vAlign w:val="center"/>
                </w:tcPr>
                <w:p>
                  <w:pPr>
                    <w:adjustRightInd w:val="0"/>
                    <w:snapToGrid w:val="0"/>
                    <w:jc w:val="center"/>
                    <w:rPr>
                      <w:sz w:val="21"/>
                      <w:szCs w:val="21"/>
                      <w:u w:val="none"/>
                      <w:highlight w:val="none"/>
                    </w:rPr>
                  </w:pPr>
                  <w:r>
                    <w:rPr>
                      <w:sz w:val="21"/>
                      <w:szCs w:val="21"/>
                      <w:u w:val="none"/>
                      <w:highlight w:val="none"/>
                    </w:rPr>
                    <w:t>达标情况</w:t>
                  </w:r>
                </w:p>
              </w:tc>
            </w:tr>
            <w:tr>
              <w:trPr>
                <w:trHeight w:val="340"/>
              </w:trPr>
              <w:tc>
                <w:tcPr>
                  <w:tcW w:w="486" w:type="pct"/>
                  <w:vMerge/>
                  <w:shd w:val="clear" w:color="auto" w:fill="FFFFFF"/>
                  <w:vAlign w:val="center"/>
                </w:tcPr>
                <w:p/>
              </w:tc>
              <w:tc>
                <w:tcPr>
                  <w:tcW w:w="587" w:type="pct"/>
                  <w:shd w:val="clear" w:color="auto" w:fill="FFFFFF"/>
                  <w:vAlign w:val="center"/>
                </w:tcPr>
                <w:p>
                  <w:pPr>
                    <w:adjustRightInd w:val="0"/>
                    <w:snapToGrid w:val="0"/>
                    <w:jc w:val="center"/>
                    <w:rPr>
                      <w:sz w:val="21"/>
                      <w:szCs w:val="21"/>
                      <w:u w:val="none"/>
                      <w:highlight w:val="none"/>
                    </w:rPr>
                  </w:pPr>
                  <w:r>
                    <w:rPr>
                      <w:sz w:val="21"/>
                      <w:szCs w:val="21"/>
                      <w:u w:val="none"/>
                      <w:highlight w:val="none"/>
                    </w:rPr>
                    <w:t>X</w:t>
                  </w:r>
                </w:p>
              </w:tc>
              <w:tc>
                <w:tcPr>
                  <w:tcW w:w="562" w:type="pct"/>
                  <w:shd w:val="clear" w:color="auto" w:fill="FFFFFF"/>
                  <w:vAlign w:val="center"/>
                </w:tcPr>
                <w:p>
                  <w:pPr>
                    <w:adjustRightInd w:val="0"/>
                    <w:snapToGrid w:val="0"/>
                    <w:jc w:val="center"/>
                    <w:rPr>
                      <w:sz w:val="21"/>
                      <w:szCs w:val="21"/>
                      <w:u w:val="none"/>
                      <w:highlight w:val="none"/>
                    </w:rPr>
                  </w:pPr>
                  <w:r>
                    <w:rPr>
                      <w:sz w:val="21"/>
                      <w:szCs w:val="21"/>
                      <w:u w:val="none"/>
                      <w:highlight w:val="none"/>
                    </w:rPr>
                    <w:t>Y</w:t>
                  </w:r>
                </w:p>
              </w:tc>
              <w:tc>
                <w:tcPr>
                  <w:tcW w:w="374" w:type="pct"/>
                  <w:shd w:val="clear" w:color="auto" w:fill="FFFFFF"/>
                  <w:vAlign w:val="center"/>
                </w:tcPr>
                <w:p>
                  <w:pPr>
                    <w:adjustRightInd w:val="0"/>
                    <w:snapToGrid w:val="0"/>
                    <w:jc w:val="center"/>
                    <w:rPr>
                      <w:sz w:val="21"/>
                      <w:szCs w:val="21"/>
                      <w:u w:val="none"/>
                      <w:highlight w:val="none"/>
                    </w:rPr>
                  </w:pPr>
                  <w:r>
                    <w:rPr>
                      <w:sz w:val="21"/>
                      <w:szCs w:val="21"/>
                      <w:u w:val="none"/>
                      <w:highlight w:val="none"/>
                    </w:rPr>
                    <w:t>Z</w:t>
                  </w:r>
                </w:p>
              </w:tc>
              <w:tc>
                <w:tcPr>
                  <w:tcW w:w="586" w:type="pct"/>
                  <w:vMerge/>
                  <w:shd w:val="clear" w:color="auto" w:fill="FFFFFF"/>
                  <w:vAlign w:val="center"/>
                </w:tcPr>
                <w:p/>
              </w:tc>
              <w:tc>
                <w:tcPr>
                  <w:tcW w:w="937" w:type="pct"/>
                  <w:vMerge/>
                  <w:shd w:val="clear" w:color="auto" w:fill="FFFFFF"/>
                  <w:vAlign w:val="center"/>
                </w:tcPr>
                <w:p/>
              </w:tc>
              <w:tc>
                <w:tcPr>
                  <w:tcW w:w="949" w:type="pct"/>
                  <w:vMerge/>
                  <w:shd w:val="clear" w:color="auto" w:fill="FFFFFF"/>
                  <w:vAlign w:val="center"/>
                </w:tcPr>
                <w:p/>
              </w:tc>
              <w:tc>
                <w:tcPr>
                  <w:tcW w:w="519" w:type="pct"/>
                  <w:vMerge/>
                  <w:shd w:val="clear" w:color="auto" w:fill="FFFFFF"/>
                  <w:vAlign w:val="center"/>
                </w:tcPr>
                <w:p/>
              </w:tc>
            </w:tr>
            <w:tr>
              <w:trPr>
                <w:trHeight w:val="340"/>
              </w:trPr>
              <w:tc>
                <w:tcPr>
                  <w:tcW w:w="486" w:type="pct"/>
                  <w:vMerge w:val="restart"/>
                  <w:shd w:val="clear" w:color="auto" w:fill="FFFFFF"/>
                  <w:vAlign w:val="center"/>
                </w:tcPr>
                <w:p>
                  <w:pPr>
                    <w:adjustRightInd w:val="0"/>
                    <w:snapToGrid w:val="0"/>
                    <w:jc w:val="center"/>
                    <w:rPr>
                      <w:sz w:val="21"/>
                      <w:szCs w:val="21"/>
                      <w:u w:val="none"/>
                      <w:highlight w:val="none"/>
                    </w:rPr>
                  </w:pPr>
                  <w:r>
                    <w:rPr>
                      <w:sz w:val="21"/>
                      <w:szCs w:val="21"/>
                      <w:u w:val="none"/>
                      <w:highlight w:val="none"/>
                    </w:rPr>
                    <w:t>东侧</w:t>
                  </w:r>
                </w:p>
              </w:tc>
              <w:tc>
                <w:tcPr>
                  <w:tcW w:w="587" w:type="pct"/>
                  <w:shd w:val="clear" w:color="auto" w:fill="FFFFFF"/>
                  <w:vAlign w:val="center"/>
                </w:tcPr>
                <w:p>
                  <w:pPr>
                    <w:jc w:val="center"/>
                    <w:rPr>
                      <w:rFonts w:eastAsia="宋体"/>
                      <w:sz w:val="21"/>
                      <w:szCs w:val="21"/>
                      <w:u w:val="none"/>
                      <w:lang w:val="en-US" w:eastAsia="zh-CN"/>
                      <w:highlight w:val="none"/>
                    </w:rPr>
                  </w:pPr>
                  <w:r>
                    <w:rPr>
                      <w:rFonts w:hint="eastAsia"/>
                      <w:sz w:val="21"/>
                      <w:szCs w:val="21"/>
                      <w:u w:val="none"/>
                      <w:lang w:val="en-US" w:eastAsia="zh-CN"/>
                      <w:highlight w:val="none"/>
                    </w:rPr>
                    <w:t>49.9</w:t>
                  </w:r>
                </w:p>
              </w:tc>
              <w:tc>
                <w:tcPr>
                  <w:tcW w:w="562" w:type="pct"/>
                  <w:shd w:val="clear" w:color="auto" w:fill="FFFFFF"/>
                  <w:vAlign w:val="center"/>
                </w:tcPr>
                <w:p>
                  <w:pPr>
                    <w:jc w:val="center"/>
                    <w:rPr>
                      <w:sz w:val="21"/>
                      <w:szCs w:val="21"/>
                      <w:u w:val="none"/>
                      <w:lang w:val="en-US"/>
                      <w:highlight w:val="none"/>
                    </w:rPr>
                  </w:pPr>
                  <w:r>
                    <w:rPr>
                      <w:rFonts w:hint="eastAsia"/>
                      <w:sz w:val="21"/>
                      <w:szCs w:val="21"/>
                      <w:u w:val="none"/>
                      <w:lang w:val="en-US" w:eastAsia="zh-CN"/>
                      <w:highlight w:val="none"/>
                    </w:rPr>
                    <w:t>37.6</w:t>
                  </w:r>
                </w:p>
              </w:tc>
              <w:tc>
                <w:tcPr>
                  <w:tcW w:w="374" w:type="pct"/>
                  <w:shd w:val="clear" w:color="auto" w:fill="FFFFFF"/>
                  <w:vAlign w:val="center"/>
                </w:tcPr>
                <w:p>
                  <w:pPr>
                    <w:jc w:val="center"/>
                    <w:rPr>
                      <w:sz w:val="21"/>
                      <w:szCs w:val="21"/>
                      <w:u w:val="none"/>
                      <w:highlight w:val="none"/>
                    </w:rPr>
                  </w:pPr>
                  <w:r>
                    <w:rPr>
                      <w:sz w:val="21"/>
                      <w:szCs w:val="21"/>
                      <w:u w:val="none"/>
                      <w:highlight w:val="none"/>
                    </w:rPr>
                    <w:t>1.2</w:t>
                  </w:r>
                </w:p>
              </w:tc>
              <w:tc>
                <w:tcPr>
                  <w:tcW w:w="586"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937" w:type="pct"/>
                  <w:vMerge w:val="restart"/>
                  <w:shd w:val="clear" w:color="auto" w:fill="FFFFFF"/>
                  <w:vAlign w:val="center"/>
                </w:tcPr>
                <w:p>
                  <w:pPr>
                    <w:jc w:val="center"/>
                    <w:rPr>
                      <w:rFonts w:eastAsia="宋体" w:hint="eastAsia"/>
                      <w:sz w:val="21"/>
                      <w:szCs w:val="21"/>
                      <w:u w:val="none"/>
                      <w:lang w:eastAsia="zh-CN"/>
                      <w:highlight w:val="none"/>
                    </w:rPr>
                  </w:pPr>
                  <w:r>
                    <w:rPr>
                      <w:rFonts w:hint="eastAsia"/>
                      <w:sz w:val="21"/>
                      <w:szCs w:val="21"/>
                      <w:u w:val="none"/>
                      <w:highlight w:val="none"/>
                    </w:rPr>
                    <w:t>3</w:t>
                  </w:r>
                  <w:r>
                    <w:rPr>
                      <w:rFonts w:hint="eastAsia"/>
                      <w:sz w:val="21"/>
                      <w:szCs w:val="21"/>
                      <w:u w:val="none"/>
                      <w:lang w:val="en-US" w:eastAsia="zh-CN"/>
                      <w:highlight w:val="none"/>
                    </w:rPr>
                    <w:t>5</w:t>
                  </w:r>
                  <w:r>
                    <w:rPr>
                      <w:sz w:val="21"/>
                      <w:szCs w:val="21"/>
                      <w:u w:val="none"/>
                      <w:highlight w:val="none"/>
                    </w:rPr>
                    <w:t>.</w:t>
                  </w:r>
                  <w:r>
                    <w:rPr>
                      <w:rFonts w:hint="eastAsia"/>
                      <w:sz w:val="21"/>
                      <w:szCs w:val="21"/>
                      <w:u w:val="none"/>
                      <w:lang w:val="en-US" w:eastAsia="zh-CN"/>
                      <w:highlight w:val="none"/>
                    </w:rPr>
                    <w:t>2</w:t>
                  </w:r>
                </w:p>
              </w:tc>
              <w:tc>
                <w:tcPr>
                  <w:tcW w:w="949" w:type="pct"/>
                  <w:shd w:val="clear" w:color="auto" w:fill="FFFFFF"/>
                  <w:vAlign w:val="center"/>
                </w:tcPr>
                <w:p>
                  <w:pPr>
                    <w:adjustRightInd w:val="0"/>
                    <w:snapToGrid w:val="0"/>
                    <w:jc w:val="center"/>
                    <w:rPr>
                      <w:sz w:val="21"/>
                      <w:szCs w:val="21"/>
                      <w:u w:val="none"/>
                      <w:highlight w:val="none"/>
                    </w:rPr>
                  </w:pPr>
                  <w:r>
                    <w:rPr>
                      <w:sz w:val="21"/>
                      <w:szCs w:val="21"/>
                      <w:u w:val="none"/>
                      <w:highlight w:val="none"/>
                    </w:rPr>
                    <w:t>6</w:t>
                  </w:r>
                  <w:r>
                    <w:rPr>
                      <w:rFonts w:hint="eastAsia"/>
                      <w:sz w:val="21"/>
                      <w:szCs w:val="21"/>
                      <w:u w:val="none"/>
                      <w:highlight w:val="none"/>
                    </w:rPr>
                    <w:t>0</w:t>
                  </w:r>
                </w:p>
              </w:tc>
              <w:tc>
                <w:tcPr>
                  <w:tcW w:w="519"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86" w:type="pct"/>
                  <w:vMerge/>
                  <w:shd w:val="clear" w:color="auto" w:fill="FFFFFF"/>
                  <w:vAlign w:val="center"/>
                </w:tcPr>
                <w:p/>
              </w:tc>
              <w:tc>
                <w:tcPr>
                  <w:tcW w:w="2432" w:type="pct"/>
                  <w:shd w:val="clear" w:color="auto" w:fill="FFFFFF"/>
                  <w:vAlign w:val="center"/>
                </w:tcPr>
                <w:p>
                  <w:pPr>
                    <w:jc w:val="center"/>
                    <w:rPr>
                      <w:sz w:val="21"/>
                      <w:szCs w:val="21"/>
                      <w:u w:val="none"/>
                      <w:lang w:val="en-US"/>
                      <w:highlight w:val="none"/>
                    </w:rPr>
                  </w:pPr>
                  <w:r>
                    <w:rPr>
                      <w:rFonts w:hint="eastAsia"/>
                      <w:sz w:val="21"/>
                      <w:szCs w:val="21"/>
                      <w:u w:val="none"/>
                      <w:lang w:val="en-US" w:eastAsia="zh-CN"/>
                      <w:highlight w:val="none"/>
                    </w:rPr>
                    <w:t>49.9</w:t>
                  </w:r>
                </w:p>
              </w:tc>
              <w:tc>
                <w:tcPr>
                  <w:tcW w:w="2330" w:type="pct"/>
                  <w:shd w:val="clear" w:color="auto" w:fill="FFFFFF"/>
                  <w:vAlign w:val="center"/>
                </w:tcPr>
                <w:p>
                  <w:pPr>
                    <w:jc w:val="center"/>
                    <w:rPr>
                      <w:sz w:val="21"/>
                      <w:szCs w:val="21"/>
                      <w:u w:val="none"/>
                      <w:lang w:val="en-US"/>
                      <w:highlight w:val="none"/>
                    </w:rPr>
                  </w:pPr>
                  <w:r>
                    <w:rPr>
                      <w:rFonts w:hint="eastAsia"/>
                      <w:sz w:val="21"/>
                      <w:szCs w:val="21"/>
                      <w:u w:val="none"/>
                      <w:lang w:val="en-US" w:eastAsia="zh-CN"/>
                      <w:highlight w:val="none"/>
                    </w:rPr>
                    <w:t>37.6</w:t>
                  </w:r>
                </w:p>
              </w:tc>
              <w:tc>
                <w:tcPr>
                  <w:tcW w:w="374" w:type="pct"/>
                  <w:shd w:val="clear" w:color="auto" w:fill="FFFFFF"/>
                  <w:vAlign w:val="center"/>
                </w:tcPr>
                <w:p>
                  <w:pPr>
                    <w:jc w:val="center"/>
                    <w:rPr>
                      <w:sz w:val="21"/>
                      <w:szCs w:val="21"/>
                      <w:u w:val="none"/>
                      <w:highlight w:val="none"/>
                    </w:rPr>
                  </w:pPr>
                  <w:r>
                    <w:rPr>
                      <w:sz w:val="21"/>
                      <w:szCs w:val="21"/>
                      <w:u w:val="none"/>
                      <w:highlight w:val="none"/>
                    </w:rPr>
                    <w:t>1.2</w:t>
                  </w:r>
                </w:p>
              </w:tc>
              <w:tc>
                <w:tcPr>
                  <w:tcW w:w="586"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937" w:type="pct"/>
                  <w:vMerge/>
                  <w:shd w:val="clear" w:color="auto" w:fill="FFFFFF"/>
                  <w:vAlign w:val="center"/>
                </w:tcPr>
                <w:p/>
              </w:tc>
              <w:tc>
                <w:tcPr>
                  <w:tcW w:w="94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w:t>
                  </w:r>
                  <w:r>
                    <w:rPr>
                      <w:rFonts w:hint="eastAsia"/>
                      <w:sz w:val="21"/>
                      <w:szCs w:val="21"/>
                      <w:u w:val="none"/>
                      <w:highlight w:val="none"/>
                    </w:rPr>
                    <w:t>0</w:t>
                  </w:r>
                </w:p>
              </w:tc>
              <w:tc>
                <w:tcPr>
                  <w:tcW w:w="519"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86" w:type="pct"/>
                  <w:vMerge w:val="restart"/>
                  <w:shd w:val="clear" w:color="auto" w:fill="FFFFFF"/>
                  <w:vAlign w:val="center"/>
                </w:tcPr>
                <w:p>
                  <w:pPr>
                    <w:adjustRightInd w:val="0"/>
                    <w:snapToGrid w:val="0"/>
                    <w:jc w:val="center"/>
                    <w:rPr>
                      <w:sz w:val="21"/>
                      <w:szCs w:val="21"/>
                      <w:u w:val="none"/>
                      <w:highlight w:val="none"/>
                    </w:rPr>
                  </w:pPr>
                  <w:r>
                    <w:rPr>
                      <w:sz w:val="21"/>
                      <w:szCs w:val="21"/>
                      <w:u w:val="none"/>
                      <w:highlight w:val="none"/>
                    </w:rPr>
                    <w:t>南侧</w:t>
                  </w:r>
                </w:p>
              </w:tc>
              <w:tc>
                <w:tcPr>
                  <w:tcW w:w="587" w:type="pct"/>
                  <w:shd w:val="clear" w:color="auto" w:fill="FFFFFF"/>
                  <w:vAlign w:val="center"/>
                </w:tcPr>
                <w:p>
                  <w:pPr>
                    <w:jc w:val="center"/>
                    <w:rPr>
                      <w:rFonts w:eastAsia="宋体"/>
                      <w:sz w:val="21"/>
                      <w:szCs w:val="21"/>
                      <w:u w:val="none"/>
                      <w:lang w:val="en-US" w:eastAsia="zh-CN"/>
                      <w:highlight w:val="none"/>
                    </w:rPr>
                  </w:pPr>
                  <w:r>
                    <w:rPr>
                      <w:sz w:val="21"/>
                      <w:szCs w:val="21"/>
                      <w:u w:val="none"/>
                      <w:highlight w:val="none"/>
                    </w:rPr>
                    <w:t>-</w:t>
                  </w:r>
                  <w:r>
                    <w:rPr>
                      <w:rFonts w:hint="eastAsia"/>
                      <w:sz w:val="21"/>
                      <w:szCs w:val="21"/>
                      <w:u w:val="none"/>
                      <w:lang w:val="en-US" w:eastAsia="zh-CN"/>
                      <w:highlight w:val="none"/>
                    </w:rPr>
                    <w:t>27.2</w:t>
                  </w:r>
                </w:p>
              </w:tc>
              <w:tc>
                <w:tcPr>
                  <w:tcW w:w="562" w:type="pct"/>
                  <w:shd w:val="clear" w:color="auto" w:fill="FFFFFF"/>
                  <w:vAlign w:val="center"/>
                </w:tcPr>
                <w:p>
                  <w:pPr>
                    <w:jc w:val="center"/>
                    <w:rPr>
                      <w:sz w:val="21"/>
                      <w:szCs w:val="21"/>
                      <w:u w:val="none"/>
                      <w:lang w:val="en-US"/>
                      <w:highlight w:val="none"/>
                    </w:rPr>
                  </w:pPr>
                  <w:r>
                    <w:rPr>
                      <w:rFonts w:hint="eastAsia"/>
                      <w:sz w:val="21"/>
                      <w:szCs w:val="21"/>
                      <w:u w:val="none"/>
                      <w:lang w:val="en-US" w:eastAsia="zh-CN"/>
                      <w:highlight w:val="none"/>
                    </w:rPr>
                    <w:t>-22.1</w:t>
                  </w:r>
                </w:p>
              </w:tc>
              <w:tc>
                <w:tcPr>
                  <w:tcW w:w="374" w:type="pct"/>
                  <w:shd w:val="clear" w:color="auto" w:fill="FFFFFF"/>
                  <w:vAlign w:val="center"/>
                </w:tcPr>
                <w:p>
                  <w:pPr>
                    <w:jc w:val="center"/>
                    <w:rPr>
                      <w:sz w:val="21"/>
                      <w:szCs w:val="21"/>
                      <w:u w:val="none"/>
                      <w:highlight w:val="none"/>
                    </w:rPr>
                  </w:pPr>
                  <w:r>
                    <w:rPr>
                      <w:sz w:val="21"/>
                      <w:szCs w:val="21"/>
                      <w:u w:val="none"/>
                      <w:highlight w:val="none"/>
                    </w:rPr>
                    <w:t>1.2</w:t>
                  </w:r>
                </w:p>
              </w:tc>
              <w:tc>
                <w:tcPr>
                  <w:tcW w:w="586"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937" w:type="pct"/>
                  <w:vMerge w:val="restart"/>
                  <w:shd w:val="clear" w:color="auto" w:fill="FFFFFF"/>
                  <w:vAlign w:val="center"/>
                </w:tcPr>
                <w:p>
                  <w:pPr>
                    <w:jc w:val="center"/>
                    <w:rPr>
                      <w:rFonts w:eastAsia="宋体" w:hint="eastAsia"/>
                      <w:sz w:val="21"/>
                      <w:szCs w:val="21"/>
                      <w:u w:val="none"/>
                      <w:lang w:eastAsia="zh-CN"/>
                      <w:highlight w:val="none"/>
                    </w:rPr>
                  </w:pPr>
                  <w:r>
                    <w:rPr>
                      <w:rFonts w:hint="eastAsia"/>
                      <w:sz w:val="21"/>
                      <w:szCs w:val="21"/>
                      <w:u w:val="none"/>
                      <w:lang w:val="en-US" w:eastAsia="zh-CN"/>
                      <w:highlight w:val="none"/>
                    </w:rPr>
                    <w:t>42</w:t>
                  </w:r>
                  <w:r>
                    <w:rPr>
                      <w:sz w:val="21"/>
                      <w:szCs w:val="21"/>
                      <w:u w:val="none"/>
                      <w:highlight w:val="none"/>
                    </w:rPr>
                    <w:t>.</w:t>
                  </w:r>
                  <w:r>
                    <w:rPr>
                      <w:rFonts w:hint="eastAsia"/>
                      <w:sz w:val="21"/>
                      <w:szCs w:val="21"/>
                      <w:u w:val="none"/>
                      <w:lang w:val="en-US" w:eastAsia="zh-CN"/>
                      <w:highlight w:val="none"/>
                    </w:rPr>
                    <w:t>5</w:t>
                  </w:r>
                </w:p>
              </w:tc>
              <w:tc>
                <w:tcPr>
                  <w:tcW w:w="949" w:type="pct"/>
                  <w:shd w:val="clear" w:color="auto" w:fill="FFFFFF"/>
                  <w:vAlign w:val="center"/>
                </w:tcPr>
                <w:p>
                  <w:pPr>
                    <w:adjustRightInd w:val="0"/>
                    <w:snapToGrid w:val="0"/>
                    <w:jc w:val="center"/>
                    <w:rPr>
                      <w:sz w:val="21"/>
                      <w:szCs w:val="21"/>
                      <w:u w:val="none"/>
                      <w:highlight w:val="none"/>
                    </w:rPr>
                  </w:pPr>
                  <w:r>
                    <w:rPr>
                      <w:sz w:val="21"/>
                      <w:szCs w:val="21"/>
                      <w:u w:val="none"/>
                      <w:highlight w:val="none"/>
                    </w:rPr>
                    <w:t>6</w:t>
                  </w:r>
                  <w:r>
                    <w:rPr>
                      <w:rFonts w:hint="eastAsia"/>
                      <w:sz w:val="21"/>
                      <w:szCs w:val="21"/>
                      <w:u w:val="none"/>
                      <w:highlight w:val="none"/>
                    </w:rPr>
                    <w:t>0</w:t>
                  </w:r>
                </w:p>
              </w:tc>
              <w:tc>
                <w:tcPr>
                  <w:tcW w:w="519"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86" w:type="pct"/>
                  <w:vMerge/>
                  <w:shd w:val="clear" w:color="auto" w:fill="FFFFFF"/>
                  <w:vAlign w:val="center"/>
                </w:tcPr>
                <w:p/>
              </w:tc>
              <w:tc>
                <w:tcPr>
                  <w:tcW w:w="587" w:type="pct"/>
                  <w:shd w:val="clear" w:color="auto" w:fill="FFFFFF"/>
                  <w:vAlign w:val="center"/>
                </w:tcPr>
                <w:p>
                  <w:pPr>
                    <w:jc w:val="center"/>
                    <w:rPr>
                      <w:rFonts w:eastAsia="宋体"/>
                      <w:sz w:val="21"/>
                      <w:szCs w:val="21"/>
                      <w:u w:val="none"/>
                      <w:lang w:val="en-US" w:eastAsia="zh-CN"/>
                      <w:highlight w:val="none"/>
                    </w:rPr>
                  </w:pPr>
                  <w:r>
                    <w:rPr>
                      <w:sz w:val="21"/>
                      <w:szCs w:val="21"/>
                      <w:u w:val="none"/>
                      <w:highlight w:val="none"/>
                    </w:rPr>
                    <w:t>-</w:t>
                  </w:r>
                  <w:r>
                    <w:rPr>
                      <w:rFonts w:hint="eastAsia"/>
                      <w:sz w:val="21"/>
                      <w:szCs w:val="21"/>
                      <w:u w:val="none"/>
                      <w:lang w:val="en-US" w:eastAsia="zh-CN"/>
                      <w:highlight w:val="none"/>
                    </w:rPr>
                    <w:t>27.2</w:t>
                  </w:r>
                </w:p>
              </w:tc>
              <w:tc>
                <w:tcPr>
                  <w:tcW w:w="562" w:type="pct"/>
                  <w:shd w:val="clear" w:color="auto" w:fill="FFFFFF"/>
                  <w:vAlign w:val="center"/>
                </w:tcPr>
                <w:p>
                  <w:pPr>
                    <w:jc w:val="center"/>
                    <w:rPr>
                      <w:sz w:val="21"/>
                      <w:szCs w:val="21"/>
                      <w:u w:val="none"/>
                      <w:lang w:val="en-US"/>
                      <w:highlight w:val="none"/>
                    </w:rPr>
                  </w:pPr>
                  <w:r>
                    <w:rPr>
                      <w:sz w:val="21"/>
                      <w:szCs w:val="21"/>
                      <w:u w:val="none"/>
                      <w:highlight w:val="none"/>
                    </w:rPr>
                    <w:t>-</w:t>
                  </w:r>
                  <w:r>
                    <w:rPr>
                      <w:rFonts w:hint="eastAsia"/>
                      <w:sz w:val="21"/>
                      <w:szCs w:val="21"/>
                      <w:u w:val="none"/>
                      <w:lang w:val="en-US" w:eastAsia="zh-CN"/>
                      <w:highlight w:val="none"/>
                    </w:rPr>
                    <w:t>22.1</w:t>
                  </w:r>
                </w:p>
              </w:tc>
              <w:tc>
                <w:tcPr>
                  <w:tcW w:w="374" w:type="pct"/>
                  <w:shd w:val="clear" w:color="auto" w:fill="FFFFFF"/>
                  <w:vAlign w:val="center"/>
                </w:tcPr>
                <w:p>
                  <w:pPr>
                    <w:jc w:val="center"/>
                    <w:rPr>
                      <w:sz w:val="21"/>
                      <w:szCs w:val="21"/>
                      <w:u w:val="none"/>
                      <w:highlight w:val="none"/>
                    </w:rPr>
                  </w:pPr>
                  <w:r>
                    <w:rPr>
                      <w:sz w:val="21"/>
                      <w:szCs w:val="21"/>
                      <w:u w:val="none"/>
                      <w:highlight w:val="none"/>
                    </w:rPr>
                    <w:t>1.2</w:t>
                  </w:r>
                </w:p>
              </w:tc>
              <w:tc>
                <w:tcPr>
                  <w:tcW w:w="586"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937" w:type="pct"/>
                  <w:vMerge/>
                  <w:shd w:val="clear" w:color="auto" w:fill="FFFFFF"/>
                  <w:vAlign w:val="center"/>
                </w:tcPr>
                <w:p/>
              </w:tc>
              <w:tc>
                <w:tcPr>
                  <w:tcW w:w="94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w:t>
                  </w:r>
                  <w:r>
                    <w:rPr>
                      <w:rFonts w:hint="eastAsia"/>
                      <w:sz w:val="21"/>
                      <w:szCs w:val="21"/>
                      <w:u w:val="none"/>
                      <w:highlight w:val="none"/>
                    </w:rPr>
                    <w:t>0</w:t>
                  </w:r>
                </w:p>
              </w:tc>
              <w:tc>
                <w:tcPr>
                  <w:tcW w:w="519"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86" w:type="pct"/>
                  <w:vMerge w:val="restart"/>
                  <w:shd w:val="clear" w:color="auto" w:fill="FFFFFF"/>
                  <w:vAlign w:val="center"/>
                </w:tcPr>
                <w:p>
                  <w:pPr>
                    <w:adjustRightInd w:val="0"/>
                    <w:snapToGrid w:val="0"/>
                    <w:jc w:val="center"/>
                    <w:rPr>
                      <w:sz w:val="21"/>
                      <w:szCs w:val="21"/>
                      <w:u w:val="none"/>
                      <w:highlight w:val="none"/>
                    </w:rPr>
                  </w:pPr>
                  <w:r>
                    <w:rPr>
                      <w:sz w:val="21"/>
                      <w:szCs w:val="21"/>
                      <w:u w:val="none"/>
                      <w:highlight w:val="none"/>
                    </w:rPr>
                    <w:t>西侧</w:t>
                  </w:r>
                </w:p>
              </w:tc>
              <w:tc>
                <w:tcPr>
                  <w:tcW w:w="587" w:type="pct"/>
                  <w:shd w:val="clear" w:color="auto" w:fill="FFFFFF"/>
                  <w:vAlign w:val="center"/>
                </w:tcPr>
                <w:p>
                  <w:pPr>
                    <w:jc w:val="center"/>
                    <w:rPr>
                      <w:sz w:val="21"/>
                      <w:szCs w:val="21"/>
                      <w:u w:val="none"/>
                      <w:lang w:val="en-US"/>
                      <w:highlight w:val="none"/>
                    </w:rPr>
                  </w:pPr>
                  <w:r>
                    <w:rPr>
                      <w:sz w:val="21"/>
                      <w:szCs w:val="21"/>
                      <w:u w:val="none"/>
                      <w:highlight w:val="none"/>
                    </w:rPr>
                    <w:t>-</w:t>
                  </w:r>
                  <w:r>
                    <w:rPr>
                      <w:rFonts w:hint="eastAsia"/>
                      <w:sz w:val="21"/>
                      <w:szCs w:val="21"/>
                      <w:u w:val="none"/>
                      <w:lang w:val="en-US" w:eastAsia="zh-CN"/>
                      <w:highlight w:val="none"/>
                    </w:rPr>
                    <w:t>23.8</w:t>
                  </w:r>
                </w:p>
              </w:tc>
              <w:tc>
                <w:tcPr>
                  <w:tcW w:w="562" w:type="pct"/>
                  <w:shd w:val="clear" w:color="auto" w:fill="FFFFFF"/>
                  <w:vAlign w:val="center"/>
                </w:tcPr>
                <w:p>
                  <w:pPr>
                    <w:jc w:val="center"/>
                    <w:rPr>
                      <w:sz w:val="21"/>
                      <w:szCs w:val="21"/>
                      <w:u w:val="none"/>
                      <w:lang w:val="en-US"/>
                      <w:highlight w:val="none"/>
                    </w:rPr>
                  </w:pPr>
                  <w:r>
                    <w:rPr>
                      <w:rFonts w:hint="eastAsia"/>
                      <w:sz w:val="21"/>
                      <w:szCs w:val="21"/>
                      <w:u w:val="none"/>
                      <w:lang w:val="en-US" w:eastAsia="zh-CN"/>
                      <w:highlight w:val="none"/>
                    </w:rPr>
                    <w:t>4.5</w:t>
                  </w:r>
                </w:p>
              </w:tc>
              <w:tc>
                <w:tcPr>
                  <w:tcW w:w="374" w:type="pct"/>
                  <w:shd w:val="clear" w:color="auto" w:fill="FFFFFF"/>
                  <w:vAlign w:val="center"/>
                </w:tcPr>
                <w:p>
                  <w:pPr>
                    <w:jc w:val="center"/>
                    <w:rPr>
                      <w:sz w:val="21"/>
                      <w:szCs w:val="21"/>
                      <w:u w:val="none"/>
                      <w:highlight w:val="none"/>
                    </w:rPr>
                  </w:pPr>
                  <w:r>
                    <w:rPr>
                      <w:sz w:val="21"/>
                      <w:szCs w:val="21"/>
                      <w:u w:val="none"/>
                      <w:highlight w:val="none"/>
                    </w:rPr>
                    <w:t>1.2</w:t>
                  </w:r>
                </w:p>
              </w:tc>
              <w:tc>
                <w:tcPr>
                  <w:tcW w:w="586"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937" w:type="pct"/>
                  <w:vMerge w:val="restart"/>
                  <w:shd w:val="clear" w:color="auto" w:fill="FFFFFF"/>
                  <w:vAlign w:val="center"/>
                </w:tcPr>
                <w:p>
                  <w:pPr>
                    <w:jc w:val="center"/>
                    <w:rPr>
                      <w:sz w:val="21"/>
                      <w:szCs w:val="21"/>
                      <w:u w:val="none"/>
                      <w:highlight w:val="none"/>
                    </w:rPr>
                  </w:pPr>
                  <w:r>
                    <w:rPr>
                      <w:rFonts w:hint="eastAsia"/>
                      <w:sz w:val="21"/>
                      <w:szCs w:val="21"/>
                      <w:u w:val="none"/>
                      <w:highlight w:val="none"/>
                    </w:rPr>
                    <w:t>4</w:t>
                  </w:r>
                  <w:r>
                    <w:rPr>
                      <w:rFonts w:hint="eastAsia"/>
                      <w:sz w:val="21"/>
                      <w:szCs w:val="21"/>
                      <w:u w:val="none"/>
                      <w:lang w:val="en-US" w:eastAsia="zh-CN"/>
                      <w:highlight w:val="none"/>
                    </w:rPr>
                    <w:t>3</w:t>
                  </w:r>
                  <w:r>
                    <w:rPr>
                      <w:sz w:val="21"/>
                      <w:szCs w:val="21"/>
                      <w:u w:val="none"/>
                      <w:highlight w:val="none"/>
                    </w:rPr>
                    <w:t>.</w:t>
                  </w:r>
                  <w:r>
                    <w:rPr>
                      <w:rFonts w:hint="eastAsia"/>
                      <w:sz w:val="21"/>
                      <w:szCs w:val="21"/>
                      <w:u w:val="none"/>
                      <w:highlight w:val="none"/>
                    </w:rPr>
                    <w:t>3</w:t>
                  </w:r>
                </w:p>
              </w:tc>
              <w:tc>
                <w:tcPr>
                  <w:tcW w:w="949" w:type="pct"/>
                  <w:shd w:val="clear" w:color="auto" w:fill="FFFFFF"/>
                  <w:vAlign w:val="center"/>
                </w:tcPr>
                <w:p>
                  <w:pPr>
                    <w:adjustRightInd w:val="0"/>
                    <w:snapToGrid w:val="0"/>
                    <w:jc w:val="center"/>
                    <w:rPr>
                      <w:sz w:val="21"/>
                      <w:szCs w:val="21"/>
                      <w:u w:val="none"/>
                      <w:highlight w:val="none"/>
                    </w:rPr>
                  </w:pPr>
                  <w:r>
                    <w:rPr>
                      <w:sz w:val="21"/>
                      <w:szCs w:val="21"/>
                      <w:u w:val="none"/>
                      <w:highlight w:val="none"/>
                    </w:rPr>
                    <w:t>6</w:t>
                  </w:r>
                  <w:r>
                    <w:rPr>
                      <w:rFonts w:hint="eastAsia"/>
                      <w:sz w:val="21"/>
                      <w:szCs w:val="21"/>
                      <w:u w:val="none"/>
                      <w:highlight w:val="none"/>
                    </w:rPr>
                    <w:t>0</w:t>
                  </w:r>
                </w:p>
              </w:tc>
              <w:tc>
                <w:tcPr>
                  <w:tcW w:w="519"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86" w:type="pct"/>
                  <w:vMerge/>
                  <w:shd w:val="clear" w:color="auto" w:fill="FFFFFF"/>
                  <w:vAlign w:val="center"/>
                </w:tcPr>
                <w:p/>
              </w:tc>
              <w:tc>
                <w:tcPr>
                  <w:tcW w:w="587" w:type="pct"/>
                  <w:shd w:val="clear" w:color="auto" w:fill="FFFFFF"/>
                  <w:vAlign w:val="center"/>
                </w:tcPr>
                <w:p>
                  <w:pPr>
                    <w:jc w:val="center"/>
                    <w:rPr>
                      <w:sz w:val="21"/>
                      <w:szCs w:val="21"/>
                      <w:u w:val="none"/>
                      <w:lang w:val="en-US"/>
                      <w:highlight w:val="none"/>
                    </w:rPr>
                  </w:pPr>
                  <w:r>
                    <w:rPr>
                      <w:sz w:val="21"/>
                      <w:szCs w:val="21"/>
                      <w:u w:val="none"/>
                      <w:highlight w:val="none"/>
                    </w:rPr>
                    <w:t>-</w:t>
                  </w:r>
                  <w:r>
                    <w:rPr>
                      <w:rFonts w:hint="eastAsia"/>
                      <w:sz w:val="21"/>
                      <w:szCs w:val="21"/>
                      <w:u w:val="none"/>
                      <w:lang w:val="en-US" w:eastAsia="zh-CN"/>
                      <w:highlight w:val="none"/>
                    </w:rPr>
                    <w:t>23.8</w:t>
                  </w:r>
                </w:p>
              </w:tc>
              <w:tc>
                <w:tcPr>
                  <w:tcW w:w="562" w:type="pct"/>
                  <w:shd w:val="clear" w:color="auto" w:fill="FFFFFF"/>
                  <w:vAlign w:val="center"/>
                </w:tcPr>
                <w:p>
                  <w:pPr>
                    <w:jc w:val="center"/>
                    <w:rPr>
                      <w:sz w:val="21"/>
                      <w:szCs w:val="21"/>
                      <w:u w:val="none"/>
                      <w:lang w:val="en-US"/>
                      <w:highlight w:val="none"/>
                    </w:rPr>
                  </w:pPr>
                  <w:r>
                    <w:rPr>
                      <w:rFonts w:hint="eastAsia"/>
                      <w:sz w:val="21"/>
                      <w:szCs w:val="21"/>
                      <w:u w:val="none"/>
                      <w:lang w:val="en-US" w:eastAsia="zh-CN"/>
                      <w:highlight w:val="none"/>
                    </w:rPr>
                    <w:t>4.5</w:t>
                  </w:r>
                </w:p>
              </w:tc>
              <w:tc>
                <w:tcPr>
                  <w:tcW w:w="374" w:type="pct"/>
                  <w:shd w:val="clear" w:color="auto" w:fill="FFFFFF"/>
                  <w:vAlign w:val="center"/>
                </w:tcPr>
                <w:p>
                  <w:pPr>
                    <w:jc w:val="center"/>
                    <w:rPr>
                      <w:sz w:val="21"/>
                      <w:szCs w:val="21"/>
                      <w:u w:val="none"/>
                      <w:highlight w:val="none"/>
                    </w:rPr>
                  </w:pPr>
                  <w:r>
                    <w:rPr>
                      <w:sz w:val="21"/>
                      <w:szCs w:val="21"/>
                      <w:u w:val="none"/>
                      <w:highlight w:val="none"/>
                    </w:rPr>
                    <w:t>1.2</w:t>
                  </w:r>
                </w:p>
              </w:tc>
              <w:tc>
                <w:tcPr>
                  <w:tcW w:w="586"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937" w:type="pct"/>
                  <w:vMerge/>
                  <w:shd w:val="clear" w:color="auto" w:fill="FFFFFF"/>
                  <w:vAlign w:val="center"/>
                </w:tcPr>
                <w:p/>
              </w:tc>
              <w:tc>
                <w:tcPr>
                  <w:tcW w:w="94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w:t>
                  </w:r>
                  <w:r>
                    <w:rPr>
                      <w:rFonts w:hint="eastAsia"/>
                      <w:sz w:val="21"/>
                      <w:szCs w:val="21"/>
                      <w:u w:val="none"/>
                      <w:highlight w:val="none"/>
                    </w:rPr>
                    <w:t>0</w:t>
                  </w:r>
                </w:p>
              </w:tc>
              <w:tc>
                <w:tcPr>
                  <w:tcW w:w="519"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86" w:type="pct"/>
                  <w:vMerge w:val="restart"/>
                  <w:shd w:val="clear" w:color="auto" w:fill="FFFFFF"/>
                  <w:vAlign w:val="center"/>
                </w:tcPr>
                <w:p>
                  <w:pPr>
                    <w:adjustRightInd w:val="0"/>
                    <w:snapToGrid w:val="0"/>
                    <w:jc w:val="center"/>
                    <w:rPr>
                      <w:sz w:val="21"/>
                      <w:szCs w:val="21"/>
                      <w:u w:val="none"/>
                      <w:highlight w:val="none"/>
                    </w:rPr>
                  </w:pPr>
                  <w:r>
                    <w:rPr>
                      <w:sz w:val="21"/>
                      <w:szCs w:val="21"/>
                      <w:u w:val="none"/>
                      <w:highlight w:val="none"/>
                    </w:rPr>
                    <w:t>北侧</w:t>
                  </w:r>
                </w:p>
              </w:tc>
              <w:tc>
                <w:tcPr>
                  <w:tcW w:w="587" w:type="pct"/>
                  <w:shd w:val="clear" w:color="auto" w:fill="FFFFFF"/>
                  <w:vAlign w:val="center"/>
                </w:tcPr>
                <w:p>
                  <w:pPr>
                    <w:jc w:val="center"/>
                    <w:rPr>
                      <w:rFonts w:eastAsia="宋体"/>
                      <w:sz w:val="21"/>
                      <w:szCs w:val="21"/>
                      <w:u w:val="none"/>
                      <w:lang w:val="en-US" w:eastAsia="zh-CN"/>
                      <w:highlight w:val="none"/>
                    </w:rPr>
                  </w:pPr>
                  <w:r>
                    <w:rPr>
                      <w:rFonts w:hint="eastAsia"/>
                      <w:sz w:val="21"/>
                      <w:szCs w:val="21"/>
                      <w:u w:val="none"/>
                      <w:highlight w:val="none"/>
                    </w:rPr>
                    <w:t>-</w:t>
                  </w:r>
                  <w:r>
                    <w:rPr>
                      <w:rFonts w:hint="eastAsia"/>
                      <w:sz w:val="21"/>
                      <w:szCs w:val="21"/>
                      <w:u w:val="none"/>
                      <w:lang w:val="en-US" w:eastAsia="zh-CN"/>
                      <w:highlight w:val="none"/>
                    </w:rPr>
                    <w:t>13.8</w:t>
                  </w:r>
                </w:p>
              </w:tc>
              <w:tc>
                <w:tcPr>
                  <w:tcW w:w="562" w:type="pct"/>
                  <w:shd w:val="clear" w:color="auto" w:fill="FFFFFF"/>
                  <w:vAlign w:val="center"/>
                </w:tcPr>
                <w:p>
                  <w:pPr>
                    <w:jc w:val="center"/>
                    <w:rPr>
                      <w:sz w:val="21"/>
                      <w:szCs w:val="21"/>
                      <w:u w:val="none"/>
                      <w:lang w:val="en-US"/>
                      <w:highlight w:val="none"/>
                    </w:rPr>
                  </w:pPr>
                  <w:r>
                    <w:rPr>
                      <w:rFonts w:hint="eastAsia"/>
                      <w:sz w:val="21"/>
                      <w:szCs w:val="21"/>
                      <w:u w:val="none"/>
                      <w:lang w:val="en-US" w:eastAsia="zh-CN"/>
                      <w:highlight w:val="none"/>
                    </w:rPr>
                    <w:t>37.2</w:t>
                  </w:r>
                </w:p>
              </w:tc>
              <w:tc>
                <w:tcPr>
                  <w:tcW w:w="374" w:type="pct"/>
                  <w:shd w:val="clear" w:color="auto" w:fill="FFFFFF"/>
                  <w:vAlign w:val="center"/>
                </w:tcPr>
                <w:p>
                  <w:pPr>
                    <w:jc w:val="center"/>
                    <w:rPr>
                      <w:sz w:val="21"/>
                      <w:szCs w:val="21"/>
                      <w:u w:val="none"/>
                      <w:highlight w:val="none"/>
                    </w:rPr>
                  </w:pPr>
                  <w:r>
                    <w:rPr>
                      <w:sz w:val="21"/>
                      <w:szCs w:val="21"/>
                      <w:u w:val="none"/>
                      <w:highlight w:val="none"/>
                    </w:rPr>
                    <w:t>1.2</w:t>
                  </w:r>
                </w:p>
              </w:tc>
              <w:tc>
                <w:tcPr>
                  <w:tcW w:w="586"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937" w:type="pct"/>
                  <w:vMerge w:val="restart"/>
                  <w:shd w:val="clear" w:color="auto" w:fill="FFFFFF"/>
                  <w:vAlign w:val="center"/>
                </w:tcPr>
                <w:p>
                  <w:pPr>
                    <w:jc w:val="center"/>
                    <w:rPr>
                      <w:sz w:val="21"/>
                      <w:szCs w:val="21"/>
                      <w:u w:val="none"/>
                      <w:highlight w:val="none"/>
                    </w:rPr>
                  </w:pPr>
                  <w:r>
                    <w:rPr>
                      <w:rFonts w:hint="eastAsia"/>
                      <w:sz w:val="21"/>
                      <w:szCs w:val="21"/>
                      <w:u w:val="none"/>
                      <w:lang w:val="en-US" w:eastAsia="zh-CN"/>
                      <w:highlight w:val="none"/>
                    </w:rPr>
                    <w:t>39</w:t>
                  </w:r>
                  <w:r>
                    <w:rPr>
                      <w:sz w:val="21"/>
                      <w:szCs w:val="21"/>
                      <w:u w:val="none"/>
                      <w:highlight w:val="none"/>
                    </w:rPr>
                    <w:t>.7</w:t>
                  </w:r>
                </w:p>
              </w:tc>
              <w:tc>
                <w:tcPr>
                  <w:tcW w:w="949" w:type="pct"/>
                  <w:shd w:val="clear" w:color="auto" w:fill="FFFFFF"/>
                  <w:vAlign w:val="center"/>
                </w:tcPr>
                <w:p>
                  <w:pPr>
                    <w:adjustRightInd w:val="0"/>
                    <w:snapToGrid w:val="0"/>
                    <w:jc w:val="center"/>
                    <w:rPr>
                      <w:sz w:val="21"/>
                      <w:szCs w:val="21"/>
                      <w:u w:val="none"/>
                      <w:highlight w:val="none"/>
                    </w:rPr>
                  </w:pPr>
                  <w:r>
                    <w:rPr>
                      <w:sz w:val="21"/>
                      <w:szCs w:val="21"/>
                      <w:u w:val="none"/>
                      <w:highlight w:val="none"/>
                    </w:rPr>
                    <w:t>6</w:t>
                  </w:r>
                  <w:r>
                    <w:rPr>
                      <w:rFonts w:hint="eastAsia"/>
                      <w:sz w:val="21"/>
                      <w:szCs w:val="21"/>
                      <w:u w:val="none"/>
                      <w:highlight w:val="none"/>
                    </w:rPr>
                    <w:t>0</w:t>
                  </w:r>
                </w:p>
              </w:tc>
              <w:tc>
                <w:tcPr>
                  <w:tcW w:w="519"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86" w:type="pct"/>
                  <w:vMerge/>
                  <w:shd w:val="clear" w:color="auto" w:fill="FFFFFF"/>
                  <w:vAlign w:val="center"/>
                </w:tcPr>
                <w:p/>
              </w:tc>
              <w:tc>
                <w:tcPr>
                  <w:tcW w:w="587" w:type="pct"/>
                  <w:shd w:val="clear" w:color="auto" w:fill="FFFFFF"/>
                  <w:vAlign w:val="center"/>
                </w:tcPr>
                <w:p>
                  <w:pPr>
                    <w:jc w:val="center"/>
                    <w:rPr>
                      <w:sz w:val="21"/>
                      <w:szCs w:val="21"/>
                      <w:u w:val="none"/>
                      <w:highlight w:val="none"/>
                    </w:rPr>
                  </w:pPr>
                  <w:r>
                    <w:rPr>
                      <w:rFonts w:hint="eastAsia"/>
                      <w:sz w:val="21"/>
                      <w:szCs w:val="21"/>
                      <w:u w:val="none"/>
                      <w:highlight w:val="none"/>
                    </w:rPr>
                    <w:t>-</w:t>
                  </w:r>
                  <w:r>
                    <w:rPr>
                      <w:rFonts w:hint="eastAsia"/>
                      <w:sz w:val="21"/>
                      <w:szCs w:val="21"/>
                      <w:u w:val="none"/>
                      <w:lang w:val="en-US" w:eastAsia="zh-CN"/>
                      <w:highlight w:val="none"/>
                    </w:rPr>
                    <w:t>13.8</w:t>
                  </w:r>
                </w:p>
              </w:tc>
              <w:tc>
                <w:tcPr>
                  <w:tcW w:w="562" w:type="pct"/>
                  <w:shd w:val="clear" w:color="auto" w:fill="FFFFFF"/>
                  <w:vAlign w:val="center"/>
                </w:tcPr>
                <w:p>
                  <w:pPr>
                    <w:jc w:val="center"/>
                    <w:rPr>
                      <w:sz w:val="21"/>
                      <w:szCs w:val="21"/>
                      <w:u w:val="none"/>
                      <w:lang w:val="en-US"/>
                      <w:highlight w:val="none"/>
                    </w:rPr>
                  </w:pPr>
                  <w:r>
                    <w:rPr>
                      <w:rFonts w:hint="eastAsia"/>
                      <w:sz w:val="21"/>
                      <w:szCs w:val="21"/>
                      <w:u w:val="none"/>
                      <w:lang w:val="en-US" w:eastAsia="zh-CN"/>
                      <w:highlight w:val="none"/>
                    </w:rPr>
                    <w:t>37.2</w:t>
                  </w:r>
                </w:p>
              </w:tc>
              <w:tc>
                <w:tcPr>
                  <w:tcW w:w="374" w:type="pct"/>
                  <w:shd w:val="clear" w:color="auto" w:fill="FFFFFF"/>
                  <w:vAlign w:val="center"/>
                </w:tcPr>
                <w:p>
                  <w:pPr>
                    <w:jc w:val="center"/>
                    <w:rPr>
                      <w:sz w:val="21"/>
                      <w:szCs w:val="21"/>
                      <w:u w:val="none"/>
                      <w:highlight w:val="none"/>
                    </w:rPr>
                  </w:pPr>
                  <w:r>
                    <w:rPr>
                      <w:sz w:val="21"/>
                      <w:szCs w:val="21"/>
                      <w:u w:val="none"/>
                      <w:highlight w:val="none"/>
                    </w:rPr>
                    <w:t>1.2</w:t>
                  </w:r>
                </w:p>
              </w:tc>
              <w:tc>
                <w:tcPr>
                  <w:tcW w:w="586"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937" w:type="pct"/>
                  <w:vMerge/>
                  <w:shd w:val="clear" w:color="auto" w:fill="FFFFFF"/>
                  <w:vAlign w:val="center"/>
                </w:tcPr>
                <w:p/>
              </w:tc>
              <w:tc>
                <w:tcPr>
                  <w:tcW w:w="94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w:t>
                  </w:r>
                  <w:r>
                    <w:rPr>
                      <w:rFonts w:hint="eastAsia"/>
                      <w:sz w:val="21"/>
                      <w:szCs w:val="21"/>
                      <w:u w:val="none"/>
                      <w:highlight w:val="none"/>
                    </w:rPr>
                    <w:t>0</w:t>
                  </w:r>
                </w:p>
              </w:tc>
              <w:tc>
                <w:tcPr>
                  <w:tcW w:w="519"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bl>
          <w:p>
            <w:pPr>
              <w:pStyle w:val="18"/>
              <w:rPr>
                <w:bCs/>
                <w:szCs w:val="16"/>
                <w:u w:val="none"/>
                <w:highlight w:val="none"/>
              </w:rPr>
            </w:pPr>
            <w:r>
              <w:rPr>
                <w:bCs/>
                <w:szCs w:val="16"/>
                <w:u w:val="none"/>
                <w:highlight w:val="none"/>
              </w:rPr>
              <w:t>表</w:t>
            </w:r>
            <w:r>
              <w:rPr>
                <w:rFonts w:hint="eastAsia"/>
                <w:bCs/>
                <w:szCs w:val="16"/>
                <w:u w:val="none"/>
                <w:highlight w:val="none"/>
              </w:rPr>
              <w:t>4</w:t>
            </w:r>
            <w:r>
              <w:rPr>
                <w:bCs/>
                <w:szCs w:val="16"/>
                <w:u w:val="none"/>
                <w:highlight w:val="none"/>
              </w:rPr>
              <w:t>-</w:t>
            </w:r>
            <w:r>
              <w:rPr>
                <w:rFonts w:hint="eastAsia"/>
                <w:bCs/>
                <w:szCs w:val="16"/>
                <w:u w:val="none"/>
                <w:highlight w:val="none"/>
              </w:rPr>
              <w:t>7</w:t>
            </w:r>
            <w:r>
              <w:rPr>
                <w:bCs/>
                <w:szCs w:val="16"/>
                <w:u w:val="none"/>
                <w:highlight w:val="none"/>
              </w:rPr>
              <w:t xml:space="preserve">  工业企业声环境保护目标噪声预测结果与达标分析表</w:t>
            </w:r>
          </w:p>
          <w:tbl>
            <w:tblPr>
              <w:jc w:val="center"/>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CellMar>
                <w:top w:w="0" w:type="dxa"/>
                <w:left w:w="108" w:type="dxa"/>
                <w:bottom w:w="0" w:type="dxa"/>
                <w:right w:w="108" w:type="dxa"/>
              </w:tblCellMar>
              <w:tblLook w:val="0600" w:firstRow="0" w:lastRow="0" w:firstColumn="0" w:lastColumn="0" w:noHBand="1" w:noVBand="1"/>
            </w:tblPr>
            <w:tblGrid>
              <w:gridCol w:w="654"/>
              <w:gridCol w:w="443"/>
              <w:gridCol w:w="581"/>
              <w:gridCol w:w="706"/>
              <w:gridCol w:w="633"/>
              <w:gridCol w:w="425"/>
              <w:gridCol w:w="472"/>
              <w:gridCol w:w="625"/>
              <w:gridCol w:w="617"/>
              <w:gridCol w:w="643"/>
              <w:gridCol w:w="633"/>
              <w:gridCol w:w="470"/>
              <w:gridCol w:w="535"/>
              <w:gridCol w:w="361"/>
              <w:gridCol w:w="334"/>
            </w:tblGrid>
            <w:tr>
              <w:trPr>
                <w:trHeight w:val="340"/>
              </w:trPr>
              <w:tc>
                <w:tcPr>
                  <w:tcW w:w="402" w:type="pct"/>
                  <w:vMerge w:val="restart"/>
                  <w:vAlign w:val="center"/>
                </w:tcPr>
                <w:p>
                  <w:pPr>
                    <w:adjustRightInd w:val="0"/>
                    <w:snapToGrid w:val="0"/>
                    <w:jc w:val="center"/>
                    <w:rPr>
                      <w:sz w:val="21"/>
                      <w:szCs w:val="21"/>
                      <w:u w:val="none"/>
                      <w:highlight w:val="none"/>
                    </w:rPr>
                  </w:pPr>
                  <w:r>
                    <w:rPr>
                      <w:sz w:val="21"/>
                      <w:szCs w:val="21"/>
                      <w:u w:val="none"/>
                      <w:highlight w:val="none"/>
                    </w:rPr>
                    <w:t>声环境保护目标名称</w:t>
                  </w:r>
                </w:p>
              </w:tc>
              <w:tc>
                <w:tcPr>
                  <w:tcW w:w="629" w:type="pct"/>
                  <w:gridSpan w:val="2"/>
                  <w:vAlign w:val="center"/>
                </w:tcPr>
                <w:p>
                  <w:pPr>
                    <w:adjustRightInd w:val="0"/>
                    <w:snapToGrid w:val="0"/>
                    <w:jc w:val="center"/>
                    <w:rPr>
                      <w:sz w:val="21"/>
                      <w:szCs w:val="21"/>
                      <w:u w:val="none"/>
                      <w:highlight w:val="none"/>
                    </w:rPr>
                  </w:pPr>
                  <w:r>
                    <w:rPr>
                      <w:sz w:val="21"/>
                      <w:szCs w:val="21"/>
                      <w:u w:val="none"/>
                      <w:highlight w:val="none"/>
                    </w:rPr>
                    <w:t>噪声背景值/dB(A)</w:t>
                  </w:r>
                </w:p>
              </w:tc>
              <w:tc>
                <w:tcPr>
                  <w:tcW w:w="823" w:type="pct"/>
                  <w:gridSpan w:val="2"/>
                  <w:vAlign w:val="center"/>
                </w:tcPr>
                <w:p>
                  <w:pPr>
                    <w:adjustRightInd w:val="0"/>
                    <w:snapToGrid w:val="0"/>
                    <w:jc w:val="center"/>
                    <w:rPr>
                      <w:sz w:val="21"/>
                      <w:szCs w:val="21"/>
                      <w:u w:val="none"/>
                      <w:highlight w:val="none"/>
                    </w:rPr>
                  </w:pPr>
                  <w:r>
                    <w:rPr>
                      <w:sz w:val="21"/>
                      <w:szCs w:val="21"/>
                      <w:u w:val="none"/>
                      <w:highlight w:val="none"/>
                    </w:rPr>
                    <w:t>噪声现状值/dB(A)</w:t>
                  </w:r>
                </w:p>
              </w:tc>
              <w:tc>
                <w:tcPr>
                  <w:tcW w:w="551" w:type="pct"/>
                  <w:gridSpan w:val="2"/>
                  <w:vAlign w:val="center"/>
                </w:tcPr>
                <w:p>
                  <w:pPr>
                    <w:adjustRightInd w:val="0"/>
                    <w:snapToGrid w:val="0"/>
                    <w:jc w:val="center"/>
                    <w:rPr>
                      <w:sz w:val="21"/>
                      <w:szCs w:val="21"/>
                      <w:u w:val="none"/>
                      <w:highlight w:val="none"/>
                    </w:rPr>
                  </w:pPr>
                  <w:r>
                    <w:rPr>
                      <w:sz w:val="21"/>
                      <w:szCs w:val="21"/>
                      <w:u w:val="none"/>
                      <w:highlight w:val="none"/>
                    </w:rPr>
                    <w:t>噪声标准/dB(A)</w:t>
                  </w:r>
                </w:p>
              </w:tc>
              <w:tc>
                <w:tcPr>
                  <w:tcW w:w="763" w:type="pct"/>
                  <w:gridSpan w:val="2"/>
                  <w:vAlign w:val="center"/>
                </w:tcPr>
                <w:p>
                  <w:pPr>
                    <w:adjustRightInd w:val="0"/>
                    <w:snapToGrid w:val="0"/>
                    <w:jc w:val="center"/>
                    <w:rPr>
                      <w:sz w:val="21"/>
                      <w:szCs w:val="21"/>
                      <w:u w:val="none"/>
                      <w:highlight w:val="none"/>
                    </w:rPr>
                  </w:pPr>
                  <w:r>
                    <w:rPr>
                      <w:sz w:val="21"/>
                      <w:szCs w:val="21"/>
                      <w:u w:val="none"/>
                      <w:highlight w:val="none"/>
                    </w:rPr>
                    <w:t>噪声贡献值/dB(A)</w:t>
                  </w:r>
                </w:p>
              </w:tc>
              <w:tc>
                <w:tcPr>
                  <w:tcW w:w="784" w:type="pct"/>
                  <w:gridSpan w:val="2"/>
                  <w:vAlign w:val="center"/>
                </w:tcPr>
                <w:p>
                  <w:pPr>
                    <w:adjustRightInd w:val="0"/>
                    <w:snapToGrid w:val="0"/>
                    <w:jc w:val="center"/>
                    <w:rPr>
                      <w:sz w:val="21"/>
                      <w:szCs w:val="21"/>
                      <w:u w:val="none"/>
                      <w:highlight w:val="none"/>
                    </w:rPr>
                  </w:pPr>
                  <w:r>
                    <w:rPr>
                      <w:sz w:val="21"/>
                      <w:szCs w:val="21"/>
                      <w:u w:val="none"/>
                      <w:highlight w:val="none"/>
                    </w:rPr>
                    <w:t>噪声预测值/dB(A)</w:t>
                  </w:r>
                </w:p>
              </w:tc>
              <w:tc>
                <w:tcPr>
                  <w:tcW w:w="618" w:type="pct"/>
                  <w:gridSpan w:val="2"/>
                  <w:vAlign w:val="center"/>
                </w:tcPr>
                <w:p>
                  <w:pPr>
                    <w:adjustRightInd w:val="0"/>
                    <w:snapToGrid w:val="0"/>
                    <w:jc w:val="center"/>
                    <w:rPr>
                      <w:sz w:val="21"/>
                      <w:szCs w:val="21"/>
                      <w:u w:val="none"/>
                      <w:highlight w:val="none"/>
                    </w:rPr>
                  </w:pPr>
                  <w:r>
                    <w:rPr>
                      <w:sz w:val="21"/>
                      <w:szCs w:val="21"/>
                      <w:u w:val="none"/>
                      <w:highlight w:val="none"/>
                    </w:rPr>
                    <w:t>较现状增量/dB(A)</w:t>
                  </w:r>
                </w:p>
              </w:tc>
              <w:tc>
                <w:tcPr>
                  <w:tcW w:w="427" w:type="pct"/>
                  <w:gridSpan w:val="2"/>
                  <w:vAlign w:val="center"/>
                </w:tcPr>
                <w:p>
                  <w:pPr>
                    <w:adjustRightInd w:val="0"/>
                    <w:snapToGrid w:val="0"/>
                    <w:jc w:val="center"/>
                    <w:rPr>
                      <w:sz w:val="21"/>
                      <w:szCs w:val="21"/>
                      <w:u w:val="none"/>
                      <w:highlight w:val="none"/>
                    </w:rPr>
                  </w:pPr>
                  <w:r>
                    <w:rPr>
                      <w:sz w:val="21"/>
                      <w:szCs w:val="21"/>
                      <w:u w:val="none"/>
                      <w:highlight w:val="none"/>
                    </w:rPr>
                    <w:t>超标和达标情况</w:t>
                  </w:r>
                </w:p>
              </w:tc>
            </w:tr>
            <w:tr>
              <w:trPr>
                <w:trHeight w:val="340"/>
              </w:trPr>
              <w:tc>
                <w:tcPr>
                  <w:tcW w:w="402" w:type="pct"/>
                  <w:vMerge/>
                  <w:shd w:val="clear" w:color="auto" w:fill="auto"/>
                  <w:vAlign w:val="center"/>
                </w:tcPr>
                <w:p/>
              </w:tc>
              <w:tc>
                <w:tcPr>
                  <w:tcW w:w="272"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356"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434"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3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384"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378"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395"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3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328"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昼间</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夜间</w:t>
                  </w:r>
                </w:p>
              </w:tc>
            </w:tr>
            <w:tr>
              <w:trPr>
                <w:trHeight w:val="340"/>
              </w:trPr>
              <w:tc>
                <w:tcPr>
                  <w:tcW w:w="402" w:type="pct"/>
                  <w:shd w:val="clear" w:color="auto" w:fill="FFFFFF"/>
                  <w:vAlign w:val="center"/>
                </w:tcPr>
                <w:p>
                  <w:pPr>
                    <w:widowControl/>
                    <w:spacing w:line="240" w:lineRule="auto"/>
                    <w:jc w:val="center"/>
                    <w:rPr>
                      <w:rFonts w:ascii="Times New Roman" w:eastAsia="宋体" w:cs="Times New Roman" w:hAnsi="Times New Roman"/>
                      <w:sz w:val="21"/>
                      <w:szCs w:val="21"/>
                      <w:u w:val="none"/>
                      <w:lang w:val="en-US" w:eastAsia="zh-CN"/>
                      <w:highlight w:val="none"/>
                    </w:rPr>
                  </w:pPr>
                  <w:r>
                    <w:rPr>
                      <w:rFonts w:ascii="宋体" w:eastAsia="宋体" w:cs="宋体" w:hAnsi="宋体" w:hint="eastAsia"/>
                      <w:kern w:val="0"/>
                      <w:sz w:val="21"/>
                      <w:szCs w:val="21"/>
                      <w:lang w:val="en-US" w:eastAsia="zh-CN"/>
                      <w:highlight w:val="none"/>
                    </w:rPr>
                    <w:t>太青水厂北侧最近居民点</w:t>
                  </w:r>
                </w:p>
              </w:tc>
              <w:tc>
                <w:tcPr>
                  <w:tcW w:w="272"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48.6</w:t>
                  </w:r>
                </w:p>
              </w:tc>
              <w:tc>
                <w:tcPr>
                  <w:tcW w:w="356"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highlight w:val="none"/>
                    </w:rPr>
                    <w:t>4</w:t>
                  </w:r>
                  <w:r>
                    <w:rPr>
                      <w:rFonts w:hint="eastAsia"/>
                      <w:sz w:val="21"/>
                      <w:szCs w:val="21"/>
                      <w:u w:val="none"/>
                      <w:lang w:val="en-US" w:eastAsia="zh-CN"/>
                      <w:highlight w:val="none"/>
                    </w:rPr>
                    <w:t>4.8</w:t>
                  </w:r>
                </w:p>
              </w:tc>
              <w:tc>
                <w:tcPr>
                  <w:tcW w:w="434" w:type="pct"/>
                  <w:shd w:val="clear" w:color="auto" w:fill="FFFFFF"/>
                  <w:vAlign w:val="center"/>
                </w:tcPr>
                <w:p>
                  <w:pPr>
                    <w:adjustRightInd w:val="0"/>
                    <w:snapToGrid w:val="0"/>
                    <w:jc w:val="center"/>
                    <w:rPr>
                      <w:sz w:val="21"/>
                      <w:szCs w:val="21"/>
                      <w:u w:val="none"/>
                      <w:highlight w:val="none"/>
                    </w:rPr>
                  </w:pPr>
                  <w:r>
                    <w:rPr>
                      <w:rFonts w:hint="eastAsia"/>
                      <w:sz w:val="21"/>
                      <w:szCs w:val="21"/>
                      <w:u w:val="none"/>
                      <w:lang w:val="en-US" w:eastAsia="zh-CN"/>
                      <w:highlight w:val="none"/>
                    </w:rPr>
                    <w:t>48.6</w:t>
                  </w:r>
                </w:p>
              </w:tc>
              <w:tc>
                <w:tcPr>
                  <w:tcW w:w="389" w:type="pct"/>
                  <w:shd w:val="clear" w:color="auto" w:fill="FFFFFF"/>
                  <w:vAlign w:val="center"/>
                </w:tcPr>
                <w:p>
                  <w:pPr>
                    <w:adjustRightInd w:val="0"/>
                    <w:snapToGrid w:val="0"/>
                    <w:jc w:val="center"/>
                    <w:rPr>
                      <w:sz w:val="21"/>
                      <w:szCs w:val="21"/>
                      <w:u w:val="none"/>
                      <w:highlight w:val="none"/>
                    </w:rPr>
                  </w:pPr>
                  <w:r>
                    <w:rPr>
                      <w:rFonts w:hint="eastAsia"/>
                      <w:sz w:val="21"/>
                      <w:szCs w:val="21"/>
                      <w:u w:val="none"/>
                      <w:highlight w:val="none"/>
                    </w:rPr>
                    <w:t>4</w:t>
                  </w:r>
                  <w:r>
                    <w:rPr>
                      <w:rFonts w:hint="eastAsia"/>
                      <w:sz w:val="21"/>
                      <w:szCs w:val="21"/>
                      <w:u w:val="none"/>
                      <w:lang w:val="en-US" w:eastAsia="zh-CN"/>
                      <w:highlight w:val="none"/>
                    </w:rPr>
                    <w:t>4.8</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60</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50</w:t>
                  </w:r>
                </w:p>
              </w:tc>
              <w:tc>
                <w:tcPr>
                  <w:tcW w:w="384" w:type="pct"/>
                  <w:shd w:val="clear" w:color="auto" w:fill="FFFFFF"/>
                  <w:vAlign w:val="center"/>
                </w:tcPr>
                <w:p>
                  <w:pPr>
                    <w:adjustRightInd w:val="0"/>
                    <w:snapToGrid w:val="0"/>
                    <w:jc w:val="center"/>
                    <w:rPr>
                      <w:sz w:val="21"/>
                      <w:szCs w:val="21"/>
                      <w:u w:val="none"/>
                      <w:lang w:val="en-US"/>
                      <w:highlight w:val="none"/>
                    </w:rPr>
                  </w:pPr>
                  <w:r>
                    <w:rPr>
                      <w:rFonts w:hint="eastAsia"/>
                      <w:sz w:val="21"/>
                      <w:szCs w:val="21"/>
                      <w:u w:val="none"/>
                      <w:lang w:val="en-US" w:eastAsia="zh-CN"/>
                      <w:highlight w:val="none"/>
                    </w:rPr>
                    <w:t>39.1</w:t>
                  </w:r>
                </w:p>
              </w:tc>
              <w:tc>
                <w:tcPr>
                  <w:tcW w:w="378" w:type="pct"/>
                  <w:shd w:val="clear" w:color="auto" w:fill="FFFFFF"/>
                  <w:vAlign w:val="center"/>
                </w:tcPr>
                <w:p>
                  <w:pPr>
                    <w:adjustRightInd w:val="0"/>
                    <w:snapToGrid w:val="0"/>
                    <w:jc w:val="center"/>
                    <w:rPr>
                      <w:sz w:val="21"/>
                      <w:szCs w:val="21"/>
                      <w:u w:val="none"/>
                      <w:lang w:val="en-US"/>
                      <w:highlight w:val="none"/>
                    </w:rPr>
                  </w:pPr>
                  <w:r>
                    <w:rPr>
                      <w:rFonts w:hint="eastAsia"/>
                      <w:sz w:val="21"/>
                      <w:szCs w:val="21"/>
                      <w:u w:val="none"/>
                      <w:lang w:val="en-US" w:eastAsia="zh-CN"/>
                      <w:highlight w:val="none"/>
                    </w:rPr>
                    <w:t>39.1</w:t>
                  </w:r>
                </w:p>
              </w:tc>
              <w:tc>
                <w:tcPr>
                  <w:tcW w:w="395"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highlight w:val="none"/>
                    </w:rPr>
                    <w:t>5</w:t>
                  </w:r>
                  <w:r>
                    <w:rPr>
                      <w:rFonts w:hint="eastAsia"/>
                      <w:sz w:val="21"/>
                      <w:szCs w:val="21"/>
                      <w:u w:val="none"/>
                      <w:lang w:val="en-US" w:eastAsia="zh-CN"/>
                      <w:highlight w:val="none"/>
                    </w:rPr>
                    <w:t>1.5</w:t>
                  </w:r>
                </w:p>
              </w:tc>
              <w:tc>
                <w:tcPr>
                  <w:tcW w:w="3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highlight w:val="none"/>
                    </w:rPr>
                    <w:t>4</w:t>
                  </w:r>
                  <w:r>
                    <w:rPr>
                      <w:rFonts w:hint="eastAsia"/>
                      <w:sz w:val="21"/>
                      <w:szCs w:val="21"/>
                      <w:u w:val="none"/>
                      <w:lang w:val="en-US" w:eastAsia="zh-CN"/>
                      <w:highlight w:val="none"/>
                    </w:rPr>
                    <w:t>8.9</w:t>
                  </w:r>
                </w:p>
              </w:tc>
              <w:tc>
                <w:tcPr>
                  <w:tcW w:w="289" w:type="pct"/>
                  <w:shd w:val="clear" w:color="auto" w:fill="FFFFFF"/>
                  <w:vAlign w:val="center"/>
                </w:tcPr>
                <w:p>
                  <w:pPr>
                    <w:adjustRightInd w:val="0"/>
                    <w:snapToGrid w:val="0"/>
                    <w:jc w:val="center"/>
                    <w:rPr>
                      <w:sz w:val="21"/>
                      <w:szCs w:val="21"/>
                      <w:u w:val="none"/>
                      <w:lang w:val="en-US"/>
                      <w:highlight w:val="none"/>
                    </w:rPr>
                  </w:pPr>
                  <w:r>
                    <w:rPr>
                      <w:rFonts w:hint="eastAsia"/>
                      <w:sz w:val="21"/>
                      <w:szCs w:val="21"/>
                      <w:u w:val="none"/>
                      <w:lang w:val="en-US" w:eastAsia="zh-CN"/>
                      <w:highlight w:val="none"/>
                    </w:rPr>
                    <w:t>2.9</w:t>
                  </w:r>
                </w:p>
              </w:tc>
              <w:tc>
                <w:tcPr>
                  <w:tcW w:w="328"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0.3</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02" w:type="pct"/>
                  <w:shd w:val="clear" w:color="auto" w:fill="FFFFFF"/>
                  <w:vAlign w:val="center"/>
                </w:tcPr>
                <w:p>
                  <w:pPr>
                    <w:widowControl/>
                    <w:spacing w:line="240" w:lineRule="auto"/>
                    <w:jc w:val="center"/>
                    <w:rPr>
                      <w:rFonts w:ascii="Times New Roman" w:cs="Times New Roman" w:hAnsi="Times New Roman"/>
                      <w:sz w:val="21"/>
                      <w:szCs w:val="21"/>
                      <w:u w:val="none"/>
                      <w:lang w:val="en-US"/>
                      <w:highlight w:val="none"/>
                    </w:rPr>
                  </w:pPr>
                  <w:r>
                    <w:rPr>
                      <w:rFonts w:ascii="宋体" w:eastAsia="宋体" w:cs="宋体" w:hAnsi="宋体" w:hint="eastAsia"/>
                      <w:kern w:val="0"/>
                      <w:sz w:val="21"/>
                      <w:szCs w:val="21"/>
                      <w:lang w:val="en-US" w:eastAsia="zh-CN"/>
                      <w:highlight w:val="none"/>
                    </w:rPr>
                    <w:t>探裕-遇市村加压泵站东侧最近居民点</w:t>
                  </w:r>
                </w:p>
              </w:tc>
              <w:tc>
                <w:tcPr>
                  <w:tcW w:w="272"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48.5</w:t>
                  </w:r>
                </w:p>
              </w:tc>
              <w:tc>
                <w:tcPr>
                  <w:tcW w:w="356"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highlight w:val="none"/>
                    </w:rPr>
                    <w:t>4</w:t>
                  </w:r>
                  <w:r>
                    <w:rPr>
                      <w:rFonts w:hint="eastAsia"/>
                      <w:sz w:val="21"/>
                      <w:szCs w:val="21"/>
                      <w:u w:val="none"/>
                      <w:lang w:val="en-US" w:eastAsia="zh-CN"/>
                      <w:highlight w:val="none"/>
                    </w:rPr>
                    <w:t>4.1</w:t>
                  </w:r>
                </w:p>
              </w:tc>
              <w:tc>
                <w:tcPr>
                  <w:tcW w:w="434" w:type="pct"/>
                  <w:shd w:val="clear" w:color="auto" w:fill="FFFFFF"/>
                  <w:vAlign w:val="center"/>
                </w:tcPr>
                <w:p>
                  <w:pPr>
                    <w:adjustRightInd w:val="0"/>
                    <w:snapToGrid w:val="0"/>
                    <w:jc w:val="center"/>
                    <w:rPr>
                      <w:sz w:val="21"/>
                      <w:szCs w:val="21"/>
                      <w:u w:val="none"/>
                      <w:highlight w:val="none"/>
                    </w:rPr>
                  </w:pPr>
                  <w:r>
                    <w:rPr>
                      <w:rFonts w:hint="eastAsia"/>
                      <w:sz w:val="21"/>
                      <w:szCs w:val="21"/>
                      <w:u w:val="none"/>
                      <w:lang w:val="en-US" w:eastAsia="zh-CN"/>
                      <w:highlight w:val="none"/>
                    </w:rPr>
                    <w:t>48.5</w:t>
                  </w:r>
                </w:p>
              </w:tc>
              <w:tc>
                <w:tcPr>
                  <w:tcW w:w="389" w:type="pct"/>
                  <w:shd w:val="clear" w:color="auto" w:fill="FFFFFF"/>
                  <w:vAlign w:val="center"/>
                </w:tcPr>
                <w:p>
                  <w:pPr>
                    <w:adjustRightInd w:val="0"/>
                    <w:snapToGrid w:val="0"/>
                    <w:jc w:val="center"/>
                    <w:rPr>
                      <w:sz w:val="21"/>
                      <w:szCs w:val="21"/>
                      <w:u w:val="none"/>
                      <w:highlight w:val="none"/>
                    </w:rPr>
                  </w:pPr>
                  <w:r>
                    <w:rPr>
                      <w:rFonts w:hint="eastAsia"/>
                      <w:sz w:val="21"/>
                      <w:szCs w:val="21"/>
                      <w:u w:val="none"/>
                      <w:highlight w:val="none"/>
                    </w:rPr>
                    <w:t>4</w:t>
                  </w:r>
                  <w:r>
                    <w:rPr>
                      <w:rFonts w:hint="eastAsia"/>
                      <w:sz w:val="21"/>
                      <w:szCs w:val="21"/>
                      <w:u w:val="none"/>
                      <w:lang w:val="en-US" w:eastAsia="zh-CN"/>
                      <w:highlight w:val="none"/>
                    </w:rPr>
                    <w:t>4.1</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60</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50</w:t>
                  </w:r>
                </w:p>
              </w:tc>
              <w:tc>
                <w:tcPr>
                  <w:tcW w:w="384" w:type="pct"/>
                  <w:shd w:val="clear" w:color="auto" w:fill="FFFFFF"/>
                  <w:vAlign w:val="center"/>
                </w:tcPr>
                <w:p>
                  <w:pPr>
                    <w:adjustRightInd w:val="0"/>
                    <w:snapToGrid w:val="0"/>
                    <w:jc w:val="center"/>
                    <w:rPr>
                      <w:rFonts w:eastAsia="宋体" w:hint="eastAsia"/>
                      <w:sz w:val="21"/>
                      <w:szCs w:val="21"/>
                      <w:u w:val="none"/>
                      <w:lang w:eastAsia="zh-CN"/>
                      <w:highlight w:val="none"/>
                    </w:rPr>
                  </w:pPr>
                  <w:r>
                    <w:rPr>
                      <w:rFonts w:hint="eastAsia"/>
                      <w:sz w:val="21"/>
                      <w:szCs w:val="21"/>
                      <w:u w:val="none"/>
                      <w:lang w:val="en-US" w:eastAsia="zh-CN"/>
                      <w:highlight w:val="none"/>
                    </w:rPr>
                    <w:t>4</w:t>
                  </w:r>
                  <w:r>
                    <w:rPr>
                      <w:rFonts w:hint="eastAsia"/>
                      <w:sz w:val="21"/>
                      <w:szCs w:val="21"/>
                      <w:u w:val="none"/>
                      <w:highlight w:val="none"/>
                    </w:rPr>
                    <w:t>3.</w:t>
                  </w:r>
                  <w:r>
                    <w:rPr>
                      <w:rFonts w:hint="eastAsia"/>
                      <w:sz w:val="21"/>
                      <w:szCs w:val="21"/>
                      <w:u w:val="none"/>
                      <w:lang w:val="en-US" w:eastAsia="zh-CN"/>
                      <w:highlight w:val="none"/>
                    </w:rPr>
                    <w:t>2</w:t>
                  </w:r>
                </w:p>
              </w:tc>
              <w:tc>
                <w:tcPr>
                  <w:tcW w:w="378" w:type="pct"/>
                  <w:shd w:val="clear" w:color="auto" w:fill="FFFFFF"/>
                  <w:vAlign w:val="center"/>
                </w:tcPr>
                <w:p>
                  <w:pPr>
                    <w:adjustRightInd w:val="0"/>
                    <w:snapToGrid w:val="0"/>
                    <w:jc w:val="center"/>
                    <w:rPr>
                      <w:rFonts w:eastAsia="宋体" w:hint="eastAsia"/>
                      <w:sz w:val="21"/>
                      <w:szCs w:val="21"/>
                      <w:u w:val="none"/>
                      <w:lang w:eastAsia="zh-CN"/>
                      <w:highlight w:val="none"/>
                    </w:rPr>
                  </w:pPr>
                  <w:r>
                    <w:rPr>
                      <w:rFonts w:hint="eastAsia"/>
                      <w:sz w:val="21"/>
                      <w:szCs w:val="21"/>
                      <w:u w:val="none"/>
                      <w:lang w:val="en-US" w:eastAsia="zh-CN"/>
                      <w:highlight w:val="none"/>
                    </w:rPr>
                    <w:t>4</w:t>
                  </w:r>
                  <w:r>
                    <w:rPr>
                      <w:rFonts w:hint="eastAsia"/>
                      <w:sz w:val="21"/>
                      <w:szCs w:val="21"/>
                      <w:u w:val="none"/>
                      <w:highlight w:val="none"/>
                    </w:rPr>
                    <w:t>3.</w:t>
                  </w:r>
                  <w:r>
                    <w:rPr>
                      <w:rFonts w:hint="eastAsia"/>
                      <w:sz w:val="21"/>
                      <w:szCs w:val="21"/>
                      <w:u w:val="none"/>
                      <w:lang w:val="en-US" w:eastAsia="zh-CN"/>
                      <w:highlight w:val="none"/>
                    </w:rPr>
                    <w:t>2</w:t>
                  </w:r>
                </w:p>
              </w:tc>
              <w:tc>
                <w:tcPr>
                  <w:tcW w:w="395"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49.6</w:t>
                  </w:r>
                </w:p>
              </w:tc>
              <w:tc>
                <w:tcPr>
                  <w:tcW w:w="3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46.7</w:t>
                  </w:r>
                </w:p>
              </w:tc>
              <w:tc>
                <w:tcPr>
                  <w:tcW w:w="2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1.1</w:t>
                  </w:r>
                </w:p>
              </w:tc>
              <w:tc>
                <w:tcPr>
                  <w:tcW w:w="328"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2.6</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02" w:type="pct"/>
                  <w:shd w:val="clear" w:color="auto" w:fill="FFFFFF"/>
                  <w:vAlign w:val="center"/>
                </w:tcPr>
                <w:p>
                  <w:pPr>
                    <w:widowControl/>
                    <w:spacing w:line="240" w:lineRule="auto"/>
                    <w:jc w:val="center"/>
                    <w:rPr>
                      <w:rFonts w:ascii="Times New Roman" w:cs="Times New Roman" w:hAnsi="Times New Roman" w:hint="eastAsia"/>
                      <w:sz w:val="21"/>
                      <w:szCs w:val="21"/>
                      <w:u w:val="none"/>
                      <w:lang w:val="en-US" w:eastAsia="zh-CN"/>
                      <w:highlight w:val="none"/>
                    </w:rPr>
                  </w:pPr>
                  <w:r>
                    <w:rPr>
                      <w:rFonts w:ascii="宋体" w:eastAsia="宋体" w:cs="宋体" w:hAnsi="宋体" w:hint="eastAsia"/>
                      <w:kern w:val="0"/>
                      <w:sz w:val="21"/>
                      <w:szCs w:val="21"/>
                      <w:lang w:val="en-US" w:eastAsia="zh-CN"/>
                      <w:highlight w:val="none"/>
                    </w:rPr>
                    <w:t>东门村加压泵站东北侧最近居民点</w:t>
                  </w:r>
                </w:p>
              </w:tc>
              <w:tc>
                <w:tcPr>
                  <w:tcW w:w="272"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48.4</w:t>
                  </w:r>
                </w:p>
              </w:tc>
              <w:tc>
                <w:tcPr>
                  <w:tcW w:w="356"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44.6</w:t>
                  </w:r>
                </w:p>
              </w:tc>
              <w:tc>
                <w:tcPr>
                  <w:tcW w:w="434"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48.4</w:t>
                  </w:r>
                </w:p>
              </w:tc>
              <w:tc>
                <w:tcPr>
                  <w:tcW w:w="389"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44.6</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60</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50</w:t>
                  </w:r>
                </w:p>
              </w:tc>
              <w:tc>
                <w:tcPr>
                  <w:tcW w:w="384"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45.5</w:t>
                  </w:r>
                </w:p>
              </w:tc>
              <w:tc>
                <w:tcPr>
                  <w:tcW w:w="37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45.5</w:t>
                  </w:r>
                </w:p>
              </w:tc>
              <w:tc>
                <w:tcPr>
                  <w:tcW w:w="395"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50.2</w:t>
                  </w:r>
                </w:p>
              </w:tc>
              <w:tc>
                <w:tcPr>
                  <w:tcW w:w="3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48.1</w:t>
                  </w:r>
                </w:p>
              </w:tc>
              <w:tc>
                <w:tcPr>
                  <w:tcW w:w="2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1.8</w:t>
                  </w:r>
                </w:p>
              </w:tc>
              <w:tc>
                <w:tcPr>
                  <w:tcW w:w="32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3.5</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02" w:type="pct"/>
                  <w:shd w:val="clear" w:color="auto" w:fill="FFFFFF"/>
                  <w:vAlign w:val="center"/>
                </w:tcPr>
                <w:p>
                  <w:pPr>
                    <w:widowControl/>
                    <w:spacing w:line="240" w:lineRule="auto"/>
                    <w:jc w:val="center"/>
                    <w:rPr>
                      <w:rFonts w:ascii="Times New Roman" w:cs="Times New Roman" w:hAnsi="Times New Roman" w:hint="eastAsia"/>
                      <w:sz w:val="21"/>
                      <w:szCs w:val="21"/>
                      <w:u w:val="none"/>
                      <w:lang w:val="en-US" w:eastAsia="zh-CN"/>
                      <w:highlight w:val="none"/>
                    </w:rPr>
                  </w:pPr>
                  <w:r>
                    <w:rPr>
                      <w:rFonts w:ascii="宋体" w:eastAsia="宋体" w:cs="宋体" w:hAnsi="宋体" w:hint="eastAsia"/>
                      <w:kern w:val="0"/>
                      <w:sz w:val="21"/>
                      <w:szCs w:val="21"/>
                      <w:lang w:val="en-US" w:eastAsia="zh-CN"/>
                      <w:highlight w:val="none"/>
                    </w:rPr>
                    <w:t>东门村加压泵站南侧最近居民点</w:t>
                  </w:r>
                </w:p>
              </w:tc>
              <w:tc>
                <w:tcPr>
                  <w:tcW w:w="272"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49.0</w:t>
                  </w:r>
                </w:p>
              </w:tc>
              <w:tc>
                <w:tcPr>
                  <w:tcW w:w="356"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44.7</w:t>
                  </w:r>
                </w:p>
              </w:tc>
              <w:tc>
                <w:tcPr>
                  <w:tcW w:w="434"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49.0</w:t>
                  </w:r>
                </w:p>
              </w:tc>
              <w:tc>
                <w:tcPr>
                  <w:tcW w:w="389"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44.7</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60</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50</w:t>
                  </w:r>
                </w:p>
              </w:tc>
              <w:tc>
                <w:tcPr>
                  <w:tcW w:w="384"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42.7</w:t>
                  </w:r>
                </w:p>
              </w:tc>
              <w:tc>
                <w:tcPr>
                  <w:tcW w:w="37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42.7</w:t>
                  </w:r>
                </w:p>
              </w:tc>
              <w:tc>
                <w:tcPr>
                  <w:tcW w:w="395"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49.9</w:t>
                  </w:r>
                </w:p>
              </w:tc>
              <w:tc>
                <w:tcPr>
                  <w:tcW w:w="3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46.8</w:t>
                  </w:r>
                </w:p>
              </w:tc>
              <w:tc>
                <w:tcPr>
                  <w:tcW w:w="2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0.9</w:t>
                  </w:r>
                </w:p>
              </w:tc>
              <w:tc>
                <w:tcPr>
                  <w:tcW w:w="32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2.1</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02" w:type="pct"/>
                  <w:shd w:val="clear" w:color="auto" w:fill="FFFFFF"/>
                  <w:vAlign w:val="center"/>
                </w:tcPr>
                <w:p>
                  <w:pPr>
                    <w:widowControl/>
                    <w:spacing w:line="240" w:lineRule="auto"/>
                    <w:jc w:val="center"/>
                    <w:rPr>
                      <w:rFonts w:ascii="Times New Roman" w:cs="Times New Roman" w:hAnsi="Times New Roman" w:hint="eastAsia"/>
                      <w:sz w:val="21"/>
                      <w:szCs w:val="21"/>
                      <w:u w:val="none"/>
                      <w:lang w:val="en-US" w:eastAsia="zh-CN"/>
                      <w:highlight w:val="none"/>
                    </w:rPr>
                  </w:pPr>
                  <w:r>
                    <w:rPr>
                      <w:rFonts w:ascii="宋体" w:eastAsia="宋体" w:cs="宋体" w:hAnsi="宋体" w:hint="eastAsia"/>
                      <w:kern w:val="0"/>
                      <w:sz w:val="21"/>
                      <w:szCs w:val="21"/>
                      <w:lang w:val="en-US" w:eastAsia="zh-CN"/>
                      <w:highlight w:val="none"/>
                    </w:rPr>
                    <w:t>干管D加压泵站北侧最近居民点</w:t>
                  </w:r>
                </w:p>
              </w:tc>
              <w:tc>
                <w:tcPr>
                  <w:tcW w:w="272"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48.7</w:t>
                  </w:r>
                </w:p>
              </w:tc>
              <w:tc>
                <w:tcPr>
                  <w:tcW w:w="356"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45.1</w:t>
                  </w:r>
                </w:p>
              </w:tc>
              <w:tc>
                <w:tcPr>
                  <w:tcW w:w="434"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48.7</w:t>
                  </w:r>
                </w:p>
              </w:tc>
              <w:tc>
                <w:tcPr>
                  <w:tcW w:w="389"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45.1</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60</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50</w:t>
                  </w:r>
                </w:p>
              </w:tc>
              <w:tc>
                <w:tcPr>
                  <w:tcW w:w="384"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47.6</w:t>
                  </w:r>
                </w:p>
              </w:tc>
              <w:tc>
                <w:tcPr>
                  <w:tcW w:w="37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47.6</w:t>
                  </w:r>
                </w:p>
              </w:tc>
              <w:tc>
                <w:tcPr>
                  <w:tcW w:w="395"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51.2</w:t>
                  </w:r>
                </w:p>
              </w:tc>
              <w:tc>
                <w:tcPr>
                  <w:tcW w:w="3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49.5</w:t>
                  </w:r>
                </w:p>
              </w:tc>
              <w:tc>
                <w:tcPr>
                  <w:tcW w:w="2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2.5</w:t>
                  </w:r>
                </w:p>
              </w:tc>
              <w:tc>
                <w:tcPr>
                  <w:tcW w:w="32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4.4</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02" w:type="pct"/>
                  <w:shd w:val="clear" w:color="auto" w:fill="FFFFFF"/>
                  <w:vAlign w:val="center"/>
                </w:tcPr>
                <w:p>
                  <w:pPr>
                    <w:widowControl/>
                    <w:spacing w:line="240" w:lineRule="auto"/>
                    <w:jc w:val="center"/>
                    <w:rPr>
                      <w:rFonts w:ascii="Times New Roman" w:cs="Times New Roman" w:hAnsi="Times New Roman" w:hint="eastAsia"/>
                      <w:sz w:val="21"/>
                      <w:szCs w:val="21"/>
                      <w:u w:val="none"/>
                      <w:lang w:val="en-US" w:eastAsia="zh-CN"/>
                      <w:highlight w:val="none"/>
                    </w:rPr>
                  </w:pPr>
                  <w:r>
                    <w:rPr>
                      <w:rFonts w:ascii="宋体" w:eastAsia="宋体" w:cs="宋体" w:hAnsi="宋体" w:hint="eastAsia"/>
                      <w:kern w:val="0"/>
                      <w:sz w:val="21"/>
                      <w:szCs w:val="21"/>
                      <w:lang w:val="en-US" w:eastAsia="zh-CN"/>
                      <w:highlight w:val="none"/>
                    </w:rPr>
                    <w:t>干管D加压泵站西侧最近居民点</w:t>
                  </w:r>
                </w:p>
              </w:tc>
              <w:tc>
                <w:tcPr>
                  <w:tcW w:w="272"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48.0</w:t>
                  </w:r>
                </w:p>
              </w:tc>
              <w:tc>
                <w:tcPr>
                  <w:tcW w:w="356"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45.9</w:t>
                  </w:r>
                </w:p>
              </w:tc>
              <w:tc>
                <w:tcPr>
                  <w:tcW w:w="434"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48.0</w:t>
                  </w:r>
                </w:p>
              </w:tc>
              <w:tc>
                <w:tcPr>
                  <w:tcW w:w="389"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45.9</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60</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50</w:t>
                  </w:r>
                </w:p>
              </w:tc>
              <w:tc>
                <w:tcPr>
                  <w:tcW w:w="384"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47.4</w:t>
                  </w:r>
                </w:p>
              </w:tc>
              <w:tc>
                <w:tcPr>
                  <w:tcW w:w="37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47.4</w:t>
                  </w:r>
                </w:p>
              </w:tc>
              <w:tc>
                <w:tcPr>
                  <w:tcW w:w="395"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50.7</w:t>
                  </w:r>
                </w:p>
              </w:tc>
              <w:tc>
                <w:tcPr>
                  <w:tcW w:w="3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49.7</w:t>
                  </w:r>
                </w:p>
              </w:tc>
              <w:tc>
                <w:tcPr>
                  <w:tcW w:w="2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2.7</w:t>
                  </w:r>
                </w:p>
              </w:tc>
              <w:tc>
                <w:tcPr>
                  <w:tcW w:w="32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1.7</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02" w:type="pct"/>
                  <w:shd w:val="clear" w:color="auto" w:fill="FFFFFF"/>
                  <w:vAlign w:val="center"/>
                </w:tcPr>
                <w:p>
                  <w:pPr>
                    <w:widowControl/>
                    <w:spacing w:line="240" w:lineRule="auto"/>
                    <w:jc w:val="center"/>
                    <w:rPr>
                      <w:rFonts w:ascii="Times New Roman" w:cs="Times New Roman" w:hAnsi="Times New Roman" w:hint="eastAsia"/>
                      <w:sz w:val="21"/>
                      <w:szCs w:val="21"/>
                      <w:u w:val="none"/>
                      <w:lang w:val="en-US" w:eastAsia="zh-CN"/>
                      <w:highlight w:val="none"/>
                    </w:rPr>
                  </w:pPr>
                  <w:r>
                    <w:rPr>
                      <w:rFonts w:ascii="宋体" w:eastAsia="宋体" w:cs="宋体" w:hAnsi="宋体" w:hint="eastAsia"/>
                      <w:kern w:val="0"/>
                      <w:sz w:val="21"/>
                      <w:szCs w:val="21"/>
                      <w:lang w:val="en-US" w:eastAsia="zh-CN"/>
                      <w:highlight w:val="none"/>
                    </w:rPr>
                    <w:t>三岔湾加压泵站西侧最近居民点</w:t>
                  </w:r>
                </w:p>
              </w:tc>
              <w:tc>
                <w:tcPr>
                  <w:tcW w:w="272"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48.4</w:t>
                  </w:r>
                </w:p>
              </w:tc>
              <w:tc>
                <w:tcPr>
                  <w:tcW w:w="356"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45.0</w:t>
                  </w:r>
                </w:p>
              </w:tc>
              <w:tc>
                <w:tcPr>
                  <w:tcW w:w="434"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48.4</w:t>
                  </w:r>
                </w:p>
              </w:tc>
              <w:tc>
                <w:tcPr>
                  <w:tcW w:w="389"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45.0</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60</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50</w:t>
                  </w:r>
                </w:p>
              </w:tc>
              <w:tc>
                <w:tcPr>
                  <w:tcW w:w="384"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45.5</w:t>
                  </w:r>
                </w:p>
              </w:tc>
              <w:tc>
                <w:tcPr>
                  <w:tcW w:w="37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45.5</w:t>
                  </w:r>
                </w:p>
              </w:tc>
              <w:tc>
                <w:tcPr>
                  <w:tcW w:w="395"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50.2</w:t>
                  </w:r>
                </w:p>
              </w:tc>
              <w:tc>
                <w:tcPr>
                  <w:tcW w:w="3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48.3</w:t>
                  </w:r>
                </w:p>
              </w:tc>
              <w:tc>
                <w:tcPr>
                  <w:tcW w:w="2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1.8</w:t>
                  </w:r>
                </w:p>
              </w:tc>
              <w:tc>
                <w:tcPr>
                  <w:tcW w:w="32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3.3</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02" w:type="pct"/>
                  <w:shd w:val="clear" w:color="auto" w:fill="FFFFFF"/>
                  <w:vAlign w:val="center"/>
                </w:tcPr>
                <w:p>
                  <w:pPr>
                    <w:widowControl/>
                    <w:spacing w:line="240" w:lineRule="auto"/>
                    <w:jc w:val="center"/>
                    <w:rPr>
                      <w:rFonts w:ascii="Times New Roman" w:cs="Times New Roman" w:hAnsi="Times New Roman" w:hint="eastAsia"/>
                      <w:sz w:val="21"/>
                      <w:szCs w:val="21"/>
                      <w:u w:val="none"/>
                      <w:lang w:val="en-US" w:eastAsia="zh-CN"/>
                      <w:highlight w:val="none"/>
                    </w:rPr>
                  </w:pPr>
                  <w:r>
                    <w:rPr>
                      <w:rFonts w:ascii="宋体" w:eastAsia="宋体" w:cs="宋体" w:hAnsi="宋体" w:hint="eastAsia"/>
                      <w:kern w:val="0"/>
                      <w:sz w:val="21"/>
                      <w:szCs w:val="21"/>
                      <w:lang w:val="en-US" w:eastAsia="zh-CN"/>
                      <w:highlight w:val="none"/>
                    </w:rPr>
                    <w:t>楠木加压泵站东侧最近居民点</w:t>
                  </w:r>
                </w:p>
              </w:tc>
              <w:tc>
                <w:tcPr>
                  <w:tcW w:w="272"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48.7</w:t>
                  </w:r>
                </w:p>
              </w:tc>
              <w:tc>
                <w:tcPr>
                  <w:tcW w:w="356"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45.5</w:t>
                  </w:r>
                </w:p>
              </w:tc>
              <w:tc>
                <w:tcPr>
                  <w:tcW w:w="434"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48.7</w:t>
                  </w:r>
                </w:p>
              </w:tc>
              <w:tc>
                <w:tcPr>
                  <w:tcW w:w="389"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45.5</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60</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50</w:t>
                  </w:r>
                </w:p>
              </w:tc>
              <w:tc>
                <w:tcPr>
                  <w:tcW w:w="384"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45.7</w:t>
                  </w:r>
                </w:p>
              </w:tc>
              <w:tc>
                <w:tcPr>
                  <w:tcW w:w="37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45.7</w:t>
                  </w:r>
                </w:p>
              </w:tc>
              <w:tc>
                <w:tcPr>
                  <w:tcW w:w="395"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50.5</w:t>
                  </w:r>
                </w:p>
              </w:tc>
              <w:tc>
                <w:tcPr>
                  <w:tcW w:w="3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48.6</w:t>
                  </w:r>
                </w:p>
              </w:tc>
              <w:tc>
                <w:tcPr>
                  <w:tcW w:w="2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1.8</w:t>
                  </w:r>
                </w:p>
              </w:tc>
              <w:tc>
                <w:tcPr>
                  <w:tcW w:w="32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3.1</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r>
              <w:trPr>
                <w:trHeight w:val="340"/>
              </w:trPr>
              <w:tc>
                <w:tcPr>
                  <w:tcW w:w="402" w:type="pct"/>
                  <w:shd w:val="clear" w:color="auto" w:fill="FFFFFF"/>
                  <w:vAlign w:val="center"/>
                </w:tcPr>
                <w:p>
                  <w:pPr>
                    <w:widowControl/>
                    <w:spacing w:line="240" w:lineRule="auto"/>
                    <w:jc w:val="center"/>
                    <w:rPr>
                      <w:rFonts w:ascii="Times New Roman" w:cs="Times New Roman" w:hAnsi="Times New Roman" w:hint="eastAsia"/>
                      <w:sz w:val="21"/>
                      <w:szCs w:val="21"/>
                      <w:u w:val="none"/>
                      <w:lang w:val="en-US" w:eastAsia="zh-CN"/>
                      <w:highlight w:val="none"/>
                    </w:rPr>
                  </w:pPr>
                  <w:r>
                    <w:rPr>
                      <w:rFonts w:ascii="宋体" w:eastAsia="宋体" w:cs="宋体" w:hAnsi="宋体" w:hint="eastAsia"/>
                      <w:kern w:val="0"/>
                      <w:sz w:val="21"/>
                      <w:szCs w:val="21"/>
                      <w:lang w:val="en-US" w:eastAsia="zh-CN"/>
                      <w:highlight w:val="none"/>
                    </w:rPr>
                    <w:t>古台加压泵站西南侧最近居民点</w:t>
                  </w:r>
                </w:p>
              </w:tc>
              <w:tc>
                <w:tcPr>
                  <w:tcW w:w="272"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48.1</w:t>
                  </w:r>
                </w:p>
              </w:tc>
              <w:tc>
                <w:tcPr>
                  <w:tcW w:w="356"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45.5</w:t>
                  </w:r>
                </w:p>
              </w:tc>
              <w:tc>
                <w:tcPr>
                  <w:tcW w:w="434"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48.1</w:t>
                  </w:r>
                </w:p>
              </w:tc>
              <w:tc>
                <w:tcPr>
                  <w:tcW w:w="389" w:type="pct"/>
                  <w:shd w:val="clear" w:color="auto" w:fill="FFFFFF"/>
                  <w:vAlign w:val="center"/>
                </w:tcPr>
                <w:p>
                  <w:pPr>
                    <w:adjustRightInd w:val="0"/>
                    <w:snapToGrid w:val="0"/>
                    <w:jc w:val="center"/>
                    <w:rPr>
                      <w:rFonts w:hint="eastAsia"/>
                      <w:sz w:val="21"/>
                      <w:szCs w:val="21"/>
                      <w:u w:val="none"/>
                      <w:highlight w:val="none"/>
                    </w:rPr>
                  </w:pPr>
                  <w:r>
                    <w:rPr>
                      <w:rFonts w:hint="eastAsia"/>
                      <w:sz w:val="21"/>
                      <w:szCs w:val="21"/>
                      <w:u w:val="none"/>
                      <w:lang w:val="en-US" w:eastAsia="zh-CN"/>
                      <w:highlight w:val="none"/>
                    </w:rPr>
                    <w:t>45.5</w:t>
                  </w:r>
                </w:p>
              </w:tc>
              <w:tc>
                <w:tcPr>
                  <w:tcW w:w="261" w:type="pct"/>
                  <w:shd w:val="clear" w:color="auto" w:fill="FFFFFF"/>
                  <w:vAlign w:val="center"/>
                </w:tcPr>
                <w:p>
                  <w:pPr>
                    <w:adjustRightInd w:val="0"/>
                    <w:snapToGrid w:val="0"/>
                    <w:jc w:val="center"/>
                    <w:rPr>
                      <w:sz w:val="21"/>
                      <w:szCs w:val="21"/>
                      <w:u w:val="none"/>
                      <w:highlight w:val="none"/>
                    </w:rPr>
                  </w:pPr>
                  <w:r>
                    <w:rPr>
                      <w:sz w:val="21"/>
                      <w:szCs w:val="21"/>
                      <w:u w:val="none"/>
                      <w:highlight w:val="none"/>
                    </w:rPr>
                    <w:t>60</w:t>
                  </w:r>
                </w:p>
              </w:tc>
              <w:tc>
                <w:tcPr>
                  <w:tcW w:w="289" w:type="pct"/>
                  <w:shd w:val="clear" w:color="auto" w:fill="FFFFFF"/>
                  <w:vAlign w:val="center"/>
                </w:tcPr>
                <w:p>
                  <w:pPr>
                    <w:adjustRightInd w:val="0"/>
                    <w:snapToGrid w:val="0"/>
                    <w:jc w:val="center"/>
                    <w:rPr>
                      <w:sz w:val="21"/>
                      <w:szCs w:val="21"/>
                      <w:u w:val="none"/>
                      <w:highlight w:val="none"/>
                    </w:rPr>
                  </w:pPr>
                  <w:r>
                    <w:rPr>
                      <w:sz w:val="21"/>
                      <w:szCs w:val="21"/>
                      <w:u w:val="none"/>
                      <w:highlight w:val="none"/>
                    </w:rPr>
                    <w:t>50</w:t>
                  </w:r>
                </w:p>
              </w:tc>
              <w:tc>
                <w:tcPr>
                  <w:tcW w:w="384"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45.2</w:t>
                  </w:r>
                </w:p>
              </w:tc>
              <w:tc>
                <w:tcPr>
                  <w:tcW w:w="37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45.2</w:t>
                  </w:r>
                </w:p>
              </w:tc>
              <w:tc>
                <w:tcPr>
                  <w:tcW w:w="395"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49.9</w:t>
                  </w:r>
                </w:p>
              </w:tc>
              <w:tc>
                <w:tcPr>
                  <w:tcW w:w="3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48.4</w:t>
                  </w:r>
                </w:p>
              </w:tc>
              <w:tc>
                <w:tcPr>
                  <w:tcW w:w="289" w:type="pct"/>
                  <w:shd w:val="clear" w:color="auto" w:fill="FFFFFF"/>
                  <w:vAlign w:val="center"/>
                </w:tcPr>
                <w:p>
                  <w:pPr>
                    <w:adjustRightInd w:val="0"/>
                    <w:snapToGrid w:val="0"/>
                    <w:jc w:val="center"/>
                    <w:rPr>
                      <w:rFonts w:eastAsia="宋体"/>
                      <w:sz w:val="21"/>
                      <w:szCs w:val="21"/>
                      <w:u w:val="none"/>
                      <w:lang w:val="en-US" w:eastAsia="zh-CN"/>
                      <w:highlight w:val="none"/>
                    </w:rPr>
                  </w:pPr>
                  <w:r>
                    <w:rPr>
                      <w:rFonts w:hint="eastAsia"/>
                      <w:sz w:val="21"/>
                      <w:szCs w:val="21"/>
                      <w:u w:val="none"/>
                      <w:lang w:val="en-US" w:eastAsia="zh-CN"/>
                      <w:highlight w:val="none"/>
                    </w:rPr>
                    <w:t>1.8</w:t>
                  </w:r>
                </w:p>
              </w:tc>
              <w:tc>
                <w:tcPr>
                  <w:tcW w:w="328" w:type="pct"/>
                  <w:shd w:val="clear" w:color="auto" w:fill="FFFFFF"/>
                  <w:vAlign w:val="center"/>
                </w:tcPr>
                <w:p>
                  <w:pPr>
                    <w:adjustRightInd w:val="0"/>
                    <w:snapToGrid w:val="0"/>
                    <w:jc w:val="center"/>
                    <w:rPr>
                      <w:sz w:val="21"/>
                      <w:szCs w:val="21"/>
                      <w:u w:val="none"/>
                      <w:lang w:val="en-US" w:eastAsia="zh-CN"/>
                      <w:highlight w:val="none"/>
                    </w:rPr>
                  </w:pPr>
                  <w:r>
                    <w:rPr>
                      <w:rFonts w:hint="eastAsia"/>
                      <w:sz w:val="21"/>
                      <w:szCs w:val="21"/>
                      <w:u w:val="none"/>
                      <w:lang w:val="en-US" w:eastAsia="zh-CN"/>
                      <w:highlight w:val="none"/>
                    </w:rPr>
                    <w:t>2.9</w:t>
                  </w:r>
                </w:p>
              </w:tc>
              <w:tc>
                <w:tcPr>
                  <w:tcW w:w="222"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c>
                <w:tcPr>
                  <w:tcW w:w="204" w:type="pct"/>
                  <w:shd w:val="clear" w:color="auto" w:fill="FFFFFF"/>
                  <w:vAlign w:val="center"/>
                </w:tcPr>
                <w:p>
                  <w:pPr>
                    <w:adjustRightInd w:val="0"/>
                    <w:snapToGrid w:val="0"/>
                    <w:jc w:val="center"/>
                    <w:rPr>
                      <w:sz w:val="21"/>
                      <w:szCs w:val="21"/>
                      <w:u w:val="none"/>
                      <w:highlight w:val="none"/>
                    </w:rPr>
                  </w:pPr>
                  <w:r>
                    <w:rPr>
                      <w:sz w:val="21"/>
                      <w:szCs w:val="21"/>
                      <w:u w:val="none"/>
                      <w:highlight w:val="none"/>
                    </w:rPr>
                    <w:t>达标</w:t>
                  </w:r>
                </w:p>
              </w:tc>
            </w:tr>
          </w:tbl>
          <w:p>
            <w:pPr>
              <w:spacing w:line="360" w:lineRule="auto"/>
              <w:ind w:firstLineChars="200" w:firstLine="480"/>
              <w:rPr>
                <w:sz w:val="24"/>
                <w:highlight w:val="none"/>
              </w:rPr>
            </w:pPr>
            <w:r>
              <w:rPr>
                <w:rFonts w:hint="eastAsia"/>
                <w:sz w:val="24"/>
                <w:highlight w:val="none"/>
              </w:rPr>
              <w:t>（4）噪声环境影响预测评价</w:t>
            </w:r>
          </w:p>
          <w:p>
            <w:pPr>
              <w:spacing w:line="360" w:lineRule="auto"/>
              <w:ind w:firstLineChars="200" w:firstLine="480"/>
              <w:rPr>
                <w:rFonts w:hAnsi="宋体" w:hint="eastAsia"/>
                <w:kern w:val="0"/>
                <w:sz w:val="24"/>
                <w:highlight w:val="none"/>
              </w:rPr>
            </w:pPr>
            <w:r>
              <w:rPr>
                <w:rFonts w:hAnsi="宋体" w:hint="eastAsia"/>
                <w:kern w:val="0"/>
                <w:sz w:val="24"/>
                <w:highlight w:val="none"/>
              </w:rPr>
              <w:t>由上分析可知，本项目厂界昼间四个评价点均符合《工业企业厂界环境噪声排放标准》（GB12348-2008）中</w:t>
            </w:r>
            <w:r>
              <w:rPr>
                <w:rFonts w:hAnsi="宋体"/>
                <w:kern w:val="0"/>
                <w:sz w:val="24"/>
                <w:highlight w:val="none"/>
              </w:rPr>
              <w:t>2</w:t>
            </w:r>
            <w:r>
              <w:rPr>
                <w:rFonts w:hAnsi="宋体" w:hint="eastAsia"/>
                <w:kern w:val="0"/>
                <w:sz w:val="24"/>
                <w:highlight w:val="none"/>
              </w:rPr>
              <w:t>类标准要求；项目周边敏感点预测值均满足《声环境质量标准》（GB3096-2008）中2类标准要求。</w:t>
            </w:r>
          </w:p>
          <w:p>
            <w:pPr>
              <w:spacing w:line="360" w:lineRule="auto"/>
              <w:ind w:firstLineChars="200" w:firstLine="480"/>
              <w:rPr>
                <w:sz w:val="24"/>
                <w:highlight w:val="none"/>
              </w:rPr>
            </w:pPr>
            <w:r>
              <w:rPr>
                <w:rFonts w:hAnsi="宋体" w:hint="eastAsia"/>
                <w:kern w:val="0"/>
                <w:sz w:val="24"/>
                <w:highlight w:val="none"/>
              </w:rPr>
              <w:t>为保证厂界噪声值长期稳定达标，建设单位仍应严格执行本评价中提出的噪声治理措施，首先应选择低噪型设备、合理布局，将高噪声设备置于室内并尽可能远离厂界。</w:t>
            </w:r>
          </w:p>
          <w:p>
            <w:pPr>
              <w:spacing w:line="360" w:lineRule="auto"/>
              <w:ind w:firstLineChars="200" w:firstLine="480"/>
              <w:rPr>
                <w:sz w:val="24"/>
                <w:highlight w:val="none"/>
              </w:rPr>
            </w:pPr>
            <w:r>
              <w:rPr>
                <w:sz w:val="24"/>
                <w:highlight w:val="none"/>
              </w:rPr>
              <w:t>为确保项目厂界噪声达到《工业企业厂界环境噪声排放标准》（GB12348-2008）2类标准的要求，项目拟采取以下治理措施：</w:t>
            </w:r>
          </w:p>
          <w:p>
            <w:pPr>
              <w:spacing w:line="360" w:lineRule="auto"/>
              <w:ind w:firstLineChars="200" w:firstLine="480"/>
              <w:rPr>
                <w:sz w:val="24"/>
                <w:highlight w:val="none"/>
              </w:rPr>
            </w:pPr>
            <w:r>
              <w:rPr>
                <w:sz w:val="24"/>
                <w:highlight w:val="none"/>
              </w:rPr>
              <w:t>1）合理布局，高噪声设备尽量布设在项目中央，增大噪声几何发散距离，削弱声波传播能量对受体的不良影响。</w:t>
            </w:r>
          </w:p>
          <w:p>
            <w:pPr>
              <w:spacing w:line="360" w:lineRule="auto"/>
              <w:ind w:firstLineChars="200" w:firstLine="480"/>
              <w:rPr>
                <w:sz w:val="24"/>
                <w:highlight w:val="none"/>
              </w:rPr>
            </w:pPr>
            <w:r>
              <w:rPr>
                <w:sz w:val="24"/>
                <w:highlight w:val="none"/>
              </w:rPr>
              <w:t>2）优先选用先进的低噪声设备设施，从源头降低噪声产生强度。</w:t>
            </w:r>
          </w:p>
          <w:p>
            <w:pPr>
              <w:spacing w:line="360" w:lineRule="auto"/>
              <w:ind w:firstLineChars="200" w:firstLine="480"/>
              <w:rPr>
                <w:sz w:val="24"/>
                <w:highlight w:val="none"/>
              </w:rPr>
            </w:pPr>
            <w:r>
              <w:rPr>
                <w:sz w:val="24"/>
                <w:highlight w:val="none"/>
              </w:rPr>
              <w:t>3）利用多孔海绵、夹缝软木等介质软化高噪声设备（如潜水泵等）与地面的触面，降低其振动频率，削弱噪声响度；</w:t>
            </w:r>
          </w:p>
          <w:p>
            <w:pPr>
              <w:spacing w:line="360" w:lineRule="auto"/>
              <w:ind w:firstLineChars="200" w:firstLine="480"/>
              <w:rPr>
                <w:sz w:val="24"/>
                <w:highlight w:val="none"/>
              </w:rPr>
            </w:pPr>
            <w:r>
              <w:rPr>
                <w:sz w:val="24"/>
                <w:highlight w:val="none"/>
              </w:rPr>
              <w:t>4）加强管理建立设备定期维护、保养的管理制度，以防止设备故障形成的非生产噪声，同时确保环保措施发挥最有效的功能；加强职工环保意识教育，提倡文明生产，防止人为噪声。</w:t>
            </w:r>
          </w:p>
          <w:p>
            <w:pPr>
              <w:spacing w:line="360" w:lineRule="auto"/>
              <w:ind w:firstLineChars="200" w:firstLine="480"/>
              <w:rPr>
                <w:sz w:val="24"/>
                <w:highlight w:val="none"/>
              </w:rPr>
            </w:pPr>
            <w:r>
              <w:rPr>
                <w:sz w:val="24"/>
                <w:highlight w:val="none"/>
              </w:rPr>
              <w:t>5）加强生产机械的日常维护并对老化和性能降低的旧设备进行及时更换，以此降低磨擦，减小噪声强度。</w:t>
            </w:r>
          </w:p>
          <w:p>
            <w:pPr>
              <w:spacing w:line="360" w:lineRule="auto"/>
              <w:ind w:firstLineChars="200" w:firstLine="480"/>
              <w:rPr>
                <w:sz w:val="24"/>
                <w:u w:val="single"/>
                <w:highlight w:val="none"/>
              </w:rPr>
            </w:pPr>
            <w:r>
              <w:rPr>
                <w:rFonts w:hint="eastAsia"/>
                <w:sz w:val="24"/>
                <w:u w:val="single"/>
                <w:highlight w:val="none"/>
              </w:rPr>
              <w:t>（5）噪声监测计划</w:t>
            </w:r>
          </w:p>
          <w:p>
            <w:pPr>
              <w:spacing w:line="360" w:lineRule="auto"/>
              <w:ind w:firstLineChars="200" w:firstLine="480"/>
              <w:rPr>
                <w:b/>
                <w:szCs w:val="21"/>
                <w:u w:val="single"/>
                <w:highlight w:val="none"/>
              </w:rPr>
            </w:pPr>
            <w:r>
              <w:rPr>
                <w:sz w:val="24"/>
                <w:u w:val="single"/>
                <w:highlight w:val="none"/>
              </w:rPr>
              <w:t>项目噪声监测计划详见下表：</w:t>
            </w:r>
          </w:p>
          <w:p>
            <w:pPr>
              <w:jc w:val="center"/>
              <w:rPr>
                <w:b/>
                <w:szCs w:val="21"/>
                <w:u w:val="single"/>
                <w:highlight w:val="none"/>
              </w:rPr>
            </w:pPr>
            <w:r>
              <w:rPr>
                <w:b/>
                <w:szCs w:val="21"/>
                <w:u w:val="single"/>
                <w:highlight w:val="none"/>
              </w:rPr>
              <w:t>表4-</w:t>
            </w:r>
            <w:r>
              <w:rPr>
                <w:rFonts w:hint="eastAsia"/>
                <w:b/>
                <w:szCs w:val="21"/>
                <w:u w:val="single"/>
                <w:highlight w:val="none"/>
              </w:rPr>
              <w:t>8</w:t>
            </w:r>
            <w:r>
              <w:rPr>
                <w:b/>
                <w:szCs w:val="21"/>
                <w:u w:val="single"/>
                <w:highlight w:val="none"/>
              </w:rPr>
              <w:t xml:space="preserve">  营运期噪声监测计划一览表</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804"/>
              <w:gridCol w:w="3901"/>
              <w:gridCol w:w="2060"/>
              <w:gridCol w:w="1367"/>
            </w:tblGrid>
            <w:tr>
              <w:trPr>
                <w:trHeight w:val="340"/>
              </w:trPr>
              <w:tc>
                <w:tcPr>
                  <w:tcW w:w="494" w:type="pct"/>
                  <w:vAlign w:val="center"/>
                </w:tcPr>
                <w:p>
                  <w:pPr>
                    <w:pStyle w:val="69"/>
                    <w:adjustRightInd/>
                    <w:snapToGrid/>
                    <w:spacing w:line="240" w:lineRule="auto"/>
                    <w:ind w:firstLineChars="0" w:firstLine="0"/>
                    <w:jc w:val="center"/>
                    <w:rPr>
                      <w:rFonts w:ascii="Times New Roman" w:hAnsi="Times New Roman"/>
                      <w:b/>
                      <w:bCs/>
                      <w:sz w:val="21"/>
                      <w:szCs w:val="21"/>
                      <w:u w:val="single"/>
                      <w:highlight w:val="none"/>
                    </w:rPr>
                  </w:pPr>
                  <w:r>
                    <w:rPr>
                      <w:rFonts w:ascii="Times New Roman" w:hAnsi="Times New Roman"/>
                      <w:b/>
                      <w:bCs/>
                      <w:sz w:val="21"/>
                      <w:szCs w:val="21"/>
                      <w:u w:val="single"/>
                      <w:highlight w:val="none"/>
                    </w:rPr>
                    <w:t>类别</w:t>
                  </w:r>
                </w:p>
              </w:tc>
              <w:tc>
                <w:tcPr>
                  <w:tcW w:w="2397" w:type="pct"/>
                  <w:vAlign w:val="center"/>
                </w:tcPr>
                <w:p>
                  <w:pPr>
                    <w:pStyle w:val="69"/>
                    <w:adjustRightInd/>
                    <w:snapToGrid/>
                    <w:spacing w:line="240" w:lineRule="auto"/>
                    <w:ind w:firstLineChars="0" w:firstLine="0"/>
                    <w:jc w:val="center"/>
                    <w:rPr>
                      <w:rFonts w:ascii="Times New Roman" w:hAnsi="Times New Roman"/>
                      <w:b/>
                      <w:bCs/>
                      <w:sz w:val="21"/>
                      <w:szCs w:val="21"/>
                      <w:u w:val="single"/>
                      <w:highlight w:val="none"/>
                    </w:rPr>
                  </w:pPr>
                  <w:r>
                    <w:rPr>
                      <w:rFonts w:ascii="Times New Roman" w:hAnsi="Times New Roman"/>
                      <w:b/>
                      <w:bCs/>
                      <w:sz w:val="21"/>
                      <w:szCs w:val="21"/>
                      <w:u w:val="single"/>
                      <w:highlight w:val="none"/>
                    </w:rPr>
                    <w:t>监测点位</w:t>
                  </w:r>
                </w:p>
              </w:tc>
              <w:tc>
                <w:tcPr>
                  <w:tcW w:w="1266" w:type="pct"/>
                  <w:vAlign w:val="center"/>
                </w:tcPr>
                <w:p>
                  <w:pPr>
                    <w:pStyle w:val="69"/>
                    <w:adjustRightInd/>
                    <w:snapToGrid/>
                    <w:spacing w:line="240" w:lineRule="auto"/>
                    <w:ind w:firstLineChars="0" w:firstLine="0"/>
                    <w:jc w:val="center"/>
                    <w:rPr>
                      <w:rFonts w:ascii="Times New Roman" w:hAnsi="Times New Roman"/>
                      <w:b/>
                      <w:bCs/>
                      <w:sz w:val="21"/>
                      <w:szCs w:val="21"/>
                      <w:u w:val="single"/>
                      <w:highlight w:val="none"/>
                    </w:rPr>
                  </w:pPr>
                  <w:r>
                    <w:rPr>
                      <w:rFonts w:ascii="Times New Roman" w:hAnsi="Times New Roman"/>
                      <w:b/>
                      <w:bCs/>
                      <w:sz w:val="21"/>
                      <w:szCs w:val="21"/>
                      <w:u w:val="single"/>
                      <w:highlight w:val="none"/>
                    </w:rPr>
                    <w:t>监测项目</w:t>
                  </w:r>
                </w:p>
              </w:tc>
              <w:tc>
                <w:tcPr>
                  <w:tcW w:w="840" w:type="pct"/>
                  <w:vAlign w:val="center"/>
                </w:tcPr>
                <w:p>
                  <w:pPr>
                    <w:pStyle w:val="69"/>
                    <w:adjustRightInd/>
                    <w:snapToGrid/>
                    <w:spacing w:line="240" w:lineRule="auto"/>
                    <w:ind w:firstLineChars="0" w:firstLine="0"/>
                    <w:jc w:val="center"/>
                    <w:rPr>
                      <w:rFonts w:ascii="Times New Roman" w:hAnsi="Times New Roman"/>
                      <w:b/>
                      <w:bCs/>
                      <w:sz w:val="21"/>
                      <w:szCs w:val="21"/>
                      <w:u w:val="single"/>
                      <w:highlight w:val="none"/>
                    </w:rPr>
                  </w:pPr>
                  <w:r>
                    <w:rPr>
                      <w:rFonts w:ascii="Times New Roman" w:hAnsi="Times New Roman"/>
                      <w:b/>
                      <w:bCs/>
                      <w:sz w:val="21"/>
                      <w:szCs w:val="21"/>
                      <w:u w:val="single"/>
                      <w:highlight w:val="none"/>
                    </w:rPr>
                    <w:t>监测频次</w:t>
                  </w:r>
                </w:p>
              </w:tc>
            </w:tr>
            <w:tr>
              <w:trPr>
                <w:trHeight w:val="340"/>
              </w:trPr>
              <w:tc>
                <w:tcPr>
                  <w:tcW w:w="494" w:type="pct"/>
                  <w:vMerge w:val="restart"/>
                  <w:vAlign w:val="center"/>
                </w:tcPr>
                <w:p>
                  <w:pPr>
                    <w:pStyle w:val="68"/>
                    <w:tabs>
                      <w:tab w:val="left" w:pos="0"/>
                    </w:tabs>
                    <w:rPr>
                      <w:b w:val="0"/>
                      <w:bCs/>
                      <w:sz w:val="21"/>
                      <w:szCs w:val="21"/>
                      <w:u w:val="single"/>
                      <w:highlight w:val="none"/>
                    </w:rPr>
                  </w:pPr>
                  <w:r>
                    <w:rPr>
                      <w:b w:val="0"/>
                      <w:bCs/>
                      <w:sz w:val="21"/>
                      <w:szCs w:val="21"/>
                      <w:u w:val="single"/>
                      <w:highlight w:val="none"/>
                    </w:rPr>
                    <w:t>噪声</w:t>
                  </w:r>
                </w:p>
              </w:tc>
              <w:tc>
                <w:tcPr>
                  <w:tcW w:w="2397" w:type="pct"/>
                  <w:vAlign w:val="center"/>
                </w:tcPr>
                <w:p>
                  <w:pPr>
                    <w:pStyle w:val="68"/>
                    <w:tabs>
                      <w:tab w:val="left" w:pos="0"/>
                    </w:tabs>
                    <w:rPr>
                      <w:b w:val="0"/>
                      <w:bCs/>
                      <w:sz w:val="21"/>
                      <w:szCs w:val="21"/>
                      <w:u w:val="single"/>
                      <w:highlight w:val="none"/>
                    </w:rPr>
                  </w:pPr>
                  <w:r>
                    <w:rPr>
                      <w:b w:val="0"/>
                      <w:bCs/>
                      <w:sz w:val="21"/>
                      <w:szCs w:val="21"/>
                      <w:u w:val="single"/>
                      <w:highlight w:val="none"/>
                    </w:rPr>
                    <w:t>厂界</w:t>
                  </w:r>
                </w:p>
              </w:tc>
              <w:tc>
                <w:tcPr>
                  <w:tcW w:w="1266" w:type="pct"/>
                  <w:vMerge w:val="restart"/>
                  <w:vAlign w:val="center"/>
                </w:tcPr>
                <w:p>
                  <w:pPr>
                    <w:pStyle w:val="68"/>
                    <w:tabs>
                      <w:tab w:val="left" w:pos="0"/>
                    </w:tabs>
                    <w:rPr>
                      <w:b w:val="0"/>
                      <w:bCs/>
                      <w:sz w:val="21"/>
                      <w:szCs w:val="21"/>
                      <w:u w:val="single"/>
                      <w:highlight w:val="none"/>
                    </w:rPr>
                  </w:pPr>
                  <w:r>
                    <w:rPr>
                      <w:b w:val="0"/>
                      <w:bCs/>
                      <w:sz w:val="21"/>
                      <w:szCs w:val="21"/>
                      <w:u w:val="single"/>
                      <w:highlight w:val="none"/>
                    </w:rPr>
                    <w:t>等效连续A声级</w:t>
                  </w:r>
                </w:p>
              </w:tc>
              <w:tc>
                <w:tcPr>
                  <w:tcW w:w="840" w:type="pct"/>
                  <w:vMerge w:val="restart"/>
                  <w:vAlign w:val="center"/>
                </w:tcPr>
                <w:p>
                  <w:pPr>
                    <w:pStyle w:val="68"/>
                    <w:tabs>
                      <w:tab w:val="left" w:pos="0"/>
                    </w:tabs>
                    <w:rPr>
                      <w:b w:val="0"/>
                      <w:bCs/>
                      <w:sz w:val="21"/>
                      <w:szCs w:val="21"/>
                      <w:u w:val="single"/>
                      <w:highlight w:val="none"/>
                    </w:rPr>
                  </w:pPr>
                  <w:r>
                    <w:rPr>
                      <w:b w:val="0"/>
                      <w:bCs/>
                      <w:sz w:val="21"/>
                      <w:szCs w:val="21"/>
                      <w:u w:val="single"/>
                      <w:highlight w:val="none"/>
                    </w:rPr>
                    <w:t>每季度一次</w:t>
                  </w:r>
                </w:p>
              </w:tc>
            </w:tr>
            <w:tr>
              <w:trPr>
                <w:trHeight w:val="340"/>
              </w:trPr>
              <w:tc>
                <w:tcPr>
                  <w:tcW w:w="494" w:type="pct"/>
                  <w:vMerge/>
                  <w:vAlign w:val="center"/>
                </w:tcPr>
                <w:p/>
              </w:tc>
              <w:tc>
                <w:tcPr>
                  <w:tcW w:w="2397" w:type="pct"/>
                  <w:vAlign w:val="center"/>
                </w:tcPr>
                <w:p>
                  <w:pPr>
                    <w:widowControl/>
                    <w:spacing w:line="240" w:lineRule="auto"/>
                    <w:jc w:val="center"/>
                    <w:rPr>
                      <w:b w:val="0"/>
                      <w:bCs/>
                      <w:sz w:val="21"/>
                      <w:szCs w:val="21"/>
                      <w:u w:val="single"/>
                      <w:highlight w:val="none"/>
                    </w:rPr>
                  </w:pPr>
                  <w:r>
                    <w:rPr>
                      <w:rFonts w:ascii="宋体" w:eastAsia="宋体" w:cs="宋体" w:hAnsi="宋体" w:hint="eastAsia"/>
                      <w:kern w:val="0"/>
                      <w:sz w:val="21"/>
                      <w:szCs w:val="21"/>
                      <w:lang w:val="en-US" w:eastAsia="zh-CN"/>
                      <w:highlight w:val="none"/>
                    </w:rPr>
                    <w:t>太青水厂北侧最近居民点</w:t>
                  </w:r>
                </w:p>
              </w:tc>
              <w:tc>
                <w:tcPr>
                  <w:tcW w:w="1266" w:type="pct"/>
                  <w:vMerge/>
                  <w:vAlign w:val="center"/>
                </w:tcPr>
                <w:p/>
              </w:tc>
              <w:tc>
                <w:tcPr>
                  <w:tcW w:w="840" w:type="pct"/>
                  <w:vMerge/>
                  <w:vAlign w:val="center"/>
                </w:tcPr>
                <w:p/>
              </w:tc>
            </w:tr>
            <w:tr>
              <w:trPr>
                <w:trHeight w:val="340"/>
              </w:trPr>
              <w:tc>
                <w:tcPr>
                  <w:tcW w:w="494" w:type="pct"/>
                  <w:vMerge/>
                  <w:vAlign w:val="center"/>
                </w:tcPr>
                <w:p/>
              </w:tc>
              <w:tc>
                <w:tcPr>
                  <w:tcW w:w="2397" w:type="pct"/>
                  <w:vAlign w:val="center"/>
                </w:tcPr>
                <w:p>
                  <w:pPr>
                    <w:widowControl/>
                    <w:spacing w:line="240" w:lineRule="auto"/>
                    <w:jc w:val="center"/>
                    <w:rPr>
                      <w:b w:val="0"/>
                      <w:bCs/>
                      <w:sz w:val="21"/>
                      <w:szCs w:val="21"/>
                      <w:u w:val="single"/>
                      <w:highlight w:val="none"/>
                    </w:rPr>
                  </w:pPr>
                  <w:r>
                    <w:rPr>
                      <w:rFonts w:ascii="宋体" w:eastAsia="宋体" w:cs="宋体" w:hAnsi="宋体" w:hint="eastAsia"/>
                      <w:kern w:val="0"/>
                      <w:sz w:val="21"/>
                      <w:szCs w:val="21"/>
                      <w:lang w:val="en-US" w:eastAsia="zh-CN"/>
                      <w:highlight w:val="none"/>
                    </w:rPr>
                    <w:t>探裕-遇市村加压泵站东侧最近居民点</w:t>
                  </w:r>
                </w:p>
              </w:tc>
              <w:tc>
                <w:tcPr>
                  <w:tcW w:w="1266" w:type="pct"/>
                  <w:vMerge/>
                  <w:vAlign w:val="center"/>
                </w:tcPr>
                <w:p/>
              </w:tc>
              <w:tc>
                <w:tcPr>
                  <w:tcW w:w="840" w:type="pct"/>
                  <w:vMerge/>
                  <w:vAlign w:val="center"/>
                </w:tcPr>
                <w:p/>
              </w:tc>
            </w:tr>
            <w:tr>
              <w:trPr>
                <w:trHeight w:val="340"/>
              </w:trPr>
              <w:tc>
                <w:tcPr>
                  <w:tcW w:w="494" w:type="pct"/>
                  <w:vMerge/>
                  <w:vAlign w:val="center"/>
                </w:tcPr>
                <w:p/>
              </w:tc>
              <w:tc>
                <w:tcPr>
                  <w:tcW w:w="2397" w:type="pct"/>
                  <w:vAlign w:val="center"/>
                </w:tcPr>
                <w:p>
                  <w:pPr>
                    <w:widowControl/>
                    <w:spacing w:line="240" w:lineRule="auto"/>
                    <w:jc w:val="center"/>
                    <w:rPr>
                      <w:b w:val="0"/>
                      <w:bCs/>
                      <w:sz w:val="21"/>
                      <w:szCs w:val="21"/>
                      <w:u w:val="single"/>
                      <w:highlight w:val="none"/>
                    </w:rPr>
                  </w:pPr>
                  <w:r>
                    <w:rPr>
                      <w:rFonts w:ascii="宋体" w:eastAsia="宋体" w:cs="宋体" w:hAnsi="宋体" w:hint="eastAsia"/>
                      <w:kern w:val="0"/>
                      <w:sz w:val="21"/>
                      <w:szCs w:val="21"/>
                      <w:lang w:val="en-US" w:eastAsia="zh-CN"/>
                      <w:highlight w:val="none"/>
                    </w:rPr>
                    <w:t>东门村加压泵站东北侧最近居民点</w:t>
                  </w:r>
                </w:p>
              </w:tc>
              <w:tc>
                <w:tcPr>
                  <w:tcW w:w="1266" w:type="pct"/>
                  <w:vMerge/>
                  <w:vAlign w:val="center"/>
                </w:tcPr>
                <w:p/>
              </w:tc>
              <w:tc>
                <w:tcPr>
                  <w:tcW w:w="840" w:type="pct"/>
                  <w:vMerge/>
                  <w:vAlign w:val="center"/>
                </w:tcPr>
                <w:p/>
              </w:tc>
            </w:tr>
            <w:tr>
              <w:trPr>
                <w:trHeight w:val="340"/>
              </w:trPr>
              <w:tc>
                <w:tcPr>
                  <w:tcW w:w="494" w:type="pct"/>
                  <w:vMerge/>
                  <w:vAlign w:val="center"/>
                </w:tcPr>
                <w:p/>
              </w:tc>
              <w:tc>
                <w:tcPr>
                  <w:tcW w:w="2397" w:type="pct"/>
                  <w:vAlign w:val="center"/>
                </w:tcPr>
                <w:p>
                  <w:pPr>
                    <w:widowControl/>
                    <w:spacing w:line="240" w:lineRule="auto"/>
                    <w:jc w:val="center"/>
                    <w:rPr>
                      <w:rFonts w:ascii="Times New Roman" w:cs="Times New Roman" w:hAnsi="Times New Roman"/>
                      <w:b w:val="0"/>
                      <w:bCs/>
                      <w:sz w:val="21"/>
                      <w:szCs w:val="21"/>
                      <w:u w:val="single"/>
                      <w:highlight w:val="none"/>
                    </w:rPr>
                  </w:pPr>
                  <w:r>
                    <w:rPr>
                      <w:rFonts w:ascii="Times New Roman" w:eastAsia="宋体" w:cs="Times New Roman" w:hAnsi="Times New Roman"/>
                      <w:kern w:val="0"/>
                      <w:sz w:val="21"/>
                      <w:szCs w:val="21"/>
                      <w:lang w:val="en-US" w:eastAsia="zh-CN"/>
                      <w:highlight w:val="none"/>
                    </w:rPr>
                    <w:t>东门村加压泵站南侧最近居民点</w:t>
                  </w:r>
                </w:p>
              </w:tc>
              <w:tc>
                <w:tcPr>
                  <w:tcW w:w="1266" w:type="pct"/>
                  <w:vMerge/>
                  <w:vAlign w:val="center"/>
                </w:tcPr>
                <w:p/>
              </w:tc>
              <w:tc>
                <w:tcPr>
                  <w:tcW w:w="840" w:type="pct"/>
                  <w:vMerge/>
                  <w:vAlign w:val="center"/>
                </w:tcPr>
                <w:p/>
              </w:tc>
            </w:tr>
            <w:tr>
              <w:trPr>
                <w:trHeight w:val="340"/>
              </w:trPr>
              <w:tc>
                <w:tcPr>
                  <w:tcW w:w="494" w:type="pct"/>
                  <w:vMerge/>
                  <w:vAlign w:val="center"/>
                </w:tcPr>
                <w:p/>
              </w:tc>
              <w:tc>
                <w:tcPr>
                  <w:tcW w:w="2397" w:type="pct"/>
                  <w:vAlign w:val="center"/>
                </w:tcPr>
                <w:p>
                  <w:pPr>
                    <w:widowControl/>
                    <w:spacing w:line="240" w:lineRule="auto"/>
                    <w:jc w:val="center"/>
                    <w:rPr>
                      <w:rFonts w:ascii="Times New Roman" w:cs="Times New Roman" w:hAnsi="Times New Roman"/>
                      <w:b w:val="0"/>
                      <w:bCs/>
                      <w:sz w:val="21"/>
                      <w:szCs w:val="21"/>
                      <w:u w:val="single"/>
                      <w:highlight w:val="none"/>
                    </w:rPr>
                  </w:pPr>
                  <w:r>
                    <w:rPr>
                      <w:rFonts w:ascii="Times New Roman" w:eastAsia="宋体" w:cs="Times New Roman" w:hAnsi="Times New Roman"/>
                      <w:kern w:val="0"/>
                      <w:sz w:val="21"/>
                      <w:szCs w:val="21"/>
                      <w:lang w:val="en-US" w:eastAsia="zh-CN"/>
                      <w:highlight w:val="none"/>
                    </w:rPr>
                    <w:t>干管D加压泵站北侧最近居民点</w:t>
                  </w:r>
                </w:p>
              </w:tc>
              <w:tc>
                <w:tcPr>
                  <w:tcW w:w="1266" w:type="pct"/>
                  <w:vMerge/>
                  <w:vAlign w:val="center"/>
                </w:tcPr>
                <w:p/>
              </w:tc>
              <w:tc>
                <w:tcPr>
                  <w:tcW w:w="840" w:type="pct"/>
                  <w:vMerge/>
                  <w:vAlign w:val="center"/>
                </w:tcPr>
                <w:p/>
              </w:tc>
            </w:tr>
            <w:tr>
              <w:trPr>
                <w:trHeight w:val="340"/>
              </w:trPr>
              <w:tc>
                <w:tcPr>
                  <w:tcW w:w="494" w:type="pct"/>
                  <w:vMerge/>
                  <w:vAlign w:val="center"/>
                </w:tcPr>
                <w:p/>
              </w:tc>
              <w:tc>
                <w:tcPr>
                  <w:tcW w:w="2397" w:type="pct"/>
                  <w:vAlign w:val="center"/>
                </w:tcPr>
                <w:p>
                  <w:pPr>
                    <w:widowControl/>
                    <w:spacing w:line="240" w:lineRule="auto"/>
                    <w:jc w:val="center"/>
                    <w:rPr>
                      <w:rFonts w:ascii="Times New Roman" w:cs="Times New Roman" w:hAnsi="Times New Roman"/>
                      <w:b w:val="0"/>
                      <w:bCs/>
                      <w:sz w:val="21"/>
                      <w:szCs w:val="21"/>
                      <w:u w:val="single"/>
                      <w:highlight w:val="none"/>
                    </w:rPr>
                  </w:pPr>
                  <w:r>
                    <w:rPr>
                      <w:rFonts w:ascii="Times New Roman" w:eastAsia="宋体" w:cs="Times New Roman" w:hAnsi="Times New Roman"/>
                      <w:kern w:val="0"/>
                      <w:sz w:val="21"/>
                      <w:szCs w:val="21"/>
                      <w:lang w:val="en-US" w:eastAsia="zh-CN"/>
                      <w:highlight w:val="none"/>
                    </w:rPr>
                    <w:t>干管D加压泵站西侧最近居民点</w:t>
                  </w:r>
                </w:p>
              </w:tc>
              <w:tc>
                <w:tcPr>
                  <w:tcW w:w="1266" w:type="pct"/>
                  <w:vMerge/>
                  <w:vAlign w:val="center"/>
                </w:tcPr>
                <w:p/>
              </w:tc>
              <w:tc>
                <w:tcPr>
                  <w:tcW w:w="840" w:type="pct"/>
                  <w:vMerge/>
                  <w:vAlign w:val="center"/>
                </w:tcPr>
                <w:p/>
              </w:tc>
            </w:tr>
            <w:tr>
              <w:trPr>
                <w:trHeight w:val="340"/>
              </w:trPr>
              <w:tc>
                <w:tcPr>
                  <w:tcW w:w="494" w:type="pct"/>
                  <w:vMerge/>
                  <w:vAlign w:val="center"/>
                </w:tcPr>
                <w:p/>
              </w:tc>
              <w:tc>
                <w:tcPr>
                  <w:tcW w:w="2397" w:type="pct"/>
                  <w:vAlign w:val="center"/>
                </w:tcPr>
                <w:p>
                  <w:pPr>
                    <w:widowControl/>
                    <w:spacing w:line="240" w:lineRule="auto"/>
                    <w:jc w:val="center"/>
                    <w:rPr>
                      <w:b w:val="0"/>
                      <w:bCs/>
                      <w:sz w:val="21"/>
                      <w:szCs w:val="21"/>
                      <w:u w:val="single"/>
                      <w:highlight w:val="none"/>
                    </w:rPr>
                  </w:pPr>
                  <w:r>
                    <w:rPr>
                      <w:rFonts w:ascii="宋体" w:eastAsia="宋体" w:cs="宋体" w:hAnsi="宋体" w:hint="eastAsia"/>
                      <w:kern w:val="0"/>
                      <w:sz w:val="21"/>
                      <w:szCs w:val="21"/>
                      <w:lang w:val="en-US" w:eastAsia="zh-CN"/>
                      <w:highlight w:val="none"/>
                    </w:rPr>
                    <w:t>三岔湾加压泵站西侧最近居民点</w:t>
                  </w:r>
                </w:p>
              </w:tc>
              <w:tc>
                <w:tcPr>
                  <w:tcW w:w="1266" w:type="pct"/>
                  <w:vMerge/>
                  <w:vAlign w:val="center"/>
                </w:tcPr>
                <w:p/>
              </w:tc>
              <w:tc>
                <w:tcPr>
                  <w:tcW w:w="840" w:type="pct"/>
                  <w:vMerge/>
                  <w:vAlign w:val="center"/>
                </w:tcPr>
                <w:p/>
              </w:tc>
            </w:tr>
            <w:tr>
              <w:trPr>
                <w:trHeight w:val="340"/>
              </w:trPr>
              <w:tc>
                <w:tcPr>
                  <w:tcW w:w="494" w:type="pct"/>
                  <w:vMerge/>
                  <w:vAlign w:val="center"/>
                </w:tcPr>
                <w:p/>
              </w:tc>
              <w:tc>
                <w:tcPr>
                  <w:tcW w:w="2397" w:type="pct"/>
                  <w:vAlign w:val="center"/>
                </w:tcPr>
                <w:p>
                  <w:pPr>
                    <w:widowControl/>
                    <w:spacing w:line="240" w:lineRule="auto"/>
                    <w:jc w:val="center"/>
                    <w:rPr>
                      <w:b w:val="0"/>
                      <w:bCs/>
                      <w:sz w:val="21"/>
                      <w:szCs w:val="21"/>
                      <w:u w:val="single"/>
                      <w:highlight w:val="none"/>
                    </w:rPr>
                  </w:pPr>
                  <w:r>
                    <w:rPr>
                      <w:rFonts w:ascii="宋体" w:eastAsia="宋体" w:cs="宋体" w:hAnsi="宋体" w:hint="eastAsia"/>
                      <w:kern w:val="0"/>
                      <w:sz w:val="21"/>
                      <w:szCs w:val="21"/>
                      <w:lang w:val="en-US" w:eastAsia="zh-CN"/>
                      <w:highlight w:val="none"/>
                    </w:rPr>
                    <w:t>楠木加压泵站东侧最近居民点</w:t>
                  </w:r>
                </w:p>
              </w:tc>
              <w:tc>
                <w:tcPr>
                  <w:tcW w:w="1266" w:type="pct"/>
                  <w:vMerge/>
                  <w:vAlign w:val="center"/>
                </w:tcPr>
                <w:p/>
              </w:tc>
              <w:tc>
                <w:tcPr>
                  <w:tcW w:w="840" w:type="pct"/>
                  <w:vMerge/>
                  <w:vAlign w:val="center"/>
                </w:tcPr>
                <w:p/>
              </w:tc>
            </w:tr>
            <w:tr>
              <w:trPr>
                <w:trHeight w:val="340"/>
              </w:trPr>
              <w:tc>
                <w:tcPr>
                  <w:tcW w:w="494" w:type="pct"/>
                  <w:vMerge/>
                  <w:vAlign w:val="center"/>
                </w:tcPr>
                <w:p/>
              </w:tc>
              <w:tc>
                <w:tcPr>
                  <w:tcW w:w="2397" w:type="pct"/>
                  <w:vAlign w:val="center"/>
                </w:tcPr>
                <w:p>
                  <w:pPr>
                    <w:widowControl/>
                    <w:spacing w:line="240" w:lineRule="auto"/>
                    <w:jc w:val="center"/>
                    <w:rPr>
                      <w:b w:val="0"/>
                      <w:bCs/>
                      <w:sz w:val="21"/>
                      <w:szCs w:val="21"/>
                      <w:u w:val="single"/>
                      <w:highlight w:val="none"/>
                    </w:rPr>
                  </w:pPr>
                  <w:r>
                    <w:rPr>
                      <w:rFonts w:ascii="宋体" w:eastAsia="宋体" w:cs="宋体" w:hAnsi="宋体" w:hint="eastAsia"/>
                      <w:kern w:val="0"/>
                      <w:sz w:val="21"/>
                      <w:szCs w:val="21"/>
                      <w:lang w:val="en-US" w:eastAsia="zh-CN"/>
                      <w:highlight w:val="none"/>
                    </w:rPr>
                    <w:t>古台加压泵站西南侧最近居民点</w:t>
                  </w:r>
                </w:p>
              </w:tc>
              <w:tc>
                <w:tcPr>
                  <w:tcW w:w="1266" w:type="pct"/>
                  <w:vMerge/>
                  <w:vAlign w:val="center"/>
                </w:tcPr>
                <w:p/>
              </w:tc>
              <w:tc>
                <w:tcPr>
                  <w:tcW w:w="840" w:type="pct"/>
                  <w:vMerge/>
                  <w:vAlign w:val="center"/>
                </w:tcPr>
                <w:p/>
              </w:tc>
            </w:tr>
          </w:tbl>
          <w:p>
            <w:pPr>
              <w:adjustRightInd w:val="0"/>
              <w:spacing w:line="360" w:lineRule="auto"/>
              <w:rPr>
                <w:b/>
                <w:bCs/>
                <w:sz w:val="24"/>
                <w:highlight w:val="none"/>
              </w:rPr>
            </w:pPr>
            <w:r>
              <w:rPr>
                <w:b/>
                <w:sz w:val="24"/>
                <w:highlight w:val="none"/>
              </w:rPr>
              <w:t>4、固体废物</w:t>
            </w:r>
          </w:p>
          <w:p>
            <w:pPr>
              <w:adjustRightInd w:val="0"/>
              <w:spacing w:line="360" w:lineRule="auto"/>
              <w:rPr>
                <w:sz w:val="24"/>
                <w:highlight w:val="none"/>
              </w:rPr>
            </w:pPr>
            <w:r>
              <w:rPr>
                <w:rFonts w:hint="eastAsia"/>
                <w:b/>
                <w:sz w:val="24"/>
                <w:highlight w:val="none"/>
              </w:rPr>
              <w:t>4</w:t>
            </w:r>
            <w:r>
              <w:rPr>
                <w:b/>
                <w:sz w:val="24"/>
                <w:highlight w:val="none"/>
              </w:rPr>
              <w:t>.1</w:t>
            </w:r>
            <w:r>
              <w:rPr>
                <w:rFonts w:hint="eastAsia"/>
                <w:b/>
                <w:sz w:val="24"/>
                <w:highlight w:val="none"/>
              </w:rPr>
              <w:t>污染源强</w:t>
            </w:r>
            <w:r>
              <w:rPr>
                <w:rFonts w:hint="eastAsia"/>
                <w:b/>
                <w:bCs/>
                <w:highlight w:val="none"/>
              </w:rPr>
              <w:t>分析</w:t>
            </w:r>
          </w:p>
          <w:p>
            <w:pPr>
              <w:spacing w:line="360" w:lineRule="auto"/>
              <w:ind w:firstLineChars="200" w:firstLine="480"/>
              <w:rPr>
                <w:sz w:val="24"/>
                <w:highlight w:val="none"/>
              </w:rPr>
            </w:pPr>
            <w:r>
              <w:rPr>
                <w:sz w:val="24"/>
                <w:highlight w:val="none"/>
              </w:rPr>
              <w:t>本项目产生的固体废物主要为一般工业固体废物、危险废物</w:t>
            </w:r>
            <w:r>
              <w:rPr>
                <w:rFonts w:hint="eastAsia"/>
                <w:sz w:val="24"/>
                <w:lang w:val="en-US" w:eastAsia="zh-CN"/>
                <w:highlight w:val="none"/>
              </w:rPr>
              <w:t>以及员工生活垃圾等</w:t>
            </w:r>
            <w:r>
              <w:rPr>
                <w:sz w:val="24"/>
                <w:highlight w:val="none"/>
              </w:rPr>
              <w:t>。</w:t>
            </w:r>
          </w:p>
          <w:p>
            <w:pPr>
              <w:spacing w:line="360" w:lineRule="auto"/>
              <w:ind w:firstLineChars="200" w:firstLine="480"/>
              <w:rPr>
                <w:sz w:val="24"/>
                <w:highlight w:val="none"/>
              </w:rPr>
            </w:pPr>
            <w:r>
              <w:rPr>
                <w:rFonts w:hint="eastAsia"/>
                <w:sz w:val="24"/>
                <w:highlight w:val="none"/>
              </w:rPr>
              <w:t>（1）</w:t>
            </w:r>
            <w:r>
              <w:rPr>
                <w:sz w:val="24"/>
                <w:highlight w:val="none"/>
              </w:rPr>
              <w:t>一般工业固体废物</w:t>
            </w:r>
          </w:p>
          <w:p>
            <w:pPr>
              <w:spacing w:line="360" w:lineRule="auto"/>
              <w:ind w:firstLineChars="200" w:firstLine="480"/>
              <w:rPr>
                <w:sz w:val="24"/>
                <w:highlight w:val="none"/>
              </w:rPr>
            </w:pPr>
            <w:r>
              <w:rPr>
                <w:sz w:val="24"/>
                <w:highlight w:val="none"/>
              </w:rPr>
              <w:t>根据《室外给水设计规范》（GB50013-2018），净水厂干污泥可按下式计算：</w:t>
            </w:r>
          </w:p>
          <w:p>
            <w:pPr>
              <w:spacing w:line="360" w:lineRule="auto"/>
              <w:jc w:val="center"/>
              <w:rPr>
                <w:sz w:val="24"/>
                <w:highlight w:val="none"/>
              </w:rPr>
            </w:pPr>
            <w:r>
              <w:rPr>
                <w:sz w:val="24"/>
                <w:highlight w:val="none"/>
              </w:rPr>
              <w:t>S=（K</w:t>
            </w:r>
            <w:r>
              <w:rPr>
                <w:sz w:val="24"/>
                <w:vertAlign w:val="subscript"/>
                <w:highlight w:val="none"/>
              </w:rPr>
              <w:t>1</w:t>
            </w:r>
            <w:r>
              <w:rPr>
                <w:sz w:val="24"/>
                <w:highlight w:val="none"/>
              </w:rPr>
              <w:t>C</w:t>
            </w:r>
            <w:r>
              <w:rPr>
                <w:sz w:val="24"/>
                <w:vertAlign w:val="subscript"/>
                <w:highlight w:val="none"/>
              </w:rPr>
              <w:t>0</w:t>
            </w:r>
            <w:r>
              <w:rPr>
                <w:sz w:val="24"/>
                <w:highlight w:val="none"/>
              </w:rPr>
              <w:t>+K</w:t>
            </w:r>
            <w:r>
              <w:rPr>
                <w:sz w:val="24"/>
                <w:vertAlign w:val="subscript"/>
                <w:highlight w:val="none"/>
              </w:rPr>
              <w:t>2</w:t>
            </w:r>
            <w:r>
              <w:rPr>
                <w:sz w:val="24"/>
                <w:highlight w:val="none"/>
              </w:rPr>
              <w:t>D）×K</w:t>
            </w:r>
            <w:r>
              <w:rPr>
                <w:sz w:val="24"/>
                <w:vertAlign w:val="subscript"/>
                <w:highlight w:val="none"/>
              </w:rPr>
              <w:t>0</w:t>
            </w:r>
            <w:r>
              <w:rPr>
                <w:sz w:val="24"/>
                <w:highlight w:val="none"/>
              </w:rPr>
              <w:t>Q×10</w:t>
            </w:r>
            <w:r>
              <w:rPr>
                <w:sz w:val="24"/>
                <w:vertAlign w:val="superscript"/>
                <w:highlight w:val="none"/>
              </w:rPr>
              <w:t>-6</w:t>
            </w:r>
          </w:p>
          <w:p>
            <w:pPr>
              <w:spacing w:line="360" w:lineRule="auto"/>
              <w:ind w:firstLineChars="200" w:firstLine="480"/>
              <w:rPr>
                <w:sz w:val="24"/>
                <w:highlight w:val="none"/>
              </w:rPr>
            </w:pPr>
            <w:r>
              <w:rPr>
                <w:sz w:val="24"/>
                <w:highlight w:val="none"/>
              </w:rPr>
              <w:t>式中：C</w:t>
            </w:r>
            <w:r>
              <w:rPr>
                <w:sz w:val="24"/>
                <w:vertAlign w:val="subscript"/>
                <w:highlight w:val="none"/>
              </w:rPr>
              <w:t>0</w:t>
            </w:r>
            <w:r>
              <w:rPr>
                <w:sz w:val="24"/>
                <w:highlight w:val="none"/>
              </w:rPr>
              <w:t>—原水浊度，NTU，本项目C</w:t>
            </w:r>
            <w:r>
              <w:rPr>
                <w:sz w:val="24"/>
                <w:vertAlign w:val="subscript"/>
                <w:highlight w:val="none"/>
              </w:rPr>
              <w:t>0</w:t>
            </w:r>
            <w:r>
              <w:rPr>
                <w:sz w:val="24"/>
                <w:highlight w:val="none"/>
              </w:rPr>
              <w:t>取</w:t>
            </w:r>
            <w:r>
              <w:rPr>
                <w:rFonts w:hint="eastAsia"/>
                <w:sz w:val="24"/>
                <w:highlight w:val="none"/>
              </w:rPr>
              <w:t>20</w:t>
            </w:r>
            <w:r>
              <w:rPr>
                <w:sz w:val="24"/>
                <w:highlight w:val="none"/>
              </w:rPr>
              <w:t>NTU；</w:t>
            </w:r>
          </w:p>
          <w:p>
            <w:pPr>
              <w:spacing w:line="360" w:lineRule="auto"/>
              <w:ind w:firstLineChars="200" w:firstLine="480"/>
              <w:rPr>
                <w:sz w:val="24"/>
                <w:highlight w:val="none"/>
              </w:rPr>
            </w:pPr>
            <w:r>
              <w:rPr>
                <w:sz w:val="24"/>
                <w:highlight w:val="none"/>
              </w:rPr>
              <w:t>K</w:t>
            </w:r>
            <w:r>
              <w:rPr>
                <w:sz w:val="24"/>
                <w:vertAlign w:val="subscript"/>
                <w:highlight w:val="none"/>
              </w:rPr>
              <w:t>1</w:t>
            </w:r>
            <w:r>
              <w:rPr>
                <w:sz w:val="24"/>
                <w:highlight w:val="none"/>
              </w:rPr>
              <w:t>—原水浊度单位NTU 与悬浮物SS 单位mg/L 的换算系数，取值为</w:t>
            </w:r>
            <w:r>
              <w:rPr>
                <w:rFonts w:hint="eastAsia"/>
                <w:sz w:val="24"/>
                <w:highlight w:val="none"/>
              </w:rPr>
              <w:t>2.0</w:t>
            </w:r>
            <w:r>
              <w:rPr>
                <w:sz w:val="24"/>
                <w:highlight w:val="none"/>
              </w:rPr>
              <w:t>；</w:t>
            </w:r>
          </w:p>
          <w:p>
            <w:pPr>
              <w:spacing w:line="360" w:lineRule="auto"/>
              <w:ind w:firstLineChars="200" w:firstLine="480"/>
              <w:rPr>
                <w:sz w:val="24"/>
                <w:highlight w:val="none"/>
              </w:rPr>
            </w:pPr>
            <w:r>
              <w:rPr>
                <w:sz w:val="24"/>
                <w:highlight w:val="none"/>
              </w:rPr>
              <w:t>D—药剂投加量mg/L，</w:t>
            </w:r>
            <w:r>
              <w:rPr>
                <w:rFonts w:hint="eastAsia"/>
                <w:sz w:val="24"/>
                <w:highlight w:val="none"/>
              </w:rPr>
              <w:t>采用的絮凝剂为聚合氯化铝，项目聚合氯化铝平均投加量约为20mg/L</w:t>
            </w:r>
            <w:r>
              <w:rPr>
                <w:sz w:val="24"/>
                <w:highlight w:val="none"/>
              </w:rPr>
              <w:t>，D=20mg/L；</w:t>
            </w:r>
          </w:p>
          <w:p>
            <w:pPr>
              <w:spacing w:line="360" w:lineRule="auto"/>
              <w:ind w:firstLineChars="200" w:firstLine="480"/>
              <w:rPr>
                <w:sz w:val="24"/>
                <w:highlight w:val="none"/>
              </w:rPr>
            </w:pPr>
            <w:r>
              <w:rPr>
                <w:sz w:val="24"/>
                <w:highlight w:val="none"/>
              </w:rPr>
              <w:t>K</w:t>
            </w:r>
            <w:r>
              <w:rPr>
                <w:sz w:val="24"/>
                <w:vertAlign w:val="subscript"/>
                <w:highlight w:val="none"/>
              </w:rPr>
              <w:t>2</w:t>
            </w:r>
            <w:r>
              <w:rPr>
                <w:sz w:val="24"/>
                <w:highlight w:val="none"/>
              </w:rPr>
              <w:t>—药剂转化成泥量的系数，根据《给水排水设计手册》（第3 册），取值为1.53；</w:t>
            </w:r>
          </w:p>
          <w:p>
            <w:pPr>
              <w:spacing w:line="360" w:lineRule="auto"/>
              <w:ind w:firstLineChars="200" w:firstLine="480"/>
              <w:rPr>
                <w:sz w:val="24"/>
                <w:highlight w:val="none"/>
              </w:rPr>
            </w:pPr>
            <w:r>
              <w:rPr>
                <w:sz w:val="24"/>
                <w:highlight w:val="none"/>
              </w:rPr>
              <w:t>Q—设计规模，m</w:t>
            </w:r>
            <w:r>
              <w:rPr>
                <w:sz w:val="24"/>
                <w:vertAlign w:val="superscript"/>
                <w:highlight w:val="none"/>
              </w:rPr>
              <w:t>3</w:t>
            </w:r>
            <w:r>
              <w:rPr>
                <w:sz w:val="24"/>
                <w:highlight w:val="none"/>
              </w:rPr>
              <w:t>/d，本项目设计供水量为</w:t>
            </w:r>
            <w:r>
              <w:rPr>
                <w:rFonts w:hint="eastAsia"/>
                <w:sz w:val="24"/>
                <w:lang w:val="en-US" w:eastAsia="zh-CN"/>
                <w:highlight w:val="none"/>
              </w:rPr>
              <w:t>10</w:t>
            </w:r>
            <w:r>
              <w:rPr>
                <w:sz w:val="24"/>
                <w:highlight w:val="none"/>
              </w:rPr>
              <w:t>000m</w:t>
            </w:r>
            <w:r>
              <w:rPr>
                <w:sz w:val="24"/>
                <w:vertAlign w:val="superscript"/>
                <w:highlight w:val="none"/>
              </w:rPr>
              <w:t>3</w:t>
            </w:r>
            <w:r>
              <w:rPr>
                <w:sz w:val="24"/>
                <w:highlight w:val="none"/>
              </w:rPr>
              <w:t>/d；</w:t>
            </w:r>
          </w:p>
          <w:p>
            <w:pPr>
              <w:spacing w:line="360" w:lineRule="auto"/>
              <w:ind w:firstLineChars="200" w:firstLine="480"/>
              <w:rPr>
                <w:sz w:val="24"/>
                <w:highlight w:val="none"/>
              </w:rPr>
            </w:pPr>
            <w:r>
              <w:rPr>
                <w:sz w:val="24"/>
                <w:highlight w:val="none"/>
              </w:rPr>
              <w:t>K</w:t>
            </w:r>
            <w:r>
              <w:rPr>
                <w:sz w:val="24"/>
                <w:vertAlign w:val="subscript"/>
                <w:highlight w:val="none"/>
              </w:rPr>
              <w:t>0</w:t>
            </w:r>
            <w:r>
              <w:rPr>
                <w:sz w:val="24"/>
                <w:highlight w:val="none"/>
              </w:rPr>
              <w:t>―自来水厂自用水量系数，取1.01</w:t>
            </w:r>
          </w:p>
          <w:p>
            <w:pPr>
              <w:spacing w:line="360" w:lineRule="auto"/>
              <w:ind w:firstLineChars="200" w:firstLine="480"/>
              <w:rPr>
                <w:sz w:val="24"/>
                <w:highlight w:val="none"/>
              </w:rPr>
            </w:pPr>
            <w:r>
              <w:rPr>
                <w:sz w:val="24"/>
                <w:highlight w:val="none"/>
              </w:rPr>
              <w:t>S—干泥量，t/d。</w:t>
            </w:r>
          </w:p>
          <w:p>
            <w:pPr>
              <w:spacing w:line="360" w:lineRule="auto"/>
              <w:ind w:firstLineChars="200" w:firstLine="480"/>
              <w:rPr>
                <w:sz w:val="24"/>
                <w:highlight w:val="none"/>
              </w:rPr>
            </w:pPr>
            <w:r>
              <w:rPr>
                <w:sz w:val="24"/>
                <w:highlight w:val="none"/>
              </w:rPr>
              <w:t>经计算得到干泥产生量为</w:t>
            </w:r>
            <w:r>
              <w:rPr>
                <w:rFonts w:hint="eastAsia"/>
                <w:sz w:val="24"/>
                <w:lang w:val="en-US" w:eastAsia="zh-CN"/>
                <w:highlight w:val="none"/>
              </w:rPr>
              <w:t>0.72</w:t>
            </w:r>
            <w:r>
              <w:rPr>
                <w:sz w:val="24"/>
                <w:highlight w:val="none"/>
              </w:rPr>
              <w:t>t/d，年干泥产生量为</w:t>
            </w:r>
            <w:r>
              <w:rPr>
                <w:rFonts w:hint="eastAsia"/>
                <w:sz w:val="24"/>
                <w:lang w:val="en-US" w:eastAsia="zh-CN"/>
                <w:highlight w:val="none"/>
              </w:rPr>
              <w:t>262.8</w:t>
            </w:r>
            <w:r>
              <w:rPr>
                <w:sz w:val="24"/>
                <w:highlight w:val="none"/>
              </w:rPr>
              <w:t>t/a。</w:t>
            </w:r>
          </w:p>
          <w:p>
            <w:pPr>
              <w:spacing w:line="360" w:lineRule="auto"/>
              <w:ind w:firstLineChars="200" w:firstLine="480"/>
              <w:rPr>
                <w:sz w:val="24"/>
                <w:u w:val="single"/>
                <w:highlight w:val="none"/>
              </w:rPr>
            </w:pPr>
            <w:r>
              <w:rPr>
                <w:rFonts w:hint="eastAsia"/>
                <w:sz w:val="24"/>
                <w:u w:val="single"/>
                <w:lang w:val="en-US" w:eastAsia="zh-CN"/>
                <w:highlight w:val="none"/>
              </w:rPr>
              <w:t>污泥经脱水后</w:t>
            </w:r>
            <w:r>
              <w:rPr>
                <w:rFonts w:hint="eastAsia"/>
                <w:sz w:val="24"/>
                <w:u w:val="single"/>
                <w:highlight w:val="none"/>
              </w:rPr>
              <w:t>含水率</w:t>
            </w:r>
            <w:r>
              <w:rPr>
                <w:sz w:val="24"/>
                <w:u w:val="single"/>
                <w:highlight w:val="none"/>
              </w:rPr>
              <w:t>60%</w:t>
            </w:r>
            <w:r>
              <w:rPr>
                <w:rFonts w:hint="eastAsia"/>
                <w:sz w:val="24"/>
                <w:u w:val="single"/>
                <w:highlight w:val="none"/>
              </w:rPr>
              <w:t>，则含水污泥共</w:t>
            </w:r>
            <w:r>
              <w:rPr>
                <w:rFonts w:hint="eastAsia"/>
                <w:sz w:val="24"/>
                <w:u w:val="single"/>
                <w:lang w:val="en-US" w:eastAsia="zh-CN"/>
                <w:highlight w:val="none"/>
              </w:rPr>
              <w:t>657</w:t>
            </w:r>
            <w:r>
              <w:rPr>
                <w:sz w:val="24"/>
                <w:u w:val="single"/>
                <w:highlight w:val="none"/>
              </w:rPr>
              <w:t>t/a</w:t>
            </w:r>
            <w:r>
              <w:rPr>
                <w:rFonts w:hint="eastAsia"/>
                <w:sz w:val="24"/>
                <w:u w:val="single"/>
                <w:highlight w:val="none"/>
              </w:rPr>
              <w:t>，</w:t>
            </w:r>
            <w:r>
              <w:rPr>
                <w:sz w:val="24"/>
                <w:u w:val="single"/>
                <w:highlight w:val="none"/>
              </w:rPr>
              <w:t>自来水厂的污泥主要成分为</w:t>
            </w:r>
            <w:r>
              <w:rPr>
                <w:rFonts w:hint="eastAsia"/>
                <w:sz w:val="24"/>
                <w:u w:val="single"/>
                <w:highlight w:val="none"/>
              </w:rPr>
              <w:t>悬浮</w:t>
            </w:r>
            <w:r>
              <w:rPr>
                <w:sz w:val="24"/>
                <w:u w:val="single"/>
                <w:highlight w:val="none"/>
              </w:rPr>
              <w:t>物，为一般工业固体废物，</w:t>
            </w:r>
            <w:r>
              <w:rPr>
                <w:rFonts w:hint="eastAsia"/>
                <w:sz w:val="24"/>
                <w:u w:val="single"/>
                <w:lang w:val="en-US" w:eastAsia="zh-CN"/>
                <w:highlight w:val="none"/>
              </w:rPr>
              <w:t>污泥</w:t>
            </w:r>
            <w:r>
              <w:rPr>
                <w:rFonts w:hint="eastAsia"/>
                <w:sz w:val="24"/>
                <w:u w:val="single"/>
                <w:highlight w:val="none"/>
              </w:rPr>
              <w:t>脱水后</w:t>
            </w:r>
            <w:r>
              <w:rPr>
                <w:rFonts w:hint="eastAsia"/>
                <w:bCs/>
                <w:color w:val="auto"/>
                <w:sz w:val="24"/>
                <w:u w:val="single"/>
                <w:highlight w:val="none"/>
              </w:rPr>
              <w:t>外运至</w:t>
            </w:r>
            <w:r>
              <w:rPr>
                <w:rFonts w:hint="eastAsia"/>
                <w:bCs/>
                <w:color w:val="auto"/>
                <w:sz w:val="24"/>
                <w:u w:val="single"/>
                <w:lang w:val="en-US" w:eastAsia="zh-CN"/>
                <w:highlight w:val="none"/>
              </w:rPr>
              <w:t>周边环保砖厂综合利用</w:t>
            </w:r>
            <w:r>
              <w:rPr>
                <w:sz w:val="24"/>
                <w:u w:val="single"/>
                <w:highlight w:val="none"/>
              </w:rPr>
              <w:t>。</w:t>
            </w:r>
          </w:p>
          <w:p>
            <w:pPr>
              <w:pStyle w:val="76"/>
              <w:adjustRightInd/>
              <w:spacing w:line="360" w:lineRule="auto"/>
              <w:ind w:firstLineChars="200" w:firstLine="480"/>
              <w:jc w:val="both"/>
              <w:rPr>
                <w:rFonts w:ascii="Times New Roman" w:hAnsi="Times New Roman"/>
                <w:highlight w:val="none"/>
              </w:rPr>
            </w:pPr>
            <w:r>
              <w:rPr>
                <w:rFonts w:ascii="Times New Roman" w:hAnsi="Times New Roman"/>
                <w:highlight w:val="none"/>
              </w:rPr>
              <w:t>（</w:t>
            </w:r>
            <w:r>
              <w:rPr>
                <w:rFonts w:ascii="Times New Roman" w:hAnsi="Times New Roman" w:hint="eastAsia"/>
                <w:highlight w:val="none"/>
              </w:rPr>
              <w:t>2</w:t>
            </w:r>
            <w:r>
              <w:rPr>
                <w:rFonts w:ascii="Times New Roman" w:hAnsi="Times New Roman"/>
                <w:highlight w:val="none"/>
              </w:rPr>
              <w:t>）危险废物</w:t>
            </w:r>
          </w:p>
          <w:p>
            <w:pPr>
              <w:pStyle w:val="76"/>
              <w:adjustRightInd/>
              <w:spacing w:line="360" w:lineRule="auto"/>
              <w:ind w:firstLineChars="200" w:firstLine="480"/>
              <w:jc w:val="both"/>
              <w:rPr>
                <w:rFonts w:ascii="Times New Roman" w:hAnsi="Times New Roman"/>
                <w:highlight w:val="none"/>
              </w:rPr>
            </w:pPr>
            <w:r>
              <w:rPr>
                <w:rFonts w:cs="宋体" w:hAnsi="宋体" w:hint="eastAsia"/>
                <w:highlight w:val="none"/>
              </w:rPr>
              <w:t>①</w:t>
            </w:r>
            <w:r>
              <w:rPr>
                <w:rFonts w:ascii="Times New Roman" w:hAnsi="Times New Roman"/>
                <w:highlight w:val="none"/>
              </w:rPr>
              <w:t>废</w:t>
            </w:r>
            <w:r>
              <w:rPr>
                <w:rFonts w:ascii="Times New Roman" w:hAnsi="Times New Roman" w:hint="eastAsia"/>
                <w:highlight w:val="none"/>
              </w:rPr>
              <w:t>润滑</w:t>
            </w:r>
            <w:r>
              <w:rPr>
                <w:rFonts w:ascii="Times New Roman" w:hAnsi="Times New Roman"/>
                <w:highlight w:val="none"/>
              </w:rPr>
              <w:t>油</w:t>
            </w:r>
          </w:p>
          <w:p>
            <w:pPr>
              <w:pStyle w:val="76"/>
              <w:adjustRightInd/>
              <w:spacing w:line="360" w:lineRule="auto"/>
              <w:ind w:firstLineChars="200" w:firstLine="496"/>
              <w:jc w:val="both"/>
              <w:rPr>
                <w:rFonts w:ascii="Times New Roman" w:hAnsi="Times New Roman"/>
                <w:highlight w:val="none"/>
              </w:rPr>
            </w:pPr>
            <w:r>
              <w:rPr>
                <w:rFonts w:ascii="Times New Roman" w:hAnsi="Times New Roman"/>
                <w:color w:val="auto"/>
                <w:spacing w:val="4"/>
                <w:szCs w:val="21"/>
                <w:highlight w:val="none"/>
              </w:rPr>
              <w:t>本项目生产过程中需对设备进行维修保养，此过程中会产生废润滑油，产生的废润滑油约0.</w:t>
            </w:r>
            <w:r>
              <w:rPr>
                <w:rFonts w:ascii="Times New Roman" w:hAnsi="Times New Roman" w:hint="eastAsia"/>
                <w:color w:val="auto"/>
                <w:spacing w:val="4"/>
                <w:szCs w:val="21"/>
                <w:highlight w:val="none"/>
              </w:rPr>
              <w:t>02</w:t>
            </w:r>
            <w:r>
              <w:rPr>
                <w:rFonts w:ascii="Times New Roman" w:hAnsi="Times New Roman"/>
                <w:color w:val="auto"/>
                <w:spacing w:val="4"/>
                <w:szCs w:val="21"/>
                <w:highlight w:val="none"/>
              </w:rPr>
              <w:t>t/a</w:t>
            </w:r>
            <w:r>
              <w:rPr>
                <w:rFonts w:ascii="Times New Roman" w:hAnsi="Times New Roman"/>
                <w:highlight w:val="none"/>
              </w:rPr>
              <w:t>。废</w:t>
            </w:r>
            <w:r>
              <w:rPr>
                <w:rFonts w:ascii="Times New Roman" w:hAnsi="Times New Roman" w:hint="eastAsia"/>
                <w:highlight w:val="none"/>
              </w:rPr>
              <w:t>润滑油</w:t>
            </w:r>
            <w:r>
              <w:rPr>
                <w:rFonts w:ascii="Times New Roman" w:hAnsi="Times New Roman"/>
                <w:highlight w:val="none"/>
              </w:rPr>
              <w:t>属于《国家危险废物名录》（202</w:t>
            </w:r>
            <w:r>
              <w:rPr>
                <w:rFonts w:ascii="Times New Roman" w:hAnsi="Times New Roman" w:hint="eastAsia"/>
                <w:lang w:val="en-US" w:eastAsia="zh-CN"/>
                <w:highlight w:val="none"/>
              </w:rPr>
              <w:t>5</w:t>
            </w:r>
            <w:r>
              <w:rPr>
                <w:rFonts w:ascii="Times New Roman" w:hAnsi="Times New Roman"/>
                <w:highlight w:val="none"/>
              </w:rPr>
              <w:t>年版）：编号为HW08 废矿物油与含矿物油废物，废物代码为900-249-08的危险废物，经收集后交有危废处理资质单位处理。</w:t>
            </w:r>
          </w:p>
          <w:p>
            <w:pPr>
              <w:pStyle w:val="76"/>
              <w:adjustRightInd/>
              <w:spacing w:line="360" w:lineRule="auto"/>
              <w:ind w:firstLineChars="200" w:firstLine="480"/>
              <w:jc w:val="both"/>
              <w:rPr>
                <w:rFonts w:ascii="Times New Roman" w:hAnsi="Times New Roman"/>
                <w:highlight w:val="none"/>
              </w:rPr>
            </w:pPr>
            <w:r>
              <w:rPr>
                <w:rFonts w:cs="宋体" w:hAnsi="宋体" w:hint="eastAsia"/>
                <w:highlight w:val="none"/>
              </w:rPr>
              <w:t>②</w:t>
            </w:r>
            <w:r>
              <w:rPr>
                <w:rFonts w:ascii="Times New Roman" w:hAnsi="Times New Roman" w:hint="eastAsia"/>
                <w:highlight w:val="none"/>
              </w:rPr>
              <w:t>废含油抹布</w:t>
            </w:r>
          </w:p>
          <w:p>
            <w:pPr>
              <w:pStyle w:val="61"/>
              <w:rPr>
                <w:highlight w:val="none"/>
              </w:rPr>
            </w:pPr>
            <w:r>
              <w:rPr>
                <w:rFonts w:ascii="Times New Roman" w:hAnsi="Times New Roman" w:hint="eastAsia"/>
                <w:highlight w:val="none"/>
              </w:rPr>
              <w:t>项目设备日常维护中产生的废含油抹布</w:t>
            </w:r>
            <w:r>
              <w:rPr>
                <w:rFonts w:ascii="Times New Roman" w:hAnsi="Times New Roman"/>
                <w:highlight w:val="none"/>
              </w:rPr>
              <w:t>，</w:t>
            </w:r>
            <w:r>
              <w:rPr>
                <w:rFonts w:ascii="Times New Roman" w:hAnsi="Times New Roman" w:hint="eastAsia"/>
                <w:highlight w:val="none"/>
              </w:rPr>
              <w:t>废含油抹布</w:t>
            </w:r>
            <w:r>
              <w:rPr>
                <w:rFonts w:ascii="Times New Roman" w:hAnsi="Times New Roman"/>
                <w:highlight w:val="none"/>
              </w:rPr>
              <w:t>产生量为0.01t/年。根据《国家危险废物名录》（202</w:t>
            </w:r>
            <w:r>
              <w:rPr>
                <w:rFonts w:ascii="Times New Roman" w:hAnsi="Times New Roman" w:hint="eastAsia"/>
                <w:lang w:val="en-US" w:eastAsia="zh-CN"/>
                <w:highlight w:val="none"/>
              </w:rPr>
              <w:t>5</w:t>
            </w:r>
            <w:r>
              <w:rPr>
                <w:rFonts w:ascii="Times New Roman" w:hAnsi="Times New Roman"/>
                <w:highlight w:val="none"/>
              </w:rPr>
              <w:t>年版），属于HW49其他废物，废物代码为900-041-49的危险废物，妥善收集后交有危废处理资质单位处理。</w:t>
            </w:r>
          </w:p>
          <w:p>
            <w:pPr>
              <w:pStyle w:val="76"/>
              <w:adjustRightInd/>
              <w:spacing w:line="360" w:lineRule="auto"/>
              <w:ind w:firstLineChars="200" w:firstLine="480"/>
              <w:jc w:val="both"/>
              <w:rPr>
                <w:rFonts w:ascii="Times New Roman" w:hAnsi="Times New Roman"/>
                <w:highlight w:val="none"/>
              </w:rPr>
            </w:pPr>
            <w:r>
              <w:rPr>
                <w:rFonts w:cs="宋体" w:hAnsi="宋体" w:hint="eastAsia"/>
                <w:highlight w:val="none"/>
              </w:rPr>
              <w:t>③</w:t>
            </w:r>
            <w:r>
              <w:rPr>
                <w:rFonts w:ascii="Times New Roman" w:hAnsi="Times New Roman" w:hint="eastAsia"/>
                <w:highlight w:val="none"/>
              </w:rPr>
              <w:t>废润滑油桶</w:t>
            </w:r>
          </w:p>
          <w:p>
            <w:pPr>
              <w:pStyle w:val="61"/>
              <w:rPr>
                <w:highlight w:val="none"/>
              </w:rPr>
            </w:pPr>
            <w:r>
              <w:rPr>
                <w:rFonts w:ascii="Times New Roman" w:hAnsi="Times New Roman" w:hint="eastAsia"/>
                <w:highlight w:val="none"/>
              </w:rPr>
              <w:t>项目设备日常维护中产生的废润滑油桶</w:t>
            </w:r>
            <w:r>
              <w:rPr>
                <w:rFonts w:ascii="Times New Roman" w:hAnsi="Times New Roman"/>
                <w:highlight w:val="none"/>
              </w:rPr>
              <w:t>，</w:t>
            </w:r>
            <w:r>
              <w:rPr>
                <w:rFonts w:ascii="Times New Roman" w:hAnsi="Times New Roman" w:hint="eastAsia"/>
                <w:highlight w:val="none"/>
              </w:rPr>
              <w:t>废润滑油桶</w:t>
            </w:r>
            <w:r>
              <w:rPr>
                <w:rFonts w:ascii="Times New Roman" w:hAnsi="Times New Roman"/>
                <w:highlight w:val="none"/>
              </w:rPr>
              <w:t>产生量为0.01t/年。根据《国家危险废物名录》（202</w:t>
            </w:r>
            <w:r>
              <w:rPr>
                <w:rFonts w:ascii="Times New Roman" w:hAnsi="Times New Roman" w:hint="eastAsia"/>
                <w:lang w:val="en-US" w:eastAsia="zh-CN"/>
                <w:highlight w:val="none"/>
              </w:rPr>
              <w:t>5</w:t>
            </w:r>
            <w:r>
              <w:rPr>
                <w:rFonts w:ascii="Times New Roman" w:hAnsi="Times New Roman"/>
                <w:highlight w:val="none"/>
              </w:rPr>
              <w:t>年版），属于HW49其他废物，废物代码为900-041-49的危险废物，妥善收集后交有危废处理资质单位处理。</w:t>
            </w:r>
          </w:p>
          <w:p>
            <w:pPr>
              <w:pStyle w:val="61"/>
              <w:rPr>
                <w:rFonts w:ascii="Times New Roman" w:eastAsia="宋体" w:cs="Times New Roman" w:hAnsi="Times New Roman"/>
                <w:lang w:val="en-US" w:eastAsia="zh-CN"/>
                <w:highlight w:val="none"/>
              </w:rPr>
            </w:pPr>
            <w:r>
              <w:rPr>
                <w:rFonts w:ascii="Times New Roman" w:cs="Times New Roman" w:hAnsi="Times New Roman"/>
                <w:lang w:eastAsia="zh-CN"/>
                <w:highlight w:val="none"/>
              </w:rPr>
              <w:t>（</w:t>
            </w:r>
            <w:r>
              <w:rPr>
                <w:rFonts w:ascii="Times New Roman" w:cs="Times New Roman" w:hAnsi="Times New Roman"/>
                <w:lang w:val="en-US" w:eastAsia="zh-CN"/>
                <w:highlight w:val="none"/>
              </w:rPr>
              <w:t>3</w:t>
            </w:r>
            <w:r>
              <w:rPr>
                <w:rFonts w:ascii="Times New Roman" w:cs="Times New Roman" w:hAnsi="Times New Roman"/>
                <w:lang w:eastAsia="zh-CN"/>
                <w:highlight w:val="none"/>
              </w:rPr>
              <w:t>）</w:t>
            </w:r>
            <w:r>
              <w:rPr>
                <w:rFonts w:ascii="Times New Roman" w:cs="Times New Roman" w:hAnsi="Times New Roman"/>
                <w:lang w:val="en-US" w:eastAsia="zh-CN"/>
                <w:highlight w:val="none"/>
              </w:rPr>
              <w:t>生活垃圾</w:t>
            </w:r>
          </w:p>
          <w:p>
            <w:pPr>
              <w:pStyle w:val="61"/>
              <w:rPr>
                <w:rFonts w:ascii="Times New Roman" w:cs="Times New Roman" w:hAnsi="Times New Roman"/>
                <w:highlight w:val="none"/>
              </w:rPr>
            </w:pPr>
            <w:r>
              <w:rPr>
                <w:rFonts w:ascii="Times New Roman" w:cs="Times New Roman" w:hAnsi="Times New Roman"/>
                <w:bCs/>
                <w:color w:val="auto"/>
                <w:sz w:val="24"/>
                <w:lang w:val="en-US" w:eastAsia="zh-CN"/>
                <w:highlight w:val="none"/>
              </w:rPr>
              <w:t>水厂劳动定员</w:t>
            </w:r>
            <w:r>
              <w:rPr>
                <w:rFonts w:ascii="Times New Roman" w:cs="Times New Roman" w:hAnsi="Times New Roman" w:hint="eastAsia"/>
                <w:bCs/>
                <w:color w:val="auto"/>
                <w:sz w:val="24"/>
                <w:lang w:val="en-US" w:eastAsia="zh-CN"/>
                <w:highlight w:val="none"/>
              </w:rPr>
              <w:t>15</w:t>
            </w:r>
            <w:r>
              <w:rPr>
                <w:rFonts w:ascii="Times New Roman" w:cs="Times New Roman" w:hAnsi="Times New Roman"/>
                <w:bCs/>
                <w:color w:val="auto"/>
                <w:sz w:val="24"/>
                <w:highlight w:val="none"/>
              </w:rPr>
              <w:t>人，产生量按每人0.5kg/d，则生活垃圾产生量为</w:t>
            </w:r>
            <w:r>
              <w:rPr>
                <w:rFonts w:ascii="Times New Roman" w:cs="Times New Roman" w:hAnsi="Times New Roman" w:hint="eastAsia"/>
                <w:bCs/>
                <w:color w:val="auto"/>
                <w:sz w:val="24"/>
                <w:lang w:val="en-US" w:eastAsia="zh-CN"/>
                <w:highlight w:val="none"/>
              </w:rPr>
              <w:t>2.74</w:t>
            </w:r>
            <w:r>
              <w:rPr>
                <w:rFonts w:ascii="Times New Roman" w:cs="Times New Roman" w:hAnsi="Times New Roman"/>
                <w:bCs/>
                <w:color w:val="auto"/>
                <w:sz w:val="24"/>
                <w:highlight w:val="none"/>
              </w:rPr>
              <w:t>t/a。由环卫部门统一清运处理。</w:t>
            </w:r>
          </w:p>
          <w:p>
            <w:pPr>
              <w:pStyle w:val="61"/>
              <w:rPr>
                <w:color w:val="FF0000"/>
                <w:highlight w:val="none"/>
              </w:rPr>
            </w:pPr>
            <w:r>
              <w:rPr>
                <w:highlight w:val="none"/>
              </w:rPr>
              <w:t>本项目固体废弃物的处置见下表</w:t>
            </w:r>
            <w:r>
              <w:rPr>
                <w:rFonts w:ascii="Times New Roman" w:hAnsi="Times New Roman"/>
                <w:bCs/>
                <w:highlight w:val="none"/>
              </w:rPr>
              <w:t>4-</w:t>
            </w:r>
            <w:r>
              <w:rPr>
                <w:rFonts w:ascii="Times New Roman" w:hAnsi="Times New Roman" w:hint="eastAsia"/>
                <w:bCs/>
                <w:highlight w:val="none"/>
              </w:rPr>
              <w:t>9</w:t>
            </w:r>
            <w:r>
              <w:rPr>
                <w:rFonts w:ascii="Times New Roman" w:hAnsi="Times New Roman"/>
                <w:highlight w:val="none"/>
              </w:rPr>
              <w:t>。</w:t>
            </w:r>
          </w:p>
          <w:p>
            <w:pPr>
              <w:jc w:val="center"/>
              <w:rPr>
                <w:b/>
                <w:szCs w:val="21"/>
                <w:highlight w:val="none"/>
              </w:rPr>
            </w:pPr>
            <w:r>
              <w:rPr>
                <w:b/>
                <w:szCs w:val="21"/>
                <w:highlight w:val="none"/>
              </w:rPr>
              <w:t>表4-</w:t>
            </w:r>
            <w:r>
              <w:rPr>
                <w:rFonts w:hint="eastAsia"/>
                <w:b/>
                <w:szCs w:val="21"/>
                <w:highlight w:val="none"/>
              </w:rPr>
              <w:t>9</w:t>
            </w:r>
            <w:r>
              <w:rPr>
                <w:b/>
                <w:szCs w:val="21"/>
                <w:highlight w:val="none"/>
              </w:rPr>
              <w:t xml:space="preserve">  项目固废分类及处置情况一览表</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57" w:type="dxa"/>
                <w:left w:w="28" w:type="dxa"/>
                <w:bottom w:w="57" w:type="dxa"/>
                <w:right w:w="28" w:type="dxa"/>
              </w:tblCellMar>
              <w:tblLook w:val="0600" w:firstRow="0" w:lastRow="0" w:firstColumn="0" w:lastColumn="0" w:noHBand="1" w:noVBand="1"/>
            </w:tblPr>
            <w:tblGrid>
              <w:gridCol w:w="854"/>
              <w:gridCol w:w="771"/>
              <w:gridCol w:w="908"/>
              <w:gridCol w:w="1273"/>
              <w:gridCol w:w="600"/>
              <w:gridCol w:w="600"/>
              <w:gridCol w:w="897"/>
              <w:gridCol w:w="879"/>
              <w:gridCol w:w="1354"/>
            </w:tblGrid>
            <w:tr>
              <w:trPr>
                <w:trHeight w:val="340"/>
              </w:trPr>
              <w:tc>
                <w:tcPr>
                  <w:tcW w:w="525" w:type="pct"/>
                  <w:tcBorders>
                    <w:tl2br w:val="nil"/>
                    <w:tr2bl w:val="nil"/>
                  </w:tcBorders>
                  <w:vAlign w:val="center"/>
                </w:tcPr>
                <w:p>
                  <w:pPr>
                    <w:spacing w:line="240" w:lineRule="atLeast"/>
                    <w:jc w:val="center"/>
                    <w:rPr>
                      <w:b/>
                      <w:snapToGrid w:val="0"/>
                      <w:szCs w:val="21"/>
                      <w:highlight w:val="none"/>
                    </w:rPr>
                  </w:pPr>
                  <w:r>
                    <w:rPr>
                      <w:b/>
                      <w:snapToGrid w:val="0"/>
                      <w:szCs w:val="21"/>
                      <w:highlight w:val="none"/>
                    </w:rPr>
                    <w:t>固体废物名称</w:t>
                  </w:r>
                </w:p>
              </w:tc>
              <w:tc>
                <w:tcPr>
                  <w:tcW w:w="474" w:type="pct"/>
                  <w:tcBorders>
                    <w:tl2br w:val="nil"/>
                    <w:tr2bl w:val="nil"/>
                  </w:tcBorders>
                  <w:vAlign w:val="center"/>
                </w:tcPr>
                <w:p>
                  <w:pPr>
                    <w:spacing w:line="240" w:lineRule="atLeast"/>
                    <w:jc w:val="center"/>
                    <w:rPr>
                      <w:b/>
                      <w:snapToGrid w:val="0"/>
                      <w:szCs w:val="21"/>
                      <w:highlight w:val="none"/>
                    </w:rPr>
                  </w:pPr>
                  <w:r>
                    <w:rPr>
                      <w:b/>
                      <w:snapToGrid w:val="0"/>
                      <w:szCs w:val="21"/>
                      <w:highlight w:val="none"/>
                    </w:rPr>
                    <w:t>属性</w:t>
                  </w:r>
                </w:p>
              </w:tc>
              <w:tc>
                <w:tcPr>
                  <w:tcW w:w="558" w:type="pct"/>
                  <w:tcBorders>
                    <w:tl2br w:val="nil"/>
                    <w:tr2bl w:val="nil"/>
                  </w:tcBorders>
                  <w:vAlign w:val="center"/>
                </w:tcPr>
                <w:p>
                  <w:pPr>
                    <w:spacing w:line="240" w:lineRule="atLeast"/>
                    <w:jc w:val="center"/>
                    <w:rPr>
                      <w:b/>
                      <w:snapToGrid w:val="0"/>
                      <w:szCs w:val="21"/>
                      <w:highlight w:val="none"/>
                    </w:rPr>
                  </w:pPr>
                  <w:r>
                    <w:rPr>
                      <w:b/>
                      <w:snapToGrid w:val="0"/>
                      <w:szCs w:val="21"/>
                      <w:highlight w:val="none"/>
                    </w:rPr>
                    <w:t>废物</w:t>
                  </w:r>
                  <w:r>
                    <w:rPr>
                      <w:rFonts w:hint="eastAsia"/>
                      <w:b/>
                      <w:snapToGrid w:val="0"/>
                      <w:szCs w:val="21"/>
                      <w:highlight w:val="none"/>
                    </w:rPr>
                    <w:t>种</w:t>
                  </w:r>
                  <w:r>
                    <w:rPr>
                      <w:b/>
                      <w:snapToGrid w:val="0"/>
                      <w:szCs w:val="21"/>
                      <w:highlight w:val="none"/>
                    </w:rPr>
                    <w:t>类</w:t>
                  </w:r>
                </w:p>
              </w:tc>
              <w:tc>
                <w:tcPr>
                  <w:tcW w:w="782" w:type="pct"/>
                  <w:tcBorders>
                    <w:tl2br w:val="nil"/>
                    <w:tr2bl w:val="nil"/>
                  </w:tcBorders>
                  <w:vAlign w:val="center"/>
                </w:tcPr>
                <w:p>
                  <w:pPr>
                    <w:spacing w:line="240" w:lineRule="atLeast"/>
                    <w:jc w:val="center"/>
                    <w:rPr>
                      <w:b/>
                      <w:snapToGrid w:val="0"/>
                      <w:szCs w:val="21"/>
                      <w:highlight w:val="none"/>
                    </w:rPr>
                  </w:pPr>
                  <w:r>
                    <w:rPr>
                      <w:b/>
                      <w:snapToGrid w:val="0"/>
                      <w:szCs w:val="21"/>
                      <w:highlight w:val="none"/>
                    </w:rPr>
                    <w:t>废物代码</w:t>
                  </w:r>
                </w:p>
              </w:tc>
              <w:tc>
                <w:tcPr>
                  <w:tcW w:w="369" w:type="pct"/>
                  <w:tcBorders>
                    <w:tl2br w:val="nil"/>
                    <w:tr2bl w:val="nil"/>
                  </w:tcBorders>
                  <w:vAlign w:val="center"/>
                </w:tcPr>
                <w:p>
                  <w:pPr>
                    <w:spacing w:line="240" w:lineRule="atLeast"/>
                    <w:jc w:val="center"/>
                    <w:rPr>
                      <w:b/>
                      <w:snapToGrid w:val="0"/>
                      <w:szCs w:val="21"/>
                      <w:highlight w:val="none"/>
                    </w:rPr>
                  </w:pPr>
                  <w:r>
                    <w:rPr>
                      <w:b/>
                      <w:snapToGrid w:val="0"/>
                      <w:szCs w:val="21"/>
                      <w:highlight w:val="none"/>
                    </w:rPr>
                    <w:t>物理性状</w:t>
                  </w:r>
                </w:p>
              </w:tc>
              <w:tc>
                <w:tcPr>
                  <w:tcW w:w="369" w:type="pct"/>
                  <w:tcBorders>
                    <w:tl2br w:val="nil"/>
                    <w:tr2bl w:val="nil"/>
                  </w:tcBorders>
                  <w:vAlign w:val="center"/>
                </w:tcPr>
                <w:p>
                  <w:pPr>
                    <w:spacing w:line="240" w:lineRule="atLeast"/>
                    <w:jc w:val="center"/>
                    <w:rPr>
                      <w:b/>
                      <w:snapToGrid w:val="0"/>
                      <w:szCs w:val="21"/>
                      <w:highlight w:val="none"/>
                    </w:rPr>
                  </w:pPr>
                  <w:r>
                    <w:rPr>
                      <w:b/>
                      <w:snapToGrid w:val="0"/>
                      <w:szCs w:val="21"/>
                      <w:highlight w:val="none"/>
                    </w:rPr>
                    <w:t>贮存方式</w:t>
                  </w:r>
                </w:p>
              </w:tc>
              <w:tc>
                <w:tcPr>
                  <w:tcW w:w="551" w:type="pct"/>
                  <w:tcBorders>
                    <w:tl2br w:val="nil"/>
                    <w:tr2bl w:val="nil"/>
                  </w:tcBorders>
                  <w:vAlign w:val="center"/>
                </w:tcPr>
                <w:p>
                  <w:pPr>
                    <w:spacing w:line="240" w:lineRule="atLeast"/>
                    <w:jc w:val="center"/>
                    <w:rPr>
                      <w:b/>
                      <w:snapToGrid w:val="0"/>
                      <w:szCs w:val="21"/>
                      <w:highlight w:val="none"/>
                    </w:rPr>
                  </w:pPr>
                  <w:r>
                    <w:rPr>
                      <w:b/>
                      <w:snapToGrid w:val="0"/>
                      <w:szCs w:val="21"/>
                      <w:highlight w:val="none"/>
                    </w:rPr>
                    <w:t>产生量</w:t>
                  </w:r>
                </w:p>
                <w:p>
                  <w:pPr>
                    <w:spacing w:line="240" w:lineRule="atLeast"/>
                    <w:jc w:val="center"/>
                    <w:rPr>
                      <w:b/>
                      <w:snapToGrid w:val="0"/>
                      <w:szCs w:val="21"/>
                      <w:highlight w:val="none"/>
                    </w:rPr>
                  </w:pPr>
                  <w:r>
                    <w:rPr>
                      <w:b/>
                      <w:snapToGrid w:val="0"/>
                      <w:szCs w:val="21"/>
                      <w:highlight w:val="none"/>
                    </w:rPr>
                    <w:t>t/a</w:t>
                  </w:r>
                </w:p>
              </w:tc>
              <w:tc>
                <w:tcPr>
                  <w:tcW w:w="540" w:type="pct"/>
                  <w:tcBorders>
                    <w:tl2br w:val="nil"/>
                    <w:tr2bl w:val="nil"/>
                  </w:tcBorders>
                  <w:vAlign w:val="center"/>
                </w:tcPr>
                <w:p>
                  <w:pPr>
                    <w:spacing w:line="240" w:lineRule="atLeast"/>
                    <w:jc w:val="center"/>
                    <w:rPr>
                      <w:b/>
                      <w:snapToGrid w:val="0"/>
                      <w:szCs w:val="21"/>
                      <w:highlight w:val="none"/>
                    </w:rPr>
                  </w:pPr>
                  <w:r>
                    <w:rPr>
                      <w:b/>
                      <w:snapToGrid w:val="0"/>
                      <w:szCs w:val="21"/>
                      <w:highlight w:val="none"/>
                    </w:rPr>
                    <w:t>处置量t/a</w:t>
                  </w:r>
                </w:p>
              </w:tc>
              <w:tc>
                <w:tcPr>
                  <w:tcW w:w="832" w:type="pct"/>
                  <w:tcBorders>
                    <w:tl2br w:val="nil"/>
                    <w:tr2bl w:val="nil"/>
                  </w:tcBorders>
                  <w:vAlign w:val="center"/>
                </w:tcPr>
                <w:p>
                  <w:pPr>
                    <w:spacing w:line="240" w:lineRule="atLeast"/>
                    <w:jc w:val="center"/>
                    <w:rPr>
                      <w:b/>
                      <w:snapToGrid w:val="0"/>
                      <w:szCs w:val="21"/>
                      <w:highlight w:val="none"/>
                    </w:rPr>
                  </w:pPr>
                  <w:r>
                    <w:rPr>
                      <w:b/>
                      <w:snapToGrid w:val="0"/>
                      <w:szCs w:val="21"/>
                      <w:highlight w:val="none"/>
                    </w:rPr>
                    <w:t>去向</w:t>
                  </w:r>
                </w:p>
              </w:tc>
            </w:tr>
            <w:tr>
              <w:trPr>
                <w:trHeight w:val="340"/>
              </w:trPr>
              <w:tc>
                <w:tcPr>
                  <w:tcW w:w="525" w:type="pct"/>
                  <w:tcBorders>
                    <w:tl2br w:val="nil"/>
                    <w:tr2bl w:val="nil"/>
                  </w:tcBorders>
                  <w:vAlign w:val="center"/>
                </w:tcPr>
                <w:p>
                  <w:pPr>
                    <w:spacing w:line="240" w:lineRule="atLeast"/>
                    <w:jc w:val="center"/>
                    <w:rPr>
                      <w:snapToGrid w:val="0"/>
                      <w:szCs w:val="21"/>
                      <w:highlight w:val="none"/>
                    </w:rPr>
                  </w:pPr>
                  <w:r>
                    <w:rPr>
                      <w:rFonts w:hint="eastAsia"/>
                      <w:szCs w:val="21"/>
                      <w:highlight w:val="none"/>
                    </w:rPr>
                    <w:t>沉淀池污泥</w:t>
                  </w:r>
                </w:p>
              </w:tc>
              <w:tc>
                <w:tcPr>
                  <w:tcW w:w="474" w:type="pct"/>
                  <w:tcBorders>
                    <w:tl2br w:val="nil"/>
                    <w:tr2bl w:val="nil"/>
                  </w:tcBorders>
                  <w:vAlign w:val="center"/>
                </w:tcPr>
                <w:p>
                  <w:pPr>
                    <w:spacing w:line="240" w:lineRule="atLeast"/>
                    <w:jc w:val="center"/>
                    <w:rPr>
                      <w:snapToGrid w:val="0"/>
                      <w:szCs w:val="21"/>
                      <w:highlight w:val="none"/>
                    </w:rPr>
                  </w:pPr>
                  <w:r>
                    <w:rPr>
                      <w:rFonts w:hint="eastAsia"/>
                      <w:snapToGrid w:val="0"/>
                      <w:szCs w:val="21"/>
                      <w:highlight w:val="none"/>
                    </w:rPr>
                    <w:t>一般固废</w:t>
                  </w:r>
                </w:p>
              </w:tc>
              <w:tc>
                <w:tcPr>
                  <w:tcW w:w="558" w:type="pct"/>
                  <w:tcBorders>
                    <w:tl2br w:val="nil"/>
                    <w:tr2bl w:val="nil"/>
                  </w:tcBorders>
                  <w:vAlign w:val="center"/>
                </w:tcPr>
                <w:p>
                  <w:pPr>
                    <w:spacing w:line="240" w:lineRule="atLeast"/>
                    <w:jc w:val="center"/>
                    <w:rPr>
                      <w:snapToGrid w:val="0"/>
                      <w:szCs w:val="21"/>
                      <w:highlight w:val="none"/>
                    </w:rPr>
                  </w:pPr>
                  <w:r>
                    <w:rPr>
                      <w:szCs w:val="21"/>
                      <w:highlight w:val="none"/>
                    </w:rPr>
                    <w:t>SW90</w:t>
                  </w:r>
                </w:p>
              </w:tc>
              <w:tc>
                <w:tcPr>
                  <w:tcW w:w="782" w:type="pct"/>
                  <w:tcBorders>
                    <w:tl2br w:val="nil"/>
                    <w:tr2bl w:val="nil"/>
                  </w:tcBorders>
                  <w:vAlign w:val="center"/>
                </w:tcPr>
                <w:p>
                  <w:pPr>
                    <w:spacing w:line="240" w:lineRule="atLeast"/>
                    <w:jc w:val="center"/>
                    <w:rPr>
                      <w:snapToGrid w:val="0"/>
                      <w:szCs w:val="21"/>
                      <w:highlight w:val="none"/>
                    </w:rPr>
                  </w:pPr>
                  <w:r>
                    <w:rPr>
                      <w:szCs w:val="21"/>
                      <w:highlight w:val="none"/>
                    </w:rPr>
                    <w:t>461-001-S90</w:t>
                  </w:r>
                </w:p>
              </w:tc>
              <w:tc>
                <w:tcPr>
                  <w:tcW w:w="369" w:type="pct"/>
                  <w:tcBorders>
                    <w:tl2br w:val="nil"/>
                    <w:tr2bl w:val="nil"/>
                  </w:tcBorders>
                  <w:vAlign w:val="center"/>
                </w:tcPr>
                <w:p>
                  <w:pPr>
                    <w:spacing w:line="240" w:lineRule="atLeast"/>
                    <w:jc w:val="center"/>
                    <w:rPr>
                      <w:snapToGrid w:val="0"/>
                      <w:szCs w:val="21"/>
                      <w:highlight w:val="none"/>
                    </w:rPr>
                  </w:pPr>
                  <w:r>
                    <w:rPr>
                      <w:snapToGrid w:val="0"/>
                      <w:szCs w:val="21"/>
                      <w:highlight w:val="none"/>
                    </w:rPr>
                    <w:t>固态</w:t>
                  </w:r>
                </w:p>
              </w:tc>
              <w:tc>
                <w:tcPr>
                  <w:tcW w:w="369" w:type="pct"/>
                  <w:tcBorders>
                    <w:tl2br w:val="nil"/>
                    <w:tr2bl w:val="nil"/>
                  </w:tcBorders>
                  <w:vAlign w:val="center"/>
                </w:tcPr>
                <w:p>
                  <w:pPr>
                    <w:spacing w:line="240" w:lineRule="atLeast"/>
                    <w:jc w:val="center"/>
                    <w:rPr>
                      <w:snapToGrid w:val="0"/>
                      <w:szCs w:val="21"/>
                      <w:highlight w:val="none"/>
                    </w:rPr>
                  </w:pPr>
                  <w:r>
                    <w:rPr>
                      <w:snapToGrid w:val="0"/>
                      <w:szCs w:val="21"/>
                      <w:highlight w:val="none"/>
                    </w:rPr>
                    <w:t>堆存</w:t>
                  </w:r>
                </w:p>
              </w:tc>
              <w:tc>
                <w:tcPr>
                  <w:tcW w:w="551" w:type="pct"/>
                  <w:tcBorders>
                    <w:tl2br w:val="nil"/>
                    <w:tr2bl w:val="nil"/>
                  </w:tcBorders>
                  <w:vAlign w:val="center"/>
                </w:tcPr>
                <w:p>
                  <w:pPr>
                    <w:spacing w:line="240" w:lineRule="atLeast"/>
                    <w:jc w:val="center"/>
                    <w:rPr>
                      <w:rFonts w:eastAsia="宋体"/>
                      <w:snapToGrid w:val="0"/>
                      <w:szCs w:val="21"/>
                      <w:lang w:val="en-US" w:eastAsia="zh-CN"/>
                      <w:highlight w:val="none"/>
                    </w:rPr>
                  </w:pPr>
                  <w:r>
                    <w:rPr>
                      <w:rFonts w:hint="eastAsia"/>
                      <w:lang w:val="en-US" w:eastAsia="zh-CN"/>
                      <w:highlight w:val="none"/>
                    </w:rPr>
                    <w:t>657</w:t>
                  </w:r>
                </w:p>
              </w:tc>
              <w:tc>
                <w:tcPr>
                  <w:tcW w:w="540" w:type="pct"/>
                  <w:tcBorders>
                    <w:tl2br w:val="nil"/>
                    <w:tr2bl w:val="nil"/>
                  </w:tcBorders>
                  <w:vAlign w:val="center"/>
                </w:tcPr>
                <w:p>
                  <w:pPr>
                    <w:spacing w:line="240" w:lineRule="atLeast"/>
                    <w:jc w:val="center"/>
                    <w:rPr>
                      <w:rFonts w:eastAsia="宋体"/>
                      <w:snapToGrid w:val="0"/>
                      <w:szCs w:val="21"/>
                      <w:lang w:val="en-US" w:eastAsia="zh-CN"/>
                      <w:highlight w:val="none"/>
                    </w:rPr>
                  </w:pPr>
                  <w:r>
                    <w:rPr>
                      <w:rFonts w:hint="eastAsia"/>
                      <w:lang w:val="en-US" w:eastAsia="zh-CN"/>
                      <w:highlight w:val="none"/>
                    </w:rPr>
                    <w:t>657</w:t>
                  </w:r>
                </w:p>
              </w:tc>
              <w:tc>
                <w:tcPr>
                  <w:tcW w:w="832" w:type="pct"/>
                  <w:tcBorders>
                    <w:tl2br w:val="nil"/>
                    <w:tr2bl w:val="nil"/>
                  </w:tcBorders>
                  <w:vAlign w:val="center"/>
                </w:tcPr>
                <w:p>
                  <w:pPr>
                    <w:spacing w:line="240" w:lineRule="atLeast"/>
                    <w:jc w:val="center"/>
                    <w:rPr>
                      <w:szCs w:val="21"/>
                      <w:highlight w:val="none"/>
                    </w:rPr>
                  </w:pPr>
                  <w:r>
                    <w:rPr>
                      <w:rFonts w:hint="eastAsia"/>
                      <w:sz w:val="21"/>
                      <w:szCs w:val="21"/>
                      <w:u w:val="single"/>
                      <w:highlight w:val="none"/>
                    </w:rPr>
                    <w:t>脱水后</w:t>
                  </w:r>
                  <w:r>
                    <w:rPr>
                      <w:rFonts w:hint="eastAsia"/>
                      <w:bCs/>
                      <w:color w:val="auto"/>
                      <w:sz w:val="21"/>
                      <w:szCs w:val="21"/>
                      <w:u w:val="single"/>
                      <w:highlight w:val="none"/>
                    </w:rPr>
                    <w:t>外运至</w:t>
                  </w:r>
                  <w:r>
                    <w:rPr>
                      <w:rFonts w:hint="eastAsia"/>
                      <w:bCs/>
                      <w:color w:val="auto"/>
                      <w:sz w:val="21"/>
                      <w:szCs w:val="21"/>
                      <w:u w:val="single"/>
                      <w:lang w:val="en-US" w:eastAsia="zh-CN"/>
                      <w:highlight w:val="none"/>
                    </w:rPr>
                    <w:t>周边环保砖厂综合利用</w:t>
                  </w:r>
                </w:p>
              </w:tc>
            </w:tr>
            <w:tr>
              <w:trPr>
                <w:trHeight w:val="340"/>
              </w:trPr>
              <w:tc>
                <w:tcPr>
                  <w:tcW w:w="525" w:type="pct"/>
                  <w:tcBorders>
                    <w:tl2br w:val="nil"/>
                    <w:tr2bl w:val="nil"/>
                  </w:tcBorders>
                  <w:vAlign w:val="center"/>
                </w:tcPr>
                <w:p>
                  <w:pPr>
                    <w:spacing w:line="240" w:lineRule="atLeast"/>
                    <w:jc w:val="center"/>
                    <w:rPr>
                      <w:szCs w:val="21"/>
                      <w:highlight w:val="none"/>
                    </w:rPr>
                  </w:pPr>
                  <w:r>
                    <w:rPr>
                      <w:szCs w:val="21"/>
                      <w:highlight w:val="none"/>
                    </w:rPr>
                    <w:t>废</w:t>
                  </w:r>
                  <w:r>
                    <w:rPr>
                      <w:rFonts w:hint="eastAsia"/>
                      <w:szCs w:val="21"/>
                      <w:highlight w:val="none"/>
                    </w:rPr>
                    <w:t>润滑</w:t>
                  </w:r>
                  <w:r>
                    <w:rPr>
                      <w:szCs w:val="21"/>
                      <w:highlight w:val="none"/>
                    </w:rPr>
                    <w:t>油</w:t>
                  </w:r>
                </w:p>
              </w:tc>
              <w:tc>
                <w:tcPr>
                  <w:tcW w:w="474" w:type="pct"/>
                  <w:vMerge w:val="restart"/>
                  <w:tcBorders>
                    <w:tl2br w:val="nil"/>
                    <w:tr2bl w:val="nil"/>
                  </w:tcBorders>
                  <w:vAlign w:val="center"/>
                </w:tcPr>
                <w:p>
                  <w:pPr>
                    <w:spacing w:line="240" w:lineRule="atLeast"/>
                    <w:jc w:val="center"/>
                    <w:rPr>
                      <w:snapToGrid w:val="0"/>
                      <w:szCs w:val="21"/>
                      <w:highlight w:val="none"/>
                    </w:rPr>
                  </w:pPr>
                  <w:r>
                    <w:rPr>
                      <w:rFonts w:hint="eastAsia"/>
                      <w:snapToGrid w:val="0"/>
                      <w:szCs w:val="21"/>
                      <w:highlight w:val="none"/>
                    </w:rPr>
                    <w:t>危险废物</w:t>
                  </w:r>
                </w:p>
              </w:tc>
              <w:tc>
                <w:tcPr>
                  <w:tcW w:w="558" w:type="pct"/>
                  <w:tcBorders>
                    <w:tl2br w:val="nil"/>
                    <w:tr2bl w:val="nil"/>
                  </w:tcBorders>
                  <w:vAlign w:val="center"/>
                </w:tcPr>
                <w:p>
                  <w:pPr>
                    <w:spacing w:line="240" w:lineRule="atLeast"/>
                    <w:jc w:val="center"/>
                    <w:rPr>
                      <w:szCs w:val="21"/>
                      <w:highlight w:val="none"/>
                    </w:rPr>
                  </w:pPr>
                  <w:r>
                    <w:rPr>
                      <w:highlight w:val="none"/>
                    </w:rPr>
                    <w:t>HW08</w:t>
                  </w:r>
                </w:p>
              </w:tc>
              <w:tc>
                <w:tcPr>
                  <w:tcW w:w="782" w:type="pct"/>
                  <w:tcBorders>
                    <w:tl2br w:val="nil"/>
                    <w:tr2bl w:val="nil"/>
                  </w:tcBorders>
                  <w:vAlign w:val="center"/>
                </w:tcPr>
                <w:p>
                  <w:pPr>
                    <w:spacing w:line="240" w:lineRule="atLeast"/>
                    <w:jc w:val="center"/>
                    <w:rPr>
                      <w:szCs w:val="21"/>
                      <w:highlight w:val="none"/>
                    </w:rPr>
                  </w:pPr>
                  <w:r>
                    <w:rPr>
                      <w:highlight w:val="none"/>
                    </w:rPr>
                    <w:t>900-249-08</w:t>
                  </w:r>
                </w:p>
              </w:tc>
              <w:tc>
                <w:tcPr>
                  <w:tcW w:w="369" w:type="pct"/>
                  <w:tcBorders>
                    <w:tl2br w:val="nil"/>
                    <w:tr2bl w:val="nil"/>
                  </w:tcBorders>
                  <w:vAlign w:val="center"/>
                </w:tcPr>
                <w:p>
                  <w:pPr>
                    <w:spacing w:line="240" w:lineRule="atLeast"/>
                    <w:jc w:val="center"/>
                    <w:rPr>
                      <w:snapToGrid w:val="0"/>
                      <w:szCs w:val="21"/>
                      <w:highlight w:val="none"/>
                    </w:rPr>
                  </w:pPr>
                  <w:r>
                    <w:rPr>
                      <w:rFonts w:hint="eastAsia"/>
                      <w:snapToGrid w:val="0"/>
                      <w:szCs w:val="21"/>
                      <w:highlight w:val="none"/>
                    </w:rPr>
                    <w:t>液态</w:t>
                  </w:r>
                </w:p>
              </w:tc>
              <w:tc>
                <w:tcPr>
                  <w:tcW w:w="369" w:type="pct"/>
                  <w:tcBorders>
                    <w:tl2br w:val="nil"/>
                    <w:tr2bl w:val="nil"/>
                  </w:tcBorders>
                  <w:vAlign w:val="center"/>
                </w:tcPr>
                <w:p>
                  <w:pPr>
                    <w:spacing w:line="240" w:lineRule="atLeast"/>
                    <w:jc w:val="center"/>
                    <w:rPr>
                      <w:snapToGrid w:val="0"/>
                      <w:szCs w:val="21"/>
                      <w:highlight w:val="none"/>
                    </w:rPr>
                  </w:pPr>
                  <w:r>
                    <w:rPr>
                      <w:rFonts w:hint="eastAsia"/>
                      <w:snapToGrid w:val="0"/>
                      <w:szCs w:val="21"/>
                      <w:highlight w:val="none"/>
                    </w:rPr>
                    <w:t>桶装</w:t>
                  </w:r>
                </w:p>
              </w:tc>
              <w:tc>
                <w:tcPr>
                  <w:tcW w:w="551" w:type="pct"/>
                  <w:tcBorders>
                    <w:tl2br w:val="nil"/>
                    <w:tr2bl w:val="nil"/>
                  </w:tcBorders>
                  <w:vAlign w:val="center"/>
                </w:tcPr>
                <w:p>
                  <w:pPr>
                    <w:spacing w:line="240" w:lineRule="atLeast"/>
                    <w:jc w:val="center"/>
                    <w:rPr>
                      <w:highlight w:val="none"/>
                    </w:rPr>
                  </w:pPr>
                  <w:r>
                    <w:rPr>
                      <w:rFonts w:hint="eastAsia"/>
                      <w:highlight w:val="none"/>
                    </w:rPr>
                    <w:t>0.02</w:t>
                  </w:r>
                </w:p>
              </w:tc>
              <w:tc>
                <w:tcPr>
                  <w:tcW w:w="540" w:type="pct"/>
                  <w:tcBorders>
                    <w:tl2br w:val="nil"/>
                    <w:tr2bl w:val="nil"/>
                  </w:tcBorders>
                  <w:vAlign w:val="center"/>
                </w:tcPr>
                <w:p>
                  <w:pPr>
                    <w:spacing w:line="240" w:lineRule="atLeast"/>
                    <w:jc w:val="center"/>
                    <w:rPr>
                      <w:highlight w:val="none"/>
                    </w:rPr>
                  </w:pPr>
                  <w:r>
                    <w:rPr>
                      <w:rFonts w:hint="eastAsia"/>
                      <w:highlight w:val="none"/>
                    </w:rPr>
                    <w:t>0.02</w:t>
                  </w:r>
                </w:p>
              </w:tc>
              <w:tc>
                <w:tcPr>
                  <w:tcW w:w="832" w:type="pct"/>
                  <w:vMerge w:val="restart"/>
                  <w:tcBorders>
                    <w:tl2br w:val="nil"/>
                    <w:tr2bl w:val="nil"/>
                  </w:tcBorders>
                  <w:vAlign w:val="center"/>
                </w:tcPr>
                <w:p>
                  <w:pPr>
                    <w:spacing w:line="240" w:lineRule="atLeast"/>
                    <w:jc w:val="center"/>
                    <w:rPr>
                      <w:szCs w:val="21"/>
                      <w:highlight w:val="none"/>
                    </w:rPr>
                  </w:pPr>
                  <w:r>
                    <w:rPr>
                      <w:szCs w:val="21"/>
                      <w:highlight w:val="none"/>
                    </w:rPr>
                    <w:t>设置危险废物暂存间，定期交有资质单位处理</w:t>
                  </w:r>
                </w:p>
              </w:tc>
            </w:tr>
            <w:tr>
              <w:trPr>
                <w:trHeight w:val="340"/>
              </w:trPr>
              <w:tc>
                <w:tcPr>
                  <w:tcW w:w="525" w:type="pct"/>
                  <w:tcBorders>
                    <w:tl2br w:val="nil"/>
                    <w:tr2bl w:val="nil"/>
                  </w:tcBorders>
                  <w:vAlign w:val="center"/>
                </w:tcPr>
                <w:p>
                  <w:pPr>
                    <w:spacing w:line="240" w:lineRule="atLeast"/>
                    <w:jc w:val="center"/>
                    <w:rPr>
                      <w:szCs w:val="21"/>
                      <w:highlight w:val="none"/>
                    </w:rPr>
                  </w:pPr>
                  <w:r>
                    <w:rPr>
                      <w:szCs w:val="21"/>
                      <w:highlight w:val="none"/>
                    </w:rPr>
                    <w:t>废含油抹布</w:t>
                  </w:r>
                </w:p>
              </w:tc>
              <w:tc>
                <w:tcPr>
                  <w:tcW w:w="474" w:type="pct"/>
                  <w:vMerge/>
                  <w:tcBorders>
                    <w:tl2br w:val="nil"/>
                    <w:tr2bl w:val="nil"/>
                  </w:tcBorders>
                  <w:vAlign w:val="center"/>
                </w:tcPr>
                <w:p/>
              </w:tc>
              <w:tc>
                <w:tcPr>
                  <w:tcW w:w="558" w:type="pct"/>
                  <w:tcBorders>
                    <w:tl2br w:val="nil"/>
                    <w:tr2bl w:val="nil"/>
                  </w:tcBorders>
                  <w:vAlign w:val="center"/>
                </w:tcPr>
                <w:p>
                  <w:pPr>
                    <w:spacing w:line="240" w:lineRule="atLeast"/>
                    <w:jc w:val="center"/>
                    <w:rPr>
                      <w:szCs w:val="21"/>
                      <w:highlight w:val="none"/>
                    </w:rPr>
                  </w:pPr>
                  <w:r>
                    <w:rPr>
                      <w:highlight w:val="none"/>
                    </w:rPr>
                    <w:t>HW49</w:t>
                  </w:r>
                </w:p>
              </w:tc>
              <w:tc>
                <w:tcPr>
                  <w:tcW w:w="782" w:type="pct"/>
                  <w:tcBorders>
                    <w:tl2br w:val="nil"/>
                    <w:tr2bl w:val="nil"/>
                  </w:tcBorders>
                  <w:vAlign w:val="center"/>
                </w:tcPr>
                <w:p>
                  <w:pPr>
                    <w:spacing w:line="240" w:lineRule="atLeast"/>
                    <w:jc w:val="center"/>
                    <w:rPr>
                      <w:szCs w:val="21"/>
                      <w:highlight w:val="none"/>
                    </w:rPr>
                  </w:pPr>
                  <w:r>
                    <w:rPr>
                      <w:highlight w:val="none"/>
                    </w:rPr>
                    <w:t>900-041-49</w:t>
                  </w:r>
                </w:p>
              </w:tc>
              <w:tc>
                <w:tcPr>
                  <w:tcW w:w="369" w:type="pct"/>
                  <w:tcBorders>
                    <w:tl2br w:val="nil"/>
                    <w:tr2bl w:val="nil"/>
                  </w:tcBorders>
                  <w:vAlign w:val="center"/>
                </w:tcPr>
                <w:p>
                  <w:pPr>
                    <w:spacing w:line="240" w:lineRule="atLeast"/>
                    <w:jc w:val="center"/>
                    <w:rPr>
                      <w:snapToGrid w:val="0"/>
                      <w:szCs w:val="21"/>
                      <w:highlight w:val="none"/>
                    </w:rPr>
                  </w:pPr>
                  <w:r>
                    <w:rPr>
                      <w:snapToGrid w:val="0"/>
                      <w:szCs w:val="21"/>
                      <w:highlight w:val="none"/>
                    </w:rPr>
                    <w:t>固态</w:t>
                  </w:r>
                </w:p>
              </w:tc>
              <w:tc>
                <w:tcPr>
                  <w:tcW w:w="369" w:type="pct"/>
                  <w:tcBorders>
                    <w:tl2br w:val="nil"/>
                    <w:tr2bl w:val="nil"/>
                  </w:tcBorders>
                  <w:vAlign w:val="center"/>
                </w:tcPr>
                <w:p>
                  <w:pPr>
                    <w:spacing w:line="240" w:lineRule="atLeast"/>
                    <w:jc w:val="center"/>
                    <w:rPr>
                      <w:snapToGrid w:val="0"/>
                      <w:szCs w:val="21"/>
                      <w:highlight w:val="none"/>
                    </w:rPr>
                  </w:pPr>
                  <w:r>
                    <w:rPr>
                      <w:rFonts w:hint="eastAsia"/>
                      <w:snapToGrid w:val="0"/>
                      <w:szCs w:val="21"/>
                      <w:highlight w:val="none"/>
                    </w:rPr>
                    <w:t>桶装</w:t>
                  </w:r>
                </w:p>
              </w:tc>
              <w:tc>
                <w:tcPr>
                  <w:tcW w:w="551" w:type="pct"/>
                  <w:tcBorders>
                    <w:tl2br w:val="nil"/>
                    <w:tr2bl w:val="nil"/>
                  </w:tcBorders>
                  <w:vAlign w:val="center"/>
                </w:tcPr>
                <w:p>
                  <w:pPr>
                    <w:spacing w:line="240" w:lineRule="atLeast"/>
                    <w:jc w:val="center"/>
                    <w:rPr>
                      <w:highlight w:val="none"/>
                    </w:rPr>
                  </w:pPr>
                  <w:r>
                    <w:rPr>
                      <w:rFonts w:hint="eastAsia"/>
                      <w:highlight w:val="none"/>
                    </w:rPr>
                    <w:t>0.01</w:t>
                  </w:r>
                </w:p>
              </w:tc>
              <w:tc>
                <w:tcPr>
                  <w:tcW w:w="540" w:type="pct"/>
                  <w:tcBorders>
                    <w:tl2br w:val="nil"/>
                    <w:tr2bl w:val="nil"/>
                  </w:tcBorders>
                  <w:vAlign w:val="center"/>
                </w:tcPr>
                <w:p>
                  <w:pPr>
                    <w:spacing w:line="240" w:lineRule="atLeast"/>
                    <w:jc w:val="center"/>
                    <w:rPr>
                      <w:highlight w:val="none"/>
                    </w:rPr>
                  </w:pPr>
                  <w:r>
                    <w:rPr>
                      <w:rFonts w:hint="eastAsia"/>
                      <w:highlight w:val="none"/>
                    </w:rPr>
                    <w:t>0.01</w:t>
                  </w:r>
                </w:p>
              </w:tc>
              <w:tc>
                <w:tcPr>
                  <w:tcW w:w="832" w:type="pct"/>
                  <w:vMerge/>
                  <w:tcBorders>
                    <w:tl2br w:val="nil"/>
                    <w:tr2bl w:val="nil"/>
                  </w:tcBorders>
                  <w:vAlign w:val="center"/>
                </w:tcPr>
                <w:p/>
              </w:tc>
            </w:tr>
            <w:tr>
              <w:trPr>
                <w:trHeight w:val="340"/>
              </w:trPr>
              <w:tc>
                <w:tcPr>
                  <w:tcW w:w="525" w:type="pct"/>
                  <w:tcBorders>
                    <w:tl2br w:val="nil"/>
                    <w:tr2bl w:val="nil"/>
                  </w:tcBorders>
                  <w:vAlign w:val="center"/>
                </w:tcPr>
                <w:p>
                  <w:pPr>
                    <w:spacing w:line="240" w:lineRule="atLeast"/>
                    <w:jc w:val="center"/>
                    <w:rPr>
                      <w:szCs w:val="21"/>
                      <w:highlight w:val="none"/>
                    </w:rPr>
                  </w:pPr>
                  <w:r>
                    <w:rPr>
                      <w:rFonts w:hint="eastAsia"/>
                      <w:szCs w:val="21"/>
                      <w:highlight w:val="none"/>
                    </w:rPr>
                    <w:t>废润滑油桶</w:t>
                  </w:r>
                </w:p>
              </w:tc>
              <w:tc>
                <w:tcPr>
                  <w:tcW w:w="474" w:type="pct"/>
                  <w:vMerge/>
                  <w:tcBorders>
                    <w:tl2br w:val="nil"/>
                    <w:tr2bl w:val="nil"/>
                  </w:tcBorders>
                  <w:vAlign w:val="center"/>
                </w:tcPr>
                <w:p/>
              </w:tc>
              <w:tc>
                <w:tcPr>
                  <w:tcW w:w="558" w:type="pct"/>
                  <w:tcBorders>
                    <w:tl2br w:val="nil"/>
                    <w:tr2bl w:val="nil"/>
                  </w:tcBorders>
                  <w:vAlign w:val="center"/>
                </w:tcPr>
                <w:p>
                  <w:pPr>
                    <w:spacing w:line="240" w:lineRule="atLeast"/>
                    <w:jc w:val="center"/>
                    <w:rPr>
                      <w:szCs w:val="21"/>
                      <w:highlight w:val="none"/>
                    </w:rPr>
                  </w:pPr>
                  <w:r>
                    <w:rPr>
                      <w:highlight w:val="none"/>
                    </w:rPr>
                    <w:t>HW49</w:t>
                  </w:r>
                </w:p>
              </w:tc>
              <w:tc>
                <w:tcPr>
                  <w:tcW w:w="782" w:type="pct"/>
                  <w:tcBorders>
                    <w:tl2br w:val="nil"/>
                    <w:tr2bl w:val="nil"/>
                  </w:tcBorders>
                  <w:vAlign w:val="center"/>
                </w:tcPr>
                <w:p>
                  <w:pPr>
                    <w:spacing w:line="240" w:lineRule="atLeast"/>
                    <w:jc w:val="center"/>
                    <w:rPr>
                      <w:szCs w:val="21"/>
                      <w:highlight w:val="none"/>
                    </w:rPr>
                  </w:pPr>
                  <w:r>
                    <w:rPr>
                      <w:highlight w:val="none"/>
                    </w:rPr>
                    <w:t>900-041-49</w:t>
                  </w:r>
                </w:p>
              </w:tc>
              <w:tc>
                <w:tcPr>
                  <w:tcW w:w="369" w:type="pct"/>
                  <w:tcBorders>
                    <w:tl2br w:val="nil"/>
                    <w:tr2bl w:val="nil"/>
                  </w:tcBorders>
                  <w:vAlign w:val="center"/>
                </w:tcPr>
                <w:p>
                  <w:pPr>
                    <w:spacing w:line="240" w:lineRule="atLeast"/>
                    <w:jc w:val="center"/>
                    <w:rPr>
                      <w:snapToGrid w:val="0"/>
                      <w:szCs w:val="21"/>
                      <w:highlight w:val="none"/>
                    </w:rPr>
                  </w:pPr>
                  <w:r>
                    <w:rPr>
                      <w:snapToGrid w:val="0"/>
                      <w:szCs w:val="21"/>
                      <w:highlight w:val="none"/>
                    </w:rPr>
                    <w:t>固态</w:t>
                  </w:r>
                </w:p>
              </w:tc>
              <w:tc>
                <w:tcPr>
                  <w:tcW w:w="369" w:type="pct"/>
                  <w:tcBorders>
                    <w:tl2br w:val="nil"/>
                    <w:tr2bl w:val="nil"/>
                  </w:tcBorders>
                  <w:vAlign w:val="center"/>
                </w:tcPr>
                <w:p>
                  <w:pPr>
                    <w:spacing w:line="240" w:lineRule="atLeast"/>
                    <w:jc w:val="center"/>
                    <w:rPr>
                      <w:snapToGrid w:val="0"/>
                      <w:szCs w:val="21"/>
                      <w:highlight w:val="none"/>
                    </w:rPr>
                  </w:pPr>
                  <w:r>
                    <w:rPr>
                      <w:rFonts w:hint="eastAsia"/>
                      <w:snapToGrid w:val="0"/>
                      <w:szCs w:val="21"/>
                      <w:highlight w:val="none"/>
                    </w:rPr>
                    <w:t>桶装</w:t>
                  </w:r>
                </w:p>
              </w:tc>
              <w:tc>
                <w:tcPr>
                  <w:tcW w:w="551" w:type="pct"/>
                  <w:tcBorders>
                    <w:tl2br w:val="nil"/>
                    <w:tr2bl w:val="nil"/>
                  </w:tcBorders>
                  <w:vAlign w:val="center"/>
                </w:tcPr>
                <w:p>
                  <w:pPr>
                    <w:spacing w:line="240" w:lineRule="atLeast"/>
                    <w:jc w:val="center"/>
                    <w:rPr>
                      <w:highlight w:val="none"/>
                    </w:rPr>
                  </w:pPr>
                  <w:r>
                    <w:rPr>
                      <w:rFonts w:hint="eastAsia"/>
                      <w:highlight w:val="none"/>
                    </w:rPr>
                    <w:t>0.01</w:t>
                  </w:r>
                </w:p>
              </w:tc>
              <w:tc>
                <w:tcPr>
                  <w:tcW w:w="540" w:type="pct"/>
                  <w:tcBorders>
                    <w:tl2br w:val="nil"/>
                    <w:tr2bl w:val="nil"/>
                  </w:tcBorders>
                  <w:vAlign w:val="center"/>
                </w:tcPr>
                <w:p>
                  <w:pPr>
                    <w:spacing w:line="240" w:lineRule="atLeast"/>
                    <w:jc w:val="center"/>
                    <w:rPr>
                      <w:highlight w:val="none"/>
                    </w:rPr>
                  </w:pPr>
                  <w:r>
                    <w:rPr>
                      <w:rFonts w:hint="eastAsia"/>
                      <w:highlight w:val="none"/>
                    </w:rPr>
                    <w:t>0.01</w:t>
                  </w:r>
                </w:p>
              </w:tc>
              <w:tc>
                <w:tcPr>
                  <w:tcW w:w="832" w:type="pct"/>
                  <w:vMerge/>
                  <w:tcBorders>
                    <w:tl2br w:val="nil"/>
                    <w:tr2bl w:val="nil"/>
                  </w:tcBorders>
                  <w:vAlign w:val="center"/>
                </w:tcPr>
                <w:p/>
              </w:tc>
            </w:tr>
            <w:tr>
              <w:trPr>
                <w:trHeight w:val="340"/>
              </w:trPr>
              <w:tc>
                <w:tcPr>
                  <w:tcW w:w="525" w:type="pct"/>
                  <w:tcBorders>
                    <w:tl2br w:val="nil"/>
                    <w:tr2bl w:val="nil"/>
                  </w:tcBorders>
                  <w:vAlign w:val="center"/>
                </w:tcPr>
                <w:p>
                  <w:pPr>
                    <w:spacing w:line="240" w:lineRule="atLeast"/>
                    <w:jc w:val="center"/>
                    <w:rPr>
                      <w:rFonts w:eastAsia="宋体"/>
                      <w:szCs w:val="21"/>
                      <w:lang w:val="en-US" w:eastAsia="zh-CN"/>
                      <w:highlight w:val="none"/>
                    </w:rPr>
                  </w:pPr>
                  <w:r>
                    <w:rPr>
                      <w:rFonts w:hint="eastAsia"/>
                      <w:szCs w:val="21"/>
                      <w:lang w:val="en-US" w:eastAsia="zh-CN"/>
                      <w:highlight w:val="none"/>
                    </w:rPr>
                    <w:t>生活垃圾</w:t>
                  </w:r>
                </w:p>
              </w:tc>
              <w:tc>
                <w:tcPr>
                  <w:tcW w:w="474" w:type="pct"/>
                  <w:tcBorders>
                    <w:tl2br w:val="nil"/>
                    <w:tr2bl w:val="nil"/>
                  </w:tcBorders>
                  <w:vAlign w:val="center"/>
                </w:tcPr>
                <w:p>
                  <w:pPr>
                    <w:spacing w:line="240" w:lineRule="atLeast"/>
                    <w:jc w:val="center"/>
                    <w:rPr>
                      <w:snapToGrid w:val="0"/>
                      <w:szCs w:val="21"/>
                      <w:highlight w:val="none"/>
                    </w:rPr>
                  </w:pPr>
                  <w:r>
                    <w:rPr>
                      <w:rFonts w:hint="eastAsia"/>
                      <w:szCs w:val="21"/>
                      <w:lang w:val="en-US" w:eastAsia="zh-CN"/>
                      <w:highlight w:val="none"/>
                    </w:rPr>
                    <w:t>生活垃圾</w:t>
                  </w:r>
                </w:p>
              </w:tc>
              <w:tc>
                <w:tcPr>
                  <w:tcW w:w="558" w:type="pct"/>
                  <w:tcBorders>
                    <w:tl2br w:val="nil"/>
                    <w:tr2bl w:val="nil"/>
                  </w:tcBorders>
                  <w:vAlign w:val="center"/>
                </w:tcPr>
                <w:p>
                  <w:pPr>
                    <w:spacing w:line="240" w:lineRule="atLeast"/>
                    <w:jc w:val="center"/>
                    <w:rPr>
                      <w:rFonts w:eastAsia="宋体"/>
                      <w:lang w:val="en-US" w:eastAsia="zh-CN"/>
                      <w:highlight w:val="none"/>
                    </w:rPr>
                  </w:pPr>
                  <w:r>
                    <w:rPr>
                      <w:szCs w:val="21"/>
                      <w:highlight w:val="none"/>
                    </w:rPr>
                    <w:t>SW</w:t>
                  </w:r>
                  <w:r>
                    <w:rPr>
                      <w:rFonts w:hint="eastAsia"/>
                      <w:szCs w:val="21"/>
                      <w:lang w:val="en-US" w:eastAsia="zh-CN"/>
                      <w:highlight w:val="none"/>
                    </w:rPr>
                    <w:t>64</w:t>
                  </w:r>
                </w:p>
              </w:tc>
              <w:tc>
                <w:tcPr>
                  <w:tcW w:w="782" w:type="pct"/>
                  <w:tcBorders>
                    <w:tl2br w:val="nil"/>
                    <w:tr2bl w:val="nil"/>
                  </w:tcBorders>
                  <w:vAlign w:val="center"/>
                </w:tcPr>
                <w:p>
                  <w:pPr>
                    <w:spacing w:line="240" w:lineRule="atLeast"/>
                    <w:jc w:val="center"/>
                    <w:rPr>
                      <w:highlight w:val="none"/>
                    </w:rPr>
                  </w:pPr>
                  <w:r>
                    <w:rPr>
                      <w:rFonts w:ascii="Times New Roman" w:eastAsia="宋体" w:hAnsi="Times New Roman"/>
                      <w:snapToGrid w:val="0"/>
                      <w:szCs w:val="21"/>
                      <w:highlight w:val="none"/>
                    </w:rPr>
                    <w:t>900-099-</w:t>
                  </w:r>
                  <w:r>
                    <w:rPr>
                      <w:rFonts w:ascii="Times New Roman" w:eastAsia="宋体" w:hAnsi="Times New Roman" w:hint="eastAsia"/>
                      <w:snapToGrid w:val="0"/>
                      <w:szCs w:val="21"/>
                      <w:highlight w:val="none"/>
                    </w:rPr>
                    <w:t>S64</w:t>
                  </w:r>
                </w:p>
              </w:tc>
              <w:tc>
                <w:tcPr>
                  <w:tcW w:w="1530" w:type="pct"/>
                  <w:tcBorders>
                    <w:tl2br w:val="nil"/>
                    <w:tr2bl w:val="nil"/>
                  </w:tcBorders>
                  <w:vAlign w:val="center"/>
                </w:tcPr>
                <w:p>
                  <w:pPr>
                    <w:spacing w:line="240" w:lineRule="atLeast"/>
                    <w:jc w:val="center"/>
                    <w:rPr>
                      <w:snapToGrid w:val="0"/>
                      <w:szCs w:val="21"/>
                      <w:highlight w:val="none"/>
                    </w:rPr>
                  </w:pPr>
                  <w:r>
                    <w:rPr>
                      <w:snapToGrid w:val="0"/>
                      <w:szCs w:val="21"/>
                      <w:highlight w:val="none"/>
                    </w:rPr>
                    <w:t>固态</w:t>
                  </w:r>
                </w:p>
              </w:tc>
              <w:tc>
                <w:tcPr>
                  <w:tcW w:w="1530" w:type="pct"/>
                  <w:tcBorders>
                    <w:tl2br w:val="nil"/>
                    <w:tr2bl w:val="nil"/>
                  </w:tcBorders>
                  <w:vAlign w:val="center"/>
                </w:tcPr>
                <w:p>
                  <w:pPr>
                    <w:spacing w:line="240" w:lineRule="atLeast"/>
                    <w:jc w:val="center"/>
                    <w:rPr>
                      <w:rFonts w:hint="eastAsia"/>
                      <w:snapToGrid w:val="0"/>
                      <w:szCs w:val="21"/>
                      <w:highlight w:val="none"/>
                    </w:rPr>
                  </w:pPr>
                  <w:r>
                    <w:rPr>
                      <w:rFonts w:hint="eastAsia"/>
                      <w:snapToGrid w:val="0"/>
                      <w:szCs w:val="21"/>
                      <w:highlight w:val="none"/>
                    </w:rPr>
                    <w:t>桶装</w:t>
                  </w:r>
                </w:p>
              </w:tc>
              <w:tc>
                <w:tcPr>
                  <w:tcW w:w="551" w:type="pct"/>
                  <w:tcBorders>
                    <w:tl2br w:val="nil"/>
                    <w:tr2bl w:val="nil"/>
                  </w:tcBorders>
                  <w:vAlign w:val="center"/>
                </w:tcPr>
                <w:p>
                  <w:pPr>
                    <w:spacing w:line="240" w:lineRule="atLeast"/>
                    <w:jc w:val="center"/>
                    <w:rPr>
                      <w:rFonts w:eastAsia="宋体"/>
                      <w:lang w:val="en-US" w:eastAsia="zh-CN"/>
                      <w:highlight w:val="none"/>
                    </w:rPr>
                  </w:pPr>
                  <w:r>
                    <w:rPr>
                      <w:rFonts w:hint="eastAsia"/>
                      <w:lang w:val="en-US" w:eastAsia="zh-CN"/>
                      <w:highlight w:val="none"/>
                    </w:rPr>
                    <w:t>2.74</w:t>
                  </w:r>
                </w:p>
              </w:tc>
              <w:tc>
                <w:tcPr>
                  <w:tcW w:w="540" w:type="pct"/>
                  <w:tcBorders>
                    <w:tl2br w:val="nil"/>
                    <w:tr2bl w:val="nil"/>
                  </w:tcBorders>
                  <w:vAlign w:val="center"/>
                </w:tcPr>
                <w:p>
                  <w:pPr>
                    <w:spacing w:line="240" w:lineRule="atLeast"/>
                    <w:jc w:val="center"/>
                    <w:rPr>
                      <w:rFonts w:eastAsia="宋体"/>
                      <w:lang w:val="en-US" w:eastAsia="zh-CN"/>
                      <w:highlight w:val="none"/>
                    </w:rPr>
                  </w:pPr>
                  <w:r>
                    <w:rPr>
                      <w:rFonts w:hint="eastAsia"/>
                      <w:lang w:val="en-US" w:eastAsia="zh-CN"/>
                      <w:highlight w:val="none"/>
                    </w:rPr>
                    <w:t>2.74</w:t>
                  </w:r>
                </w:p>
              </w:tc>
              <w:tc>
                <w:tcPr>
                  <w:tcW w:w="832" w:type="pct"/>
                  <w:tcBorders>
                    <w:tl2br w:val="nil"/>
                    <w:tr2bl w:val="nil"/>
                  </w:tcBorders>
                  <w:vAlign w:val="center"/>
                </w:tcPr>
                <w:p>
                  <w:pPr>
                    <w:spacing w:line="240" w:lineRule="atLeast"/>
                    <w:jc w:val="center"/>
                    <w:rPr>
                      <w:szCs w:val="21"/>
                      <w:highlight w:val="none"/>
                    </w:rPr>
                  </w:pPr>
                  <w:r>
                    <w:rPr>
                      <w:rFonts w:hint="eastAsia"/>
                      <w:b w:val="0"/>
                      <w:bCs w:val="0"/>
                      <w:color w:val="auto"/>
                      <w:sz w:val="21"/>
                      <w:szCs w:val="21"/>
                      <w:lang w:val="en-US" w:eastAsia="zh-CN"/>
                      <w:highlight w:val="none"/>
                    </w:rPr>
                    <w:t>集中收集后</w:t>
                  </w:r>
                  <w:r>
                    <w:rPr>
                      <w:rFonts w:hint="eastAsia"/>
                      <w:b w:val="0"/>
                      <w:bCs w:val="0"/>
                      <w:color w:val="auto"/>
                      <w:sz w:val="21"/>
                      <w:szCs w:val="21"/>
                      <w:highlight w:val="none"/>
                    </w:rPr>
                    <w:t>，由环卫部门清运、处置</w:t>
                  </w:r>
                </w:p>
              </w:tc>
            </w:tr>
          </w:tbl>
          <w:p>
            <w:pPr>
              <w:pStyle w:val="76"/>
              <w:adjustRightInd/>
              <w:spacing w:line="360" w:lineRule="auto"/>
              <w:ind w:firstLineChars="200" w:firstLine="480"/>
              <w:jc w:val="both"/>
              <w:rPr>
                <w:rFonts w:ascii="Times New Roman" w:hAnsi="Times New Roman"/>
                <w:highlight w:val="none"/>
              </w:rPr>
            </w:pPr>
            <w:r>
              <w:rPr>
                <w:rFonts w:ascii="Times New Roman" w:hAnsi="Times New Roman"/>
                <w:highlight w:val="none"/>
              </w:rPr>
              <w:t>由上表可知，本项目固废均能得到相应处置，最终排放量为零，不会对周边环境产生影响。</w:t>
            </w:r>
          </w:p>
          <w:p>
            <w:pPr>
              <w:spacing w:line="360" w:lineRule="auto"/>
              <w:ind w:firstLineChars="200" w:firstLine="480"/>
              <w:rPr>
                <w:b/>
                <w:szCs w:val="21"/>
                <w:highlight w:val="none"/>
              </w:rPr>
            </w:pPr>
            <w:r>
              <w:rPr>
                <w:rFonts w:hint="eastAsia"/>
                <w:snapToGrid w:val="0"/>
                <w:kern w:val="0"/>
                <w:sz w:val="24"/>
                <w:highlight w:val="none"/>
              </w:rPr>
              <w:t>根据《建设项目危险废物环境影响评价指南》，项目危险废物基本情况详见下表：</w:t>
            </w:r>
          </w:p>
          <w:p>
            <w:pPr>
              <w:snapToGrid w:val="0"/>
              <w:contextualSpacing/>
              <w:jc w:val="center"/>
              <w:rPr>
                <w:b/>
                <w:szCs w:val="21"/>
                <w:highlight w:val="none"/>
              </w:rPr>
            </w:pPr>
            <w:r>
              <w:rPr>
                <w:b/>
                <w:szCs w:val="21"/>
                <w:highlight w:val="none"/>
              </w:rPr>
              <w:t>表4-</w:t>
            </w:r>
            <w:r>
              <w:rPr>
                <w:rFonts w:hint="eastAsia"/>
                <w:b/>
                <w:szCs w:val="21"/>
                <w:highlight w:val="none"/>
              </w:rPr>
              <w:t>10</w:t>
            </w:r>
            <w:r>
              <w:rPr>
                <w:b/>
                <w:szCs w:val="21"/>
                <w:highlight w:val="none"/>
              </w:rPr>
              <w:t xml:space="preserve">  危险废物汇总表</w:t>
            </w:r>
          </w:p>
          <w:tbl>
            <w:tblPr>
              <w:jc w:val="center"/>
              <w:tblW w:w="5000" w:type="pct"/>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CellMar>
                <w:top w:w="0" w:type="dxa"/>
                <w:left w:w="108" w:type="dxa"/>
                <w:bottom w:w="0" w:type="dxa"/>
                <w:right w:w="108" w:type="dxa"/>
              </w:tblCellMar>
              <w:tblLook w:val="0600" w:firstRow="0" w:lastRow="0" w:firstColumn="0" w:lastColumn="0" w:noHBand="1" w:noVBand="1"/>
            </w:tblPr>
            <w:tblGrid>
              <w:gridCol w:w="397"/>
              <w:gridCol w:w="732"/>
              <w:gridCol w:w="776"/>
              <w:gridCol w:w="1080"/>
              <w:gridCol w:w="805"/>
              <w:gridCol w:w="822"/>
              <w:gridCol w:w="415"/>
              <w:gridCol w:w="672"/>
              <w:gridCol w:w="760"/>
              <w:gridCol w:w="555"/>
              <w:gridCol w:w="477"/>
              <w:gridCol w:w="646"/>
            </w:tblGrid>
            <w:tr>
              <w:trPr>
                <w:trHeight w:val="283"/>
              </w:trPr>
              <w:tc>
                <w:tcPr>
                  <w:tcW w:w="244" w:type="pct"/>
                  <w:vAlign w:val="center"/>
                </w:tcPr>
                <w:p>
                  <w:pPr>
                    <w:spacing w:line="240" w:lineRule="atLeast"/>
                    <w:jc w:val="center"/>
                    <w:rPr>
                      <w:snapToGrid w:val="0"/>
                      <w:sz w:val="21"/>
                      <w:szCs w:val="21"/>
                      <w:highlight w:val="none"/>
                    </w:rPr>
                  </w:pPr>
                  <w:r>
                    <w:rPr>
                      <w:snapToGrid w:val="0"/>
                      <w:sz w:val="21"/>
                      <w:szCs w:val="21"/>
                      <w:highlight w:val="none"/>
                    </w:rPr>
                    <w:t>序号</w:t>
                  </w:r>
                </w:p>
              </w:tc>
              <w:tc>
                <w:tcPr>
                  <w:tcW w:w="450" w:type="pct"/>
                  <w:vAlign w:val="center"/>
                </w:tcPr>
                <w:p>
                  <w:pPr>
                    <w:spacing w:line="240" w:lineRule="atLeast"/>
                    <w:jc w:val="center"/>
                    <w:rPr>
                      <w:snapToGrid w:val="0"/>
                      <w:sz w:val="21"/>
                      <w:szCs w:val="21"/>
                      <w:highlight w:val="none"/>
                    </w:rPr>
                  </w:pPr>
                  <w:r>
                    <w:rPr>
                      <w:snapToGrid w:val="0"/>
                      <w:sz w:val="21"/>
                      <w:szCs w:val="21"/>
                      <w:highlight w:val="none"/>
                    </w:rPr>
                    <w:t>危险废物名称</w:t>
                  </w:r>
                </w:p>
              </w:tc>
              <w:tc>
                <w:tcPr>
                  <w:tcW w:w="477" w:type="pct"/>
                  <w:vAlign w:val="center"/>
                </w:tcPr>
                <w:p>
                  <w:pPr>
                    <w:spacing w:line="240" w:lineRule="atLeast"/>
                    <w:jc w:val="center"/>
                    <w:rPr>
                      <w:snapToGrid w:val="0"/>
                      <w:sz w:val="21"/>
                      <w:szCs w:val="21"/>
                      <w:highlight w:val="none"/>
                    </w:rPr>
                  </w:pPr>
                  <w:r>
                    <w:rPr>
                      <w:snapToGrid w:val="0"/>
                      <w:sz w:val="21"/>
                      <w:szCs w:val="21"/>
                      <w:highlight w:val="none"/>
                    </w:rPr>
                    <w:t>危险废物类别</w:t>
                  </w:r>
                </w:p>
              </w:tc>
              <w:tc>
                <w:tcPr>
                  <w:tcW w:w="664" w:type="pct"/>
                  <w:vAlign w:val="center"/>
                </w:tcPr>
                <w:p>
                  <w:pPr>
                    <w:spacing w:line="240" w:lineRule="atLeast"/>
                    <w:jc w:val="center"/>
                    <w:rPr>
                      <w:snapToGrid w:val="0"/>
                      <w:sz w:val="21"/>
                      <w:szCs w:val="21"/>
                      <w:highlight w:val="none"/>
                    </w:rPr>
                  </w:pPr>
                  <w:r>
                    <w:rPr>
                      <w:snapToGrid w:val="0"/>
                      <w:sz w:val="21"/>
                      <w:szCs w:val="21"/>
                      <w:highlight w:val="none"/>
                    </w:rPr>
                    <w:t>危险废物代码</w:t>
                  </w:r>
                </w:p>
              </w:tc>
              <w:tc>
                <w:tcPr>
                  <w:tcW w:w="495" w:type="pct"/>
                  <w:vAlign w:val="center"/>
                </w:tcPr>
                <w:p>
                  <w:pPr>
                    <w:spacing w:line="240" w:lineRule="atLeast"/>
                    <w:jc w:val="center"/>
                    <w:rPr>
                      <w:snapToGrid w:val="0"/>
                      <w:sz w:val="21"/>
                      <w:szCs w:val="21"/>
                      <w:highlight w:val="none"/>
                    </w:rPr>
                  </w:pPr>
                  <w:r>
                    <w:rPr>
                      <w:snapToGrid w:val="0"/>
                      <w:sz w:val="21"/>
                      <w:szCs w:val="21"/>
                      <w:highlight w:val="none"/>
                    </w:rPr>
                    <w:t>产生量（t/a/）</w:t>
                  </w:r>
                </w:p>
              </w:tc>
              <w:tc>
                <w:tcPr>
                  <w:tcW w:w="505" w:type="pct"/>
                  <w:vAlign w:val="center"/>
                </w:tcPr>
                <w:p>
                  <w:pPr>
                    <w:spacing w:line="240" w:lineRule="atLeast"/>
                    <w:jc w:val="center"/>
                    <w:rPr>
                      <w:snapToGrid w:val="0"/>
                      <w:sz w:val="21"/>
                      <w:szCs w:val="21"/>
                      <w:highlight w:val="none"/>
                    </w:rPr>
                  </w:pPr>
                  <w:r>
                    <w:rPr>
                      <w:snapToGrid w:val="0"/>
                      <w:sz w:val="21"/>
                      <w:szCs w:val="21"/>
                      <w:highlight w:val="none"/>
                    </w:rPr>
                    <w:t>产生工序及装置</w:t>
                  </w:r>
                </w:p>
              </w:tc>
              <w:tc>
                <w:tcPr>
                  <w:tcW w:w="255" w:type="pct"/>
                  <w:vAlign w:val="center"/>
                </w:tcPr>
                <w:p>
                  <w:pPr>
                    <w:spacing w:line="240" w:lineRule="atLeast"/>
                    <w:jc w:val="center"/>
                    <w:rPr>
                      <w:snapToGrid w:val="0"/>
                      <w:sz w:val="21"/>
                      <w:szCs w:val="21"/>
                      <w:highlight w:val="none"/>
                    </w:rPr>
                  </w:pPr>
                  <w:r>
                    <w:rPr>
                      <w:snapToGrid w:val="0"/>
                      <w:sz w:val="21"/>
                      <w:szCs w:val="21"/>
                      <w:highlight w:val="none"/>
                    </w:rPr>
                    <w:t>形态</w:t>
                  </w:r>
                </w:p>
              </w:tc>
              <w:tc>
                <w:tcPr>
                  <w:tcW w:w="413" w:type="pct"/>
                  <w:vAlign w:val="center"/>
                </w:tcPr>
                <w:p>
                  <w:pPr>
                    <w:spacing w:line="240" w:lineRule="atLeast"/>
                    <w:jc w:val="center"/>
                    <w:rPr>
                      <w:snapToGrid w:val="0"/>
                      <w:sz w:val="21"/>
                      <w:szCs w:val="21"/>
                      <w:highlight w:val="none"/>
                    </w:rPr>
                  </w:pPr>
                  <w:r>
                    <w:rPr>
                      <w:snapToGrid w:val="0"/>
                      <w:sz w:val="21"/>
                      <w:szCs w:val="21"/>
                      <w:highlight w:val="none"/>
                    </w:rPr>
                    <w:t>主要成分</w:t>
                  </w:r>
                </w:p>
              </w:tc>
              <w:tc>
                <w:tcPr>
                  <w:tcW w:w="467" w:type="pct"/>
                  <w:vAlign w:val="center"/>
                </w:tcPr>
                <w:p>
                  <w:pPr>
                    <w:spacing w:line="240" w:lineRule="atLeast"/>
                    <w:jc w:val="center"/>
                    <w:rPr>
                      <w:snapToGrid w:val="0"/>
                      <w:sz w:val="21"/>
                      <w:szCs w:val="21"/>
                      <w:highlight w:val="none"/>
                    </w:rPr>
                  </w:pPr>
                  <w:r>
                    <w:rPr>
                      <w:snapToGrid w:val="0"/>
                      <w:sz w:val="21"/>
                      <w:szCs w:val="21"/>
                      <w:highlight w:val="none"/>
                    </w:rPr>
                    <w:t>有害成分</w:t>
                  </w:r>
                </w:p>
              </w:tc>
              <w:tc>
                <w:tcPr>
                  <w:tcW w:w="341" w:type="pct"/>
                  <w:vAlign w:val="center"/>
                </w:tcPr>
                <w:p>
                  <w:pPr>
                    <w:spacing w:line="240" w:lineRule="atLeast"/>
                    <w:jc w:val="center"/>
                    <w:rPr>
                      <w:snapToGrid w:val="0"/>
                      <w:sz w:val="21"/>
                      <w:szCs w:val="21"/>
                      <w:highlight w:val="none"/>
                    </w:rPr>
                  </w:pPr>
                  <w:r>
                    <w:rPr>
                      <w:snapToGrid w:val="0"/>
                      <w:sz w:val="21"/>
                      <w:szCs w:val="21"/>
                      <w:highlight w:val="none"/>
                    </w:rPr>
                    <w:t>产废周期</w:t>
                  </w:r>
                </w:p>
              </w:tc>
              <w:tc>
                <w:tcPr>
                  <w:tcW w:w="293" w:type="pct"/>
                  <w:vAlign w:val="center"/>
                </w:tcPr>
                <w:p>
                  <w:pPr>
                    <w:spacing w:line="240" w:lineRule="atLeast"/>
                    <w:jc w:val="center"/>
                    <w:rPr>
                      <w:snapToGrid w:val="0"/>
                      <w:sz w:val="21"/>
                      <w:szCs w:val="21"/>
                      <w:highlight w:val="none"/>
                    </w:rPr>
                  </w:pPr>
                  <w:r>
                    <w:rPr>
                      <w:snapToGrid w:val="0"/>
                      <w:sz w:val="21"/>
                      <w:szCs w:val="21"/>
                      <w:highlight w:val="none"/>
                    </w:rPr>
                    <w:t>危险</w:t>
                  </w:r>
                </w:p>
                <w:p>
                  <w:pPr>
                    <w:spacing w:line="240" w:lineRule="atLeast"/>
                    <w:jc w:val="center"/>
                    <w:rPr>
                      <w:snapToGrid w:val="0"/>
                      <w:sz w:val="21"/>
                      <w:szCs w:val="21"/>
                      <w:highlight w:val="none"/>
                    </w:rPr>
                  </w:pPr>
                  <w:r>
                    <w:rPr>
                      <w:snapToGrid w:val="0"/>
                      <w:sz w:val="21"/>
                      <w:szCs w:val="21"/>
                      <w:highlight w:val="none"/>
                    </w:rPr>
                    <w:t>特性</w:t>
                  </w:r>
                </w:p>
              </w:tc>
              <w:tc>
                <w:tcPr>
                  <w:tcW w:w="397" w:type="pct"/>
                  <w:vAlign w:val="center"/>
                </w:tcPr>
                <w:p>
                  <w:pPr>
                    <w:spacing w:line="240" w:lineRule="atLeast"/>
                    <w:jc w:val="center"/>
                    <w:rPr>
                      <w:snapToGrid w:val="0"/>
                      <w:sz w:val="21"/>
                      <w:szCs w:val="21"/>
                      <w:highlight w:val="none"/>
                    </w:rPr>
                  </w:pPr>
                  <w:r>
                    <w:rPr>
                      <w:snapToGrid w:val="0"/>
                      <w:sz w:val="21"/>
                      <w:szCs w:val="21"/>
                      <w:highlight w:val="none"/>
                    </w:rPr>
                    <w:t>污染防治措施</w:t>
                  </w:r>
                </w:p>
              </w:tc>
            </w:tr>
            <w:tr>
              <w:trPr>
                <w:trHeight w:val="283"/>
              </w:trPr>
              <w:tc>
                <w:tcPr>
                  <w:tcW w:w="244" w:type="pct"/>
                  <w:vAlign w:val="center"/>
                </w:tcPr>
                <w:p>
                  <w:pPr>
                    <w:spacing w:line="240" w:lineRule="atLeast"/>
                    <w:jc w:val="center"/>
                    <w:rPr>
                      <w:snapToGrid w:val="0"/>
                      <w:sz w:val="21"/>
                      <w:szCs w:val="21"/>
                      <w:highlight w:val="none"/>
                    </w:rPr>
                  </w:pPr>
                  <w:r>
                    <w:rPr>
                      <w:snapToGrid w:val="0"/>
                      <w:sz w:val="21"/>
                      <w:szCs w:val="21"/>
                      <w:highlight w:val="none"/>
                    </w:rPr>
                    <w:t>1</w:t>
                  </w:r>
                </w:p>
              </w:tc>
              <w:tc>
                <w:tcPr>
                  <w:tcW w:w="450" w:type="pct"/>
                  <w:vAlign w:val="center"/>
                </w:tcPr>
                <w:p>
                  <w:pPr>
                    <w:jc w:val="center"/>
                    <w:rPr>
                      <w:sz w:val="21"/>
                      <w:szCs w:val="21"/>
                      <w:highlight w:val="none"/>
                    </w:rPr>
                  </w:pPr>
                  <w:r>
                    <w:rPr>
                      <w:sz w:val="21"/>
                      <w:szCs w:val="21"/>
                      <w:highlight w:val="none"/>
                    </w:rPr>
                    <w:t>废</w:t>
                  </w:r>
                  <w:r>
                    <w:rPr>
                      <w:rFonts w:hint="eastAsia"/>
                      <w:sz w:val="21"/>
                      <w:szCs w:val="21"/>
                      <w:highlight w:val="none"/>
                    </w:rPr>
                    <w:t>润滑</w:t>
                  </w:r>
                  <w:r>
                    <w:rPr>
                      <w:sz w:val="21"/>
                      <w:szCs w:val="21"/>
                      <w:highlight w:val="none"/>
                    </w:rPr>
                    <w:t>油</w:t>
                  </w:r>
                </w:p>
              </w:tc>
              <w:tc>
                <w:tcPr>
                  <w:tcW w:w="477" w:type="pct"/>
                  <w:vAlign w:val="center"/>
                </w:tcPr>
                <w:p>
                  <w:pPr>
                    <w:spacing w:line="240" w:lineRule="atLeast"/>
                    <w:jc w:val="center"/>
                    <w:rPr>
                      <w:snapToGrid w:val="0"/>
                      <w:sz w:val="21"/>
                      <w:szCs w:val="21"/>
                      <w:highlight w:val="none"/>
                    </w:rPr>
                  </w:pPr>
                  <w:r>
                    <w:rPr>
                      <w:sz w:val="21"/>
                      <w:szCs w:val="21"/>
                      <w:highlight w:val="none"/>
                    </w:rPr>
                    <w:t>HW08</w:t>
                  </w:r>
                </w:p>
              </w:tc>
              <w:tc>
                <w:tcPr>
                  <w:tcW w:w="664" w:type="pct"/>
                  <w:vAlign w:val="center"/>
                </w:tcPr>
                <w:p>
                  <w:pPr>
                    <w:spacing w:line="240" w:lineRule="atLeast"/>
                    <w:jc w:val="center"/>
                    <w:rPr>
                      <w:snapToGrid w:val="0"/>
                      <w:sz w:val="21"/>
                      <w:szCs w:val="21"/>
                      <w:highlight w:val="none"/>
                    </w:rPr>
                  </w:pPr>
                  <w:r>
                    <w:rPr>
                      <w:sz w:val="21"/>
                      <w:szCs w:val="21"/>
                      <w:highlight w:val="none"/>
                    </w:rPr>
                    <w:t>900-249-08</w:t>
                  </w:r>
                </w:p>
              </w:tc>
              <w:tc>
                <w:tcPr>
                  <w:tcW w:w="495" w:type="pct"/>
                  <w:vAlign w:val="center"/>
                </w:tcPr>
                <w:p>
                  <w:pPr>
                    <w:spacing w:line="240" w:lineRule="atLeast"/>
                    <w:jc w:val="center"/>
                    <w:rPr>
                      <w:snapToGrid w:val="0"/>
                      <w:sz w:val="21"/>
                      <w:szCs w:val="21"/>
                      <w:highlight w:val="none"/>
                    </w:rPr>
                  </w:pPr>
                  <w:r>
                    <w:rPr>
                      <w:rFonts w:hint="eastAsia"/>
                      <w:sz w:val="21"/>
                      <w:szCs w:val="21"/>
                      <w:highlight w:val="none"/>
                    </w:rPr>
                    <w:t>0.02</w:t>
                  </w:r>
                </w:p>
              </w:tc>
              <w:tc>
                <w:tcPr>
                  <w:tcW w:w="505" w:type="pct"/>
                  <w:vAlign w:val="center"/>
                </w:tcPr>
                <w:p>
                  <w:pPr>
                    <w:spacing w:line="240" w:lineRule="atLeast"/>
                    <w:jc w:val="center"/>
                    <w:rPr>
                      <w:snapToGrid w:val="0"/>
                      <w:sz w:val="21"/>
                      <w:szCs w:val="21"/>
                      <w:highlight w:val="none"/>
                    </w:rPr>
                  </w:pPr>
                  <w:r>
                    <w:rPr>
                      <w:snapToGrid w:val="0"/>
                      <w:sz w:val="21"/>
                      <w:szCs w:val="21"/>
                      <w:highlight w:val="none"/>
                    </w:rPr>
                    <w:t>设备维护</w:t>
                  </w:r>
                </w:p>
              </w:tc>
              <w:tc>
                <w:tcPr>
                  <w:tcW w:w="255" w:type="pct"/>
                  <w:vAlign w:val="center"/>
                </w:tcPr>
                <w:p>
                  <w:pPr>
                    <w:spacing w:line="240" w:lineRule="atLeast"/>
                    <w:jc w:val="center"/>
                    <w:rPr>
                      <w:snapToGrid w:val="0"/>
                      <w:sz w:val="21"/>
                      <w:szCs w:val="21"/>
                      <w:highlight w:val="none"/>
                    </w:rPr>
                  </w:pPr>
                  <w:r>
                    <w:rPr>
                      <w:snapToGrid w:val="0"/>
                      <w:sz w:val="21"/>
                      <w:szCs w:val="21"/>
                      <w:highlight w:val="none"/>
                    </w:rPr>
                    <w:t>液</w:t>
                  </w:r>
                </w:p>
              </w:tc>
              <w:tc>
                <w:tcPr>
                  <w:tcW w:w="413" w:type="pct"/>
                  <w:vAlign w:val="center"/>
                </w:tcPr>
                <w:p>
                  <w:pPr>
                    <w:spacing w:line="240" w:lineRule="atLeast"/>
                    <w:jc w:val="center"/>
                    <w:rPr>
                      <w:snapToGrid w:val="0"/>
                      <w:sz w:val="21"/>
                      <w:szCs w:val="21"/>
                      <w:highlight w:val="none"/>
                    </w:rPr>
                  </w:pPr>
                  <w:r>
                    <w:rPr>
                      <w:rFonts w:hint="eastAsia"/>
                      <w:sz w:val="21"/>
                      <w:szCs w:val="21"/>
                      <w:highlight w:val="none"/>
                    </w:rPr>
                    <w:t>矿物油</w:t>
                  </w:r>
                </w:p>
              </w:tc>
              <w:tc>
                <w:tcPr>
                  <w:tcW w:w="467" w:type="pct"/>
                  <w:vAlign w:val="center"/>
                </w:tcPr>
                <w:p>
                  <w:pPr>
                    <w:spacing w:line="240" w:lineRule="atLeast"/>
                    <w:jc w:val="center"/>
                    <w:rPr>
                      <w:snapToGrid w:val="0"/>
                      <w:sz w:val="21"/>
                      <w:szCs w:val="21"/>
                      <w:highlight w:val="none"/>
                    </w:rPr>
                  </w:pPr>
                  <w:r>
                    <w:rPr>
                      <w:rFonts w:hint="eastAsia"/>
                      <w:sz w:val="21"/>
                      <w:szCs w:val="21"/>
                      <w:highlight w:val="none"/>
                    </w:rPr>
                    <w:t>矿物油</w:t>
                  </w:r>
                </w:p>
              </w:tc>
              <w:tc>
                <w:tcPr>
                  <w:tcW w:w="341" w:type="pct"/>
                  <w:vAlign w:val="center"/>
                </w:tcPr>
                <w:p>
                  <w:pPr>
                    <w:spacing w:line="240" w:lineRule="atLeast"/>
                    <w:jc w:val="center"/>
                    <w:rPr>
                      <w:snapToGrid w:val="0"/>
                      <w:sz w:val="21"/>
                      <w:szCs w:val="21"/>
                      <w:highlight w:val="none"/>
                    </w:rPr>
                  </w:pPr>
                  <w:r>
                    <w:rPr>
                      <w:snapToGrid w:val="0"/>
                      <w:sz w:val="21"/>
                      <w:szCs w:val="21"/>
                      <w:highlight w:val="none"/>
                    </w:rPr>
                    <w:t>年</w:t>
                  </w:r>
                </w:p>
              </w:tc>
              <w:tc>
                <w:tcPr>
                  <w:tcW w:w="293" w:type="pct"/>
                  <w:vAlign w:val="center"/>
                </w:tcPr>
                <w:p>
                  <w:pPr>
                    <w:spacing w:line="240" w:lineRule="atLeast"/>
                    <w:jc w:val="center"/>
                    <w:rPr>
                      <w:snapToGrid w:val="0"/>
                      <w:sz w:val="21"/>
                      <w:szCs w:val="21"/>
                      <w:highlight w:val="none"/>
                    </w:rPr>
                  </w:pPr>
                  <w:r>
                    <w:rPr>
                      <w:snapToGrid w:val="0"/>
                      <w:sz w:val="21"/>
                      <w:szCs w:val="21"/>
                      <w:highlight w:val="none"/>
                    </w:rPr>
                    <w:t>T，I</w:t>
                  </w:r>
                </w:p>
              </w:tc>
              <w:tc>
                <w:tcPr>
                  <w:tcW w:w="397" w:type="pct"/>
                  <w:vMerge w:val="restart"/>
                  <w:vAlign w:val="center"/>
                </w:tcPr>
                <w:p>
                  <w:pPr>
                    <w:spacing w:line="240" w:lineRule="atLeast"/>
                    <w:jc w:val="center"/>
                    <w:rPr>
                      <w:snapToGrid w:val="0"/>
                      <w:sz w:val="21"/>
                      <w:szCs w:val="21"/>
                      <w:highlight w:val="none"/>
                    </w:rPr>
                  </w:pPr>
                  <w:r>
                    <w:rPr>
                      <w:snapToGrid w:val="0"/>
                      <w:sz w:val="21"/>
                      <w:szCs w:val="21"/>
                      <w:highlight w:val="none"/>
                    </w:rPr>
                    <w:t>委托有资质的单位处理</w:t>
                  </w:r>
                </w:p>
              </w:tc>
            </w:tr>
            <w:tr>
              <w:trPr>
                <w:trHeight w:val="283"/>
              </w:trPr>
              <w:tc>
                <w:tcPr>
                  <w:tcW w:w="244" w:type="pct"/>
                  <w:vAlign w:val="center"/>
                </w:tcPr>
                <w:p>
                  <w:pPr>
                    <w:spacing w:line="240" w:lineRule="atLeast"/>
                    <w:jc w:val="center"/>
                    <w:rPr>
                      <w:snapToGrid w:val="0"/>
                      <w:sz w:val="21"/>
                      <w:szCs w:val="21"/>
                      <w:highlight w:val="none"/>
                    </w:rPr>
                  </w:pPr>
                  <w:r>
                    <w:rPr>
                      <w:rFonts w:hint="eastAsia"/>
                      <w:snapToGrid w:val="0"/>
                      <w:sz w:val="21"/>
                      <w:szCs w:val="21"/>
                      <w:highlight w:val="none"/>
                    </w:rPr>
                    <w:t>2</w:t>
                  </w:r>
                </w:p>
              </w:tc>
              <w:tc>
                <w:tcPr>
                  <w:tcW w:w="450" w:type="pct"/>
                  <w:vAlign w:val="center"/>
                </w:tcPr>
                <w:p>
                  <w:pPr>
                    <w:jc w:val="center"/>
                    <w:rPr>
                      <w:sz w:val="21"/>
                      <w:szCs w:val="21"/>
                      <w:highlight w:val="none"/>
                    </w:rPr>
                  </w:pPr>
                  <w:r>
                    <w:rPr>
                      <w:sz w:val="21"/>
                      <w:szCs w:val="21"/>
                      <w:highlight w:val="none"/>
                    </w:rPr>
                    <w:t>废含油抹布</w:t>
                  </w:r>
                </w:p>
              </w:tc>
              <w:tc>
                <w:tcPr>
                  <w:tcW w:w="477" w:type="pct"/>
                  <w:vAlign w:val="center"/>
                </w:tcPr>
                <w:p>
                  <w:pPr>
                    <w:spacing w:line="240" w:lineRule="atLeast"/>
                    <w:jc w:val="center"/>
                    <w:rPr>
                      <w:snapToGrid w:val="0"/>
                      <w:sz w:val="21"/>
                      <w:szCs w:val="21"/>
                      <w:highlight w:val="none"/>
                    </w:rPr>
                  </w:pPr>
                  <w:r>
                    <w:rPr>
                      <w:sz w:val="21"/>
                      <w:szCs w:val="21"/>
                      <w:highlight w:val="none"/>
                    </w:rPr>
                    <w:t>HW49</w:t>
                  </w:r>
                </w:p>
              </w:tc>
              <w:tc>
                <w:tcPr>
                  <w:tcW w:w="664" w:type="pct"/>
                  <w:vAlign w:val="center"/>
                </w:tcPr>
                <w:p>
                  <w:pPr>
                    <w:spacing w:line="240" w:lineRule="atLeast"/>
                    <w:jc w:val="center"/>
                    <w:rPr>
                      <w:snapToGrid w:val="0"/>
                      <w:sz w:val="21"/>
                      <w:szCs w:val="21"/>
                      <w:highlight w:val="none"/>
                    </w:rPr>
                  </w:pPr>
                  <w:r>
                    <w:rPr>
                      <w:sz w:val="21"/>
                      <w:szCs w:val="21"/>
                      <w:highlight w:val="none"/>
                    </w:rPr>
                    <w:t>900-041-49</w:t>
                  </w:r>
                </w:p>
              </w:tc>
              <w:tc>
                <w:tcPr>
                  <w:tcW w:w="495" w:type="pct"/>
                  <w:vAlign w:val="center"/>
                </w:tcPr>
                <w:p>
                  <w:pPr>
                    <w:spacing w:line="240" w:lineRule="atLeast"/>
                    <w:jc w:val="center"/>
                    <w:rPr>
                      <w:snapToGrid w:val="0"/>
                      <w:sz w:val="21"/>
                      <w:szCs w:val="21"/>
                      <w:highlight w:val="none"/>
                    </w:rPr>
                  </w:pPr>
                  <w:r>
                    <w:rPr>
                      <w:rFonts w:hint="eastAsia"/>
                      <w:sz w:val="21"/>
                      <w:szCs w:val="21"/>
                      <w:highlight w:val="none"/>
                    </w:rPr>
                    <w:t>0.01</w:t>
                  </w:r>
                </w:p>
              </w:tc>
              <w:tc>
                <w:tcPr>
                  <w:tcW w:w="505" w:type="pct"/>
                  <w:vAlign w:val="center"/>
                </w:tcPr>
                <w:p>
                  <w:pPr>
                    <w:spacing w:line="240" w:lineRule="atLeast"/>
                    <w:jc w:val="center"/>
                    <w:rPr>
                      <w:snapToGrid w:val="0"/>
                      <w:sz w:val="21"/>
                      <w:szCs w:val="21"/>
                      <w:highlight w:val="none"/>
                    </w:rPr>
                  </w:pPr>
                  <w:r>
                    <w:rPr>
                      <w:snapToGrid w:val="0"/>
                      <w:sz w:val="21"/>
                      <w:szCs w:val="21"/>
                      <w:highlight w:val="none"/>
                    </w:rPr>
                    <w:t>设备维护</w:t>
                  </w:r>
                </w:p>
              </w:tc>
              <w:tc>
                <w:tcPr>
                  <w:tcW w:w="255" w:type="pct"/>
                  <w:vAlign w:val="center"/>
                </w:tcPr>
                <w:p>
                  <w:pPr>
                    <w:spacing w:line="240" w:lineRule="atLeast"/>
                    <w:jc w:val="center"/>
                    <w:rPr>
                      <w:snapToGrid w:val="0"/>
                      <w:sz w:val="21"/>
                      <w:szCs w:val="21"/>
                      <w:highlight w:val="none"/>
                    </w:rPr>
                  </w:pPr>
                  <w:r>
                    <w:rPr>
                      <w:snapToGrid w:val="0"/>
                      <w:sz w:val="21"/>
                      <w:szCs w:val="21"/>
                      <w:highlight w:val="none"/>
                    </w:rPr>
                    <w:t>固</w:t>
                  </w:r>
                </w:p>
              </w:tc>
              <w:tc>
                <w:tcPr>
                  <w:tcW w:w="413" w:type="pct"/>
                  <w:vAlign w:val="center"/>
                </w:tcPr>
                <w:p>
                  <w:pPr>
                    <w:spacing w:line="240" w:lineRule="atLeast"/>
                    <w:jc w:val="center"/>
                    <w:rPr>
                      <w:snapToGrid w:val="0"/>
                      <w:sz w:val="21"/>
                      <w:szCs w:val="21"/>
                      <w:highlight w:val="none"/>
                    </w:rPr>
                  </w:pPr>
                  <w:r>
                    <w:rPr>
                      <w:rFonts w:hint="eastAsia"/>
                      <w:sz w:val="21"/>
                      <w:szCs w:val="21"/>
                      <w:highlight w:val="none"/>
                    </w:rPr>
                    <w:t>矿物油</w:t>
                  </w:r>
                </w:p>
              </w:tc>
              <w:tc>
                <w:tcPr>
                  <w:tcW w:w="467" w:type="pct"/>
                  <w:vAlign w:val="center"/>
                </w:tcPr>
                <w:p>
                  <w:pPr>
                    <w:spacing w:line="240" w:lineRule="atLeast"/>
                    <w:jc w:val="center"/>
                    <w:rPr>
                      <w:snapToGrid w:val="0"/>
                      <w:sz w:val="21"/>
                      <w:szCs w:val="21"/>
                      <w:highlight w:val="none"/>
                    </w:rPr>
                  </w:pPr>
                  <w:r>
                    <w:rPr>
                      <w:rFonts w:hint="eastAsia"/>
                      <w:sz w:val="21"/>
                      <w:szCs w:val="21"/>
                      <w:highlight w:val="none"/>
                    </w:rPr>
                    <w:t>矿物油</w:t>
                  </w:r>
                </w:p>
              </w:tc>
              <w:tc>
                <w:tcPr>
                  <w:tcW w:w="341" w:type="pct"/>
                  <w:vAlign w:val="center"/>
                </w:tcPr>
                <w:p>
                  <w:pPr>
                    <w:spacing w:line="240" w:lineRule="atLeast"/>
                    <w:jc w:val="center"/>
                    <w:rPr>
                      <w:snapToGrid w:val="0"/>
                      <w:sz w:val="21"/>
                      <w:szCs w:val="21"/>
                      <w:highlight w:val="none"/>
                    </w:rPr>
                  </w:pPr>
                  <w:r>
                    <w:rPr>
                      <w:snapToGrid w:val="0"/>
                      <w:sz w:val="21"/>
                      <w:szCs w:val="21"/>
                      <w:highlight w:val="none"/>
                    </w:rPr>
                    <w:t>年</w:t>
                  </w:r>
                </w:p>
              </w:tc>
              <w:tc>
                <w:tcPr>
                  <w:tcW w:w="293" w:type="pct"/>
                  <w:vAlign w:val="center"/>
                </w:tcPr>
                <w:p>
                  <w:pPr>
                    <w:spacing w:line="240" w:lineRule="atLeast"/>
                    <w:jc w:val="center"/>
                    <w:rPr>
                      <w:snapToGrid w:val="0"/>
                      <w:sz w:val="21"/>
                      <w:szCs w:val="21"/>
                      <w:highlight w:val="none"/>
                    </w:rPr>
                  </w:pPr>
                  <w:r>
                    <w:rPr>
                      <w:snapToGrid w:val="0"/>
                      <w:sz w:val="21"/>
                      <w:szCs w:val="21"/>
                      <w:highlight w:val="none"/>
                    </w:rPr>
                    <w:t>T，I</w:t>
                  </w:r>
                </w:p>
              </w:tc>
              <w:tc>
                <w:tcPr>
                  <w:tcW w:w="397" w:type="pct"/>
                  <w:vMerge/>
                  <w:vAlign w:val="center"/>
                </w:tcPr>
                <w:p/>
              </w:tc>
            </w:tr>
            <w:tr>
              <w:trPr>
                <w:trHeight w:val="283"/>
              </w:trPr>
              <w:tc>
                <w:tcPr>
                  <w:tcW w:w="244" w:type="pct"/>
                  <w:vAlign w:val="center"/>
                </w:tcPr>
                <w:p>
                  <w:pPr>
                    <w:spacing w:line="240" w:lineRule="atLeast"/>
                    <w:jc w:val="center"/>
                    <w:rPr>
                      <w:snapToGrid w:val="0"/>
                      <w:sz w:val="21"/>
                      <w:szCs w:val="21"/>
                      <w:highlight w:val="none"/>
                    </w:rPr>
                  </w:pPr>
                  <w:r>
                    <w:rPr>
                      <w:rFonts w:hint="eastAsia"/>
                      <w:snapToGrid w:val="0"/>
                      <w:sz w:val="21"/>
                      <w:szCs w:val="21"/>
                      <w:highlight w:val="none"/>
                    </w:rPr>
                    <w:t>3</w:t>
                  </w:r>
                </w:p>
              </w:tc>
              <w:tc>
                <w:tcPr>
                  <w:tcW w:w="450" w:type="pct"/>
                  <w:vAlign w:val="center"/>
                </w:tcPr>
                <w:p>
                  <w:pPr>
                    <w:jc w:val="center"/>
                    <w:rPr>
                      <w:sz w:val="21"/>
                      <w:szCs w:val="21"/>
                      <w:highlight w:val="none"/>
                    </w:rPr>
                  </w:pPr>
                  <w:r>
                    <w:rPr>
                      <w:rFonts w:hint="eastAsia"/>
                      <w:sz w:val="21"/>
                      <w:szCs w:val="21"/>
                      <w:highlight w:val="none"/>
                    </w:rPr>
                    <w:t>废润滑油桶</w:t>
                  </w:r>
                </w:p>
              </w:tc>
              <w:tc>
                <w:tcPr>
                  <w:tcW w:w="477" w:type="pct"/>
                  <w:vAlign w:val="center"/>
                </w:tcPr>
                <w:p>
                  <w:pPr>
                    <w:spacing w:line="240" w:lineRule="atLeast"/>
                    <w:jc w:val="center"/>
                    <w:rPr>
                      <w:snapToGrid w:val="0"/>
                      <w:sz w:val="21"/>
                      <w:szCs w:val="21"/>
                      <w:highlight w:val="none"/>
                    </w:rPr>
                  </w:pPr>
                  <w:r>
                    <w:rPr>
                      <w:sz w:val="21"/>
                      <w:szCs w:val="21"/>
                      <w:highlight w:val="none"/>
                    </w:rPr>
                    <w:t>HW49</w:t>
                  </w:r>
                </w:p>
              </w:tc>
              <w:tc>
                <w:tcPr>
                  <w:tcW w:w="664" w:type="pct"/>
                  <w:vAlign w:val="center"/>
                </w:tcPr>
                <w:p>
                  <w:pPr>
                    <w:spacing w:line="240" w:lineRule="atLeast"/>
                    <w:jc w:val="center"/>
                    <w:rPr>
                      <w:snapToGrid w:val="0"/>
                      <w:sz w:val="21"/>
                      <w:szCs w:val="21"/>
                      <w:highlight w:val="none"/>
                    </w:rPr>
                  </w:pPr>
                  <w:r>
                    <w:rPr>
                      <w:sz w:val="21"/>
                      <w:szCs w:val="21"/>
                      <w:highlight w:val="none"/>
                    </w:rPr>
                    <w:t>900-041-49</w:t>
                  </w:r>
                </w:p>
              </w:tc>
              <w:tc>
                <w:tcPr>
                  <w:tcW w:w="495" w:type="pct"/>
                  <w:vAlign w:val="center"/>
                </w:tcPr>
                <w:p>
                  <w:pPr>
                    <w:spacing w:line="240" w:lineRule="atLeast"/>
                    <w:jc w:val="center"/>
                    <w:rPr>
                      <w:snapToGrid w:val="0"/>
                      <w:sz w:val="21"/>
                      <w:szCs w:val="21"/>
                      <w:highlight w:val="none"/>
                    </w:rPr>
                  </w:pPr>
                  <w:r>
                    <w:rPr>
                      <w:rFonts w:hint="eastAsia"/>
                      <w:sz w:val="21"/>
                      <w:szCs w:val="21"/>
                      <w:highlight w:val="none"/>
                    </w:rPr>
                    <w:t>0.01</w:t>
                  </w:r>
                </w:p>
              </w:tc>
              <w:tc>
                <w:tcPr>
                  <w:tcW w:w="505" w:type="pct"/>
                  <w:vAlign w:val="center"/>
                </w:tcPr>
                <w:p>
                  <w:pPr>
                    <w:spacing w:line="240" w:lineRule="atLeast"/>
                    <w:jc w:val="center"/>
                    <w:rPr>
                      <w:snapToGrid w:val="0"/>
                      <w:sz w:val="21"/>
                      <w:szCs w:val="21"/>
                      <w:highlight w:val="none"/>
                    </w:rPr>
                  </w:pPr>
                  <w:r>
                    <w:rPr>
                      <w:snapToGrid w:val="0"/>
                      <w:sz w:val="21"/>
                      <w:szCs w:val="21"/>
                      <w:highlight w:val="none"/>
                    </w:rPr>
                    <w:t>设备维护</w:t>
                  </w:r>
                </w:p>
              </w:tc>
              <w:tc>
                <w:tcPr>
                  <w:tcW w:w="255" w:type="pct"/>
                  <w:vAlign w:val="center"/>
                </w:tcPr>
                <w:p>
                  <w:pPr>
                    <w:spacing w:line="240" w:lineRule="atLeast"/>
                    <w:jc w:val="center"/>
                    <w:rPr>
                      <w:snapToGrid w:val="0"/>
                      <w:sz w:val="21"/>
                      <w:szCs w:val="21"/>
                      <w:highlight w:val="none"/>
                    </w:rPr>
                  </w:pPr>
                  <w:r>
                    <w:rPr>
                      <w:snapToGrid w:val="0"/>
                      <w:sz w:val="21"/>
                      <w:szCs w:val="21"/>
                      <w:highlight w:val="none"/>
                    </w:rPr>
                    <w:t>固</w:t>
                  </w:r>
                </w:p>
              </w:tc>
              <w:tc>
                <w:tcPr>
                  <w:tcW w:w="413" w:type="pct"/>
                  <w:vAlign w:val="center"/>
                </w:tcPr>
                <w:p>
                  <w:pPr>
                    <w:spacing w:line="240" w:lineRule="atLeast"/>
                    <w:jc w:val="center"/>
                    <w:rPr>
                      <w:snapToGrid w:val="0"/>
                      <w:sz w:val="21"/>
                      <w:szCs w:val="21"/>
                      <w:highlight w:val="none"/>
                    </w:rPr>
                  </w:pPr>
                  <w:r>
                    <w:rPr>
                      <w:rFonts w:hint="eastAsia"/>
                      <w:sz w:val="21"/>
                      <w:szCs w:val="21"/>
                      <w:highlight w:val="none"/>
                    </w:rPr>
                    <w:t>矿物油</w:t>
                  </w:r>
                </w:p>
              </w:tc>
              <w:tc>
                <w:tcPr>
                  <w:tcW w:w="467" w:type="pct"/>
                  <w:vAlign w:val="center"/>
                </w:tcPr>
                <w:p>
                  <w:pPr>
                    <w:spacing w:line="240" w:lineRule="atLeast"/>
                    <w:jc w:val="center"/>
                    <w:rPr>
                      <w:snapToGrid w:val="0"/>
                      <w:sz w:val="21"/>
                      <w:szCs w:val="21"/>
                      <w:highlight w:val="none"/>
                    </w:rPr>
                  </w:pPr>
                  <w:r>
                    <w:rPr>
                      <w:rFonts w:hint="eastAsia"/>
                      <w:sz w:val="21"/>
                      <w:szCs w:val="21"/>
                      <w:highlight w:val="none"/>
                    </w:rPr>
                    <w:t>矿物油</w:t>
                  </w:r>
                </w:p>
              </w:tc>
              <w:tc>
                <w:tcPr>
                  <w:tcW w:w="341" w:type="pct"/>
                  <w:vAlign w:val="center"/>
                </w:tcPr>
                <w:p>
                  <w:pPr>
                    <w:spacing w:line="240" w:lineRule="atLeast"/>
                    <w:jc w:val="center"/>
                    <w:rPr>
                      <w:snapToGrid w:val="0"/>
                      <w:sz w:val="21"/>
                      <w:szCs w:val="21"/>
                      <w:highlight w:val="none"/>
                    </w:rPr>
                  </w:pPr>
                  <w:r>
                    <w:rPr>
                      <w:snapToGrid w:val="0"/>
                      <w:sz w:val="21"/>
                      <w:szCs w:val="21"/>
                      <w:highlight w:val="none"/>
                    </w:rPr>
                    <w:t>年</w:t>
                  </w:r>
                </w:p>
              </w:tc>
              <w:tc>
                <w:tcPr>
                  <w:tcW w:w="293" w:type="pct"/>
                  <w:vAlign w:val="center"/>
                </w:tcPr>
                <w:p>
                  <w:pPr>
                    <w:spacing w:line="240" w:lineRule="atLeast"/>
                    <w:jc w:val="center"/>
                    <w:rPr>
                      <w:snapToGrid w:val="0"/>
                      <w:sz w:val="21"/>
                      <w:szCs w:val="21"/>
                      <w:highlight w:val="none"/>
                    </w:rPr>
                  </w:pPr>
                  <w:r>
                    <w:rPr>
                      <w:snapToGrid w:val="0"/>
                      <w:sz w:val="21"/>
                      <w:szCs w:val="21"/>
                      <w:highlight w:val="none"/>
                    </w:rPr>
                    <w:t>T，I</w:t>
                  </w:r>
                </w:p>
              </w:tc>
              <w:tc>
                <w:tcPr>
                  <w:tcW w:w="397" w:type="pct"/>
                  <w:vMerge/>
                  <w:vAlign w:val="center"/>
                </w:tcPr>
                <w:p/>
              </w:tc>
            </w:tr>
          </w:tbl>
          <w:p>
            <w:pPr>
              <w:snapToGrid w:val="0"/>
              <w:contextualSpacing/>
              <w:jc w:val="center"/>
              <w:rPr>
                <w:b/>
                <w:szCs w:val="21"/>
                <w:highlight w:val="none"/>
              </w:rPr>
            </w:pPr>
            <w:r>
              <w:rPr>
                <w:b/>
                <w:szCs w:val="21"/>
                <w:highlight w:val="none"/>
              </w:rPr>
              <w:t>表4-</w:t>
            </w:r>
            <w:r>
              <w:rPr>
                <w:rFonts w:hint="eastAsia"/>
                <w:b/>
                <w:szCs w:val="21"/>
                <w:highlight w:val="none"/>
              </w:rPr>
              <w:t>11</w:t>
            </w:r>
            <w:r>
              <w:rPr>
                <w:b/>
                <w:szCs w:val="21"/>
                <w:highlight w:val="none"/>
              </w:rPr>
              <w:t xml:space="preserve">  建设项目危险废物贮存场所基本情况表</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477"/>
              <w:gridCol w:w="906"/>
              <w:gridCol w:w="1225"/>
              <w:gridCol w:w="1108"/>
              <w:gridCol w:w="1131"/>
              <w:gridCol w:w="626"/>
              <w:gridCol w:w="628"/>
              <w:gridCol w:w="628"/>
              <w:gridCol w:w="753"/>
              <w:gridCol w:w="653"/>
            </w:tblGrid>
            <w:tr>
              <w:trPr>
                <w:trHeight w:val="283"/>
              </w:trPr>
              <w:tc>
                <w:tcPr>
                  <w:tcW w:w="293" w:type="pct"/>
                  <w:vAlign w:val="center"/>
                </w:tcPr>
                <w:p>
                  <w:pPr>
                    <w:spacing w:line="240" w:lineRule="atLeast"/>
                    <w:jc w:val="center"/>
                    <w:rPr>
                      <w:snapToGrid w:val="0"/>
                      <w:sz w:val="21"/>
                      <w:szCs w:val="21"/>
                      <w:highlight w:val="none"/>
                    </w:rPr>
                  </w:pPr>
                  <w:r>
                    <w:rPr>
                      <w:snapToGrid w:val="0"/>
                      <w:sz w:val="21"/>
                      <w:szCs w:val="21"/>
                      <w:highlight w:val="none"/>
                    </w:rPr>
                    <w:t>序号</w:t>
                  </w:r>
                </w:p>
              </w:tc>
              <w:tc>
                <w:tcPr>
                  <w:tcW w:w="557" w:type="pct"/>
                  <w:vAlign w:val="center"/>
                </w:tcPr>
                <w:p>
                  <w:pPr>
                    <w:spacing w:line="240" w:lineRule="atLeast"/>
                    <w:jc w:val="center"/>
                    <w:rPr>
                      <w:snapToGrid w:val="0"/>
                      <w:sz w:val="21"/>
                      <w:szCs w:val="21"/>
                      <w:highlight w:val="none"/>
                    </w:rPr>
                  </w:pPr>
                  <w:r>
                    <w:rPr>
                      <w:snapToGrid w:val="0"/>
                      <w:sz w:val="21"/>
                      <w:szCs w:val="21"/>
                      <w:highlight w:val="none"/>
                    </w:rPr>
                    <w:t>贮存场所名称</w:t>
                  </w:r>
                </w:p>
              </w:tc>
              <w:tc>
                <w:tcPr>
                  <w:tcW w:w="753" w:type="pct"/>
                  <w:vAlign w:val="center"/>
                </w:tcPr>
                <w:p>
                  <w:pPr>
                    <w:spacing w:line="240" w:lineRule="atLeast"/>
                    <w:jc w:val="center"/>
                    <w:rPr>
                      <w:snapToGrid w:val="0"/>
                      <w:sz w:val="21"/>
                      <w:szCs w:val="21"/>
                      <w:highlight w:val="none"/>
                    </w:rPr>
                  </w:pPr>
                  <w:r>
                    <w:rPr>
                      <w:snapToGrid w:val="0"/>
                      <w:sz w:val="21"/>
                      <w:szCs w:val="21"/>
                      <w:highlight w:val="none"/>
                    </w:rPr>
                    <w:t>危险废物名称</w:t>
                  </w:r>
                </w:p>
              </w:tc>
              <w:tc>
                <w:tcPr>
                  <w:tcW w:w="681" w:type="pct"/>
                  <w:vAlign w:val="center"/>
                </w:tcPr>
                <w:p>
                  <w:pPr>
                    <w:spacing w:line="240" w:lineRule="atLeast"/>
                    <w:jc w:val="center"/>
                    <w:rPr>
                      <w:snapToGrid w:val="0"/>
                      <w:sz w:val="21"/>
                      <w:szCs w:val="21"/>
                      <w:highlight w:val="none"/>
                    </w:rPr>
                  </w:pPr>
                  <w:r>
                    <w:rPr>
                      <w:snapToGrid w:val="0"/>
                      <w:sz w:val="21"/>
                      <w:szCs w:val="21"/>
                      <w:highlight w:val="none"/>
                    </w:rPr>
                    <w:t>危险废物</w:t>
                  </w:r>
                </w:p>
                <w:p>
                  <w:pPr>
                    <w:spacing w:line="240" w:lineRule="atLeast"/>
                    <w:jc w:val="center"/>
                    <w:rPr>
                      <w:snapToGrid w:val="0"/>
                      <w:sz w:val="21"/>
                      <w:szCs w:val="21"/>
                      <w:highlight w:val="none"/>
                    </w:rPr>
                  </w:pPr>
                  <w:r>
                    <w:rPr>
                      <w:snapToGrid w:val="0"/>
                      <w:sz w:val="21"/>
                      <w:szCs w:val="21"/>
                      <w:highlight w:val="none"/>
                    </w:rPr>
                    <w:t>类别</w:t>
                  </w:r>
                </w:p>
              </w:tc>
              <w:tc>
                <w:tcPr>
                  <w:tcW w:w="695" w:type="pct"/>
                  <w:vAlign w:val="center"/>
                </w:tcPr>
                <w:p>
                  <w:pPr>
                    <w:spacing w:line="240" w:lineRule="atLeast"/>
                    <w:jc w:val="center"/>
                    <w:rPr>
                      <w:snapToGrid w:val="0"/>
                      <w:sz w:val="21"/>
                      <w:szCs w:val="21"/>
                      <w:highlight w:val="none"/>
                    </w:rPr>
                  </w:pPr>
                  <w:r>
                    <w:rPr>
                      <w:snapToGrid w:val="0"/>
                      <w:sz w:val="21"/>
                      <w:szCs w:val="21"/>
                      <w:highlight w:val="none"/>
                    </w:rPr>
                    <w:t>危险废物</w:t>
                  </w:r>
                </w:p>
                <w:p>
                  <w:pPr>
                    <w:spacing w:line="240" w:lineRule="atLeast"/>
                    <w:jc w:val="center"/>
                    <w:rPr>
                      <w:snapToGrid w:val="0"/>
                      <w:sz w:val="21"/>
                      <w:szCs w:val="21"/>
                      <w:highlight w:val="none"/>
                    </w:rPr>
                  </w:pPr>
                  <w:r>
                    <w:rPr>
                      <w:snapToGrid w:val="0"/>
                      <w:sz w:val="21"/>
                      <w:szCs w:val="21"/>
                      <w:highlight w:val="none"/>
                    </w:rPr>
                    <w:t>代码</w:t>
                  </w:r>
                </w:p>
              </w:tc>
              <w:tc>
                <w:tcPr>
                  <w:tcW w:w="385" w:type="pct"/>
                  <w:vAlign w:val="center"/>
                </w:tcPr>
                <w:p>
                  <w:pPr>
                    <w:spacing w:line="240" w:lineRule="atLeast"/>
                    <w:jc w:val="center"/>
                    <w:rPr>
                      <w:snapToGrid w:val="0"/>
                      <w:sz w:val="21"/>
                      <w:szCs w:val="21"/>
                      <w:highlight w:val="none"/>
                    </w:rPr>
                  </w:pPr>
                  <w:r>
                    <w:rPr>
                      <w:snapToGrid w:val="0"/>
                      <w:sz w:val="21"/>
                      <w:szCs w:val="21"/>
                      <w:highlight w:val="none"/>
                    </w:rPr>
                    <w:t>位置</w:t>
                  </w:r>
                </w:p>
              </w:tc>
              <w:tc>
                <w:tcPr>
                  <w:tcW w:w="386" w:type="pct"/>
                  <w:vAlign w:val="center"/>
                </w:tcPr>
                <w:p>
                  <w:pPr>
                    <w:spacing w:line="240" w:lineRule="atLeast"/>
                    <w:jc w:val="center"/>
                    <w:rPr>
                      <w:snapToGrid w:val="0"/>
                      <w:sz w:val="21"/>
                      <w:szCs w:val="21"/>
                      <w:highlight w:val="none"/>
                    </w:rPr>
                  </w:pPr>
                  <w:r>
                    <w:rPr>
                      <w:snapToGrid w:val="0"/>
                      <w:sz w:val="21"/>
                      <w:szCs w:val="21"/>
                      <w:highlight w:val="none"/>
                    </w:rPr>
                    <w:t>占地面积</w:t>
                  </w:r>
                </w:p>
              </w:tc>
              <w:tc>
                <w:tcPr>
                  <w:tcW w:w="386" w:type="pct"/>
                  <w:vAlign w:val="center"/>
                </w:tcPr>
                <w:p>
                  <w:pPr>
                    <w:spacing w:line="240" w:lineRule="atLeast"/>
                    <w:jc w:val="center"/>
                    <w:rPr>
                      <w:snapToGrid w:val="0"/>
                      <w:sz w:val="21"/>
                      <w:szCs w:val="21"/>
                      <w:highlight w:val="none"/>
                    </w:rPr>
                  </w:pPr>
                  <w:r>
                    <w:rPr>
                      <w:snapToGrid w:val="0"/>
                      <w:sz w:val="21"/>
                      <w:szCs w:val="21"/>
                      <w:highlight w:val="none"/>
                    </w:rPr>
                    <w:t>贮存方式</w:t>
                  </w:r>
                </w:p>
              </w:tc>
              <w:tc>
                <w:tcPr>
                  <w:tcW w:w="463" w:type="pct"/>
                  <w:vAlign w:val="center"/>
                </w:tcPr>
                <w:p>
                  <w:pPr>
                    <w:spacing w:line="240" w:lineRule="atLeast"/>
                    <w:jc w:val="center"/>
                    <w:rPr>
                      <w:snapToGrid w:val="0"/>
                      <w:sz w:val="21"/>
                      <w:szCs w:val="21"/>
                      <w:highlight w:val="none"/>
                    </w:rPr>
                  </w:pPr>
                  <w:r>
                    <w:rPr>
                      <w:snapToGrid w:val="0"/>
                      <w:sz w:val="21"/>
                      <w:szCs w:val="21"/>
                      <w:highlight w:val="none"/>
                    </w:rPr>
                    <w:t>贮存</w:t>
                  </w:r>
                </w:p>
                <w:p>
                  <w:pPr>
                    <w:spacing w:line="240" w:lineRule="atLeast"/>
                    <w:jc w:val="center"/>
                    <w:rPr>
                      <w:snapToGrid w:val="0"/>
                      <w:sz w:val="21"/>
                      <w:szCs w:val="21"/>
                      <w:highlight w:val="none"/>
                    </w:rPr>
                  </w:pPr>
                  <w:r>
                    <w:rPr>
                      <w:snapToGrid w:val="0"/>
                      <w:sz w:val="21"/>
                      <w:szCs w:val="21"/>
                      <w:highlight w:val="none"/>
                    </w:rPr>
                    <w:t>能力</w:t>
                  </w:r>
                </w:p>
              </w:tc>
              <w:tc>
                <w:tcPr>
                  <w:tcW w:w="401" w:type="pct"/>
                  <w:vAlign w:val="center"/>
                </w:tcPr>
                <w:p>
                  <w:pPr>
                    <w:spacing w:line="240" w:lineRule="atLeast"/>
                    <w:jc w:val="center"/>
                    <w:rPr>
                      <w:snapToGrid w:val="0"/>
                      <w:sz w:val="21"/>
                      <w:szCs w:val="21"/>
                      <w:highlight w:val="none"/>
                    </w:rPr>
                  </w:pPr>
                  <w:r>
                    <w:rPr>
                      <w:snapToGrid w:val="0"/>
                      <w:sz w:val="21"/>
                      <w:szCs w:val="21"/>
                      <w:highlight w:val="none"/>
                    </w:rPr>
                    <w:t>贮存</w:t>
                  </w:r>
                </w:p>
                <w:p>
                  <w:pPr>
                    <w:spacing w:line="240" w:lineRule="atLeast"/>
                    <w:jc w:val="center"/>
                    <w:rPr>
                      <w:snapToGrid w:val="0"/>
                      <w:sz w:val="21"/>
                      <w:szCs w:val="21"/>
                      <w:highlight w:val="none"/>
                    </w:rPr>
                  </w:pPr>
                  <w:r>
                    <w:rPr>
                      <w:snapToGrid w:val="0"/>
                      <w:sz w:val="21"/>
                      <w:szCs w:val="21"/>
                      <w:highlight w:val="none"/>
                    </w:rPr>
                    <w:t>周期</w:t>
                  </w:r>
                </w:p>
              </w:tc>
            </w:tr>
            <w:tr>
              <w:trPr>
                <w:trHeight w:val="283"/>
              </w:trPr>
              <w:tc>
                <w:tcPr>
                  <w:tcW w:w="293" w:type="pct"/>
                  <w:vAlign w:val="center"/>
                </w:tcPr>
                <w:p>
                  <w:pPr>
                    <w:spacing w:line="240" w:lineRule="atLeast"/>
                    <w:jc w:val="center"/>
                    <w:rPr>
                      <w:snapToGrid w:val="0"/>
                      <w:sz w:val="21"/>
                      <w:szCs w:val="21"/>
                      <w:highlight w:val="none"/>
                    </w:rPr>
                  </w:pPr>
                  <w:r>
                    <w:rPr>
                      <w:snapToGrid w:val="0"/>
                      <w:sz w:val="21"/>
                      <w:szCs w:val="21"/>
                      <w:highlight w:val="none"/>
                    </w:rPr>
                    <w:t>1</w:t>
                  </w:r>
                </w:p>
              </w:tc>
              <w:tc>
                <w:tcPr>
                  <w:tcW w:w="557" w:type="pct"/>
                  <w:vMerge w:val="restart"/>
                  <w:vAlign w:val="center"/>
                </w:tcPr>
                <w:p>
                  <w:pPr>
                    <w:spacing w:line="240" w:lineRule="atLeast"/>
                    <w:jc w:val="center"/>
                    <w:rPr>
                      <w:snapToGrid w:val="0"/>
                      <w:sz w:val="21"/>
                      <w:szCs w:val="21"/>
                      <w:highlight w:val="none"/>
                    </w:rPr>
                  </w:pPr>
                  <w:r>
                    <w:rPr>
                      <w:snapToGrid w:val="0"/>
                      <w:sz w:val="21"/>
                      <w:szCs w:val="21"/>
                      <w:highlight w:val="none"/>
                    </w:rPr>
                    <w:t>危废暂存间</w:t>
                  </w:r>
                </w:p>
              </w:tc>
              <w:tc>
                <w:tcPr>
                  <w:tcW w:w="753" w:type="pct"/>
                  <w:vAlign w:val="center"/>
                </w:tcPr>
                <w:p>
                  <w:pPr>
                    <w:jc w:val="center"/>
                    <w:rPr>
                      <w:sz w:val="21"/>
                      <w:szCs w:val="21"/>
                      <w:highlight w:val="none"/>
                    </w:rPr>
                  </w:pPr>
                  <w:r>
                    <w:rPr>
                      <w:sz w:val="21"/>
                      <w:szCs w:val="21"/>
                      <w:highlight w:val="none"/>
                    </w:rPr>
                    <w:t>废</w:t>
                  </w:r>
                  <w:r>
                    <w:rPr>
                      <w:rFonts w:hint="eastAsia"/>
                      <w:sz w:val="21"/>
                      <w:szCs w:val="21"/>
                      <w:highlight w:val="none"/>
                    </w:rPr>
                    <w:t>润滑</w:t>
                  </w:r>
                  <w:r>
                    <w:rPr>
                      <w:sz w:val="21"/>
                      <w:szCs w:val="21"/>
                      <w:highlight w:val="none"/>
                    </w:rPr>
                    <w:t>油</w:t>
                  </w:r>
                </w:p>
              </w:tc>
              <w:tc>
                <w:tcPr>
                  <w:tcW w:w="681" w:type="pct"/>
                  <w:vAlign w:val="center"/>
                </w:tcPr>
                <w:p>
                  <w:pPr>
                    <w:spacing w:line="240" w:lineRule="atLeast"/>
                    <w:jc w:val="center"/>
                    <w:rPr>
                      <w:snapToGrid w:val="0"/>
                      <w:sz w:val="21"/>
                      <w:szCs w:val="21"/>
                      <w:highlight w:val="none"/>
                    </w:rPr>
                  </w:pPr>
                  <w:r>
                    <w:rPr>
                      <w:sz w:val="21"/>
                      <w:szCs w:val="21"/>
                      <w:highlight w:val="none"/>
                    </w:rPr>
                    <w:t>HW08</w:t>
                  </w:r>
                </w:p>
              </w:tc>
              <w:tc>
                <w:tcPr>
                  <w:tcW w:w="695" w:type="pct"/>
                  <w:vAlign w:val="center"/>
                </w:tcPr>
                <w:p>
                  <w:pPr>
                    <w:spacing w:line="240" w:lineRule="atLeast"/>
                    <w:jc w:val="center"/>
                    <w:rPr>
                      <w:snapToGrid w:val="0"/>
                      <w:sz w:val="21"/>
                      <w:szCs w:val="21"/>
                      <w:highlight w:val="none"/>
                    </w:rPr>
                  </w:pPr>
                  <w:r>
                    <w:rPr>
                      <w:sz w:val="21"/>
                      <w:szCs w:val="21"/>
                      <w:highlight w:val="none"/>
                    </w:rPr>
                    <w:t>900-249-08</w:t>
                  </w:r>
                </w:p>
              </w:tc>
              <w:tc>
                <w:tcPr>
                  <w:tcW w:w="385" w:type="pct"/>
                  <w:vMerge w:val="restart"/>
                  <w:vAlign w:val="center"/>
                </w:tcPr>
                <w:p>
                  <w:pPr>
                    <w:spacing w:line="240" w:lineRule="atLeast"/>
                    <w:jc w:val="center"/>
                    <w:rPr>
                      <w:snapToGrid w:val="0"/>
                      <w:sz w:val="21"/>
                      <w:szCs w:val="21"/>
                      <w:highlight w:val="none"/>
                    </w:rPr>
                  </w:pPr>
                  <w:r>
                    <w:rPr>
                      <w:rFonts w:hint="eastAsia"/>
                      <w:snapToGrid w:val="0"/>
                      <w:sz w:val="21"/>
                      <w:szCs w:val="21"/>
                      <w:highlight w:val="none"/>
                    </w:rPr>
                    <w:t>机修及仓库车间</w:t>
                  </w:r>
                </w:p>
              </w:tc>
              <w:tc>
                <w:tcPr>
                  <w:tcW w:w="386" w:type="pct"/>
                  <w:vMerge w:val="restart"/>
                  <w:vAlign w:val="center"/>
                </w:tcPr>
                <w:p>
                  <w:pPr>
                    <w:spacing w:line="240" w:lineRule="atLeast"/>
                    <w:jc w:val="center"/>
                    <w:rPr>
                      <w:snapToGrid w:val="0"/>
                      <w:sz w:val="21"/>
                      <w:szCs w:val="21"/>
                      <w:highlight w:val="none"/>
                    </w:rPr>
                  </w:pPr>
                  <w:r>
                    <w:rPr>
                      <w:rFonts w:hint="eastAsia"/>
                      <w:snapToGrid w:val="0"/>
                      <w:sz w:val="21"/>
                      <w:szCs w:val="21"/>
                      <w:highlight w:val="none"/>
                    </w:rPr>
                    <w:t>5</w:t>
                  </w:r>
                  <w:r>
                    <w:rPr>
                      <w:snapToGrid w:val="0"/>
                      <w:sz w:val="21"/>
                      <w:szCs w:val="21"/>
                      <w:highlight w:val="none"/>
                    </w:rPr>
                    <w:t>m</w:t>
                  </w:r>
                  <w:r>
                    <w:rPr>
                      <w:snapToGrid w:val="0"/>
                      <w:sz w:val="21"/>
                      <w:szCs w:val="21"/>
                      <w:vertAlign w:val="superscript"/>
                      <w:highlight w:val="none"/>
                    </w:rPr>
                    <w:t>2</w:t>
                  </w:r>
                </w:p>
              </w:tc>
              <w:tc>
                <w:tcPr>
                  <w:tcW w:w="386" w:type="pct"/>
                  <w:vAlign w:val="center"/>
                </w:tcPr>
                <w:p>
                  <w:pPr>
                    <w:spacing w:line="240" w:lineRule="atLeast"/>
                    <w:jc w:val="center"/>
                    <w:rPr>
                      <w:snapToGrid w:val="0"/>
                      <w:sz w:val="21"/>
                      <w:szCs w:val="21"/>
                      <w:highlight w:val="none"/>
                    </w:rPr>
                  </w:pPr>
                  <w:r>
                    <w:rPr>
                      <w:snapToGrid w:val="0"/>
                      <w:sz w:val="21"/>
                      <w:szCs w:val="21"/>
                      <w:highlight w:val="none"/>
                    </w:rPr>
                    <w:t>桶装</w:t>
                  </w:r>
                </w:p>
              </w:tc>
              <w:tc>
                <w:tcPr>
                  <w:tcW w:w="463" w:type="pct"/>
                  <w:vMerge w:val="restart"/>
                  <w:vAlign w:val="center"/>
                </w:tcPr>
                <w:p>
                  <w:pPr>
                    <w:spacing w:line="240" w:lineRule="atLeast"/>
                    <w:jc w:val="center"/>
                    <w:rPr>
                      <w:sz w:val="21"/>
                      <w:szCs w:val="21"/>
                      <w:highlight w:val="none"/>
                    </w:rPr>
                  </w:pPr>
                  <w:r>
                    <w:rPr>
                      <w:rFonts w:hint="eastAsia"/>
                      <w:sz w:val="21"/>
                      <w:szCs w:val="21"/>
                      <w:highlight w:val="none"/>
                    </w:rPr>
                    <w:t>2</w:t>
                  </w:r>
                  <w:r>
                    <w:rPr>
                      <w:sz w:val="21"/>
                      <w:szCs w:val="21"/>
                      <w:highlight w:val="none"/>
                    </w:rPr>
                    <w:t>t</w:t>
                  </w:r>
                </w:p>
              </w:tc>
              <w:tc>
                <w:tcPr>
                  <w:tcW w:w="401" w:type="pct"/>
                  <w:vMerge w:val="restart"/>
                  <w:vAlign w:val="center"/>
                </w:tcPr>
                <w:p>
                  <w:pPr>
                    <w:spacing w:line="240" w:lineRule="atLeast"/>
                    <w:jc w:val="center"/>
                    <w:rPr>
                      <w:snapToGrid w:val="0"/>
                      <w:sz w:val="21"/>
                      <w:szCs w:val="21"/>
                      <w:highlight w:val="none"/>
                    </w:rPr>
                  </w:pPr>
                  <w:r>
                    <w:rPr>
                      <w:snapToGrid w:val="0"/>
                      <w:sz w:val="21"/>
                      <w:szCs w:val="21"/>
                      <w:highlight w:val="none"/>
                    </w:rPr>
                    <w:t>年</w:t>
                  </w:r>
                </w:p>
              </w:tc>
            </w:tr>
            <w:tr>
              <w:trPr>
                <w:trHeight w:val="283"/>
              </w:trPr>
              <w:tc>
                <w:tcPr>
                  <w:tcW w:w="293" w:type="pct"/>
                  <w:vAlign w:val="center"/>
                </w:tcPr>
                <w:p>
                  <w:pPr>
                    <w:spacing w:line="240" w:lineRule="atLeast"/>
                    <w:jc w:val="center"/>
                    <w:rPr>
                      <w:snapToGrid w:val="0"/>
                      <w:sz w:val="21"/>
                      <w:szCs w:val="21"/>
                      <w:highlight w:val="none"/>
                    </w:rPr>
                  </w:pPr>
                  <w:r>
                    <w:rPr>
                      <w:snapToGrid w:val="0"/>
                      <w:sz w:val="21"/>
                      <w:szCs w:val="21"/>
                      <w:highlight w:val="none"/>
                    </w:rPr>
                    <w:t>2</w:t>
                  </w:r>
                </w:p>
              </w:tc>
              <w:tc>
                <w:tcPr>
                  <w:tcW w:w="557" w:type="pct"/>
                  <w:vMerge/>
                  <w:vAlign w:val="center"/>
                </w:tcPr>
                <w:p/>
              </w:tc>
              <w:tc>
                <w:tcPr>
                  <w:tcW w:w="753" w:type="pct"/>
                  <w:vAlign w:val="center"/>
                </w:tcPr>
                <w:p>
                  <w:pPr>
                    <w:jc w:val="center"/>
                    <w:rPr>
                      <w:sz w:val="21"/>
                      <w:szCs w:val="21"/>
                      <w:highlight w:val="none"/>
                    </w:rPr>
                  </w:pPr>
                  <w:r>
                    <w:rPr>
                      <w:sz w:val="21"/>
                      <w:szCs w:val="21"/>
                      <w:highlight w:val="none"/>
                    </w:rPr>
                    <w:t>废含油抹布</w:t>
                  </w:r>
                </w:p>
              </w:tc>
              <w:tc>
                <w:tcPr>
                  <w:tcW w:w="681" w:type="pct"/>
                  <w:vAlign w:val="center"/>
                </w:tcPr>
                <w:p>
                  <w:pPr>
                    <w:spacing w:line="240" w:lineRule="atLeast"/>
                    <w:jc w:val="center"/>
                    <w:rPr>
                      <w:snapToGrid w:val="0"/>
                      <w:sz w:val="21"/>
                      <w:szCs w:val="21"/>
                      <w:highlight w:val="none"/>
                    </w:rPr>
                  </w:pPr>
                  <w:r>
                    <w:rPr>
                      <w:sz w:val="21"/>
                      <w:szCs w:val="21"/>
                      <w:highlight w:val="none"/>
                    </w:rPr>
                    <w:t>HW49</w:t>
                  </w:r>
                </w:p>
              </w:tc>
              <w:tc>
                <w:tcPr>
                  <w:tcW w:w="695" w:type="pct"/>
                  <w:vAlign w:val="center"/>
                </w:tcPr>
                <w:p>
                  <w:pPr>
                    <w:spacing w:line="240" w:lineRule="atLeast"/>
                    <w:jc w:val="center"/>
                    <w:rPr>
                      <w:snapToGrid w:val="0"/>
                      <w:sz w:val="21"/>
                      <w:szCs w:val="21"/>
                      <w:highlight w:val="none"/>
                    </w:rPr>
                  </w:pPr>
                  <w:r>
                    <w:rPr>
                      <w:sz w:val="21"/>
                      <w:szCs w:val="21"/>
                      <w:highlight w:val="none"/>
                    </w:rPr>
                    <w:t>900-041-49</w:t>
                  </w:r>
                </w:p>
              </w:tc>
              <w:tc>
                <w:tcPr>
                  <w:tcW w:w="385" w:type="pct"/>
                  <w:vMerge/>
                  <w:vAlign w:val="center"/>
                </w:tcPr>
                <w:p/>
              </w:tc>
              <w:tc>
                <w:tcPr>
                  <w:tcW w:w="386" w:type="pct"/>
                  <w:vMerge/>
                  <w:vAlign w:val="center"/>
                </w:tcPr>
                <w:p/>
              </w:tc>
              <w:tc>
                <w:tcPr>
                  <w:tcW w:w="386" w:type="pct"/>
                  <w:vAlign w:val="center"/>
                </w:tcPr>
                <w:p>
                  <w:pPr>
                    <w:spacing w:line="240" w:lineRule="atLeast"/>
                    <w:jc w:val="center"/>
                    <w:rPr>
                      <w:snapToGrid w:val="0"/>
                      <w:sz w:val="21"/>
                      <w:szCs w:val="21"/>
                      <w:highlight w:val="none"/>
                    </w:rPr>
                  </w:pPr>
                  <w:r>
                    <w:rPr>
                      <w:snapToGrid w:val="0"/>
                      <w:sz w:val="21"/>
                      <w:szCs w:val="21"/>
                      <w:highlight w:val="none"/>
                    </w:rPr>
                    <w:t>桶装</w:t>
                  </w:r>
                </w:p>
              </w:tc>
              <w:tc>
                <w:tcPr>
                  <w:tcW w:w="463" w:type="pct"/>
                  <w:vMerge/>
                  <w:vAlign w:val="center"/>
                </w:tcPr>
                <w:p/>
              </w:tc>
              <w:tc>
                <w:tcPr>
                  <w:tcW w:w="401" w:type="pct"/>
                  <w:vMerge/>
                  <w:vAlign w:val="center"/>
                </w:tcPr>
                <w:p/>
              </w:tc>
            </w:tr>
            <w:tr>
              <w:trPr>
                <w:trHeight w:val="283"/>
              </w:trPr>
              <w:tc>
                <w:tcPr>
                  <w:tcW w:w="293" w:type="pct"/>
                  <w:vAlign w:val="center"/>
                </w:tcPr>
                <w:p>
                  <w:pPr>
                    <w:spacing w:line="240" w:lineRule="atLeast"/>
                    <w:jc w:val="center"/>
                    <w:rPr>
                      <w:snapToGrid w:val="0"/>
                      <w:sz w:val="21"/>
                      <w:szCs w:val="21"/>
                      <w:highlight w:val="none"/>
                    </w:rPr>
                  </w:pPr>
                  <w:r>
                    <w:rPr>
                      <w:snapToGrid w:val="0"/>
                      <w:sz w:val="21"/>
                      <w:szCs w:val="21"/>
                      <w:highlight w:val="none"/>
                    </w:rPr>
                    <w:t>3</w:t>
                  </w:r>
                </w:p>
              </w:tc>
              <w:tc>
                <w:tcPr>
                  <w:tcW w:w="557" w:type="pct"/>
                  <w:vMerge/>
                  <w:vAlign w:val="center"/>
                </w:tcPr>
                <w:p/>
              </w:tc>
              <w:tc>
                <w:tcPr>
                  <w:tcW w:w="753" w:type="pct"/>
                  <w:vAlign w:val="center"/>
                </w:tcPr>
                <w:p>
                  <w:pPr>
                    <w:jc w:val="center"/>
                    <w:rPr>
                      <w:sz w:val="21"/>
                      <w:szCs w:val="21"/>
                      <w:highlight w:val="none"/>
                    </w:rPr>
                  </w:pPr>
                  <w:r>
                    <w:rPr>
                      <w:rFonts w:hint="eastAsia"/>
                      <w:sz w:val="21"/>
                      <w:szCs w:val="21"/>
                      <w:highlight w:val="none"/>
                    </w:rPr>
                    <w:t>废润滑油桶</w:t>
                  </w:r>
                </w:p>
              </w:tc>
              <w:tc>
                <w:tcPr>
                  <w:tcW w:w="681" w:type="pct"/>
                  <w:vAlign w:val="center"/>
                </w:tcPr>
                <w:p>
                  <w:pPr>
                    <w:spacing w:line="240" w:lineRule="atLeast"/>
                    <w:jc w:val="center"/>
                    <w:rPr>
                      <w:snapToGrid w:val="0"/>
                      <w:sz w:val="21"/>
                      <w:szCs w:val="21"/>
                      <w:highlight w:val="none"/>
                    </w:rPr>
                  </w:pPr>
                  <w:r>
                    <w:rPr>
                      <w:sz w:val="21"/>
                      <w:szCs w:val="21"/>
                      <w:highlight w:val="none"/>
                    </w:rPr>
                    <w:t>HW49</w:t>
                  </w:r>
                </w:p>
              </w:tc>
              <w:tc>
                <w:tcPr>
                  <w:tcW w:w="695" w:type="pct"/>
                  <w:vAlign w:val="center"/>
                </w:tcPr>
                <w:p>
                  <w:pPr>
                    <w:spacing w:line="240" w:lineRule="atLeast"/>
                    <w:jc w:val="center"/>
                    <w:rPr>
                      <w:snapToGrid w:val="0"/>
                      <w:sz w:val="21"/>
                      <w:szCs w:val="21"/>
                      <w:highlight w:val="none"/>
                    </w:rPr>
                  </w:pPr>
                  <w:r>
                    <w:rPr>
                      <w:sz w:val="21"/>
                      <w:szCs w:val="21"/>
                      <w:highlight w:val="none"/>
                    </w:rPr>
                    <w:t>900-041-49</w:t>
                  </w:r>
                </w:p>
              </w:tc>
              <w:tc>
                <w:tcPr>
                  <w:tcW w:w="385" w:type="pct"/>
                  <w:vMerge/>
                  <w:vAlign w:val="center"/>
                </w:tcPr>
                <w:p/>
              </w:tc>
              <w:tc>
                <w:tcPr>
                  <w:tcW w:w="386" w:type="pct"/>
                  <w:vMerge/>
                  <w:vAlign w:val="center"/>
                </w:tcPr>
                <w:p/>
              </w:tc>
              <w:tc>
                <w:tcPr>
                  <w:tcW w:w="386" w:type="pct"/>
                  <w:vAlign w:val="center"/>
                </w:tcPr>
                <w:p>
                  <w:pPr>
                    <w:spacing w:line="240" w:lineRule="atLeast"/>
                    <w:jc w:val="center"/>
                    <w:rPr>
                      <w:snapToGrid w:val="0"/>
                      <w:sz w:val="21"/>
                      <w:szCs w:val="21"/>
                      <w:highlight w:val="none"/>
                    </w:rPr>
                  </w:pPr>
                  <w:r>
                    <w:rPr>
                      <w:snapToGrid w:val="0"/>
                      <w:sz w:val="21"/>
                      <w:szCs w:val="21"/>
                      <w:highlight w:val="none"/>
                    </w:rPr>
                    <w:t>桶装</w:t>
                  </w:r>
                </w:p>
              </w:tc>
              <w:tc>
                <w:tcPr>
                  <w:tcW w:w="463" w:type="pct"/>
                  <w:vMerge/>
                  <w:vAlign w:val="center"/>
                </w:tcPr>
                <w:p/>
              </w:tc>
              <w:tc>
                <w:tcPr>
                  <w:tcW w:w="401" w:type="pct"/>
                  <w:vMerge/>
                  <w:vAlign w:val="center"/>
                </w:tcPr>
                <w:p/>
              </w:tc>
            </w:tr>
          </w:tbl>
          <w:p>
            <w:pPr>
              <w:adjustRightInd w:val="0"/>
              <w:spacing w:line="360" w:lineRule="auto"/>
              <w:rPr>
                <w:b/>
                <w:sz w:val="24"/>
                <w:highlight w:val="none"/>
              </w:rPr>
            </w:pPr>
            <w:r>
              <w:rPr>
                <w:b/>
                <w:sz w:val="24"/>
                <w:highlight w:val="none"/>
              </w:rPr>
              <w:t>4.2</w:t>
            </w:r>
            <w:r>
              <w:rPr>
                <w:rFonts w:hint="eastAsia"/>
                <w:b/>
                <w:sz w:val="24"/>
                <w:highlight w:val="none"/>
              </w:rPr>
              <w:t>处置方式及去向</w:t>
            </w:r>
          </w:p>
          <w:p>
            <w:pPr>
              <w:adjustRightInd w:val="0"/>
              <w:snapToGrid w:val="0"/>
              <w:spacing w:line="360" w:lineRule="auto"/>
              <w:ind w:firstLineChars="200" w:firstLine="480"/>
              <w:rPr>
                <w:sz w:val="24"/>
                <w:u w:val="single"/>
                <w:highlight w:val="none"/>
              </w:rPr>
            </w:pPr>
            <w:r>
              <w:rPr>
                <w:rFonts w:hint="eastAsia"/>
                <w:sz w:val="24"/>
                <w:u w:val="single"/>
                <w:highlight w:val="none"/>
              </w:rPr>
              <w:t>一般工业固体废物主要为排泥水处理系统产生的污泥，主要成分为砂石，属于一般工业固体废物，脱水后</w:t>
            </w:r>
            <w:r>
              <w:rPr>
                <w:rFonts w:hint="eastAsia"/>
                <w:bCs/>
                <w:color w:val="auto"/>
                <w:sz w:val="24"/>
                <w:u w:val="single"/>
                <w:highlight w:val="none"/>
              </w:rPr>
              <w:t>外运至</w:t>
            </w:r>
            <w:r>
              <w:rPr>
                <w:rFonts w:hint="eastAsia"/>
                <w:bCs/>
                <w:color w:val="auto"/>
                <w:sz w:val="24"/>
                <w:u w:val="single"/>
                <w:lang w:val="en-US" w:eastAsia="zh-CN"/>
                <w:highlight w:val="none"/>
              </w:rPr>
              <w:t>周边环保砖厂综合利用</w:t>
            </w:r>
            <w:r>
              <w:rPr>
                <w:rFonts w:hint="eastAsia"/>
                <w:sz w:val="24"/>
                <w:u w:val="single"/>
                <w:highlight w:val="none"/>
              </w:rPr>
              <w:t>。由于原水水质较好，并且在处理过程中藻类、细菌等有害物质已被杀除，脱水后的</w:t>
            </w:r>
            <w:r>
              <w:rPr>
                <w:rFonts w:hint="eastAsia"/>
                <w:sz w:val="24"/>
                <w:u w:val="single"/>
                <w:lang w:val="en-US" w:eastAsia="zh-CN"/>
                <w:highlight w:val="none"/>
              </w:rPr>
              <w:t>污泥</w:t>
            </w:r>
            <w:r>
              <w:rPr>
                <w:rFonts w:hint="eastAsia"/>
                <w:sz w:val="24"/>
                <w:u w:val="single"/>
                <w:highlight w:val="none"/>
              </w:rPr>
              <w:t>是无害的，不会对环境造成二次污染，故将污</w:t>
            </w:r>
            <w:r>
              <w:rPr>
                <w:sz w:val="24"/>
                <w:u w:val="single"/>
                <w:highlight w:val="none"/>
              </w:rPr>
              <w:t>泥脱水</w:t>
            </w:r>
            <w:r>
              <w:rPr>
                <w:rFonts w:hint="eastAsia"/>
                <w:sz w:val="24"/>
                <w:u w:val="single"/>
                <w:lang w:val="en-US" w:eastAsia="zh-CN"/>
                <w:highlight w:val="none"/>
              </w:rPr>
              <w:t>后</w:t>
            </w:r>
            <w:r>
              <w:rPr>
                <w:rFonts w:hint="eastAsia"/>
                <w:bCs/>
                <w:color w:val="auto"/>
                <w:sz w:val="24"/>
                <w:u w:val="single"/>
                <w:highlight w:val="none"/>
              </w:rPr>
              <w:t>外运至</w:t>
            </w:r>
            <w:r>
              <w:rPr>
                <w:rFonts w:hint="eastAsia"/>
                <w:bCs/>
                <w:color w:val="auto"/>
                <w:sz w:val="24"/>
                <w:u w:val="single"/>
                <w:lang w:val="en-US" w:eastAsia="zh-CN"/>
                <w:highlight w:val="none"/>
              </w:rPr>
              <w:t>周边环保砖厂综合利用</w:t>
            </w:r>
            <w:r>
              <w:rPr>
                <w:sz w:val="24"/>
                <w:u w:val="single"/>
                <w:highlight w:val="none"/>
              </w:rPr>
              <w:t>，措施可行。</w:t>
            </w:r>
          </w:p>
          <w:p>
            <w:pPr>
              <w:adjustRightInd w:val="0"/>
              <w:snapToGrid w:val="0"/>
              <w:spacing w:line="360" w:lineRule="auto"/>
              <w:ind w:firstLineChars="200" w:firstLine="480"/>
              <w:rPr>
                <w:sz w:val="24"/>
                <w:u w:val="single"/>
                <w:highlight w:val="none"/>
              </w:rPr>
            </w:pPr>
            <w:r>
              <w:rPr>
                <w:rFonts w:hint="eastAsia"/>
                <w:sz w:val="24"/>
                <w:u w:val="single"/>
                <w:highlight w:val="none"/>
              </w:rPr>
              <w:t>危险废物主要为</w:t>
            </w:r>
            <w:r>
              <w:rPr>
                <w:sz w:val="24"/>
                <w:u w:val="single"/>
                <w:highlight w:val="none"/>
              </w:rPr>
              <w:t>废</w:t>
            </w:r>
            <w:r>
              <w:rPr>
                <w:rFonts w:hint="eastAsia"/>
                <w:sz w:val="24"/>
                <w:u w:val="single"/>
                <w:highlight w:val="none"/>
              </w:rPr>
              <w:t>润滑</w:t>
            </w:r>
            <w:r>
              <w:rPr>
                <w:sz w:val="24"/>
                <w:u w:val="single"/>
                <w:highlight w:val="none"/>
              </w:rPr>
              <w:t>油</w:t>
            </w:r>
            <w:r>
              <w:rPr>
                <w:rFonts w:hint="eastAsia"/>
                <w:sz w:val="24"/>
                <w:u w:val="single"/>
                <w:highlight w:val="none"/>
              </w:rPr>
              <w:t>、废含油抹布、废润滑油桶，设危险废物暂存间，面积5m</w:t>
            </w:r>
            <w:r>
              <w:rPr>
                <w:rFonts w:hint="eastAsia"/>
                <w:sz w:val="24"/>
                <w:u w:val="single"/>
                <w:vertAlign w:val="superscript"/>
                <w:highlight w:val="none"/>
              </w:rPr>
              <w:t>2</w:t>
            </w:r>
            <w:r>
              <w:rPr>
                <w:rFonts w:hint="eastAsia"/>
                <w:sz w:val="24"/>
                <w:u w:val="single"/>
                <w:highlight w:val="none"/>
              </w:rPr>
              <w:t>，分类收集暂存至危废暂存间，定期交有资质单位处理。</w:t>
            </w:r>
          </w:p>
          <w:p>
            <w:pPr>
              <w:adjustRightInd w:val="0"/>
              <w:spacing w:line="360" w:lineRule="auto"/>
              <w:rPr>
                <w:b/>
                <w:sz w:val="24"/>
                <w:highlight w:val="none"/>
              </w:rPr>
            </w:pPr>
            <w:r>
              <w:rPr>
                <w:rFonts w:hint="eastAsia"/>
                <w:b/>
                <w:sz w:val="24"/>
                <w:highlight w:val="none"/>
              </w:rPr>
              <w:t>4.3环境管理要求</w:t>
            </w:r>
          </w:p>
          <w:p>
            <w:pPr>
              <w:spacing w:line="360" w:lineRule="auto"/>
              <w:ind w:firstLineChars="200" w:firstLine="480"/>
              <w:rPr>
                <w:rFonts w:hAnsi="宋体" w:hint="eastAsia"/>
                <w:sz w:val="24"/>
                <w:highlight w:val="none"/>
              </w:rPr>
            </w:pPr>
            <w:r>
              <w:rPr>
                <w:rFonts w:hAnsi="宋体" w:hint="eastAsia"/>
                <w:sz w:val="24"/>
                <w:highlight w:val="none"/>
              </w:rPr>
              <w:t>（1）</w:t>
            </w:r>
            <w:r>
              <w:rPr>
                <w:sz w:val="24"/>
                <w:highlight w:val="none"/>
              </w:rPr>
              <w:t>一般工业固体废物</w:t>
            </w:r>
          </w:p>
          <w:p>
            <w:pPr>
              <w:spacing w:line="360" w:lineRule="auto"/>
              <w:ind w:firstLineChars="200" w:firstLine="480"/>
              <w:rPr>
                <w:snapToGrid w:val="0"/>
                <w:kern w:val="0"/>
                <w:sz w:val="24"/>
                <w:highlight w:val="none"/>
              </w:rPr>
            </w:pPr>
            <w:r>
              <w:rPr>
                <w:rFonts w:hAnsi="宋体" w:hint="eastAsia"/>
                <w:sz w:val="24"/>
                <w:highlight w:val="none"/>
              </w:rPr>
              <w:t>本项目</w:t>
            </w:r>
            <w:r>
              <w:rPr>
                <w:rFonts w:hAnsi="宋体" w:hint="eastAsia"/>
                <w:sz w:val="24"/>
                <w:lang w:val="en-US" w:eastAsia="zh-CN"/>
                <w:highlight w:val="none"/>
              </w:rPr>
              <w:t>太青</w:t>
            </w:r>
            <w:r>
              <w:rPr>
                <w:rFonts w:hAnsi="宋体" w:hint="eastAsia"/>
                <w:sz w:val="24"/>
                <w:lang w:eastAsia="zh-CN"/>
                <w:highlight w:val="none"/>
              </w:rPr>
              <w:t>水厂</w:t>
            </w:r>
            <w:r>
              <w:rPr>
                <w:rFonts w:hAnsi="宋体" w:hint="eastAsia"/>
                <w:sz w:val="24"/>
                <w:highlight w:val="none"/>
              </w:rPr>
              <w:t>设置一间一般固废间（即污泥脱水车间），</w:t>
            </w:r>
            <w:r>
              <w:rPr>
                <w:rFonts w:hAnsi="宋体"/>
                <w:sz w:val="24"/>
                <w:highlight w:val="none"/>
              </w:rPr>
              <w:t>一般固废间做到防渗漏、防雨淋、防扬尘等环保措施，并加强监督管理，同时按照GB15562.2设置环境保护图形标志。</w:t>
            </w:r>
          </w:p>
          <w:p>
            <w:pPr>
              <w:spacing w:line="360" w:lineRule="auto"/>
              <w:ind w:firstLineChars="200" w:firstLine="480"/>
              <w:rPr>
                <w:snapToGrid w:val="0"/>
                <w:kern w:val="0"/>
                <w:sz w:val="24"/>
                <w:highlight w:val="none"/>
              </w:rPr>
            </w:pPr>
            <w:r>
              <w:rPr>
                <w:rFonts w:hint="eastAsia"/>
                <w:snapToGrid w:val="0"/>
                <w:kern w:val="0"/>
                <w:sz w:val="24"/>
                <w:highlight w:val="none"/>
              </w:rPr>
              <w:t>一般工业固废的暂存和处置参照执行《一般工业固体废物贮存和填埋污染控制标准》（</w:t>
            </w:r>
            <w:r>
              <w:rPr>
                <w:snapToGrid w:val="0"/>
                <w:kern w:val="0"/>
                <w:sz w:val="24"/>
                <w:highlight w:val="none"/>
              </w:rPr>
              <w:t>GB18599-2020</w:t>
            </w:r>
            <w:r>
              <w:rPr>
                <w:rFonts w:hint="eastAsia"/>
                <w:snapToGrid w:val="0"/>
                <w:kern w:val="0"/>
                <w:sz w:val="24"/>
                <w:highlight w:val="none"/>
              </w:rPr>
              <w:t>）中的有关规定；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spacing w:line="360" w:lineRule="auto"/>
              <w:ind w:firstLineChars="200" w:firstLine="480"/>
              <w:rPr>
                <w:snapToGrid w:val="0"/>
                <w:kern w:val="0"/>
                <w:sz w:val="24"/>
                <w:highlight w:val="none"/>
              </w:rPr>
            </w:pPr>
            <w:r>
              <w:rPr>
                <w:rFonts w:hint="eastAsia"/>
                <w:snapToGrid w:val="0"/>
                <w:kern w:val="0"/>
                <w:sz w:val="24"/>
                <w:highlight w:val="none"/>
              </w:rPr>
              <w:t>产生工业固体废物的单位委托他人运输、利用、处置工业固体废物的，应当对受托方的主体资格和技术能力进行核实，依法签订书面合同，在合同中约定污染防治要求。</w:t>
            </w:r>
          </w:p>
          <w:p>
            <w:pPr>
              <w:spacing w:line="360" w:lineRule="auto"/>
              <w:ind w:firstLineChars="200" w:firstLine="480"/>
              <w:rPr>
                <w:snapToGrid w:val="0"/>
                <w:kern w:val="0"/>
                <w:sz w:val="24"/>
                <w:u w:val="single"/>
                <w:highlight w:val="none"/>
              </w:rPr>
            </w:pPr>
            <w:r>
              <w:rPr>
                <w:rFonts w:hint="eastAsia"/>
                <w:snapToGrid w:val="0"/>
                <w:kern w:val="0"/>
                <w:sz w:val="24"/>
                <w:u w:val="single"/>
                <w:highlight w:val="none"/>
              </w:rPr>
              <w:t>（2）</w:t>
            </w:r>
            <w:r>
              <w:rPr>
                <w:snapToGrid w:val="0"/>
                <w:kern w:val="0"/>
                <w:sz w:val="24"/>
                <w:u w:val="single"/>
                <w:highlight w:val="none"/>
              </w:rPr>
              <w:t>危险废物</w:t>
            </w:r>
          </w:p>
          <w:p>
            <w:pPr>
              <w:pStyle w:val="76"/>
              <w:adjustRightInd/>
              <w:spacing w:line="360" w:lineRule="auto"/>
              <w:ind w:firstLineChars="200" w:firstLine="480"/>
              <w:rPr>
                <w:rFonts w:ascii="Times New Roman" w:hAnsi="Times New Roman"/>
                <w:u w:val="single"/>
                <w:highlight w:val="none"/>
              </w:rPr>
            </w:pPr>
            <w:r>
              <w:rPr>
                <w:rFonts w:ascii="Times New Roman" w:hAnsi="Times New Roman"/>
                <w:u w:val="single"/>
                <w:highlight w:val="none"/>
              </w:rPr>
              <w:t>厂区</w:t>
            </w:r>
            <w:r>
              <w:rPr>
                <w:rFonts w:ascii="Times New Roman" w:hAnsi="Times New Roman" w:hint="eastAsia"/>
                <w:u w:val="single"/>
                <w:lang w:val="en-US" w:eastAsia="zh-CN"/>
                <w:highlight w:val="none"/>
              </w:rPr>
              <w:t>管理房</w:t>
            </w:r>
            <w:r>
              <w:rPr>
                <w:rFonts w:ascii="Times New Roman" w:hAnsi="Times New Roman"/>
                <w:u w:val="single"/>
                <w:highlight w:val="none"/>
              </w:rPr>
              <w:t>设</w:t>
            </w:r>
            <w:r>
              <w:rPr>
                <w:rFonts w:ascii="Times New Roman" w:hAnsi="Times New Roman" w:hint="eastAsia"/>
                <w:u w:val="single"/>
                <w:highlight w:val="none"/>
              </w:rPr>
              <w:t>危险废物</w:t>
            </w:r>
            <w:r>
              <w:rPr>
                <w:rFonts w:ascii="Times New Roman" w:hAnsi="Times New Roman"/>
                <w:u w:val="single"/>
                <w:highlight w:val="none"/>
              </w:rPr>
              <w:t>暂存间，面积5m</w:t>
            </w:r>
            <w:r>
              <w:rPr>
                <w:rFonts w:ascii="Times New Roman" w:hAnsi="Times New Roman"/>
                <w:u w:val="single"/>
                <w:vertAlign w:val="superscript"/>
                <w:highlight w:val="none"/>
              </w:rPr>
              <w:t>2</w:t>
            </w:r>
            <w:r>
              <w:rPr>
                <w:rFonts w:ascii="Times New Roman" w:hAnsi="Times New Roman"/>
                <w:u w:val="single"/>
                <w:highlight w:val="none"/>
              </w:rPr>
              <w:t>，</w:t>
            </w:r>
            <w:r>
              <w:rPr>
                <w:rFonts w:ascii="Times New Roman" w:hAnsi="Times New Roman" w:hint="eastAsia"/>
                <w:u w:val="single"/>
                <w:highlight w:val="none"/>
              </w:rPr>
              <w:t>具体要求如下：</w:t>
            </w:r>
          </w:p>
          <w:p>
            <w:pPr>
              <w:pStyle w:val="76"/>
              <w:adjustRightInd/>
              <w:spacing w:line="360" w:lineRule="auto"/>
              <w:ind w:firstLineChars="200" w:firstLine="480"/>
              <w:rPr>
                <w:rFonts w:ascii="Times New Roman" w:hAnsi="Times New Roman"/>
                <w:u w:val="single"/>
                <w:highlight w:val="none"/>
              </w:rPr>
            </w:pPr>
            <w:r>
              <w:rPr>
                <w:rFonts w:ascii="Times New Roman" w:hAnsi="Times New Roman"/>
                <w:u w:val="single"/>
                <w:highlight w:val="none"/>
              </w:rPr>
              <w:t>1）采取必要的防风、防晒、防雨、防漏、防渗、防腐以及其他环境污染防治措施，不应露天堆放危险废物。</w:t>
            </w:r>
          </w:p>
          <w:p>
            <w:pPr>
              <w:pStyle w:val="76"/>
              <w:adjustRightInd/>
              <w:spacing w:line="360" w:lineRule="auto"/>
              <w:ind w:firstLineChars="200" w:firstLine="480"/>
              <w:rPr>
                <w:rFonts w:ascii="Times New Roman" w:hAnsi="Times New Roman"/>
                <w:u w:val="single"/>
                <w:highlight w:val="none"/>
              </w:rPr>
            </w:pPr>
            <w:r>
              <w:rPr>
                <w:rFonts w:ascii="Times New Roman" w:hAnsi="Times New Roman"/>
                <w:u w:val="single"/>
                <w:highlight w:val="none"/>
              </w:rPr>
              <w:t>2）设置必要的贮存分区，避免不相容的危险废物接触、混合。</w:t>
            </w:r>
          </w:p>
          <w:p>
            <w:pPr>
              <w:pStyle w:val="76"/>
              <w:adjustRightInd/>
              <w:spacing w:line="360" w:lineRule="auto"/>
              <w:ind w:firstLineChars="200" w:firstLine="480"/>
              <w:rPr>
                <w:rFonts w:ascii="Times New Roman" w:hAnsi="Times New Roman"/>
                <w:u w:val="single"/>
                <w:highlight w:val="none"/>
              </w:rPr>
            </w:pPr>
            <w:r>
              <w:rPr>
                <w:rFonts w:ascii="Times New Roman" w:hAnsi="Times New Roman"/>
                <w:u w:val="single"/>
                <w:highlight w:val="none"/>
              </w:rPr>
              <w:t>3）贮存设施或贮存分区内地面、墙面裙脚、堵截泄漏的围堰、接触危险废物的隔板和墙体等应采用坚固的材料建造，表面无裂缝。</w:t>
            </w:r>
          </w:p>
          <w:p>
            <w:pPr>
              <w:pStyle w:val="76"/>
              <w:adjustRightInd/>
              <w:spacing w:line="360" w:lineRule="auto"/>
              <w:ind w:firstLineChars="200" w:firstLine="480"/>
              <w:rPr>
                <w:rFonts w:ascii="Times New Roman" w:hAnsi="Times New Roman"/>
                <w:u w:val="single"/>
                <w:highlight w:val="none"/>
              </w:rPr>
            </w:pPr>
            <w:r>
              <w:rPr>
                <w:rFonts w:ascii="Times New Roman" w:hAnsi="Times New Roman"/>
                <w:u w:val="single"/>
                <w:highlight w:val="none"/>
              </w:rPr>
              <w:t>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ascii="Times New Roman" w:hAnsi="Times New Roman"/>
                <w:u w:val="single"/>
                <w:vertAlign w:val="superscript"/>
                <w:highlight w:val="none"/>
              </w:rPr>
              <w:t>-7</w:t>
            </w:r>
            <w:r>
              <w:rPr>
                <w:rFonts w:ascii="Times New Roman" w:hAnsi="Times New Roman"/>
                <w:u w:val="single"/>
                <w:highlight w:val="none"/>
              </w:rPr>
              <w:t>cm/s），或至少2mm厚高密度聚乙烯膜等人工防渗材料（渗透系数不大于10</w:t>
            </w:r>
            <w:r>
              <w:rPr>
                <w:rFonts w:ascii="Times New Roman" w:hAnsi="Times New Roman"/>
                <w:u w:val="single"/>
                <w:vertAlign w:val="superscript"/>
                <w:highlight w:val="none"/>
              </w:rPr>
              <w:t>-10</w:t>
            </w:r>
            <w:r>
              <w:rPr>
                <w:rFonts w:ascii="Times New Roman" w:hAnsi="Times New Roman"/>
                <w:u w:val="single"/>
                <w:highlight w:val="none"/>
              </w:rPr>
              <w:t>cm/s），或其他防渗性能等效的材料。</w:t>
            </w:r>
          </w:p>
          <w:p>
            <w:pPr>
              <w:pStyle w:val="76"/>
              <w:adjustRightInd/>
              <w:spacing w:line="360" w:lineRule="auto"/>
              <w:ind w:firstLineChars="200" w:firstLine="480"/>
              <w:rPr>
                <w:rFonts w:ascii="Times New Roman" w:hAnsi="Times New Roman"/>
                <w:u w:val="single"/>
                <w:highlight w:val="none"/>
              </w:rPr>
            </w:pPr>
            <w:r>
              <w:rPr>
                <w:rFonts w:ascii="Times New Roman" w:hAnsi="Times New Roman"/>
                <w:u w:val="single"/>
                <w:highlight w:val="none"/>
              </w:rPr>
              <w:t>5）同一贮存设施宜采用相同的防渗、防腐工艺（包括防渗、防腐结构或材料），防渗、防腐材料应覆盖所有可能与废物及其渗滤液、渗漏液等接触的构筑物表面；采用不同防渗、防腐工艺应分别建设贮存分区。</w:t>
            </w:r>
          </w:p>
          <w:p>
            <w:pPr>
              <w:pStyle w:val="76"/>
              <w:adjustRightInd/>
              <w:spacing w:line="360" w:lineRule="auto"/>
              <w:ind w:firstLineChars="200" w:firstLine="480"/>
              <w:rPr>
                <w:rFonts w:ascii="Times New Roman" w:hAnsi="Times New Roman"/>
                <w:u w:val="single"/>
                <w:highlight w:val="none"/>
              </w:rPr>
            </w:pPr>
            <w:r>
              <w:rPr>
                <w:rFonts w:ascii="Times New Roman" w:hAnsi="Times New Roman"/>
                <w:u w:val="single"/>
                <w:highlight w:val="none"/>
              </w:rPr>
              <w:t>6）须作好危险废物情况的记录，记录上须注明危险废物的名称、来源、数量、特性和包装容器的类别、入库日期、存放库位、废物出库日期及接收单位名称。危险废物转移过程中应严格按照《危险废物转移管理办法》来执行。建立健全危险废物管理档案，记录危险废物名称、产生时间、产生数量、处置利用方式和去向，与有资质单位或有回收利用能力的企业签订回收协议，建立完善的出入库台账，监控其流向。危险废物转移应通过国家危险废物信息管理系统填写、运行危险废物电子转移联单，并依照国家有关规定公开危险废物转移相关污染环境防治信息。危险废物电子转移联单数据应当在国家危险废物信息系统中至少保存十年。</w:t>
            </w:r>
          </w:p>
          <w:p>
            <w:pPr>
              <w:pStyle w:val="76"/>
              <w:adjustRightInd/>
              <w:spacing w:line="360" w:lineRule="auto"/>
              <w:ind w:firstLineChars="200" w:firstLine="480"/>
              <w:rPr>
                <w:rFonts w:ascii="Times New Roman" w:hAnsi="Times New Roman"/>
                <w:u w:val="single"/>
                <w:highlight w:val="none"/>
              </w:rPr>
            </w:pPr>
            <w:r>
              <w:rPr>
                <w:rFonts w:ascii="Times New Roman" w:hAnsi="Times New Roman"/>
                <w:u w:val="single"/>
                <w:highlight w:val="none"/>
              </w:rPr>
              <w:t>项目运营期产生的危险废物应委托具有危险废物经营资质的单位统一收集并妥善处置；同时，项目需设置专门的危险固废收集设施，与普通的城市生活垃圾区别开来。危险废物临时贮存设施要符合《危险废物贮存污染控制标准》(GB18597-2023)。且严格按《国家危险废物名录（202</w:t>
            </w:r>
            <w:r>
              <w:rPr>
                <w:rFonts w:ascii="Times New Roman" w:hAnsi="Times New Roman" w:hint="eastAsia"/>
                <w:u w:val="single"/>
                <w:lang w:val="en-US" w:eastAsia="zh-CN"/>
                <w:highlight w:val="none"/>
              </w:rPr>
              <w:t>5</w:t>
            </w:r>
            <w:r>
              <w:rPr>
                <w:rFonts w:ascii="Times New Roman" w:hAnsi="Times New Roman"/>
                <w:u w:val="single"/>
                <w:highlight w:val="none"/>
              </w:rPr>
              <w:t>版）》中的有关要求实施。加强对危险废物的管理，对危险废物的产生、利用、收集、运输、贮存、处置等环节建立追踪性的帐目和手续，并纳入环保部门的监督管理。</w:t>
            </w:r>
          </w:p>
          <w:p>
            <w:pPr>
              <w:pStyle w:val="76"/>
              <w:adjustRightInd/>
              <w:spacing w:line="360" w:lineRule="auto"/>
              <w:ind w:firstLineChars="200" w:firstLine="480"/>
              <w:rPr>
                <w:rFonts w:ascii="Times New Roman" w:hAnsi="Times New Roman"/>
                <w:highlight w:val="none"/>
              </w:rPr>
            </w:pPr>
            <w:r>
              <w:rPr>
                <w:rFonts w:ascii="Times New Roman" w:hAnsi="Times New Roman"/>
                <w:highlight w:val="none"/>
              </w:rPr>
              <w:t>综上所述，该项目产生的固体废物均采取相应的回收利用和处置措施，且该措施均切实有效，固体废物能做到不外排。营运期产生的固体废弃物处理措施可行，对环境不好造成明显影响。</w:t>
            </w:r>
          </w:p>
          <w:p>
            <w:pPr>
              <w:pStyle w:val="76"/>
              <w:spacing w:line="360" w:lineRule="auto"/>
              <w:jc w:val="both"/>
              <w:rPr>
                <w:rFonts w:ascii="Times New Roman" w:hAnsi="Times New Roman"/>
                <w:b/>
                <w:bCs/>
                <w:color w:val="auto"/>
                <w:kern w:val="2"/>
                <w:highlight w:val="none"/>
              </w:rPr>
            </w:pPr>
            <w:r>
              <w:rPr>
                <w:rFonts w:ascii="Times New Roman" w:hAnsi="Times New Roman"/>
                <w:b/>
                <w:bCs/>
                <w:color w:val="auto"/>
                <w:kern w:val="2"/>
                <w:highlight w:val="none"/>
              </w:rPr>
              <w:t>5、地下水、土壤</w:t>
            </w:r>
          </w:p>
          <w:p>
            <w:pPr>
              <w:tabs>
                <w:tab w:val="left" w:pos="1200"/>
              </w:tabs>
              <w:spacing w:line="360" w:lineRule="auto"/>
              <w:ind w:firstLineChars="200" w:firstLine="480"/>
              <w:rPr>
                <w:sz w:val="24"/>
                <w:highlight w:val="none"/>
              </w:rPr>
            </w:pPr>
            <w:r>
              <w:rPr>
                <w:bCs/>
                <w:sz w:val="24"/>
                <w:highlight w:val="none"/>
              </w:rPr>
              <w:t>根据《建设项目环境影响报告表编制技术指南（污染影响类）》要求，本项目仅按照分区防控要求提出相应的防控措施以及跟踪监测要求。为防止对周边土壤及下游地下水的污染，</w:t>
            </w:r>
            <w:r>
              <w:rPr>
                <w:sz w:val="24"/>
                <w:highlight w:val="none"/>
              </w:rPr>
              <w:t>本环评提出以下污染防治措施：</w:t>
            </w:r>
          </w:p>
          <w:p>
            <w:pPr>
              <w:tabs>
                <w:tab w:val="left" w:pos="1200"/>
              </w:tabs>
              <w:spacing w:line="360" w:lineRule="auto"/>
              <w:ind w:firstLineChars="200" w:firstLine="480"/>
              <w:rPr>
                <w:bCs/>
                <w:snapToGrid w:val="0"/>
                <w:kern w:val="0"/>
                <w:sz w:val="24"/>
                <w:highlight w:val="none"/>
              </w:rPr>
            </w:pPr>
            <w:r>
              <w:rPr>
                <w:bCs/>
                <w:snapToGrid w:val="0"/>
                <w:kern w:val="0"/>
                <w:sz w:val="24"/>
                <w:highlight w:val="none"/>
              </w:rPr>
              <w:t>（1）控制原则</w:t>
            </w:r>
          </w:p>
          <w:p>
            <w:pPr>
              <w:tabs>
                <w:tab w:val="left" w:pos="1200"/>
              </w:tabs>
              <w:spacing w:line="360" w:lineRule="auto"/>
              <w:ind w:firstLineChars="200" w:firstLine="480"/>
              <w:rPr>
                <w:bCs/>
                <w:snapToGrid w:val="0"/>
                <w:kern w:val="0"/>
                <w:sz w:val="24"/>
                <w:highlight w:val="none"/>
              </w:rPr>
            </w:pPr>
            <w:r>
              <w:rPr>
                <w:bCs/>
                <w:sz w:val="24"/>
                <w:highlight w:val="none"/>
              </w:rPr>
              <w:t>土壤及</w:t>
            </w:r>
            <w:r>
              <w:rPr>
                <w:bCs/>
                <w:snapToGrid w:val="0"/>
                <w:kern w:val="0"/>
                <w:sz w:val="24"/>
                <w:highlight w:val="none"/>
              </w:rPr>
              <w:t>地下水保护与污染防治按照“源头控制、分区防治、污染监控、应急响应”的原则。工程生产运行过程中要建立健全</w:t>
            </w:r>
            <w:r>
              <w:rPr>
                <w:bCs/>
                <w:sz w:val="24"/>
                <w:highlight w:val="none"/>
              </w:rPr>
              <w:t>土壤及</w:t>
            </w:r>
            <w:r>
              <w:rPr>
                <w:bCs/>
                <w:snapToGrid w:val="0"/>
                <w:kern w:val="0"/>
                <w:sz w:val="24"/>
                <w:highlight w:val="none"/>
              </w:rPr>
              <w:t>地下水保护与污染防治的措施与方法；必须采取必要监测制度，一旦发现</w:t>
            </w:r>
            <w:r>
              <w:rPr>
                <w:bCs/>
                <w:sz w:val="24"/>
                <w:highlight w:val="none"/>
              </w:rPr>
              <w:t>土壤及</w:t>
            </w:r>
            <w:r>
              <w:rPr>
                <w:bCs/>
                <w:snapToGrid w:val="0"/>
                <w:kern w:val="0"/>
                <w:sz w:val="24"/>
                <w:highlight w:val="none"/>
              </w:rPr>
              <w:t>地下水遭受污染，就应及时采取措施，防微杜渐；尽量减少污染物进入</w:t>
            </w:r>
            <w:r>
              <w:rPr>
                <w:bCs/>
                <w:sz w:val="24"/>
                <w:highlight w:val="none"/>
              </w:rPr>
              <w:t>土壤及</w:t>
            </w:r>
            <w:r>
              <w:rPr>
                <w:bCs/>
                <w:snapToGrid w:val="0"/>
                <w:kern w:val="0"/>
                <w:sz w:val="24"/>
                <w:highlight w:val="none"/>
              </w:rPr>
              <w:t xml:space="preserve">地下含水层的机会和数量。 </w:t>
            </w:r>
          </w:p>
          <w:p>
            <w:pPr>
              <w:tabs>
                <w:tab w:val="left" w:pos="1200"/>
              </w:tabs>
              <w:spacing w:line="360" w:lineRule="auto"/>
              <w:ind w:firstLineChars="200" w:firstLine="480"/>
              <w:rPr>
                <w:bCs/>
                <w:snapToGrid w:val="0"/>
                <w:kern w:val="0"/>
                <w:sz w:val="24"/>
                <w:highlight w:val="none"/>
              </w:rPr>
            </w:pPr>
            <w:r>
              <w:rPr>
                <w:rFonts w:ascii="宋体" w:cs="宋体" w:hAnsi="宋体" w:hint="eastAsia"/>
                <w:bCs/>
                <w:snapToGrid w:val="0"/>
                <w:kern w:val="0"/>
                <w:sz w:val="24"/>
                <w:highlight w:val="none"/>
              </w:rPr>
              <w:t>①</w:t>
            </w:r>
            <w:r>
              <w:rPr>
                <w:bCs/>
                <w:snapToGrid w:val="0"/>
                <w:kern w:val="0"/>
                <w:sz w:val="24"/>
                <w:highlight w:val="none"/>
              </w:rPr>
              <w:t xml:space="preserve">源头控制措施 </w:t>
            </w:r>
          </w:p>
          <w:p>
            <w:pPr>
              <w:tabs>
                <w:tab w:val="left" w:pos="1200"/>
              </w:tabs>
              <w:spacing w:line="360" w:lineRule="auto"/>
              <w:ind w:firstLineChars="200" w:firstLine="480"/>
              <w:rPr>
                <w:bCs/>
                <w:snapToGrid w:val="0"/>
                <w:kern w:val="0"/>
                <w:sz w:val="24"/>
                <w:highlight w:val="none"/>
              </w:rPr>
            </w:pPr>
            <w:r>
              <w:rPr>
                <w:bCs/>
                <w:snapToGrid w:val="0"/>
                <w:kern w:val="0"/>
                <w:sz w:val="24"/>
                <w:highlight w:val="none"/>
              </w:rPr>
              <w:t>主要包括在工艺、管道、设备、</w:t>
            </w:r>
            <w:r>
              <w:rPr>
                <w:rFonts w:hint="eastAsia"/>
                <w:bCs/>
                <w:snapToGrid w:val="0"/>
                <w:kern w:val="0"/>
                <w:sz w:val="24"/>
                <w:highlight w:val="none"/>
              </w:rPr>
              <w:t>加药间</w:t>
            </w:r>
            <w:r>
              <w:rPr>
                <w:bCs/>
                <w:snapToGrid w:val="0"/>
                <w:kern w:val="0"/>
                <w:sz w:val="24"/>
                <w:highlight w:val="none"/>
              </w:rPr>
              <w:t>及处理构筑物采取相应措施，防止和降低污染物跑、冒、滴、漏，将污染物泄漏的环境风险事故降到最低程度；管线敷设尽量采用“可视化”原则，即管道尽可能地上或架空敷设，做到污染物“早发现、早处理”，减少由于埋地管道泄漏而造成的</w:t>
            </w:r>
            <w:r>
              <w:rPr>
                <w:bCs/>
                <w:sz w:val="24"/>
                <w:highlight w:val="none"/>
              </w:rPr>
              <w:t>土壤及</w:t>
            </w:r>
            <w:r>
              <w:rPr>
                <w:bCs/>
                <w:snapToGrid w:val="0"/>
                <w:kern w:val="0"/>
                <w:sz w:val="24"/>
                <w:highlight w:val="none"/>
              </w:rPr>
              <w:t>地下水污染。</w:t>
            </w:r>
          </w:p>
          <w:p>
            <w:pPr>
              <w:tabs>
                <w:tab w:val="left" w:pos="1200"/>
              </w:tabs>
              <w:spacing w:line="360" w:lineRule="auto"/>
              <w:ind w:firstLineChars="200" w:firstLine="480"/>
              <w:rPr>
                <w:bCs/>
                <w:snapToGrid w:val="0"/>
                <w:kern w:val="0"/>
                <w:sz w:val="24"/>
                <w:highlight w:val="none"/>
              </w:rPr>
            </w:pPr>
            <w:r>
              <w:rPr>
                <w:rFonts w:ascii="宋体" w:cs="宋体" w:hAnsi="宋体" w:hint="eastAsia"/>
                <w:bCs/>
                <w:snapToGrid w:val="0"/>
                <w:kern w:val="0"/>
                <w:sz w:val="24"/>
                <w:highlight w:val="none"/>
              </w:rPr>
              <w:t>②</w:t>
            </w:r>
            <w:r>
              <w:rPr>
                <w:bCs/>
                <w:snapToGrid w:val="0"/>
                <w:kern w:val="0"/>
                <w:sz w:val="24"/>
                <w:highlight w:val="none"/>
              </w:rPr>
              <w:t xml:space="preserve">末端控制措施 </w:t>
            </w:r>
          </w:p>
          <w:p>
            <w:pPr>
              <w:tabs>
                <w:tab w:val="left" w:pos="1200"/>
              </w:tabs>
              <w:spacing w:line="360" w:lineRule="auto"/>
              <w:ind w:firstLineChars="200" w:firstLine="480"/>
              <w:rPr>
                <w:bCs/>
                <w:snapToGrid w:val="0"/>
                <w:kern w:val="0"/>
                <w:sz w:val="24"/>
                <w:highlight w:val="none"/>
              </w:rPr>
            </w:pPr>
            <w:r>
              <w:rPr>
                <w:bCs/>
                <w:snapToGrid w:val="0"/>
                <w:kern w:val="0"/>
                <w:sz w:val="24"/>
                <w:highlight w:val="none"/>
              </w:rPr>
              <w:t>主要包括地面的防渗措施和泄漏、渗漏污染物收集措施，即在地面进行防渗处理，防止洒落地面的污染物渗入地下，并把滞留在地面的污染物收集起来；末端控制采取分区防渗，重点污染防治区、一般污染防治区和非污染防治区防渗措施有区别的防渗原则。</w:t>
            </w:r>
          </w:p>
          <w:p>
            <w:pPr>
              <w:tabs>
                <w:tab w:val="left" w:pos="1200"/>
              </w:tabs>
              <w:spacing w:line="360" w:lineRule="auto"/>
              <w:ind w:firstLineChars="200" w:firstLine="480"/>
              <w:rPr>
                <w:bCs/>
                <w:snapToGrid w:val="0"/>
                <w:kern w:val="0"/>
                <w:sz w:val="24"/>
                <w:highlight w:val="none"/>
              </w:rPr>
            </w:pPr>
            <w:r>
              <w:rPr>
                <w:rFonts w:ascii="宋体" w:cs="宋体" w:hAnsi="宋体" w:hint="eastAsia"/>
                <w:bCs/>
                <w:snapToGrid w:val="0"/>
                <w:kern w:val="0"/>
                <w:sz w:val="24"/>
                <w:highlight w:val="none"/>
              </w:rPr>
              <w:t>③</w:t>
            </w:r>
            <w:r>
              <w:rPr>
                <w:bCs/>
                <w:snapToGrid w:val="0"/>
                <w:kern w:val="0"/>
                <w:sz w:val="24"/>
                <w:highlight w:val="none"/>
              </w:rPr>
              <w:t>污染监控体系</w:t>
            </w:r>
          </w:p>
          <w:p>
            <w:pPr>
              <w:tabs>
                <w:tab w:val="left" w:pos="1200"/>
              </w:tabs>
              <w:spacing w:line="360" w:lineRule="auto"/>
              <w:ind w:firstLineChars="200" w:firstLine="480"/>
              <w:rPr>
                <w:bCs/>
                <w:snapToGrid w:val="0"/>
                <w:kern w:val="0"/>
                <w:sz w:val="24"/>
                <w:highlight w:val="none"/>
              </w:rPr>
            </w:pPr>
            <w:r>
              <w:rPr>
                <w:bCs/>
                <w:snapToGrid w:val="0"/>
                <w:kern w:val="0"/>
                <w:sz w:val="24"/>
                <w:highlight w:val="none"/>
              </w:rPr>
              <w:t>实施覆盖生产区的地下水污染监控系统，包括建立完善的监测制度、与有资质的监测公司合作，科学、合理设置地下水污染监控井，及时发现污染、及时控制。</w:t>
            </w:r>
          </w:p>
          <w:p>
            <w:pPr>
              <w:tabs>
                <w:tab w:val="left" w:pos="1200"/>
              </w:tabs>
              <w:spacing w:line="360" w:lineRule="auto"/>
              <w:ind w:firstLineChars="200" w:firstLine="480"/>
              <w:rPr>
                <w:bCs/>
                <w:snapToGrid w:val="0"/>
                <w:kern w:val="0"/>
                <w:sz w:val="24"/>
                <w:highlight w:val="none"/>
              </w:rPr>
            </w:pPr>
            <w:r>
              <w:rPr>
                <w:rFonts w:ascii="宋体" w:cs="宋体" w:hAnsi="宋体" w:hint="eastAsia"/>
                <w:bCs/>
                <w:snapToGrid w:val="0"/>
                <w:kern w:val="0"/>
                <w:sz w:val="24"/>
                <w:highlight w:val="none"/>
              </w:rPr>
              <w:t>④</w:t>
            </w:r>
            <w:r>
              <w:rPr>
                <w:bCs/>
                <w:snapToGrid w:val="0"/>
                <w:kern w:val="0"/>
                <w:sz w:val="24"/>
                <w:highlight w:val="none"/>
              </w:rPr>
              <w:t xml:space="preserve">应急响应措施 </w:t>
            </w:r>
          </w:p>
          <w:p>
            <w:pPr>
              <w:tabs>
                <w:tab w:val="left" w:pos="1200"/>
              </w:tabs>
              <w:spacing w:line="360" w:lineRule="auto"/>
              <w:ind w:firstLineChars="200" w:firstLine="480"/>
              <w:rPr>
                <w:bCs/>
                <w:sz w:val="24"/>
                <w:highlight w:val="none"/>
              </w:rPr>
            </w:pPr>
            <w:r>
              <w:rPr>
                <w:bCs/>
                <w:snapToGrid w:val="0"/>
                <w:kern w:val="0"/>
                <w:sz w:val="24"/>
                <w:highlight w:val="none"/>
              </w:rPr>
              <w:t>包括一旦发现</w:t>
            </w:r>
            <w:r>
              <w:rPr>
                <w:bCs/>
                <w:sz w:val="24"/>
                <w:highlight w:val="none"/>
              </w:rPr>
              <w:t>土壤及</w:t>
            </w:r>
            <w:r>
              <w:rPr>
                <w:bCs/>
                <w:snapToGrid w:val="0"/>
                <w:kern w:val="0"/>
                <w:sz w:val="24"/>
                <w:highlight w:val="none"/>
              </w:rPr>
              <w:t>地下水污染事故，立即启动应急预案、采取应急措施控制地下水污染，并使污染得到治理。</w:t>
            </w:r>
          </w:p>
          <w:p>
            <w:pPr>
              <w:spacing w:line="360" w:lineRule="auto"/>
              <w:ind w:firstLineChars="200" w:firstLine="480"/>
              <w:rPr>
                <w:bCs/>
                <w:snapToGrid w:val="0"/>
                <w:kern w:val="0"/>
                <w:sz w:val="24"/>
                <w:highlight w:val="none"/>
              </w:rPr>
            </w:pPr>
            <w:r>
              <w:rPr>
                <w:bCs/>
                <w:snapToGrid w:val="0"/>
                <w:kern w:val="0"/>
                <w:sz w:val="24"/>
                <w:highlight w:val="none"/>
              </w:rPr>
              <w:t>（2）分区防治措施</w:t>
            </w:r>
          </w:p>
          <w:p>
            <w:pPr>
              <w:jc w:val="center"/>
              <w:rPr>
                <w:b/>
                <w:szCs w:val="21"/>
                <w:highlight w:val="none"/>
              </w:rPr>
            </w:pPr>
          </w:p>
          <w:p>
            <w:pPr>
              <w:jc w:val="center"/>
              <w:rPr>
                <w:b/>
                <w:szCs w:val="21"/>
                <w:highlight w:val="none"/>
              </w:rPr>
            </w:pPr>
            <w:r>
              <w:rPr>
                <w:b/>
                <w:szCs w:val="21"/>
                <w:highlight w:val="none"/>
              </w:rPr>
              <w:t>表4-</w:t>
            </w:r>
            <w:r>
              <w:rPr>
                <w:rFonts w:hint="eastAsia"/>
                <w:b/>
                <w:szCs w:val="21"/>
                <w:highlight w:val="none"/>
              </w:rPr>
              <w:t>12</w:t>
            </w:r>
            <w:r>
              <w:rPr>
                <w:b/>
                <w:szCs w:val="21"/>
                <w:highlight w:val="none"/>
              </w:rPr>
              <w:t xml:space="preserve">  </w:t>
            </w:r>
            <w:r>
              <w:rPr>
                <w:rFonts w:hint="eastAsia"/>
                <w:b/>
                <w:szCs w:val="21"/>
                <w:highlight w:val="none"/>
              </w:rPr>
              <w:t>水厂</w:t>
            </w:r>
            <w:r>
              <w:rPr>
                <w:b/>
                <w:szCs w:val="21"/>
                <w:highlight w:val="none"/>
              </w:rPr>
              <w:t>厂区各工作区防腐防渗要求</w:t>
            </w:r>
          </w:p>
          <w:tbl>
            <w:tblPr>
              <w:jc w:val="center"/>
              <w:tblW w:w="4996"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CellMar>
                <w:top w:w="0" w:type="dxa"/>
                <w:left w:w="108" w:type="dxa"/>
                <w:bottom w:w="0" w:type="dxa"/>
                <w:right w:w="108" w:type="dxa"/>
              </w:tblCellMar>
              <w:tblLook w:val="0600" w:firstRow="0" w:lastRow="0" w:firstColumn="0" w:lastColumn="0" w:noHBand="1" w:noVBand="1"/>
            </w:tblPr>
            <w:tblGrid>
              <w:gridCol w:w="1258"/>
              <w:gridCol w:w="1275"/>
              <w:gridCol w:w="3400"/>
              <w:gridCol w:w="2197"/>
            </w:tblGrid>
            <w:tr>
              <w:trPr>
                <w:trHeight w:val="284"/>
              </w:trPr>
              <w:tc>
                <w:tcPr>
                  <w:tcW w:w="774" w:type="pct"/>
                  <w:vAlign w:val="center"/>
                </w:tcPr>
                <w:p>
                  <w:pPr>
                    <w:jc w:val="center"/>
                    <w:rPr>
                      <w:b/>
                      <w:bCs/>
                      <w:szCs w:val="21"/>
                      <w:highlight w:val="none"/>
                    </w:rPr>
                  </w:pPr>
                  <w:r>
                    <w:rPr>
                      <w:b/>
                      <w:bCs/>
                      <w:szCs w:val="21"/>
                      <w:highlight w:val="none"/>
                    </w:rPr>
                    <w:t>防渗级别</w:t>
                  </w:r>
                </w:p>
              </w:tc>
              <w:tc>
                <w:tcPr>
                  <w:tcW w:w="784" w:type="pct"/>
                  <w:vAlign w:val="center"/>
                </w:tcPr>
                <w:p>
                  <w:pPr>
                    <w:jc w:val="center"/>
                    <w:rPr>
                      <w:b/>
                      <w:bCs/>
                      <w:szCs w:val="21"/>
                      <w:highlight w:val="none"/>
                    </w:rPr>
                  </w:pPr>
                  <w:r>
                    <w:rPr>
                      <w:b/>
                      <w:bCs/>
                      <w:szCs w:val="21"/>
                      <w:highlight w:val="none"/>
                    </w:rPr>
                    <w:t>工作区</w:t>
                  </w:r>
                </w:p>
              </w:tc>
              <w:tc>
                <w:tcPr>
                  <w:tcW w:w="2091" w:type="pct"/>
                  <w:vAlign w:val="center"/>
                </w:tcPr>
                <w:p>
                  <w:pPr>
                    <w:jc w:val="center"/>
                    <w:rPr>
                      <w:b/>
                      <w:bCs/>
                      <w:szCs w:val="21"/>
                      <w:highlight w:val="none"/>
                    </w:rPr>
                  </w:pPr>
                  <w:r>
                    <w:rPr>
                      <w:b/>
                      <w:bCs/>
                      <w:szCs w:val="21"/>
                      <w:highlight w:val="none"/>
                    </w:rPr>
                    <w:t>防渗要求</w:t>
                  </w:r>
                </w:p>
              </w:tc>
              <w:tc>
                <w:tcPr>
                  <w:tcW w:w="1351" w:type="pct"/>
                  <w:vAlign w:val="center"/>
                </w:tcPr>
                <w:p>
                  <w:pPr>
                    <w:jc w:val="center"/>
                    <w:rPr>
                      <w:b/>
                      <w:bCs/>
                      <w:szCs w:val="21"/>
                      <w:highlight w:val="none"/>
                    </w:rPr>
                  </w:pPr>
                  <w:r>
                    <w:rPr>
                      <w:b/>
                      <w:bCs/>
                      <w:szCs w:val="21"/>
                      <w:highlight w:val="none"/>
                    </w:rPr>
                    <w:t>防腐防渗措施</w:t>
                  </w:r>
                </w:p>
              </w:tc>
            </w:tr>
            <w:tr>
              <w:trPr>
                <w:trHeight w:val="284"/>
              </w:trPr>
              <w:tc>
                <w:tcPr>
                  <w:tcW w:w="774" w:type="pct"/>
                  <w:vAlign w:val="center"/>
                </w:tcPr>
                <w:p>
                  <w:pPr>
                    <w:jc w:val="center"/>
                    <w:rPr>
                      <w:bCs/>
                      <w:szCs w:val="21"/>
                      <w:highlight w:val="none"/>
                    </w:rPr>
                  </w:pPr>
                  <w:r>
                    <w:rPr>
                      <w:bCs/>
                      <w:szCs w:val="21"/>
                      <w:highlight w:val="none"/>
                    </w:rPr>
                    <w:t>重点防渗区</w:t>
                  </w:r>
                </w:p>
              </w:tc>
              <w:tc>
                <w:tcPr>
                  <w:tcW w:w="784" w:type="pct"/>
                  <w:vAlign w:val="center"/>
                </w:tcPr>
                <w:p>
                  <w:pPr>
                    <w:jc w:val="center"/>
                    <w:rPr>
                      <w:bCs/>
                      <w:szCs w:val="21"/>
                      <w:highlight w:val="none"/>
                    </w:rPr>
                  </w:pPr>
                  <w:r>
                    <w:rPr>
                      <w:rFonts w:hint="eastAsia"/>
                      <w:bCs/>
                      <w:szCs w:val="21"/>
                      <w:highlight w:val="none"/>
                    </w:rPr>
                    <w:t>危废暂存间</w:t>
                  </w:r>
                </w:p>
              </w:tc>
              <w:tc>
                <w:tcPr>
                  <w:tcW w:w="2091" w:type="pct"/>
                  <w:vAlign w:val="center"/>
                </w:tcPr>
                <w:p>
                  <w:pPr>
                    <w:jc w:val="center"/>
                    <w:rPr>
                      <w:bCs/>
                      <w:szCs w:val="21"/>
                      <w:highlight w:val="none"/>
                    </w:rPr>
                  </w:pPr>
                  <w:r>
                    <w:rPr>
                      <w:kern w:val="0"/>
                      <w:szCs w:val="21"/>
                      <w:highlight w:val="none"/>
                    </w:rPr>
                    <w:t>等效黏土防渗层Mb≥6.0，K≤1×10</w:t>
                  </w:r>
                  <w:r>
                    <w:rPr>
                      <w:rFonts w:hint="eastAsia"/>
                      <w:kern w:val="0"/>
                      <w:szCs w:val="21"/>
                      <w:vertAlign w:val="superscript"/>
                      <w:highlight w:val="none"/>
                    </w:rPr>
                    <w:t>-7</w:t>
                  </w:r>
                  <w:r>
                    <w:rPr>
                      <w:kern w:val="0"/>
                      <w:szCs w:val="21"/>
                      <w:highlight w:val="none"/>
                    </w:rPr>
                    <w:t>cm/s，或参照GB16889执行</w:t>
                  </w:r>
                </w:p>
              </w:tc>
              <w:tc>
                <w:tcPr>
                  <w:tcW w:w="1351" w:type="pct"/>
                  <w:vAlign w:val="center"/>
                </w:tcPr>
                <w:p>
                  <w:pPr>
                    <w:jc w:val="center"/>
                    <w:rPr>
                      <w:bCs/>
                      <w:szCs w:val="21"/>
                      <w:highlight w:val="none"/>
                    </w:rPr>
                  </w:pPr>
                  <w:r>
                    <w:rPr>
                      <w:szCs w:val="21"/>
                      <w:highlight w:val="none"/>
                    </w:rPr>
                    <w:t>水泥硬化，</w:t>
                  </w:r>
                  <w:r>
                    <w:rPr>
                      <w:bCs/>
                      <w:szCs w:val="21"/>
                      <w:highlight w:val="none"/>
                    </w:rPr>
                    <w:t>铺设环氧树脂涂层防渗防腐</w:t>
                  </w:r>
                </w:p>
              </w:tc>
            </w:tr>
            <w:tr>
              <w:trPr>
                <w:trHeight w:val="284"/>
              </w:trPr>
              <w:tc>
                <w:tcPr>
                  <w:tcW w:w="774" w:type="pct"/>
                  <w:vAlign w:val="center"/>
                </w:tcPr>
                <w:p>
                  <w:pPr>
                    <w:jc w:val="center"/>
                    <w:rPr>
                      <w:bCs/>
                      <w:szCs w:val="21"/>
                      <w:highlight w:val="none"/>
                    </w:rPr>
                  </w:pPr>
                  <w:r>
                    <w:rPr>
                      <w:bCs/>
                      <w:szCs w:val="21"/>
                      <w:highlight w:val="none"/>
                    </w:rPr>
                    <w:t>一般防渗区</w:t>
                  </w:r>
                </w:p>
              </w:tc>
              <w:tc>
                <w:tcPr>
                  <w:tcW w:w="784" w:type="pct"/>
                  <w:vAlign w:val="center"/>
                </w:tcPr>
                <w:p>
                  <w:pPr>
                    <w:jc w:val="center"/>
                    <w:rPr>
                      <w:szCs w:val="21"/>
                      <w:highlight w:val="none"/>
                    </w:rPr>
                  </w:pPr>
                  <w:r>
                    <w:rPr>
                      <w:bCs/>
                      <w:szCs w:val="21"/>
                      <w:highlight w:val="none"/>
                    </w:rPr>
                    <w:t>加药间</w:t>
                  </w:r>
                  <w:r>
                    <w:rPr>
                      <w:rFonts w:hint="eastAsia"/>
                      <w:bCs/>
                      <w:szCs w:val="21"/>
                      <w:highlight w:val="none"/>
                    </w:rPr>
                    <w:t>、</w:t>
                  </w:r>
                  <w:r>
                    <w:rPr>
                      <w:szCs w:val="21"/>
                      <w:highlight w:val="none"/>
                    </w:rPr>
                    <w:t>化粪池、</w:t>
                  </w:r>
                  <w:r>
                    <w:rPr>
                      <w:rFonts w:hint="eastAsia"/>
                      <w:szCs w:val="21"/>
                      <w:highlight w:val="none"/>
                    </w:rPr>
                    <w:t>脱水车间</w:t>
                  </w:r>
                </w:p>
              </w:tc>
              <w:tc>
                <w:tcPr>
                  <w:tcW w:w="2091" w:type="pct"/>
                  <w:vAlign w:val="center"/>
                </w:tcPr>
                <w:p>
                  <w:pPr>
                    <w:jc w:val="center"/>
                    <w:rPr>
                      <w:bCs/>
                      <w:szCs w:val="21"/>
                      <w:highlight w:val="none"/>
                    </w:rPr>
                  </w:pPr>
                  <w:r>
                    <w:rPr>
                      <w:kern w:val="0"/>
                      <w:szCs w:val="21"/>
                      <w:highlight w:val="none"/>
                    </w:rPr>
                    <w:t>等效黏土防渗层Mb≥1.5，K≤1×10</w:t>
                  </w:r>
                  <w:r>
                    <w:rPr>
                      <w:kern w:val="0"/>
                      <w:szCs w:val="21"/>
                      <w:vertAlign w:val="superscript"/>
                      <w:highlight w:val="none"/>
                    </w:rPr>
                    <w:t>-7</w:t>
                  </w:r>
                  <w:r>
                    <w:rPr>
                      <w:kern w:val="0"/>
                      <w:szCs w:val="21"/>
                      <w:highlight w:val="none"/>
                    </w:rPr>
                    <w:t>cm/s，或参照GB16889执行</w:t>
                  </w:r>
                </w:p>
              </w:tc>
              <w:tc>
                <w:tcPr>
                  <w:tcW w:w="1351" w:type="pct"/>
                  <w:vAlign w:val="center"/>
                </w:tcPr>
                <w:p>
                  <w:pPr>
                    <w:jc w:val="center"/>
                    <w:rPr>
                      <w:bCs/>
                      <w:szCs w:val="21"/>
                      <w:highlight w:val="none"/>
                    </w:rPr>
                  </w:pPr>
                  <w:r>
                    <w:rPr>
                      <w:bCs/>
                      <w:szCs w:val="21"/>
                      <w:highlight w:val="none"/>
                    </w:rPr>
                    <w:t>铺设一层1mmHDPE膜、水泥硬化</w:t>
                  </w:r>
                </w:p>
              </w:tc>
            </w:tr>
            <w:tr>
              <w:trPr>
                <w:trHeight w:val="284"/>
              </w:trPr>
              <w:tc>
                <w:tcPr>
                  <w:tcW w:w="774" w:type="pct"/>
                  <w:vAlign w:val="center"/>
                </w:tcPr>
                <w:p>
                  <w:pPr>
                    <w:jc w:val="center"/>
                    <w:rPr>
                      <w:bCs/>
                      <w:szCs w:val="21"/>
                      <w:highlight w:val="none"/>
                    </w:rPr>
                  </w:pPr>
                  <w:r>
                    <w:rPr>
                      <w:bCs/>
                      <w:szCs w:val="21"/>
                      <w:highlight w:val="none"/>
                    </w:rPr>
                    <w:t>简单防渗区</w:t>
                  </w:r>
                </w:p>
              </w:tc>
              <w:tc>
                <w:tcPr>
                  <w:tcW w:w="784" w:type="pct"/>
                  <w:vAlign w:val="center"/>
                </w:tcPr>
                <w:p>
                  <w:pPr>
                    <w:jc w:val="center"/>
                    <w:rPr>
                      <w:bCs/>
                      <w:spacing w:val="-10"/>
                      <w:szCs w:val="21"/>
                      <w:highlight w:val="none"/>
                    </w:rPr>
                  </w:pPr>
                  <w:r>
                    <w:rPr>
                      <w:szCs w:val="21"/>
                      <w:highlight w:val="none"/>
                    </w:rPr>
                    <w:t>设备车间、综合楼等</w:t>
                  </w:r>
                </w:p>
              </w:tc>
              <w:tc>
                <w:tcPr>
                  <w:tcW w:w="2091" w:type="pct"/>
                  <w:vAlign w:val="center"/>
                </w:tcPr>
                <w:p>
                  <w:pPr>
                    <w:jc w:val="center"/>
                    <w:rPr>
                      <w:bCs/>
                      <w:szCs w:val="21"/>
                      <w:highlight w:val="none"/>
                    </w:rPr>
                  </w:pPr>
                  <w:r>
                    <w:rPr>
                      <w:bCs/>
                      <w:szCs w:val="21"/>
                      <w:highlight w:val="none"/>
                    </w:rPr>
                    <w:t>一般地面硬化</w:t>
                  </w:r>
                </w:p>
              </w:tc>
              <w:tc>
                <w:tcPr>
                  <w:tcW w:w="1351" w:type="pct"/>
                  <w:vAlign w:val="center"/>
                </w:tcPr>
                <w:p>
                  <w:pPr>
                    <w:jc w:val="center"/>
                    <w:rPr>
                      <w:bCs/>
                      <w:szCs w:val="21"/>
                      <w:highlight w:val="none"/>
                    </w:rPr>
                  </w:pPr>
                  <w:r>
                    <w:rPr>
                      <w:bCs/>
                      <w:szCs w:val="21"/>
                      <w:highlight w:val="none"/>
                    </w:rPr>
                    <w:t>水泥硬化</w:t>
                  </w:r>
                </w:p>
              </w:tc>
            </w:tr>
          </w:tbl>
          <w:p>
            <w:pPr>
              <w:spacing w:line="360" w:lineRule="auto"/>
              <w:rPr>
                <w:b/>
                <w:sz w:val="24"/>
                <w:highlight w:val="none"/>
              </w:rPr>
            </w:pPr>
            <w:r>
              <w:rPr>
                <w:rFonts w:hint="eastAsia"/>
                <w:b/>
                <w:sz w:val="24"/>
                <w:highlight w:val="none"/>
              </w:rPr>
              <w:t>6、</w:t>
            </w:r>
            <w:r>
              <w:rPr>
                <w:b/>
                <w:bCs/>
                <w:sz w:val="24"/>
                <w:highlight w:val="none"/>
              </w:rPr>
              <w:t>生态影响防治措施</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hint="eastAsia"/>
                <w:sz w:val="24"/>
                <w:u w:val="none"/>
                <w:highlight w:val="none"/>
              </w:rPr>
              <w:t>本项目管道运营期深埋于地下密闭输送自来水，无“三废”产生，不会对地面生态环境造成影响。施工活动停止后沿线也逐步恢复到施工前的自然状态，施工结束后，对临时占用的耕地可立即恢复生产，项目占用的少量林地以行道树为主。由于在管道中心线两侧</w:t>
            </w:r>
            <w:r>
              <w:rPr>
                <w:rFonts w:ascii="Times New Roman" w:cs="Times New Roman" w:hAnsi="Times New Roman"/>
                <w:sz w:val="24"/>
                <w:u w:val="none"/>
                <w:highlight w:val="none"/>
              </w:rPr>
              <w:t>5m</w:t>
            </w:r>
            <w:r>
              <w:rPr>
                <w:rFonts w:ascii="Times New Roman" w:cs="Times New Roman" w:hAnsi="Times New Roman" w:hint="eastAsia"/>
                <w:sz w:val="24"/>
                <w:u w:val="none"/>
                <w:highlight w:val="none"/>
              </w:rPr>
              <w:t>范围内不得种植深根型植物，对于项目管道中心线两侧</w:t>
            </w:r>
            <w:r>
              <w:rPr>
                <w:rFonts w:ascii="Times New Roman" w:cs="Times New Roman" w:hAnsi="Times New Roman"/>
                <w:sz w:val="24"/>
                <w:u w:val="none"/>
                <w:highlight w:val="none"/>
              </w:rPr>
              <w:t>5m</w:t>
            </w:r>
            <w:r>
              <w:rPr>
                <w:rFonts w:ascii="Times New Roman" w:cs="Times New Roman" w:hAnsi="Times New Roman" w:hint="eastAsia"/>
                <w:sz w:val="24"/>
                <w:u w:val="none"/>
                <w:highlight w:val="none"/>
              </w:rPr>
              <w:t>范围内穿越的行道树无法恢复成原有植被，评价范围内植被的水土保持、涵养水源等生态功能将会受到影响。在自然恢复及人工恢复措施下，会逐渐演替成草本或灌从植被。对造林种草地类进行立地条件分析，主要选择优良的乡士树种和已经适生的引进树草种，并重点作好原为荒地、草地的工程建设区的植被恢复工作。</w:t>
            </w:r>
          </w:p>
          <w:p>
            <w:pPr>
              <w:pStyle w:val="65"/>
              <w:tabs>
                <w:tab w:val="left" w:pos="901"/>
              </w:tabs>
              <w:spacing w:line="360" w:lineRule="auto"/>
              <w:ind w:firstLineChars="200" w:firstLine="480"/>
              <w:rPr>
                <w:rFonts w:hint="eastAsia"/>
                <w:b/>
                <w:sz w:val="24"/>
                <w:u w:val="single"/>
                <w:highlight w:val="none"/>
              </w:rPr>
            </w:pPr>
            <w:r>
              <w:rPr>
                <w:rFonts w:ascii="Times New Roman" w:cs="Times New Roman" w:hAnsi="Times New Roman" w:hint="eastAsia"/>
                <w:sz w:val="24"/>
                <w:u w:val="none"/>
                <w:highlight w:val="none"/>
              </w:rPr>
              <w:t>运行期间需加强管道维护，若出现管道破损情况，需及时对管道进行</w:t>
            </w:r>
            <w:r>
              <w:rPr>
                <w:rFonts w:ascii="Times New Roman" w:cs="Times New Roman" w:hAnsi="Times New Roman" w:hint="eastAsia"/>
                <w:sz w:val="24"/>
                <w:u w:val="none"/>
                <w:lang w:eastAsia="zh-CN"/>
                <w:highlight w:val="none"/>
              </w:rPr>
              <w:t>修复，</w:t>
            </w:r>
            <w:r>
              <w:rPr>
                <w:rFonts w:ascii="Times New Roman" w:cs="Times New Roman" w:hAnsi="Times New Roman" w:hint="eastAsia"/>
                <w:sz w:val="24"/>
                <w:u w:val="none"/>
                <w:highlight w:val="none"/>
              </w:rPr>
              <w:t>管道施工期结束后建设单位应立即对施工场地进行恢复，恢复可由建设单位或其委托的施工单位进行。恢复期应在施工结束后一周内完成。</w:t>
            </w:r>
          </w:p>
          <w:p>
            <w:pPr>
              <w:spacing w:line="360" w:lineRule="auto"/>
              <w:rPr>
                <w:b/>
                <w:sz w:val="24"/>
                <w:highlight w:val="none"/>
              </w:rPr>
            </w:pPr>
            <w:r>
              <w:rPr>
                <w:rFonts w:hint="eastAsia"/>
                <w:b/>
                <w:sz w:val="24"/>
                <w:highlight w:val="none"/>
              </w:rPr>
              <w:t>7</w:t>
            </w:r>
            <w:r>
              <w:rPr>
                <w:b/>
                <w:sz w:val="24"/>
                <w:highlight w:val="none"/>
              </w:rPr>
              <w:t>、环境风险</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hint="eastAsia"/>
                <w:sz w:val="24"/>
                <w:u w:val="none"/>
                <w:highlight w:val="none"/>
              </w:rPr>
              <w:t>（1）评价原则</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hint="eastAsia"/>
                <w:sz w:val="24"/>
                <w:u w:val="none"/>
                <w:highlight w:val="none"/>
              </w:rPr>
              <w:t>按照《建设项目环境风险评价技术导则》（HT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空科学依据。</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single"/>
                <w:highlight w:val="none"/>
              </w:rPr>
              <w:t>本项目为D4610-自来水生产和供应项目，其环境风险主要来源于次氯酸钠发生泄漏，致使水厂供水受到污染，危害人体健康；及其泄漏液渗透进土壤，进而对土壤及地下水质等造成影响；以及办公区等处可能发生火灾等风险。可以引起火灾的因素较多，如电器设备等的维护管理和使用不当，明火管理不当，吸烟等，可以说火灾的潜伏性和可能性是很大的，具有较大的危害性。如上述事故发生，则会导致建筑物被破坏、危及人身安全、污染周围空气等影响。该风险发生的概率很低。一旦发生事故，则要根据具体情况采取应急措施，切断火源，控制事故扩大，立即报警，采取紧急措施，并立即向社会求援。</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none"/>
                <w:highlight w:val="none"/>
              </w:rPr>
              <w:t>为避免事故发生，必须增加管理力度，加强药剂储存及使用管理，用电设备管理，贮存区、电线线路及设备线路定期进行检查，加强管理和安全知识教育，增强防范意识，认真落实应急预案，提高企业应急能力，从而确保生产安全。</w:t>
            </w:r>
          </w:p>
          <w:p>
            <w:pPr>
              <w:pStyle w:val="65"/>
              <w:tabs>
                <w:tab w:val="left" w:pos="901"/>
              </w:tabs>
              <w:spacing w:line="360" w:lineRule="auto"/>
              <w:ind w:firstLineChars="200" w:firstLine="480"/>
              <w:rPr>
                <w:rFonts w:ascii="Times New Roman" w:cs="Times New Roman" w:hAnsi="Times New Roman"/>
                <w:sz w:val="24"/>
                <w:u w:val="none"/>
                <w:lang w:eastAsia="zh-CN"/>
                <w:highlight w:val="none"/>
              </w:rPr>
            </w:pPr>
            <w:r>
              <w:rPr>
                <w:rFonts w:ascii="Times New Roman" w:cs="Times New Roman" w:hAnsi="Times New Roman" w:hint="eastAsia"/>
                <w:sz w:val="24"/>
                <w:u w:val="none"/>
                <w:lang w:eastAsia="zh-CN"/>
                <w:highlight w:val="none"/>
              </w:rPr>
              <w:t>（2）评价依据</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none"/>
                <w:highlight w:val="none"/>
              </w:rPr>
              <w:t>1）风险调查</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sz w:val="24"/>
                <w:u w:val="single"/>
                <w:highlight w:val="none"/>
              </w:rPr>
              <w:t>项目环境风险调查主要包括危险物质数量和危险物质分布情况、工艺特点等，根据《建设项目环境风险评价技术导则》</w:t>
            </w:r>
            <w:r>
              <w:rPr>
                <w:rFonts w:ascii="Times New Roman" w:cs="Times New Roman" w:hAnsi="Times New Roman" w:hint="eastAsia"/>
                <w:sz w:val="24"/>
                <w:u w:val="single"/>
                <w:highlight w:val="none"/>
              </w:rPr>
              <w:t>（</w:t>
            </w:r>
            <w:r>
              <w:rPr>
                <w:rFonts w:ascii="Times New Roman" w:cs="Times New Roman" w:hAnsi="Times New Roman"/>
                <w:sz w:val="24"/>
                <w:u w:val="single"/>
                <w:highlight w:val="none"/>
              </w:rPr>
              <w:t>HJ 169-2018</w:t>
            </w:r>
            <w:r>
              <w:rPr>
                <w:rFonts w:ascii="Times New Roman" w:cs="Times New Roman" w:hAnsi="Times New Roman" w:hint="eastAsia"/>
                <w:sz w:val="24"/>
                <w:u w:val="single"/>
                <w:highlight w:val="none"/>
              </w:rPr>
              <w:t>）</w:t>
            </w:r>
            <w:r>
              <w:rPr>
                <w:rFonts w:ascii="Times New Roman" w:cs="Times New Roman" w:hAnsi="Times New Roman"/>
                <w:sz w:val="24"/>
                <w:u w:val="single"/>
                <w:highlight w:val="none"/>
              </w:rPr>
              <w:t>、《危险化学品重大危险源辨识》</w:t>
            </w:r>
            <w:r>
              <w:rPr>
                <w:rFonts w:ascii="Times New Roman" w:cs="Times New Roman" w:hAnsi="Times New Roman" w:hint="eastAsia"/>
                <w:sz w:val="24"/>
                <w:u w:val="single"/>
                <w:highlight w:val="none"/>
              </w:rPr>
              <w:t>（</w:t>
            </w:r>
            <w:r>
              <w:rPr>
                <w:rFonts w:ascii="Times New Roman" w:cs="Times New Roman" w:hAnsi="Times New Roman"/>
                <w:sz w:val="24"/>
                <w:u w:val="single"/>
                <w:highlight w:val="none"/>
              </w:rPr>
              <w:t>GB18218-2014</w:t>
            </w:r>
            <w:r>
              <w:rPr>
                <w:rFonts w:ascii="Times New Roman" w:cs="Times New Roman" w:hAnsi="Times New Roman" w:hint="eastAsia"/>
                <w:sz w:val="24"/>
                <w:u w:val="single"/>
                <w:highlight w:val="none"/>
              </w:rPr>
              <w:t>）、</w:t>
            </w:r>
            <w:r>
              <w:rPr>
                <w:rFonts w:ascii="Times New Roman" w:cs="Times New Roman" w:hAnsi="Times New Roman"/>
                <w:sz w:val="24"/>
                <w:u w:val="single"/>
                <w:highlight w:val="none"/>
              </w:rPr>
              <w:t>和《危险化学品名录》</w:t>
            </w:r>
            <w:r>
              <w:rPr>
                <w:rFonts w:ascii="Times New Roman" w:cs="Times New Roman" w:hAnsi="Times New Roman" w:hint="eastAsia"/>
                <w:sz w:val="24"/>
                <w:u w:val="single"/>
                <w:highlight w:val="none"/>
              </w:rPr>
              <w:t>（</w:t>
            </w:r>
            <w:r>
              <w:rPr>
                <w:rFonts w:ascii="Times New Roman" w:cs="Times New Roman" w:hAnsi="Times New Roman"/>
                <w:sz w:val="24"/>
                <w:u w:val="single"/>
                <w:highlight w:val="none"/>
              </w:rPr>
              <w:t>2015版</w:t>
            </w:r>
            <w:r>
              <w:rPr>
                <w:rFonts w:ascii="Times New Roman" w:cs="Times New Roman" w:hAnsi="Times New Roman" w:hint="eastAsia"/>
                <w:sz w:val="24"/>
                <w:u w:val="single"/>
                <w:highlight w:val="none"/>
              </w:rPr>
              <w:t>）</w:t>
            </w:r>
            <w:r>
              <w:rPr>
                <w:rFonts w:ascii="Times New Roman" w:cs="Times New Roman" w:hAnsi="Times New Roman"/>
                <w:sz w:val="24"/>
                <w:u w:val="single"/>
                <w:highlight w:val="none"/>
              </w:rPr>
              <w:t>，</w:t>
            </w:r>
            <w:r>
              <w:rPr>
                <w:rFonts w:ascii="宋体" w:eastAsia="宋体" w:cs="宋体" w:hAnsi="宋体" w:hint="eastAsia"/>
                <w:color w:val="auto"/>
                <w:kern w:val="0"/>
                <w:sz w:val="24"/>
                <w:szCs w:val="24"/>
                <w:u w:val="single"/>
                <w:lang w:val="en-US" w:eastAsia="zh-CN"/>
                <w:highlight w:val="none"/>
              </w:rPr>
              <w:t>本项目施工过程环境风险物质主要是施工机械所使用的柴油、汽油。</w:t>
            </w:r>
            <w:r>
              <w:rPr>
                <w:rFonts w:ascii="Times New Roman" w:cs="Times New Roman" w:hAnsi="Times New Roman"/>
                <w:sz w:val="24"/>
                <w:u w:val="single"/>
                <w:highlight w:val="none"/>
              </w:rPr>
              <w:t>本项目运营过程中主要风险物质为次氯酸钠。次氯酸钠属于毒性危险源。故本项目的事故风险类型确定为次氯酸钠的泄漏。</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sz w:val="24"/>
                <w:u w:val="single"/>
                <w:highlight w:val="none"/>
              </w:rPr>
              <w:t>次氯酸钠理化性质：为微黄色（溶液）或白色粉末（固体），有似</w:t>
            </w:r>
            <w:r>
              <w:rPr>
                <w:rFonts w:ascii="Times New Roman" w:cs="Times New Roman" w:hAnsi="Times New Roman"/>
                <w:sz w:val="24"/>
                <w:u w:val="single"/>
                <w:highlight w:val="none"/>
              </w:rPr>
              <w:fldChar w:fldCharType="begin"/>
            </w:r>
            <w:r>
              <w:instrText>HYPERLINK "https://baike.baidu.com/item/%E6%B0%AF%E6%B0%94"</w:instrText>
            </w:r>
            <w:r>
              <w:rPr>
                <w:rFonts w:ascii="Times New Roman" w:cs="Times New Roman" w:hAnsi="Times New Roman"/>
                <w:sz w:val="24"/>
                <w:u w:val="single"/>
                <w:highlight w:val="none"/>
              </w:rPr>
              <w:fldChar w:fldCharType="separate"/>
            </w:r>
            <w:r>
              <w:rPr>
                <w:rFonts w:ascii="Times New Roman" w:cs="Times New Roman" w:hAnsi="Times New Roman"/>
                <w:sz w:val="24"/>
                <w:u w:val="single"/>
                <w:highlight w:val="none"/>
              </w:rPr>
              <w:t>氯气</w:t>
            </w:r>
            <w:r>
              <w:rPr>
                <w:rFonts w:ascii="Times New Roman" w:cs="Times New Roman" w:hAnsi="Times New Roman"/>
                <w:sz w:val="24"/>
                <w:u w:val="single"/>
                <w:highlight w:val="none"/>
              </w:rPr>
              <w:fldChar w:fldCharType="end"/>
            </w:r>
            <w:r>
              <w:rPr>
                <w:rFonts w:ascii="Times New Roman" w:cs="Times New Roman" w:hAnsi="Times New Roman"/>
                <w:sz w:val="24"/>
                <w:u w:val="single"/>
                <w:highlight w:val="none"/>
              </w:rPr>
              <w:t>的气味。可溶于水，沸点为102.2℃。非易燃品，具</w:t>
            </w:r>
            <w:r>
              <w:rPr>
                <w:rFonts w:ascii="Times New Roman" w:cs="Times New Roman" w:hAnsi="Times New Roman"/>
                <w:sz w:val="24"/>
                <w:u w:val="single"/>
                <w:highlight w:val="none"/>
              </w:rPr>
              <w:fldChar w:fldCharType="begin"/>
            </w:r>
            <w:r>
              <w:instrText>HYPERLINK "https://baike.baidu.com/item/%E8%85%90%E8%9A%80%E6%80%A7"</w:instrText>
            </w:r>
            <w:r>
              <w:rPr>
                <w:rFonts w:ascii="Times New Roman" w:cs="Times New Roman" w:hAnsi="Times New Roman"/>
                <w:sz w:val="24"/>
                <w:u w:val="single"/>
                <w:highlight w:val="none"/>
              </w:rPr>
              <w:fldChar w:fldCharType="separate"/>
            </w:r>
            <w:r>
              <w:rPr>
                <w:rFonts w:ascii="Times New Roman" w:cs="Times New Roman" w:hAnsi="Times New Roman"/>
                <w:sz w:val="24"/>
                <w:u w:val="single"/>
                <w:highlight w:val="none"/>
              </w:rPr>
              <w:t>腐蚀性</w:t>
            </w:r>
            <w:r>
              <w:rPr>
                <w:rFonts w:ascii="Times New Roman" w:cs="Times New Roman" w:hAnsi="Times New Roman"/>
                <w:sz w:val="24"/>
                <w:u w:val="single"/>
                <w:highlight w:val="none"/>
              </w:rPr>
              <w:fldChar w:fldCharType="end"/>
            </w:r>
            <w:r>
              <w:rPr>
                <w:rFonts w:ascii="Times New Roman" w:cs="Times New Roman" w:hAnsi="Times New Roman"/>
                <w:sz w:val="24"/>
                <w:u w:val="single"/>
                <w:highlight w:val="none"/>
              </w:rPr>
              <w:t>，可致人体灼伤，具有致敏性，对人体倾入途径：吸入、食入、皮肤接触等。经常用手接触本品的工人，手掌大量出汗，指甲变薄，毛发脱落。本品有致敏作用。本品与盐酸混合放出的</w:t>
            </w:r>
            <w:r>
              <w:rPr>
                <w:rFonts w:ascii="Times New Roman" w:cs="Times New Roman" w:hAnsi="Times New Roman"/>
                <w:sz w:val="24"/>
                <w:u w:val="single"/>
                <w:highlight w:val="none"/>
              </w:rPr>
              <w:fldChar w:fldCharType="begin"/>
            </w:r>
            <w:r>
              <w:instrText>HYPERLINK "https://baike.baidu.com/item/%E6%B0%AF%E6%B0%94"</w:instrText>
            </w:r>
            <w:r>
              <w:rPr>
                <w:rFonts w:ascii="Times New Roman" w:cs="Times New Roman" w:hAnsi="Times New Roman"/>
                <w:sz w:val="24"/>
                <w:u w:val="single"/>
                <w:highlight w:val="none"/>
              </w:rPr>
              <w:fldChar w:fldCharType="separate"/>
            </w:r>
            <w:r>
              <w:rPr>
                <w:rFonts w:ascii="Times New Roman" w:cs="Times New Roman" w:hAnsi="Times New Roman"/>
                <w:sz w:val="24"/>
                <w:u w:val="single"/>
                <w:highlight w:val="none"/>
              </w:rPr>
              <w:t>氯气</w:t>
            </w:r>
            <w:r>
              <w:rPr>
                <w:rFonts w:ascii="Times New Roman" w:cs="Times New Roman" w:hAnsi="Times New Roman"/>
                <w:sz w:val="24"/>
                <w:u w:val="single"/>
                <w:highlight w:val="none"/>
              </w:rPr>
              <w:fldChar w:fldCharType="end"/>
            </w:r>
            <w:r>
              <w:rPr>
                <w:rFonts w:ascii="Times New Roman" w:cs="Times New Roman" w:hAnsi="Times New Roman"/>
                <w:sz w:val="24"/>
                <w:u w:val="single"/>
                <w:highlight w:val="none"/>
              </w:rPr>
              <w:t>有可能引起中毒。</w:t>
            </w:r>
          </w:p>
          <w:p>
            <w:pPr>
              <w:pStyle w:val="65"/>
              <w:tabs>
                <w:tab w:val="left" w:pos="901"/>
              </w:tabs>
              <w:spacing w:line="360" w:lineRule="auto"/>
              <w:ind w:firstLineChars="200" w:firstLine="480"/>
              <w:rPr>
                <w:rFonts w:ascii="Times New Roman" w:cs="Times New Roman" w:hAnsi="Times New Roman"/>
                <w:sz w:val="24"/>
                <w:u w:val="single"/>
                <w:lang w:eastAsia="zh-CN"/>
                <w:highlight w:val="none"/>
              </w:rPr>
            </w:pPr>
            <w:r>
              <w:rPr>
                <w:rFonts w:ascii="Times New Roman" w:cs="Times New Roman" w:hAnsi="Times New Roman"/>
                <w:sz w:val="24"/>
                <w:u w:val="single"/>
                <w:highlight w:val="none"/>
              </w:rPr>
              <w:t>项目环境风险调查主要包括危险物质数量和危险物质分布情况、工艺特点等，项目危险物质调查清单详见下表。</w:t>
            </w:r>
          </w:p>
          <w:p>
            <w:pPr>
              <w:autoSpaceDE w:val="0"/>
              <w:autoSpaceDN w:val="0"/>
              <w:adjustRightInd w:val="0"/>
              <w:jc w:val="center"/>
              <w:rPr>
                <w:b/>
                <w:bCs/>
                <w:szCs w:val="21"/>
                <w:u w:val="single"/>
                <w:highlight w:val="none"/>
              </w:rPr>
            </w:pPr>
            <w:r>
              <w:rPr>
                <w:b/>
                <w:bCs/>
                <w:szCs w:val="21"/>
                <w:u w:val="single"/>
                <w:highlight w:val="none"/>
              </w:rPr>
              <w:t>表4-</w:t>
            </w:r>
            <w:r>
              <w:rPr>
                <w:rFonts w:hint="eastAsia"/>
                <w:b/>
                <w:bCs/>
                <w:szCs w:val="21"/>
                <w:u w:val="single"/>
                <w:highlight w:val="none"/>
              </w:rPr>
              <w:t>13</w:t>
            </w:r>
            <w:r>
              <w:rPr>
                <w:b/>
                <w:bCs/>
                <w:szCs w:val="21"/>
                <w:u w:val="single"/>
                <w:highlight w:val="none"/>
              </w:rPr>
              <w:t xml:space="preserve">  建设项目危险物质调查清单</w:t>
            </w:r>
          </w:p>
          <w:tbl>
            <w:tblPr>
              <w:jc w:val="center"/>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115"/>
              <w:gridCol w:w="1697"/>
              <w:gridCol w:w="1133"/>
              <w:gridCol w:w="1700"/>
              <w:gridCol w:w="1134"/>
              <w:gridCol w:w="1356"/>
            </w:tblGrid>
            <w:tr>
              <w:trPr>
                <w:trHeight w:val="340"/>
              </w:trPr>
              <w:tc>
                <w:tcPr>
                  <w:tcW w:w="685" w:type="pct"/>
                  <w:tcBorders>
                    <w:tl2br w:val="nil"/>
                    <w:tr2bl w:val="nil"/>
                  </w:tcBorders>
                  <w:vAlign w:val="center"/>
                </w:tcPr>
                <w:p>
                  <w:pPr>
                    <w:jc w:val="center"/>
                    <w:rPr>
                      <w:b/>
                      <w:bCs/>
                      <w:sz w:val="21"/>
                      <w:szCs w:val="21"/>
                      <w:u w:val="single"/>
                      <w:highlight w:val="none"/>
                    </w:rPr>
                  </w:pPr>
                  <w:r>
                    <w:rPr>
                      <w:b/>
                      <w:bCs/>
                      <w:sz w:val="21"/>
                      <w:szCs w:val="21"/>
                      <w:u w:val="single"/>
                      <w:highlight w:val="none"/>
                    </w:rPr>
                    <w:t>危险物质来源</w:t>
                  </w:r>
                </w:p>
              </w:tc>
              <w:tc>
                <w:tcPr>
                  <w:tcW w:w="1043" w:type="pct"/>
                  <w:tcBorders>
                    <w:tl2br w:val="nil"/>
                    <w:tr2bl w:val="nil"/>
                  </w:tcBorders>
                  <w:vAlign w:val="center"/>
                </w:tcPr>
                <w:p>
                  <w:pPr>
                    <w:jc w:val="center"/>
                    <w:rPr>
                      <w:b/>
                      <w:bCs/>
                      <w:sz w:val="21"/>
                      <w:szCs w:val="21"/>
                      <w:u w:val="single"/>
                      <w:highlight w:val="none"/>
                    </w:rPr>
                  </w:pPr>
                  <w:r>
                    <w:rPr>
                      <w:b/>
                      <w:bCs/>
                      <w:sz w:val="21"/>
                      <w:szCs w:val="21"/>
                      <w:u w:val="single"/>
                      <w:highlight w:val="none"/>
                    </w:rPr>
                    <w:t>危险物质名称</w:t>
                  </w:r>
                </w:p>
              </w:tc>
              <w:tc>
                <w:tcPr>
                  <w:tcW w:w="696" w:type="pct"/>
                  <w:tcBorders>
                    <w:tl2br w:val="nil"/>
                    <w:tr2bl w:val="nil"/>
                  </w:tcBorders>
                  <w:vAlign w:val="center"/>
                </w:tcPr>
                <w:p>
                  <w:pPr>
                    <w:jc w:val="center"/>
                    <w:rPr>
                      <w:b/>
                      <w:bCs/>
                      <w:sz w:val="21"/>
                      <w:szCs w:val="21"/>
                      <w:u w:val="single"/>
                      <w:highlight w:val="none"/>
                    </w:rPr>
                  </w:pPr>
                  <w:r>
                    <w:rPr>
                      <w:b/>
                      <w:bCs/>
                      <w:sz w:val="21"/>
                      <w:szCs w:val="21"/>
                      <w:u w:val="single"/>
                      <w:highlight w:val="none"/>
                    </w:rPr>
                    <w:t>CAS号</w:t>
                  </w:r>
                </w:p>
              </w:tc>
              <w:tc>
                <w:tcPr>
                  <w:tcW w:w="1045" w:type="pct"/>
                  <w:tcBorders>
                    <w:tl2br w:val="nil"/>
                    <w:tr2bl w:val="nil"/>
                  </w:tcBorders>
                  <w:vAlign w:val="center"/>
                </w:tcPr>
                <w:p>
                  <w:pPr>
                    <w:jc w:val="center"/>
                    <w:rPr>
                      <w:b/>
                      <w:bCs/>
                      <w:sz w:val="21"/>
                      <w:szCs w:val="21"/>
                      <w:u w:val="single"/>
                      <w:highlight w:val="none"/>
                    </w:rPr>
                  </w:pPr>
                  <w:r>
                    <w:rPr>
                      <w:b/>
                      <w:bCs/>
                      <w:sz w:val="21"/>
                      <w:szCs w:val="21"/>
                      <w:u w:val="single"/>
                      <w:highlight w:val="none"/>
                    </w:rPr>
                    <w:t>危险性类别</w:t>
                  </w:r>
                </w:p>
              </w:tc>
              <w:tc>
                <w:tcPr>
                  <w:tcW w:w="697" w:type="pct"/>
                  <w:tcBorders>
                    <w:tl2br w:val="nil"/>
                    <w:tr2bl w:val="nil"/>
                  </w:tcBorders>
                  <w:vAlign w:val="center"/>
                </w:tcPr>
                <w:p>
                  <w:pPr>
                    <w:jc w:val="center"/>
                    <w:rPr>
                      <w:b/>
                      <w:bCs/>
                      <w:sz w:val="21"/>
                      <w:szCs w:val="21"/>
                      <w:u w:val="single"/>
                      <w:highlight w:val="none"/>
                    </w:rPr>
                  </w:pPr>
                  <w:r>
                    <w:rPr>
                      <w:b/>
                      <w:bCs/>
                      <w:sz w:val="21"/>
                      <w:szCs w:val="21"/>
                      <w:u w:val="single"/>
                      <w:highlight w:val="none"/>
                    </w:rPr>
                    <w:t>贮存位置</w:t>
                  </w:r>
                </w:p>
              </w:tc>
              <w:tc>
                <w:tcPr>
                  <w:tcW w:w="833" w:type="pct"/>
                  <w:tcBorders>
                    <w:tl2br w:val="nil"/>
                    <w:tr2bl w:val="nil"/>
                  </w:tcBorders>
                  <w:vAlign w:val="center"/>
                </w:tcPr>
                <w:p>
                  <w:pPr>
                    <w:jc w:val="center"/>
                    <w:rPr>
                      <w:b/>
                      <w:bCs/>
                      <w:sz w:val="21"/>
                      <w:szCs w:val="21"/>
                      <w:u w:val="single"/>
                      <w:highlight w:val="none"/>
                    </w:rPr>
                  </w:pPr>
                  <w:r>
                    <w:rPr>
                      <w:b/>
                      <w:bCs/>
                      <w:sz w:val="21"/>
                      <w:szCs w:val="21"/>
                      <w:u w:val="single"/>
                      <w:highlight w:val="none"/>
                    </w:rPr>
                    <w:t>最大储存量/t</w:t>
                  </w:r>
                </w:p>
              </w:tc>
            </w:tr>
            <w:tr>
              <w:trPr>
                <w:trHeight w:val="340"/>
              </w:trPr>
              <w:tc>
                <w:tcPr>
                  <w:tcW w:w="685" w:type="pct"/>
                  <w:tcBorders>
                    <w:tl2br w:val="nil"/>
                    <w:tr2bl w:val="nil"/>
                  </w:tcBorders>
                  <w:vAlign w:val="center"/>
                </w:tcPr>
                <w:p>
                  <w:pPr>
                    <w:jc w:val="center"/>
                    <w:rPr>
                      <w:sz w:val="21"/>
                      <w:szCs w:val="21"/>
                      <w:u w:val="single"/>
                      <w:highlight w:val="none"/>
                    </w:rPr>
                  </w:pPr>
                  <w:r>
                    <w:rPr>
                      <w:sz w:val="21"/>
                      <w:szCs w:val="21"/>
                      <w:u w:val="single"/>
                      <w:highlight w:val="none"/>
                    </w:rPr>
                    <w:t>原辅材料</w:t>
                  </w:r>
                </w:p>
              </w:tc>
              <w:tc>
                <w:tcPr>
                  <w:tcW w:w="1043" w:type="pct"/>
                  <w:tcBorders>
                    <w:tl2br w:val="nil"/>
                    <w:tr2bl w:val="nil"/>
                  </w:tcBorders>
                  <w:vAlign w:val="center"/>
                </w:tcPr>
                <w:p>
                  <w:pPr>
                    <w:jc w:val="center"/>
                    <w:rPr>
                      <w:sz w:val="21"/>
                      <w:szCs w:val="21"/>
                      <w:u w:val="single"/>
                      <w:highlight w:val="none"/>
                    </w:rPr>
                  </w:pPr>
                  <w:r>
                    <w:rPr>
                      <w:sz w:val="21"/>
                      <w:szCs w:val="21"/>
                      <w:u w:val="single"/>
                      <w:highlight w:val="none"/>
                    </w:rPr>
                    <w:t>次氯酸钠</w:t>
                  </w:r>
                </w:p>
              </w:tc>
              <w:tc>
                <w:tcPr>
                  <w:tcW w:w="696" w:type="pct"/>
                  <w:tcBorders>
                    <w:tl2br w:val="nil"/>
                    <w:tr2bl w:val="nil"/>
                  </w:tcBorders>
                  <w:vAlign w:val="center"/>
                </w:tcPr>
                <w:p>
                  <w:pPr>
                    <w:jc w:val="center"/>
                    <w:rPr>
                      <w:sz w:val="21"/>
                      <w:szCs w:val="21"/>
                      <w:u w:val="single"/>
                      <w:highlight w:val="none"/>
                    </w:rPr>
                  </w:pPr>
                  <w:r>
                    <w:rPr>
                      <w:sz w:val="21"/>
                      <w:szCs w:val="21"/>
                      <w:u w:val="single"/>
                      <w:highlight w:val="none"/>
                    </w:rPr>
                    <w:t>7681-52-9</w:t>
                  </w:r>
                </w:p>
              </w:tc>
              <w:tc>
                <w:tcPr>
                  <w:tcW w:w="1045" w:type="pct"/>
                  <w:tcBorders>
                    <w:tl2br w:val="nil"/>
                    <w:tr2bl w:val="nil"/>
                  </w:tcBorders>
                  <w:vAlign w:val="center"/>
                </w:tcPr>
                <w:p>
                  <w:pPr>
                    <w:jc w:val="center"/>
                    <w:rPr>
                      <w:sz w:val="21"/>
                      <w:szCs w:val="21"/>
                      <w:u w:val="single"/>
                      <w:highlight w:val="none"/>
                    </w:rPr>
                  </w:pPr>
                  <w:r>
                    <w:rPr>
                      <w:rFonts w:ascii="宋体" w:hAnsi="宋体" w:hint="eastAsia"/>
                      <w:sz w:val="21"/>
                      <w:szCs w:val="21"/>
                      <w:u w:val="single"/>
                      <w:highlight w:val="none"/>
                    </w:rPr>
                    <w:t>①</w:t>
                  </w:r>
                  <w:r>
                    <w:rPr>
                      <w:sz w:val="21"/>
                      <w:szCs w:val="21"/>
                      <w:u w:val="single"/>
                      <w:highlight w:val="none"/>
                    </w:rPr>
                    <w:t>皮肤腐蚀/刺激</w:t>
                  </w:r>
                </w:p>
                <w:p>
                  <w:pPr>
                    <w:jc w:val="center"/>
                    <w:rPr>
                      <w:sz w:val="21"/>
                      <w:szCs w:val="21"/>
                      <w:u w:val="single"/>
                      <w:highlight w:val="none"/>
                    </w:rPr>
                  </w:pPr>
                  <w:r>
                    <w:rPr>
                      <w:rFonts w:ascii="宋体" w:hAnsi="宋体" w:hint="eastAsia"/>
                      <w:sz w:val="21"/>
                      <w:szCs w:val="21"/>
                      <w:u w:val="single"/>
                      <w:highlight w:val="none"/>
                    </w:rPr>
                    <w:t>②</w:t>
                  </w:r>
                  <w:r>
                    <w:rPr>
                      <w:sz w:val="21"/>
                      <w:szCs w:val="21"/>
                      <w:u w:val="single"/>
                      <w:highlight w:val="none"/>
                    </w:rPr>
                    <w:t>危害水生环境</w:t>
                  </w:r>
                </w:p>
              </w:tc>
              <w:tc>
                <w:tcPr>
                  <w:tcW w:w="697" w:type="pct"/>
                  <w:tcBorders>
                    <w:tl2br w:val="nil"/>
                    <w:tr2bl w:val="nil"/>
                  </w:tcBorders>
                  <w:vAlign w:val="center"/>
                </w:tcPr>
                <w:p>
                  <w:pPr>
                    <w:jc w:val="center"/>
                    <w:rPr>
                      <w:sz w:val="21"/>
                      <w:szCs w:val="21"/>
                      <w:u w:val="single"/>
                      <w:highlight w:val="none"/>
                    </w:rPr>
                  </w:pPr>
                  <w:r>
                    <w:rPr>
                      <w:rFonts w:hint="eastAsia"/>
                      <w:sz w:val="21"/>
                      <w:szCs w:val="21"/>
                      <w:u w:val="single"/>
                      <w:highlight w:val="none"/>
                    </w:rPr>
                    <w:t>水厂</w:t>
                  </w:r>
                  <w:r>
                    <w:rPr>
                      <w:sz w:val="21"/>
                      <w:szCs w:val="21"/>
                      <w:u w:val="single"/>
                      <w:highlight w:val="none"/>
                    </w:rPr>
                    <w:t>加</w:t>
                  </w:r>
                  <w:r>
                    <w:rPr>
                      <w:rFonts w:hint="eastAsia"/>
                      <w:sz w:val="21"/>
                      <w:szCs w:val="21"/>
                      <w:u w:val="single"/>
                      <w:lang w:val="en-US" w:eastAsia="zh-CN"/>
                      <w:highlight w:val="none"/>
                    </w:rPr>
                    <w:t>药</w:t>
                  </w:r>
                  <w:r>
                    <w:rPr>
                      <w:sz w:val="21"/>
                      <w:szCs w:val="21"/>
                      <w:u w:val="single"/>
                      <w:highlight w:val="none"/>
                    </w:rPr>
                    <w:t>间</w:t>
                  </w:r>
                </w:p>
              </w:tc>
              <w:tc>
                <w:tcPr>
                  <w:tcW w:w="833" w:type="pct"/>
                  <w:tcBorders>
                    <w:tl2br w:val="nil"/>
                    <w:tr2bl w:val="nil"/>
                  </w:tcBorders>
                  <w:vAlign w:val="center"/>
                </w:tcPr>
                <w:p>
                  <w:pPr>
                    <w:jc w:val="center"/>
                    <w:rPr>
                      <w:rFonts w:eastAsia="宋体"/>
                      <w:sz w:val="21"/>
                      <w:szCs w:val="21"/>
                      <w:u w:val="single"/>
                      <w:lang w:val="en-US" w:eastAsia="zh-CN"/>
                      <w:highlight w:val="none"/>
                    </w:rPr>
                  </w:pPr>
                  <w:r>
                    <w:rPr>
                      <w:rFonts w:hint="eastAsia"/>
                      <w:sz w:val="21"/>
                      <w:szCs w:val="21"/>
                      <w:u w:val="single"/>
                      <w:lang w:val="en-US" w:eastAsia="zh-CN"/>
                      <w:highlight w:val="none"/>
                    </w:rPr>
                    <w:t>0.97</w:t>
                  </w:r>
                </w:p>
              </w:tc>
            </w:tr>
            <w:tr>
              <w:trPr>
                <w:trHeight w:val="340"/>
              </w:trPr>
              <w:tc>
                <w:tcPr>
                  <w:tcW w:w="685" w:type="pct"/>
                  <w:tcBorders>
                    <w:tl2br w:val="nil"/>
                    <w:tr2bl w:val="nil"/>
                  </w:tcBorders>
                  <w:vAlign w:val="center"/>
                </w:tcPr>
                <w:p>
                  <w:pPr>
                    <w:jc w:val="center"/>
                    <w:rPr>
                      <w:sz w:val="21"/>
                      <w:szCs w:val="21"/>
                      <w:u w:val="single"/>
                      <w:highlight w:val="none"/>
                    </w:rPr>
                  </w:pPr>
                  <w:r>
                    <w:rPr>
                      <w:rFonts w:hint="eastAsia"/>
                      <w:sz w:val="21"/>
                      <w:szCs w:val="21"/>
                      <w:u w:val="single"/>
                      <w:highlight w:val="none"/>
                    </w:rPr>
                    <w:t>危险废物</w:t>
                  </w:r>
                </w:p>
              </w:tc>
              <w:tc>
                <w:tcPr>
                  <w:tcW w:w="1043" w:type="pct"/>
                  <w:tcBorders>
                    <w:tl2br w:val="nil"/>
                    <w:tr2bl w:val="nil"/>
                  </w:tcBorders>
                  <w:vAlign w:val="center"/>
                </w:tcPr>
                <w:p>
                  <w:pPr>
                    <w:jc w:val="center"/>
                    <w:rPr>
                      <w:sz w:val="21"/>
                      <w:szCs w:val="21"/>
                      <w:u w:val="single"/>
                      <w:highlight w:val="none"/>
                    </w:rPr>
                  </w:pPr>
                  <w:r>
                    <w:rPr>
                      <w:rFonts w:hint="eastAsia"/>
                      <w:sz w:val="21"/>
                      <w:szCs w:val="21"/>
                      <w:u w:val="single"/>
                      <w:highlight w:val="none"/>
                    </w:rPr>
                    <w:t>废润滑油、废含油抹布、废润滑油桶</w:t>
                  </w:r>
                </w:p>
              </w:tc>
              <w:tc>
                <w:tcPr>
                  <w:tcW w:w="696" w:type="pct"/>
                  <w:tcBorders>
                    <w:tl2br w:val="nil"/>
                    <w:tr2bl w:val="nil"/>
                  </w:tcBorders>
                  <w:vAlign w:val="center"/>
                </w:tcPr>
                <w:p>
                  <w:pPr>
                    <w:jc w:val="center"/>
                    <w:rPr>
                      <w:sz w:val="21"/>
                      <w:szCs w:val="21"/>
                      <w:u w:val="single"/>
                      <w:highlight w:val="none"/>
                    </w:rPr>
                  </w:pPr>
                  <w:r>
                    <w:rPr>
                      <w:rFonts w:hint="eastAsia"/>
                      <w:sz w:val="21"/>
                      <w:szCs w:val="21"/>
                      <w:u w:val="single"/>
                      <w:highlight w:val="none"/>
                    </w:rPr>
                    <w:t>/</w:t>
                  </w:r>
                </w:p>
              </w:tc>
              <w:tc>
                <w:tcPr>
                  <w:tcW w:w="1045" w:type="pct"/>
                  <w:tcBorders>
                    <w:tl2br w:val="nil"/>
                    <w:tr2bl w:val="nil"/>
                  </w:tcBorders>
                  <w:vAlign w:val="center"/>
                </w:tcPr>
                <w:p>
                  <w:pPr>
                    <w:jc w:val="center"/>
                    <w:rPr>
                      <w:rFonts w:ascii="宋体" w:hAnsi="宋体" w:hint="eastAsia"/>
                      <w:sz w:val="21"/>
                      <w:szCs w:val="21"/>
                      <w:u w:val="single"/>
                      <w:highlight w:val="none"/>
                    </w:rPr>
                  </w:pPr>
                  <w:r>
                    <w:rPr>
                      <w:sz w:val="21"/>
                      <w:szCs w:val="21"/>
                      <w:u w:val="single"/>
                      <w:highlight w:val="none"/>
                    </w:rPr>
                    <w:t>危害水生环境</w:t>
                  </w:r>
                </w:p>
              </w:tc>
              <w:tc>
                <w:tcPr>
                  <w:tcW w:w="697" w:type="pct"/>
                  <w:tcBorders>
                    <w:tl2br w:val="nil"/>
                    <w:tr2bl w:val="nil"/>
                  </w:tcBorders>
                  <w:vAlign w:val="center"/>
                </w:tcPr>
                <w:p>
                  <w:pPr>
                    <w:jc w:val="center"/>
                    <w:rPr>
                      <w:sz w:val="21"/>
                      <w:szCs w:val="21"/>
                      <w:u w:val="single"/>
                      <w:highlight w:val="none"/>
                    </w:rPr>
                  </w:pPr>
                  <w:r>
                    <w:rPr>
                      <w:rFonts w:hint="eastAsia"/>
                      <w:sz w:val="21"/>
                      <w:szCs w:val="21"/>
                      <w:u w:val="single"/>
                      <w:highlight w:val="none"/>
                    </w:rPr>
                    <w:t>危险废物</w:t>
                  </w:r>
                  <w:r>
                    <w:rPr>
                      <w:sz w:val="21"/>
                      <w:szCs w:val="21"/>
                      <w:u w:val="single"/>
                      <w:highlight w:val="none"/>
                    </w:rPr>
                    <w:t>暂存间</w:t>
                  </w:r>
                </w:p>
              </w:tc>
              <w:tc>
                <w:tcPr>
                  <w:tcW w:w="833" w:type="pct"/>
                  <w:tcBorders>
                    <w:tl2br w:val="nil"/>
                    <w:tr2bl w:val="nil"/>
                  </w:tcBorders>
                  <w:vAlign w:val="center"/>
                </w:tcPr>
                <w:p>
                  <w:pPr>
                    <w:jc w:val="center"/>
                    <w:rPr>
                      <w:sz w:val="21"/>
                      <w:szCs w:val="21"/>
                      <w:u w:val="single"/>
                      <w:highlight w:val="none"/>
                    </w:rPr>
                  </w:pPr>
                  <w:r>
                    <w:rPr>
                      <w:rFonts w:hint="eastAsia"/>
                      <w:sz w:val="21"/>
                      <w:szCs w:val="21"/>
                      <w:u w:val="single"/>
                      <w:highlight w:val="none"/>
                    </w:rPr>
                    <w:t>0.04</w:t>
                  </w:r>
                </w:p>
              </w:tc>
            </w:tr>
            <w:tr>
              <w:trPr>
                <w:trHeight w:val="340"/>
              </w:trPr>
              <w:tc>
                <w:tcPr>
                  <w:tcW w:w="685" w:type="pct"/>
                  <w:tcBorders>
                    <w:tl2br w:val="nil"/>
                    <w:tr2bl w:val="nil"/>
                  </w:tcBorders>
                  <w:vAlign w:val="center"/>
                </w:tcPr>
                <w:p>
                  <w:pPr>
                    <w:jc w:val="center"/>
                    <w:rPr>
                      <w:rFonts w:eastAsia="宋体"/>
                      <w:sz w:val="21"/>
                      <w:szCs w:val="21"/>
                      <w:u w:val="single"/>
                      <w:lang w:val="en-US" w:eastAsia="zh-CN"/>
                      <w:highlight w:val="none"/>
                    </w:rPr>
                  </w:pPr>
                  <w:r>
                    <w:rPr>
                      <w:rFonts w:hint="eastAsia"/>
                      <w:sz w:val="21"/>
                      <w:szCs w:val="21"/>
                      <w:u w:val="single"/>
                      <w:lang w:val="en-US" w:eastAsia="zh-CN"/>
                      <w:highlight w:val="none"/>
                    </w:rPr>
                    <w:t>施工机械</w:t>
                  </w:r>
                </w:p>
              </w:tc>
              <w:tc>
                <w:tcPr>
                  <w:tcW w:w="1043" w:type="pct"/>
                  <w:tcBorders>
                    <w:tl2br w:val="nil"/>
                    <w:tr2bl w:val="nil"/>
                  </w:tcBorders>
                  <w:vAlign w:val="center"/>
                </w:tcPr>
                <w:p>
                  <w:pPr>
                    <w:jc w:val="center"/>
                    <w:rPr>
                      <w:rFonts w:eastAsia="宋体"/>
                      <w:sz w:val="21"/>
                      <w:szCs w:val="21"/>
                      <w:u w:val="single"/>
                      <w:lang w:val="en-US" w:eastAsia="zh-CN"/>
                      <w:highlight w:val="none"/>
                    </w:rPr>
                  </w:pPr>
                  <w:r>
                    <w:rPr>
                      <w:rFonts w:hint="eastAsia"/>
                      <w:sz w:val="21"/>
                      <w:szCs w:val="21"/>
                      <w:u w:val="single"/>
                      <w:lang w:val="en-US" w:eastAsia="zh-CN"/>
                      <w:highlight w:val="none"/>
                    </w:rPr>
                    <w:t>柴油、汽油</w:t>
                  </w:r>
                </w:p>
              </w:tc>
              <w:tc>
                <w:tcPr>
                  <w:tcW w:w="2885" w:type="pct"/>
                  <w:tcBorders>
                    <w:tl2br w:val="nil"/>
                    <w:tr2bl w:val="nil"/>
                  </w:tcBorders>
                  <w:vAlign w:val="center"/>
                </w:tcPr>
                <w:p>
                  <w:pPr>
                    <w:jc w:val="center"/>
                    <w:rPr>
                      <w:rFonts w:hint="eastAsia"/>
                      <w:sz w:val="21"/>
                      <w:szCs w:val="21"/>
                      <w:u w:val="single"/>
                      <w:highlight w:val="none"/>
                    </w:rPr>
                  </w:pPr>
                  <w:r>
                    <w:rPr>
                      <w:rFonts w:hint="eastAsia"/>
                      <w:sz w:val="21"/>
                      <w:szCs w:val="21"/>
                      <w:u w:val="single"/>
                      <w:highlight w:val="none"/>
                    </w:rPr>
                    <w:t>/</w:t>
                  </w:r>
                </w:p>
              </w:tc>
              <w:tc>
                <w:tcPr>
                  <w:tcW w:w="4332" w:type="pct"/>
                  <w:tcBorders>
                    <w:tl2br w:val="nil"/>
                    <w:tr2bl w:val="nil"/>
                  </w:tcBorders>
                  <w:vAlign w:val="center"/>
                </w:tcPr>
                <w:p>
                  <w:pPr>
                    <w:jc w:val="center"/>
                    <w:rPr>
                      <w:sz w:val="21"/>
                      <w:szCs w:val="21"/>
                      <w:u w:val="single"/>
                      <w:highlight w:val="none"/>
                    </w:rPr>
                  </w:pPr>
                  <w:r>
                    <w:rPr>
                      <w:sz w:val="21"/>
                      <w:szCs w:val="21"/>
                      <w:u w:val="single"/>
                      <w:highlight w:val="none"/>
                    </w:rPr>
                    <w:t>危害水生环境</w:t>
                  </w:r>
                </w:p>
              </w:tc>
              <w:tc>
                <w:tcPr>
                  <w:tcW w:w="697" w:type="pct"/>
                  <w:tcBorders>
                    <w:tl2br w:val="nil"/>
                    <w:tr2bl w:val="nil"/>
                  </w:tcBorders>
                  <w:vAlign w:val="center"/>
                </w:tcPr>
                <w:p>
                  <w:pPr>
                    <w:jc w:val="center"/>
                    <w:rPr>
                      <w:rFonts w:eastAsia="宋体" w:hint="eastAsia"/>
                      <w:sz w:val="21"/>
                      <w:szCs w:val="21"/>
                      <w:u w:val="single"/>
                      <w:lang w:val="en-US" w:eastAsia="zh-CN"/>
                      <w:highlight w:val="none"/>
                    </w:rPr>
                  </w:pPr>
                  <w:r>
                    <w:rPr>
                      <w:rFonts w:hint="eastAsia"/>
                      <w:sz w:val="21"/>
                      <w:szCs w:val="21"/>
                      <w:u w:val="single"/>
                      <w:lang w:val="en-US" w:eastAsia="zh-CN"/>
                      <w:highlight w:val="none"/>
                    </w:rPr>
                    <w:t>施工机械</w:t>
                  </w:r>
                </w:p>
              </w:tc>
              <w:tc>
                <w:tcPr>
                  <w:tcW w:w="833" w:type="pct"/>
                  <w:tcBorders>
                    <w:tl2br w:val="nil"/>
                    <w:tr2bl w:val="nil"/>
                  </w:tcBorders>
                  <w:vAlign w:val="center"/>
                </w:tcPr>
                <w:p>
                  <w:pPr>
                    <w:jc w:val="center"/>
                    <w:rPr>
                      <w:rFonts w:eastAsia="宋体"/>
                      <w:sz w:val="21"/>
                      <w:szCs w:val="21"/>
                      <w:u w:val="single"/>
                      <w:lang w:val="en-US" w:eastAsia="zh-CN"/>
                      <w:highlight w:val="none"/>
                    </w:rPr>
                  </w:pPr>
                  <w:r>
                    <w:rPr>
                      <w:rFonts w:hint="eastAsia"/>
                      <w:sz w:val="21"/>
                      <w:szCs w:val="21"/>
                      <w:u w:val="single"/>
                      <w:lang w:val="en-US" w:eastAsia="zh-CN"/>
                      <w:highlight w:val="none"/>
                    </w:rPr>
                    <w:t>0.5</w:t>
                  </w:r>
                </w:p>
              </w:tc>
            </w:tr>
          </w:tbl>
          <w:p>
            <w:pPr>
              <w:pStyle w:val="65"/>
              <w:tabs>
                <w:tab w:val="left" w:pos="901"/>
              </w:tabs>
              <w:spacing w:line="240" w:lineRule="auto"/>
              <w:ind w:firstLine="0"/>
              <w:rPr>
                <w:rFonts w:ascii="Times New Roman" w:cs="Times New Roman" w:hAnsi="Times New Roman"/>
                <w:b/>
                <w:bCs/>
                <w:szCs w:val="21"/>
                <w:u w:val="single"/>
                <w:lang w:val="en-US" w:eastAsia="zh-CN"/>
                <w:highlight w:val="none"/>
              </w:rPr>
            </w:pPr>
            <w:r>
              <w:rPr>
                <w:rFonts w:ascii="Times New Roman" w:cs="Times New Roman" w:hAnsi="Times New Roman"/>
                <w:b/>
                <w:bCs/>
                <w:szCs w:val="21"/>
                <w:u w:val="single"/>
                <w:lang w:eastAsia="zh-CN"/>
                <w:highlight w:val="none"/>
              </w:rPr>
              <w:t>备注：</w:t>
            </w:r>
            <w:r>
              <w:rPr>
                <w:rFonts w:ascii="Times New Roman" w:cs="Times New Roman" w:hAnsi="Times New Roman" w:hint="eastAsia"/>
                <w:b/>
                <w:bCs/>
                <w:szCs w:val="21"/>
                <w:u w:val="single"/>
                <w:lang w:val="en-US" w:eastAsia="zh-CN"/>
                <w:highlight w:val="none"/>
              </w:rPr>
              <w:t>厂区设1个</w:t>
            </w:r>
            <w:r>
              <w:rPr>
                <w:rFonts w:ascii="Times New Roman" w:cs="Times New Roman" w:hAnsi="Times New Roman"/>
                <w:b/>
                <w:bCs/>
                <w:szCs w:val="21"/>
                <w:u w:val="single"/>
                <w:highlight w:val="none"/>
              </w:rPr>
              <w:t>次氯酸钠溶液储罐，</w:t>
            </w:r>
            <w:r>
              <w:rPr>
                <w:rFonts w:ascii="Times New Roman" w:cs="Times New Roman" w:hAnsi="Times New Roman" w:hint="eastAsia"/>
                <w:b/>
                <w:bCs/>
                <w:szCs w:val="21"/>
                <w:u w:val="single"/>
                <w:lang w:val="en-US" w:eastAsia="zh-CN"/>
                <w:highlight w:val="none"/>
              </w:rPr>
              <w:t>容积为10</w:t>
            </w:r>
            <w:r>
              <w:rPr>
                <w:rFonts w:ascii="Times New Roman" w:cs="Times New Roman" w:hAnsi="Times New Roman"/>
                <w:b/>
                <w:bCs/>
                <w:szCs w:val="21"/>
                <w:u w:val="single"/>
                <w:lang w:eastAsia="zh-CN"/>
                <w:highlight w:val="none"/>
              </w:rPr>
              <w:t>m</w:t>
            </w:r>
            <w:r>
              <w:rPr>
                <w:rFonts w:ascii="Times New Roman" w:cs="Times New Roman" w:hAnsi="Times New Roman"/>
                <w:b/>
                <w:bCs/>
                <w:szCs w:val="21"/>
                <w:u w:val="single"/>
                <w:vertAlign w:val="superscript"/>
                <w:lang w:eastAsia="zh-CN"/>
                <w:highlight w:val="none"/>
              </w:rPr>
              <w:t>3</w:t>
            </w:r>
            <w:r>
              <w:rPr>
                <w:rFonts w:ascii="Times New Roman" w:cs="Times New Roman" w:hAnsi="Times New Roman"/>
                <w:b/>
                <w:bCs/>
                <w:szCs w:val="21"/>
                <w:u w:val="single"/>
                <w:lang w:eastAsia="zh-CN"/>
                <w:highlight w:val="none"/>
              </w:rPr>
              <w:t>，按80%计容积，次氯酸钠</w:t>
            </w:r>
            <w:r>
              <w:rPr>
                <w:rFonts w:ascii="Times New Roman" w:cs="Times New Roman" w:hAnsi="Times New Roman" w:hint="eastAsia"/>
                <w:b/>
                <w:bCs/>
                <w:szCs w:val="21"/>
                <w:u w:val="single"/>
                <w:lang w:eastAsia="zh-CN"/>
                <w:highlight w:val="none"/>
              </w:rPr>
              <w:t>含量1</w:t>
            </w:r>
            <w:r>
              <w:rPr>
                <w:rFonts w:ascii="Times New Roman" w:cs="Times New Roman" w:hAnsi="Times New Roman" w:hint="eastAsia"/>
                <w:b/>
                <w:bCs/>
                <w:szCs w:val="21"/>
                <w:u w:val="single"/>
                <w:lang w:val="en-US" w:eastAsia="zh-CN"/>
                <w:highlight w:val="none"/>
              </w:rPr>
              <w:t>0</w:t>
            </w:r>
            <w:r>
              <w:rPr>
                <w:rFonts w:ascii="Times New Roman" w:cs="Times New Roman" w:hAnsi="Times New Roman" w:hint="eastAsia"/>
                <w:b/>
                <w:bCs/>
                <w:szCs w:val="21"/>
                <w:u w:val="single"/>
                <w:lang w:eastAsia="zh-CN"/>
                <w:highlight w:val="none"/>
              </w:rPr>
              <w:t>%，</w:t>
            </w:r>
            <w:r>
              <w:rPr>
                <w:rFonts w:ascii="Times New Roman" w:cs="Times New Roman" w:hAnsi="Times New Roman"/>
                <w:b/>
                <w:bCs/>
                <w:szCs w:val="21"/>
                <w:u w:val="single"/>
                <w:lang w:eastAsia="zh-CN"/>
                <w:highlight w:val="none"/>
              </w:rPr>
              <w:t>次氯酸钠密度1.21g/cm</w:t>
            </w:r>
            <w:r>
              <w:rPr>
                <w:rFonts w:ascii="Times New Roman" w:cs="Times New Roman" w:hAnsi="Times New Roman"/>
                <w:b/>
                <w:bCs/>
                <w:szCs w:val="21"/>
                <w:u w:val="single"/>
                <w:vertAlign w:val="superscript"/>
                <w:lang w:eastAsia="zh-CN"/>
                <w:highlight w:val="none"/>
              </w:rPr>
              <w:t>3</w:t>
            </w:r>
            <w:r>
              <w:rPr>
                <w:rFonts w:ascii="Times New Roman" w:cs="Times New Roman" w:hAnsi="Times New Roman" w:hint="eastAsia"/>
                <w:b/>
                <w:bCs/>
                <w:szCs w:val="21"/>
                <w:u w:val="single"/>
                <w:lang w:eastAsia="zh-CN"/>
                <w:highlight w:val="none"/>
              </w:rPr>
              <w:t>。</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sz w:val="24"/>
                <w:u w:val="none"/>
                <w:highlight w:val="none"/>
              </w:rPr>
              <w:t>2）风险潜势初判断</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none"/>
                <w:highlight w:val="none"/>
              </w:rPr>
              <w:t>根据《建设项目环境风险评价技术导则》（HJ169-2018），建设项目环境风险潜势划分为Ⅰ、Ⅱ、Ⅲ、Ⅳ/Ⅳ+级，且当危险物质数量与临界量的比值Q＜1时，环境风险潜势为Ⅰ。</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none"/>
                <w:highlight w:val="none"/>
              </w:rPr>
              <w:t>危险物质数量与临界量的比值Q：</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none"/>
                <w:highlight w:val="none"/>
              </w:rPr>
              <w:t>当只涉及一种危险物质时，计算该物质的总量与其临界量比值，即为Q；</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none"/>
                <w:highlight w:val="none"/>
              </w:rPr>
              <w:t>当存在多种危险物质时，则按式（C.1）计算物质总量与其临界量比值Q：</w:t>
            </w:r>
          </w:p>
          <w:p>
            <w:pPr>
              <w:spacing w:line="360" w:lineRule="auto"/>
              <w:jc w:val="center"/>
              <w:rPr>
                <w:sz w:val="24"/>
                <w:u w:val="none"/>
                <w:highlight w:val="none"/>
              </w:rPr>
            </w:pPr>
            <w:r>
              <w:rPr>
                <w:sz w:val="24"/>
                <w:u w:val="none"/>
                <w:highlight w:val="none"/>
              </w:rPr>
              <w:object>
                <v:shape id="_x0000_i1027" type="#_x0000_t75" filled="f" style="width:113.40001pt;height:41.4pt;" o:ole="">
                  <v:imagedata r:id="rId16" o:title="image17"/>
                  <o:lock aspectratio="t"/>
                  <w10:anchorLock/>
                </v:shape>
                <o:OLEObject Type="Embed" ProgID="Equation.KSEE3" ShapeID="_x0000_i1027" DrawAspect="Content" ObjectID="_1393063353" r:id="rId17"/>
              </w:object>
            </w:r>
          </w:p>
          <w:p>
            <w:pPr>
              <w:spacing w:line="360" w:lineRule="auto"/>
              <w:ind w:firstLineChars="200" w:firstLine="480"/>
              <w:rPr>
                <w:sz w:val="24"/>
                <w:u w:val="none"/>
                <w:highlight w:val="none"/>
              </w:rPr>
            </w:pPr>
            <w:r>
              <w:rPr>
                <w:sz w:val="24"/>
                <w:u w:val="none"/>
                <w:highlight w:val="none"/>
              </w:rPr>
              <w:t>式中：</w:t>
            </w:r>
            <w:r>
              <w:rPr>
                <w:sz w:val="24"/>
                <w:u w:val="none"/>
                <w:highlight w:val="none"/>
              </w:rPr>
              <w:object>
                <v:shape id="_x0000_i1028" type="#_x0000_t75" filled="f" style="width:14.400001pt;height:20.4pt;" o:ole="">
                  <v:imagedata r:id="rId18" o:title="image18"/>
                  <o:lock aspectratio="t"/>
                  <w10:anchorLock/>
                </v:shape>
                <o:OLEObject Type="Embed" ProgID="Equation.KSEE3" ShapeID="_x0000_i1028" DrawAspect="Content" ObjectID="_1393063354" r:id="rId19"/>
              </w:object>
            </w:r>
            <w:r>
              <w:rPr>
                <w:sz w:val="24"/>
                <w:u w:val="none"/>
                <w:highlight w:val="none"/>
              </w:rPr>
              <w:t>，</w:t>
            </w:r>
            <w:r>
              <w:rPr>
                <w:sz w:val="24"/>
                <w:u w:val="none"/>
                <w:highlight w:val="none"/>
              </w:rPr>
              <w:object>
                <v:shape id="_x0000_i1029" type="#_x0000_t75" filled="f" style="width:15.6pt;height:20.4pt;" o:ole="">
                  <v:imagedata r:id="rId20" o:title="image19"/>
                  <o:lock aspectratio="t"/>
                  <w10:anchorLock/>
                </v:shape>
                <o:OLEObject Type="Embed" ProgID="Equation.KSEE3" ShapeID="_x0000_i1029" DrawAspect="Content" ObjectID="_1393063355" r:id="rId21"/>
              </w:object>
            </w:r>
            <w:r>
              <w:rPr>
                <w:sz w:val="24"/>
                <w:u w:val="none"/>
                <w:highlight w:val="none"/>
              </w:rPr>
              <w:t>，…，</w:t>
            </w:r>
            <w:r>
              <w:rPr>
                <w:sz w:val="24"/>
                <w:u w:val="none"/>
                <w:highlight w:val="none"/>
              </w:rPr>
              <w:object>
                <v:shape id="_x0000_i1030" type="#_x0000_t75" filled="f" style="width:15.6pt;height:21.6pt;" o:ole="">
                  <v:imagedata r:id="rId22" o:title="image20"/>
                  <o:lock aspectratio="t"/>
                  <w10:anchorLock/>
                </v:shape>
                <o:OLEObject Type="Embed" ProgID="Equation.KSEE3" ShapeID="_x0000_i1030" DrawAspect="Content" ObjectID="_1393063356" r:id="rId23"/>
              </w:object>
            </w:r>
            <w:r>
              <w:rPr>
                <w:sz w:val="24"/>
                <w:u w:val="none"/>
                <w:highlight w:val="none"/>
              </w:rPr>
              <w:t>——每种危险物质的最大存在总量，t；</w:t>
            </w:r>
          </w:p>
          <w:p>
            <w:pPr>
              <w:spacing w:line="360" w:lineRule="auto"/>
              <w:ind w:firstLineChars="500" w:firstLine="1200"/>
              <w:rPr>
                <w:sz w:val="24"/>
                <w:u w:val="none"/>
                <w:highlight w:val="none"/>
              </w:rPr>
            </w:pPr>
            <w:r>
              <w:rPr>
                <w:sz w:val="24"/>
                <w:u w:val="none"/>
                <w:highlight w:val="none"/>
              </w:rPr>
              <w:object>
                <v:shape id="_x0000_i1031" type="#_x0000_t75" filled="f" style="width:15.6pt;height:20.4pt;" o:ole="">
                  <v:imagedata r:id="rId24" o:title="image21"/>
                  <o:lock aspectratio="t"/>
                  <w10:anchorLock/>
                </v:shape>
                <o:OLEObject Type="Embed" ProgID="Equation.KSEE3" ShapeID="_x0000_i1031" DrawAspect="Content" ObjectID="_1393063357" r:id="rId25"/>
              </w:object>
            </w:r>
            <w:r>
              <w:rPr>
                <w:sz w:val="24"/>
                <w:u w:val="none"/>
                <w:highlight w:val="none"/>
              </w:rPr>
              <w:t>，</w:t>
            </w:r>
            <w:r>
              <w:rPr>
                <w:sz w:val="24"/>
                <w:u w:val="none"/>
                <w:highlight w:val="none"/>
              </w:rPr>
              <w:object>
                <v:shape id="_x0000_i1032" type="#_x0000_t75" filled="f" style="width:18.0pt;height:20.4pt;" o:ole="">
                  <v:imagedata r:id="rId26" o:title="image22"/>
                  <o:lock aspectratio="t"/>
                  <w10:anchorLock/>
                </v:shape>
                <o:OLEObject Type="Embed" ProgID="Equation.KSEE3" ShapeID="_x0000_i1032" DrawAspect="Content" ObjectID="_1393063358" r:id="rId27"/>
              </w:object>
            </w:r>
            <w:r>
              <w:rPr>
                <w:sz w:val="24"/>
                <w:u w:val="none"/>
                <w:highlight w:val="none"/>
              </w:rPr>
              <w:t>，…，</w:t>
            </w:r>
            <w:r>
              <w:rPr>
                <w:sz w:val="24"/>
                <w:u w:val="none"/>
                <w:highlight w:val="none"/>
              </w:rPr>
              <w:object>
                <v:shape id="_x0000_i1033" type="#_x0000_t75" filled="f" style="width:18.0pt;height:21.6pt;" o:ole="">
                  <v:imagedata r:id="rId28" o:title="image23"/>
                  <o:lock aspectratio="t"/>
                  <w10:anchorLock/>
                </v:shape>
                <o:OLEObject Type="Embed" ProgID="Equation.KSEE3" ShapeID="_x0000_i1033" DrawAspect="Content" ObjectID="_1393063359" r:id="rId29"/>
              </w:object>
            </w:r>
            <w:r>
              <w:rPr>
                <w:sz w:val="24"/>
                <w:u w:val="none"/>
                <w:highlight w:val="none"/>
              </w:rPr>
              <w:t>——每种危险物质的临界量，t。</w:t>
            </w:r>
          </w:p>
          <w:p>
            <w:pPr>
              <w:spacing w:line="360" w:lineRule="auto"/>
              <w:ind w:firstLine="480"/>
              <w:rPr>
                <w:sz w:val="24"/>
                <w:u w:val="single"/>
                <w:highlight w:val="none"/>
              </w:rPr>
            </w:pPr>
            <w:r>
              <w:rPr>
                <w:sz w:val="24"/>
                <w:u w:val="single"/>
                <w:highlight w:val="none"/>
              </w:rPr>
              <w:t>项目Q值计算结果见下表</w:t>
            </w:r>
            <w:r>
              <w:rPr>
                <w:rFonts w:hint="eastAsia"/>
                <w:sz w:val="24"/>
                <w:u w:val="single"/>
                <w:highlight w:val="none"/>
              </w:rPr>
              <w:t>：</w:t>
            </w:r>
          </w:p>
          <w:p>
            <w:pPr>
              <w:autoSpaceDE w:val="0"/>
              <w:autoSpaceDN w:val="0"/>
              <w:adjustRightInd w:val="0"/>
              <w:spacing w:beforeLines="50" w:before="120"/>
              <w:jc w:val="center"/>
              <w:rPr>
                <w:b/>
                <w:bCs/>
                <w:szCs w:val="21"/>
                <w:u w:val="single"/>
                <w:highlight w:val="none"/>
              </w:rPr>
            </w:pPr>
            <w:r>
              <w:rPr>
                <w:b/>
                <w:bCs/>
                <w:szCs w:val="21"/>
                <w:u w:val="single"/>
                <w:highlight w:val="none"/>
              </w:rPr>
              <w:t>表4-1</w:t>
            </w:r>
            <w:r>
              <w:rPr>
                <w:rFonts w:hint="eastAsia"/>
                <w:b/>
                <w:bCs/>
                <w:szCs w:val="21"/>
                <w:u w:val="single"/>
                <w:highlight w:val="none"/>
              </w:rPr>
              <w:t>4</w:t>
            </w:r>
            <w:r>
              <w:rPr>
                <w:b/>
                <w:bCs/>
                <w:szCs w:val="21"/>
                <w:u w:val="single"/>
                <w:highlight w:val="none"/>
              </w:rPr>
              <w:t xml:space="preserve">  建设项目Q值确定表</w:t>
            </w:r>
          </w:p>
          <w:tbl>
            <w:tblPr>
              <w:jc w:val="center"/>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CellMar>
                <w:top w:w="0" w:type="dxa"/>
                <w:left w:w="108" w:type="dxa"/>
                <w:bottom w:w="0" w:type="dxa"/>
                <w:right w:w="108" w:type="dxa"/>
              </w:tblCellMar>
              <w:tblLook w:val="0600" w:firstRow="0" w:lastRow="0" w:firstColumn="0" w:lastColumn="0" w:noHBand="1" w:noVBand="1"/>
            </w:tblPr>
            <w:tblGrid>
              <w:gridCol w:w="1823"/>
              <w:gridCol w:w="952"/>
              <w:gridCol w:w="991"/>
              <w:gridCol w:w="1718"/>
              <w:gridCol w:w="1430"/>
              <w:gridCol w:w="1220"/>
            </w:tblGrid>
            <w:tr>
              <w:trPr>
                <w:trHeight w:val="340"/>
              </w:trPr>
              <w:tc>
                <w:tcPr>
                  <w:tcW w:w="1120" w:type="pct"/>
                  <w:vAlign w:val="center"/>
                </w:tcPr>
                <w:p>
                  <w:pPr>
                    <w:adjustRightInd w:val="0"/>
                    <w:snapToGrid w:val="0"/>
                    <w:jc w:val="center"/>
                    <w:rPr>
                      <w:szCs w:val="21"/>
                      <w:u w:val="single"/>
                      <w:highlight w:val="none"/>
                    </w:rPr>
                  </w:pPr>
                  <w:r>
                    <w:rPr>
                      <w:szCs w:val="21"/>
                      <w:u w:val="single"/>
                      <w:highlight w:val="none"/>
                    </w:rPr>
                    <w:t>危险源辨识物质</w:t>
                  </w:r>
                </w:p>
              </w:tc>
              <w:tc>
                <w:tcPr>
                  <w:tcW w:w="585" w:type="pct"/>
                  <w:vAlign w:val="center"/>
                </w:tcPr>
                <w:p>
                  <w:pPr>
                    <w:adjustRightInd w:val="0"/>
                    <w:snapToGrid w:val="0"/>
                    <w:jc w:val="center"/>
                    <w:rPr>
                      <w:szCs w:val="21"/>
                      <w:u w:val="single"/>
                      <w:highlight w:val="none"/>
                    </w:rPr>
                  </w:pPr>
                  <w:r>
                    <w:rPr>
                      <w:szCs w:val="21"/>
                      <w:u w:val="single"/>
                      <w:highlight w:val="none"/>
                    </w:rPr>
                    <w:t>性质</w:t>
                  </w:r>
                </w:p>
              </w:tc>
              <w:tc>
                <w:tcPr>
                  <w:tcW w:w="609" w:type="pct"/>
                  <w:vAlign w:val="center"/>
                </w:tcPr>
                <w:p>
                  <w:pPr>
                    <w:adjustRightInd w:val="0"/>
                    <w:snapToGrid w:val="0"/>
                    <w:jc w:val="center"/>
                    <w:rPr>
                      <w:szCs w:val="21"/>
                      <w:u w:val="single"/>
                      <w:highlight w:val="none"/>
                    </w:rPr>
                  </w:pPr>
                  <w:r>
                    <w:rPr>
                      <w:szCs w:val="21"/>
                      <w:u w:val="single"/>
                      <w:highlight w:val="none"/>
                    </w:rPr>
                    <w:t>临界量</w:t>
                  </w:r>
                </w:p>
              </w:tc>
              <w:tc>
                <w:tcPr>
                  <w:tcW w:w="1056" w:type="pct"/>
                  <w:vAlign w:val="center"/>
                </w:tcPr>
                <w:p>
                  <w:pPr>
                    <w:adjustRightInd w:val="0"/>
                    <w:snapToGrid w:val="0"/>
                    <w:jc w:val="center"/>
                    <w:rPr>
                      <w:szCs w:val="21"/>
                      <w:u w:val="single"/>
                      <w:highlight w:val="none"/>
                    </w:rPr>
                  </w:pPr>
                  <w:r>
                    <w:rPr>
                      <w:rFonts w:hint="eastAsia"/>
                      <w:szCs w:val="21"/>
                      <w:u w:val="single"/>
                      <w:highlight w:val="none"/>
                    </w:rPr>
                    <w:t>位置</w:t>
                  </w:r>
                </w:p>
              </w:tc>
              <w:tc>
                <w:tcPr>
                  <w:tcW w:w="877" w:type="pct"/>
                  <w:vAlign w:val="center"/>
                </w:tcPr>
                <w:p>
                  <w:pPr>
                    <w:adjustRightInd w:val="0"/>
                    <w:snapToGrid w:val="0"/>
                    <w:jc w:val="center"/>
                    <w:rPr>
                      <w:szCs w:val="21"/>
                      <w:u w:val="single"/>
                      <w:highlight w:val="none"/>
                    </w:rPr>
                  </w:pPr>
                  <w:r>
                    <w:rPr>
                      <w:szCs w:val="21"/>
                      <w:u w:val="single"/>
                      <w:highlight w:val="none"/>
                    </w:rPr>
                    <w:t>最大储存量</w:t>
                  </w:r>
                </w:p>
              </w:tc>
              <w:tc>
                <w:tcPr>
                  <w:tcW w:w="750" w:type="pct"/>
                  <w:vAlign w:val="center"/>
                </w:tcPr>
                <w:p>
                  <w:pPr>
                    <w:adjustRightInd w:val="0"/>
                    <w:snapToGrid w:val="0"/>
                    <w:jc w:val="center"/>
                    <w:rPr>
                      <w:szCs w:val="21"/>
                      <w:u w:val="single"/>
                      <w:highlight w:val="none"/>
                    </w:rPr>
                  </w:pPr>
                  <w:r>
                    <w:rPr>
                      <w:szCs w:val="21"/>
                      <w:u w:val="single"/>
                      <w:highlight w:val="none"/>
                    </w:rPr>
                    <w:t>qn/Qn</w:t>
                  </w:r>
                </w:p>
              </w:tc>
            </w:tr>
            <w:tr>
              <w:trPr>
                <w:trHeight w:val="340"/>
              </w:trPr>
              <w:tc>
                <w:tcPr>
                  <w:tcW w:w="1120" w:type="pct"/>
                  <w:vAlign w:val="center"/>
                </w:tcPr>
                <w:p>
                  <w:pPr>
                    <w:adjustRightInd w:val="0"/>
                    <w:snapToGrid w:val="0"/>
                    <w:jc w:val="center"/>
                    <w:rPr>
                      <w:szCs w:val="21"/>
                      <w:u w:val="single"/>
                      <w:highlight w:val="none"/>
                    </w:rPr>
                  </w:pPr>
                  <w:r>
                    <w:rPr>
                      <w:szCs w:val="21"/>
                      <w:u w:val="single"/>
                      <w:highlight w:val="none"/>
                    </w:rPr>
                    <w:t>次氯酸钠</w:t>
                  </w:r>
                </w:p>
              </w:tc>
              <w:tc>
                <w:tcPr>
                  <w:tcW w:w="585" w:type="pct"/>
                  <w:vAlign w:val="center"/>
                </w:tcPr>
                <w:p>
                  <w:pPr>
                    <w:adjustRightInd w:val="0"/>
                    <w:snapToGrid w:val="0"/>
                    <w:jc w:val="center"/>
                    <w:rPr>
                      <w:szCs w:val="21"/>
                      <w:u w:val="single"/>
                      <w:highlight w:val="none"/>
                    </w:rPr>
                  </w:pPr>
                  <w:r>
                    <w:rPr>
                      <w:szCs w:val="21"/>
                      <w:u w:val="single"/>
                      <w:highlight w:val="none"/>
                    </w:rPr>
                    <w:t>液体</w:t>
                  </w:r>
                </w:p>
              </w:tc>
              <w:tc>
                <w:tcPr>
                  <w:tcW w:w="609" w:type="pct"/>
                  <w:vAlign w:val="center"/>
                </w:tcPr>
                <w:p>
                  <w:pPr>
                    <w:adjustRightInd w:val="0"/>
                    <w:snapToGrid w:val="0"/>
                    <w:jc w:val="center"/>
                    <w:rPr>
                      <w:szCs w:val="21"/>
                      <w:u w:val="single"/>
                      <w:highlight w:val="none"/>
                    </w:rPr>
                  </w:pPr>
                  <w:r>
                    <w:rPr>
                      <w:szCs w:val="21"/>
                      <w:u w:val="single"/>
                      <w:highlight w:val="none"/>
                    </w:rPr>
                    <w:t>5</w:t>
                  </w:r>
                  <w:r>
                    <w:rPr>
                      <w:rFonts w:hint="eastAsia"/>
                      <w:szCs w:val="21"/>
                      <w:u w:val="single"/>
                      <w:highlight w:val="none"/>
                    </w:rPr>
                    <w:t>t</w:t>
                  </w:r>
                </w:p>
              </w:tc>
              <w:tc>
                <w:tcPr>
                  <w:tcW w:w="1056" w:type="pct"/>
                  <w:vAlign w:val="center"/>
                </w:tcPr>
                <w:p>
                  <w:pPr>
                    <w:adjustRightInd w:val="0"/>
                    <w:snapToGrid w:val="0"/>
                    <w:jc w:val="center"/>
                    <w:rPr>
                      <w:szCs w:val="21"/>
                      <w:u w:val="single"/>
                      <w:highlight w:val="none"/>
                    </w:rPr>
                  </w:pPr>
                  <w:r>
                    <w:rPr>
                      <w:rFonts w:hint="eastAsia"/>
                      <w:szCs w:val="21"/>
                      <w:u w:val="single"/>
                      <w:lang w:eastAsia="zh-CN"/>
                      <w:highlight w:val="none"/>
                    </w:rPr>
                    <w:t>太青水厂</w:t>
                  </w:r>
                  <w:r>
                    <w:rPr>
                      <w:rFonts w:hint="eastAsia"/>
                      <w:szCs w:val="21"/>
                      <w:u w:val="single"/>
                      <w:highlight w:val="none"/>
                    </w:rPr>
                    <w:t>加药间</w:t>
                  </w:r>
                </w:p>
              </w:tc>
              <w:tc>
                <w:tcPr>
                  <w:tcW w:w="877" w:type="pct"/>
                  <w:vAlign w:val="center"/>
                </w:tcPr>
                <w:p>
                  <w:pPr>
                    <w:adjustRightInd w:val="0"/>
                    <w:snapToGrid w:val="0"/>
                    <w:jc w:val="center"/>
                    <w:rPr>
                      <w:szCs w:val="21"/>
                      <w:u w:val="single"/>
                      <w:highlight w:val="none"/>
                    </w:rPr>
                  </w:pPr>
                  <w:r>
                    <w:rPr>
                      <w:rFonts w:hint="eastAsia"/>
                      <w:szCs w:val="21"/>
                      <w:u w:val="single"/>
                      <w:lang w:val="en-US" w:eastAsia="zh-CN"/>
                      <w:highlight w:val="none"/>
                    </w:rPr>
                    <w:t>0.97</w:t>
                  </w:r>
                  <w:r>
                    <w:rPr>
                      <w:rFonts w:hint="eastAsia"/>
                      <w:szCs w:val="21"/>
                      <w:u w:val="single"/>
                      <w:highlight w:val="none"/>
                    </w:rPr>
                    <w:t>t</w:t>
                  </w:r>
                </w:p>
              </w:tc>
              <w:tc>
                <w:tcPr>
                  <w:tcW w:w="750" w:type="pct"/>
                  <w:vAlign w:val="center"/>
                </w:tcPr>
                <w:p>
                  <w:pPr>
                    <w:adjustRightInd w:val="0"/>
                    <w:snapToGrid w:val="0"/>
                    <w:jc w:val="center"/>
                    <w:rPr>
                      <w:rFonts w:eastAsia="宋体"/>
                      <w:szCs w:val="21"/>
                      <w:u w:val="single"/>
                      <w:lang w:val="en-US" w:eastAsia="zh-CN"/>
                      <w:highlight w:val="none"/>
                    </w:rPr>
                  </w:pPr>
                  <w:r>
                    <w:rPr>
                      <w:rFonts w:hint="eastAsia"/>
                      <w:szCs w:val="21"/>
                      <w:u w:val="single"/>
                      <w:highlight w:val="none"/>
                    </w:rPr>
                    <w:t>0.</w:t>
                  </w:r>
                  <w:r>
                    <w:rPr>
                      <w:rFonts w:hint="eastAsia"/>
                      <w:szCs w:val="21"/>
                      <w:u w:val="single"/>
                      <w:lang w:val="en-US" w:eastAsia="zh-CN"/>
                      <w:highlight w:val="none"/>
                    </w:rPr>
                    <w:t>194</w:t>
                  </w:r>
                </w:p>
              </w:tc>
            </w:tr>
            <w:tr>
              <w:trPr>
                <w:trHeight w:val="340"/>
              </w:trPr>
              <w:tc>
                <w:tcPr>
                  <w:tcW w:w="1120" w:type="pct"/>
                  <w:vAlign w:val="center"/>
                </w:tcPr>
                <w:p>
                  <w:pPr>
                    <w:adjustRightInd w:val="0"/>
                    <w:snapToGrid w:val="0"/>
                    <w:jc w:val="center"/>
                    <w:rPr>
                      <w:szCs w:val="21"/>
                      <w:u w:val="single"/>
                      <w:highlight w:val="none"/>
                    </w:rPr>
                  </w:pPr>
                  <w:r>
                    <w:rPr>
                      <w:rFonts w:hint="eastAsia"/>
                      <w:szCs w:val="21"/>
                      <w:u w:val="single"/>
                      <w:highlight w:val="none"/>
                    </w:rPr>
                    <w:t>危险废物</w:t>
                  </w:r>
                </w:p>
              </w:tc>
              <w:tc>
                <w:tcPr>
                  <w:tcW w:w="585" w:type="pct"/>
                  <w:vAlign w:val="center"/>
                </w:tcPr>
                <w:p>
                  <w:pPr>
                    <w:adjustRightInd w:val="0"/>
                    <w:snapToGrid w:val="0"/>
                    <w:jc w:val="center"/>
                    <w:rPr>
                      <w:szCs w:val="21"/>
                      <w:u w:val="single"/>
                      <w:highlight w:val="none"/>
                    </w:rPr>
                  </w:pPr>
                  <w:r>
                    <w:rPr>
                      <w:szCs w:val="21"/>
                      <w:u w:val="single"/>
                      <w:highlight w:val="none"/>
                    </w:rPr>
                    <w:t>液体</w:t>
                  </w:r>
                </w:p>
              </w:tc>
              <w:tc>
                <w:tcPr>
                  <w:tcW w:w="609" w:type="pct"/>
                  <w:vAlign w:val="center"/>
                </w:tcPr>
                <w:p>
                  <w:pPr>
                    <w:adjustRightInd w:val="0"/>
                    <w:snapToGrid w:val="0"/>
                    <w:jc w:val="center"/>
                    <w:rPr>
                      <w:szCs w:val="21"/>
                      <w:u w:val="single"/>
                      <w:highlight w:val="none"/>
                    </w:rPr>
                  </w:pPr>
                  <w:r>
                    <w:rPr>
                      <w:rFonts w:hint="eastAsia"/>
                      <w:szCs w:val="21"/>
                      <w:u w:val="single"/>
                      <w:highlight w:val="none"/>
                    </w:rPr>
                    <w:t>50t</w:t>
                  </w:r>
                </w:p>
              </w:tc>
              <w:tc>
                <w:tcPr>
                  <w:tcW w:w="1056" w:type="pct"/>
                  <w:vAlign w:val="center"/>
                </w:tcPr>
                <w:p>
                  <w:pPr>
                    <w:adjustRightInd w:val="0"/>
                    <w:snapToGrid w:val="0"/>
                    <w:jc w:val="center"/>
                    <w:rPr>
                      <w:szCs w:val="21"/>
                      <w:u w:val="single"/>
                      <w:highlight w:val="none"/>
                    </w:rPr>
                  </w:pPr>
                  <w:r>
                    <w:rPr>
                      <w:rFonts w:hint="eastAsia"/>
                      <w:szCs w:val="21"/>
                      <w:u w:val="single"/>
                      <w:highlight w:val="none"/>
                    </w:rPr>
                    <w:t>危废暂存间</w:t>
                  </w:r>
                </w:p>
              </w:tc>
              <w:tc>
                <w:tcPr>
                  <w:tcW w:w="877" w:type="pct"/>
                  <w:vAlign w:val="center"/>
                </w:tcPr>
                <w:p>
                  <w:pPr>
                    <w:adjustRightInd w:val="0"/>
                    <w:snapToGrid w:val="0"/>
                    <w:jc w:val="center"/>
                    <w:rPr>
                      <w:szCs w:val="21"/>
                      <w:u w:val="single"/>
                      <w:highlight w:val="none"/>
                    </w:rPr>
                  </w:pPr>
                  <w:r>
                    <w:rPr>
                      <w:rFonts w:hint="eastAsia"/>
                      <w:szCs w:val="21"/>
                      <w:u w:val="single"/>
                      <w:highlight w:val="none"/>
                    </w:rPr>
                    <w:t>0.04</w:t>
                  </w:r>
                </w:p>
              </w:tc>
              <w:tc>
                <w:tcPr>
                  <w:tcW w:w="750" w:type="pct"/>
                  <w:vAlign w:val="center"/>
                </w:tcPr>
                <w:p>
                  <w:pPr>
                    <w:adjustRightInd w:val="0"/>
                    <w:snapToGrid w:val="0"/>
                    <w:jc w:val="center"/>
                    <w:rPr>
                      <w:szCs w:val="21"/>
                      <w:u w:val="single"/>
                      <w:highlight w:val="none"/>
                    </w:rPr>
                  </w:pPr>
                  <w:r>
                    <w:rPr>
                      <w:szCs w:val="21"/>
                      <w:u w:val="single"/>
                      <w:highlight w:val="none"/>
                    </w:rPr>
                    <w:t>0.0008</w:t>
                  </w:r>
                </w:p>
              </w:tc>
            </w:tr>
            <w:tr>
              <w:trPr>
                <w:trHeight w:val="340"/>
              </w:trPr>
              <w:tc>
                <w:tcPr>
                  <w:tcW w:w="1120" w:type="pct"/>
                  <w:vAlign w:val="center"/>
                </w:tcPr>
                <w:p>
                  <w:pPr>
                    <w:adjustRightInd w:val="0"/>
                    <w:snapToGrid w:val="0"/>
                    <w:jc w:val="center"/>
                    <w:rPr>
                      <w:rFonts w:eastAsia="宋体"/>
                      <w:szCs w:val="21"/>
                      <w:u w:val="single"/>
                      <w:lang w:val="en-US" w:eastAsia="zh-CN"/>
                      <w:highlight w:val="none"/>
                    </w:rPr>
                  </w:pPr>
                  <w:r>
                    <w:rPr>
                      <w:rFonts w:hint="eastAsia"/>
                      <w:szCs w:val="21"/>
                      <w:u w:val="single"/>
                      <w:lang w:val="en-US" w:eastAsia="zh-CN"/>
                      <w:highlight w:val="none"/>
                    </w:rPr>
                    <w:t>柴油、汽油</w:t>
                  </w:r>
                </w:p>
              </w:tc>
              <w:tc>
                <w:tcPr>
                  <w:tcW w:w="585" w:type="pct"/>
                  <w:vAlign w:val="center"/>
                </w:tcPr>
                <w:p>
                  <w:pPr>
                    <w:adjustRightInd w:val="0"/>
                    <w:snapToGrid w:val="0"/>
                    <w:jc w:val="center"/>
                    <w:rPr>
                      <w:rFonts w:eastAsia="宋体" w:hint="eastAsia"/>
                      <w:szCs w:val="21"/>
                      <w:u w:val="single"/>
                      <w:lang w:val="en-US" w:eastAsia="zh-CN"/>
                      <w:highlight w:val="none"/>
                    </w:rPr>
                  </w:pPr>
                  <w:r>
                    <w:rPr>
                      <w:rFonts w:hint="eastAsia"/>
                      <w:szCs w:val="21"/>
                      <w:u w:val="single"/>
                      <w:lang w:val="en-US" w:eastAsia="zh-CN"/>
                      <w:highlight w:val="none"/>
                    </w:rPr>
                    <w:t>液体</w:t>
                  </w:r>
                </w:p>
              </w:tc>
              <w:tc>
                <w:tcPr>
                  <w:tcW w:w="609" w:type="pct"/>
                  <w:vAlign w:val="center"/>
                </w:tcPr>
                <w:p>
                  <w:pPr>
                    <w:adjustRightInd w:val="0"/>
                    <w:snapToGrid w:val="0"/>
                    <w:jc w:val="center"/>
                    <w:rPr>
                      <w:rFonts w:eastAsia="宋体"/>
                      <w:szCs w:val="21"/>
                      <w:u w:val="single"/>
                      <w:lang w:val="en-US" w:eastAsia="zh-CN"/>
                      <w:highlight w:val="none"/>
                    </w:rPr>
                  </w:pPr>
                  <w:r>
                    <w:rPr>
                      <w:rFonts w:hint="eastAsia"/>
                      <w:szCs w:val="21"/>
                      <w:u w:val="single"/>
                      <w:lang w:val="en-US" w:eastAsia="zh-CN"/>
                      <w:highlight w:val="none"/>
                    </w:rPr>
                    <w:t>2500t</w:t>
                  </w:r>
                </w:p>
              </w:tc>
              <w:tc>
                <w:tcPr>
                  <w:tcW w:w="1056" w:type="pct"/>
                  <w:vAlign w:val="center"/>
                </w:tcPr>
                <w:p>
                  <w:pPr>
                    <w:adjustRightInd w:val="0"/>
                    <w:snapToGrid w:val="0"/>
                    <w:jc w:val="center"/>
                    <w:rPr>
                      <w:rFonts w:eastAsia="宋体"/>
                      <w:szCs w:val="21"/>
                      <w:u w:val="single"/>
                      <w:lang w:val="en-US" w:eastAsia="zh-CN"/>
                      <w:highlight w:val="none"/>
                    </w:rPr>
                  </w:pPr>
                  <w:r>
                    <w:rPr>
                      <w:rFonts w:hint="eastAsia"/>
                      <w:szCs w:val="21"/>
                      <w:u w:val="single"/>
                      <w:lang w:val="en-US" w:eastAsia="zh-CN"/>
                      <w:highlight w:val="none"/>
                    </w:rPr>
                    <w:t>施工机械</w:t>
                  </w:r>
                </w:p>
              </w:tc>
              <w:tc>
                <w:tcPr>
                  <w:tcW w:w="877" w:type="pct"/>
                  <w:vAlign w:val="center"/>
                </w:tcPr>
                <w:p>
                  <w:pPr>
                    <w:adjustRightInd w:val="0"/>
                    <w:snapToGrid w:val="0"/>
                    <w:jc w:val="center"/>
                    <w:rPr>
                      <w:rFonts w:eastAsia="宋体"/>
                      <w:szCs w:val="21"/>
                      <w:u w:val="single"/>
                      <w:lang w:val="en-US" w:eastAsia="zh-CN"/>
                      <w:highlight w:val="none"/>
                    </w:rPr>
                  </w:pPr>
                  <w:r>
                    <w:rPr>
                      <w:rFonts w:hint="eastAsia"/>
                      <w:szCs w:val="21"/>
                      <w:u w:val="single"/>
                      <w:lang w:val="en-US" w:eastAsia="zh-CN"/>
                      <w:highlight w:val="none"/>
                    </w:rPr>
                    <w:t>0.5</w:t>
                  </w:r>
                </w:p>
              </w:tc>
              <w:tc>
                <w:tcPr>
                  <w:tcW w:w="750" w:type="pct"/>
                  <w:vAlign w:val="center"/>
                </w:tcPr>
                <w:p>
                  <w:pPr>
                    <w:adjustRightInd w:val="0"/>
                    <w:snapToGrid w:val="0"/>
                    <w:jc w:val="center"/>
                    <w:rPr>
                      <w:rFonts w:eastAsia="宋体"/>
                      <w:szCs w:val="21"/>
                      <w:u w:val="single"/>
                      <w:lang w:val="en-US" w:eastAsia="zh-CN"/>
                      <w:highlight w:val="none"/>
                    </w:rPr>
                  </w:pPr>
                  <w:r>
                    <w:rPr>
                      <w:rFonts w:hint="eastAsia"/>
                      <w:szCs w:val="21"/>
                      <w:u w:val="single"/>
                      <w:lang w:val="en-US" w:eastAsia="zh-CN"/>
                      <w:highlight w:val="none"/>
                    </w:rPr>
                    <w:t>0.0002</w:t>
                  </w:r>
                </w:p>
              </w:tc>
            </w:tr>
            <w:tr>
              <w:trPr>
                <w:trHeight w:val="340"/>
              </w:trPr>
              <w:tc>
                <w:tcPr>
                  <w:tcW w:w="4249" w:type="pct"/>
                  <w:gridSpan w:val="5"/>
                  <w:vAlign w:val="center"/>
                </w:tcPr>
                <w:p>
                  <w:pPr>
                    <w:adjustRightInd w:val="0"/>
                    <w:snapToGrid w:val="0"/>
                    <w:jc w:val="center"/>
                    <w:rPr>
                      <w:szCs w:val="21"/>
                      <w:u w:val="single"/>
                      <w:highlight w:val="none"/>
                    </w:rPr>
                  </w:pPr>
                  <w:r>
                    <w:rPr>
                      <w:rFonts w:hint="eastAsia"/>
                      <w:szCs w:val="21"/>
                      <w:u w:val="single"/>
                      <w:highlight w:val="none"/>
                    </w:rPr>
                    <w:t>合计</w:t>
                  </w:r>
                </w:p>
              </w:tc>
              <w:tc>
                <w:tcPr>
                  <w:tcW w:w="750" w:type="pct"/>
                  <w:vAlign w:val="center"/>
                </w:tcPr>
                <w:p>
                  <w:pPr>
                    <w:adjustRightInd w:val="0"/>
                    <w:snapToGrid w:val="0"/>
                    <w:jc w:val="center"/>
                    <w:rPr>
                      <w:szCs w:val="21"/>
                      <w:u w:val="single"/>
                      <w:highlight w:val="none"/>
                    </w:rPr>
                  </w:pPr>
                  <w:r>
                    <w:rPr>
                      <w:rFonts w:hint="eastAsia"/>
                      <w:szCs w:val="21"/>
                      <w:u w:val="single"/>
                      <w:highlight w:val="none"/>
                    </w:rPr>
                    <w:t>0.</w:t>
                  </w:r>
                  <w:r>
                    <w:rPr>
                      <w:rFonts w:hint="eastAsia"/>
                      <w:szCs w:val="21"/>
                      <w:u w:val="single"/>
                      <w:lang w:val="en-US" w:eastAsia="zh-CN"/>
                      <w:highlight w:val="none"/>
                    </w:rPr>
                    <w:t>195</w:t>
                  </w:r>
                </w:p>
              </w:tc>
            </w:tr>
          </w:tbl>
          <w:p>
            <w:pPr>
              <w:spacing w:line="360" w:lineRule="auto"/>
              <w:ind w:firstLine="480"/>
              <w:rPr>
                <w:sz w:val="24"/>
                <w:u w:val="single"/>
                <w:highlight w:val="none"/>
              </w:rPr>
            </w:pPr>
            <w:r>
              <w:rPr>
                <w:sz w:val="24"/>
                <w:u w:val="single"/>
                <w:highlight w:val="none"/>
              </w:rPr>
              <w:t>由上表可知项目Q值为</w:t>
            </w:r>
            <w:r>
              <w:rPr>
                <w:rFonts w:hint="eastAsia"/>
                <w:sz w:val="24"/>
                <w:u w:val="single"/>
                <w:lang w:eastAsia="zh-CN"/>
                <w:highlight w:val="none"/>
              </w:rPr>
              <w:t>0.19</w:t>
            </w:r>
            <w:r>
              <w:rPr>
                <w:rFonts w:hint="eastAsia"/>
                <w:sz w:val="24"/>
                <w:u w:val="single"/>
                <w:lang w:val="en-US" w:eastAsia="zh-CN"/>
                <w:highlight w:val="none"/>
              </w:rPr>
              <w:t>5</w:t>
            </w:r>
            <w:r>
              <w:rPr>
                <w:sz w:val="24"/>
                <w:u w:val="single"/>
                <w:highlight w:val="none"/>
              </w:rPr>
              <w:t>，即Q＜1，因此本项目环境风险潜势为Ⅰ。</w:t>
            </w:r>
          </w:p>
          <w:p>
            <w:pPr>
              <w:spacing w:line="360" w:lineRule="auto"/>
              <w:ind w:firstLine="480"/>
              <w:rPr>
                <w:sz w:val="24"/>
                <w:u w:val="none"/>
                <w:highlight w:val="none"/>
              </w:rPr>
            </w:pPr>
            <w:r>
              <w:rPr>
                <w:sz w:val="24"/>
                <w:u w:val="none"/>
                <w:highlight w:val="none"/>
              </w:rPr>
              <w:t>3）评价等级判定</w:t>
            </w:r>
          </w:p>
          <w:p>
            <w:pPr>
              <w:pStyle w:val="65"/>
              <w:tabs>
                <w:tab w:val="left" w:pos="901"/>
              </w:tabs>
              <w:spacing w:line="360" w:lineRule="auto"/>
              <w:ind w:firstLineChars="200" w:firstLine="480"/>
              <w:rPr>
                <w:rFonts w:ascii="Times New Roman" w:cs="Times New Roman" w:hAnsi="Times New Roman"/>
                <w:sz w:val="24"/>
                <w:u w:val="none"/>
                <w:lang w:eastAsia="zh-CN"/>
                <w:highlight w:val="none"/>
              </w:rPr>
            </w:pPr>
            <w:r>
              <w:rPr>
                <w:rFonts w:ascii="Times New Roman" w:cs="Times New Roman" w:hAnsi="Times New Roman"/>
                <w:sz w:val="24"/>
                <w:u w:val="none"/>
                <w:highlight w:val="none"/>
              </w:rPr>
              <w:t>《建设项目环境风险评价技术导则》（HJ169-2018），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hint="eastAsia"/>
                <w:sz w:val="24"/>
                <w:u w:val="single"/>
                <w:highlight w:val="none"/>
              </w:rPr>
              <w:t>（3）</w:t>
            </w:r>
            <w:r>
              <w:rPr>
                <w:rFonts w:ascii="Times New Roman" w:cs="Times New Roman" w:hAnsi="Times New Roman"/>
                <w:sz w:val="24"/>
                <w:u w:val="single"/>
                <w:highlight w:val="none"/>
              </w:rPr>
              <w:t>风险识别</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sz w:val="24"/>
                <w:u w:val="single"/>
                <w:highlight w:val="none"/>
              </w:rPr>
              <w:t>根据风险调查内容</w:t>
            </w:r>
            <w:r>
              <w:rPr>
                <w:rFonts w:ascii="Times New Roman" w:cs="Times New Roman" w:hAnsi="Times New Roman" w:hint="eastAsia"/>
                <w:sz w:val="24"/>
                <w:u w:val="single"/>
                <w:highlight w:val="none"/>
              </w:rPr>
              <w:t>可知，</w:t>
            </w:r>
            <w:r>
              <w:rPr>
                <w:rFonts w:ascii="Times New Roman" w:cs="Times New Roman" w:hAnsi="Times New Roman"/>
                <w:sz w:val="24"/>
                <w:u w:val="single"/>
                <w:highlight w:val="none"/>
              </w:rPr>
              <w:t>项目涉及的危险物质为次氯酸钠</w:t>
            </w:r>
            <w:r>
              <w:rPr>
                <w:rFonts w:ascii="Times New Roman" w:cs="Times New Roman" w:hAnsi="Times New Roman" w:hint="eastAsia"/>
                <w:sz w:val="24"/>
                <w:u w:val="single"/>
                <w:highlight w:val="none"/>
              </w:rPr>
              <w:t>、危险废物</w:t>
            </w:r>
            <w:r>
              <w:rPr>
                <w:rFonts w:ascii="Times New Roman" w:cs="Times New Roman" w:hAnsi="Times New Roman" w:hint="eastAsia"/>
                <w:sz w:val="24"/>
                <w:u w:val="single"/>
                <w:lang w:val="en-US" w:eastAsia="zh-CN"/>
                <w:highlight w:val="none"/>
              </w:rPr>
              <w:t>以及施工机械使用的柴油、汽油</w:t>
            </w:r>
            <w:r>
              <w:rPr>
                <w:rFonts w:ascii="Times New Roman" w:cs="Times New Roman" w:hAnsi="Times New Roman"/>
                <w:sz w:val="24"/>
                <w:u w:val="single"/>
                <w:highlight w:val="none"/>
              </w:rPr>
              <w:t>。</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sz w:val="24"/>
                <w:u w:val="single"/>
                <w:highlight w:val="none"/>
              </w:rPr>
              <w:t>其中次氯酸钠储存于</w:t>
            </w:r>
            <w:r>
              <w:rPr>
                <w:rFonts w:ascii="Times New Roman" w:cs="Times New Roman" w:hAnsi="Times New Roman" w:hint="eastAsia"/>
                <w:sz w:val="24"/>
                <w:u w:val="single"/>
                <w:highlight w:val="none"/>
              </w:rPr>
              <w:t>加药间内</w:t>
            </w:r>
            <w:r>
              <w:rPr>
                <w:rFonts w:ascii="Times New Roman" w:cs="Times New Roman" w:hAnsi="Times New Roman"/>
                <w:sz w:val="24"/>
                <w:u w:val="single"/>
                <w:highlight w:val="none"/>
              </w:rPr>
              <w:t>，在非正常情况下，可能发生的环境风险主要是在储运、装卸、使用过程发生的泄漏对水厂供水水质、大气、地表水、土壤环境及人体健康等的影响。</w:t>
            </w:r>
          </w:p>
          <w:p>
            <w:pPr>
              <w:pStyle w:val="65"/>
              <w:tabs>
                <w:tab w:val="left" w:pos="901"/>
              </w:tabs>
              <w:spacing w:line="360" w:lineRule="auto"/>
              <w:ind w:firstLineChars="200" w:firstLine="480"/>
              <w:rPr>
                <w:rFonts w:ascii="Times New Roman" w:cs="Times New Roman" w:hAnsi="Times New Roman" w:hint="eastAsia"/>
                <w:sz w:val="24"/>
                <w:u w:val="single"/>
                <w:lang w:eastAsia="zh-CN"/>
                <w:highlight w:val="none"/>
              </w:rPr>
            </w:pPr>
            <w:r>
              <w:rPr>
                <w:rFonts w:ascii="Times New Roman" w:cs="Times New Roman" w:hAnsi="Times New Roman" w:hint="eastAsia"/>
                <w:sz w:val="24"/>
                <w:u w:val="single"/>
                <w:lang w:eastAsia="zh-CN"/>
                <w:highlight w:val="none"/>
              </w:rPr>
              <w:t>本项目生产过程中产生的危险废物中均含有一定的有毒有害物质。倘若在运营过程中不注意收集、储存，随意堆放，容易造成危险废物中的有毒有害物质渗入地下，污染土壤和地下水。</w:t>
            </w:r>
          </w:p>
          <w:p>
            <w:pPr>
              <w:pStyle w:val="65"/>
              <w:tabs>
                <w:tab w:val="left" w:pos="901"/>
              </w:tabs>
              <w:spacing w:line="360" w:lineRule="auto"/>
              <w:ind w:firstLineChars="200" w:firstLine="480"/>
              <w:rPr>
                <w:rFonts w:ascii="Times New Roman" w:eastAsia="宋体" w:cs="Times New Roman" w:hAnsi="Times New Roman" w:hint="eastAsia"/>
                <w:sz w:val="24"/>
                <w:u w:val="single"/>
                <w:lang w:eastAsia="zh-CN"/>
                <w:highlight w:val="none"/>
              </w:rPr>
            </w:pPr>
            <w:r>
              <w:rPr>
                <w:rFonts w:ascii="Times New Roman" w:eastAsia="宋体" w:cs="Times New Roman" w:hAnsi="Times New Roman" w:hint="eastAsia"/>
                <w:sz w:val="24"/>
                <w:u w:val="single"/>
                <w:lang w:val="en-US" w:eastAsia="zh-CN"/>
                <w:highlight w:val="none"/>
              </w:rPr>
              <w:t>本项目使用柴油、汽油作为施工机械、车辆的燃料，不设油库，主要环境风险为油料泄漏及其引发的火灾、爆炸事故。</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hint="eastAsia"/>
                <w:sz w:val="24"/>
                <w:u w:val="none"/>
                <w:highlight w:val="none"/>
              </w:rPr>
              <w:t>（4）</w:t>
            </w:r>
            <w:r>
              <w:rPr>
                <w:rFonts w:ascii="Times New Roman" w:cs="Times New Roman" w:hAnsi="Times New Roman"/>
                <w:sz w:val="24"/>
                <w:u w:val="none"/>
                <w:highlight w:val="none"/>
              </w:rPr>
              <w:t>环境风险分析</w:t>
            </w:r>
          </w:p>
          <w:p>
            <w:pPr>
              <w:pStyle w:val="65"/>
              <w:tabs>
                <w:tab w:val="left" w:pos="901"/>
              </w:tabs>
              <w:spacing w:line="360" w:lineRule="auto"/>
              <w:ind w:firstLineChars="200" w:firstLine="480"/>
              <w:rPr>
                <w:rFonts w:eastAsia="宋体" w:cs="Cambria Math"/>
                <w:sz w:val="24"/>
                <w:u w:val="single"/>
                <w:lang w:val="en-US" w:eastAsia="zh-CN"/>
                <w:highlight w:val="none"/>
              </w:rPr>
            </w:pPr>
            <w:r>
              <w:rPr>
                <w:rFonts w:ascii="Times New Roman" w:cs="Times New Roman" w:hAnsi="Times New Roman"/>
                <w:sz w:val="24"/>
                <w:u w:val="single"/>
                <w:lang w:val="en-US" w:eastAsia="zh-CN"/>
                <w:highlight w:val="none"/>
              </w:rPr>
              <w:t>1）</w:t>
            </w:r>
            <w:r>
              <w:rPr>
                <w:rFonts w:cs="Cambria Math" w:hint="eastAsia"/>
                <w:sz w:val="24"/>
                <w:u w:val="single"/>
                <w:lang w:val="en-US" w:eastAsia="zh-CN"/>
                <w:highlight w:val="none"/>
              </w:rPr>
              <w:t>施工期环境风险分析</w:t>
            </w:r>
          </w:p>
          <w:p>
            <w:pPr>
              <w:pStyle w:val="65"/>
              <w:tabs>
                <w:tab w:val="left" w:pos="901"/>
              </w:tabs>
              <w:spacing w:line="360" w:lineRule="auto"/>
              <w:ind w:firstLineChars="200" w:firstLine="480"/>
              <w:rPr>
                <w:rFonts w:ascii="Times New Roman" w:eastAsia="宋体" w:cs="Times New Roman" w:hAnsi="Times New Roman"/>
                <w:sz w:val="24"/>
                <w:u w:val="single"/>
                <w:lang w:val="en-US" w:eastAsia="zh-CN"/>
                <w:highlight w:val="none"/>
              </w:rPr>
            </w:pPr>
            <w:r>
              <w:rPr>
                <w:rFonts w:ascii="Times New Roman" w:eastAsia="宋体" w:cs="Times New Roman" w:hAnsi="Times New Roman" w:hint="eastAsia"/>
                <w:sz w:val="24"/>
                <w:u w:val="single"/>
                <w:lang w:val="en-US" w:eastAsia="zh-CN"/>
                <w:highlight w:val="none"/>
              </w:rPr>
              <w:t>①</w:t>
            </w:r>
            <w:r>
              <w:rPr>
                <w:rFonts w:ascii="Times New Roman" w:eastAsia="宋体" w:cs="Times New Roman" w:hAnsi="Times New Roman"/>
                <w:sz w:val="24"/>
                <w:u w:val="single"/>
                <w:lang w:val="en-US" w:eastAsia="zh-CN"/>
                <w:highlight w:val="none"/>
              </w:rPr>
              <w:t>溢油污染事故</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sz w:val="24"/>
                <w:u w:val="single"/>
                <w:lang w:val="en-US" w:eastAsia="zh-CN"/>
                <w:highlight w:val="none"/>
              </w:rPr>
              <w:t>本项目施工机械、车辆包括挖掘机、推土机、自卸汽车等，由于进出机械设备、车辆较多，机械设备不及时维修保养，可能发生车辆碰撞、侧翻等交通事故造成石油类泄漏，或施工机械在施工作业及行进过程中，尤其是库内侧施工的车辆机械发生侧翻事故，一旦发生溢油污染事故，将对一定范围内的水域造成污染，还可能污染水库，对库区内的水生生物和以水库为用水的农业灌溉和生活用水影响较大。</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sz w:val="24"/>
                <w:u w:val="single"/>
                <w:lang w:val="en-US" w:eastAsia="zh-CN"/>
                <w:highlight w:val="none"/>
              </w:rPr>
              <w:t>以石油污染为例，其危害是由石油的化学成分、特性及其在库区内的存在形式决定。在石油不同组分中，低沸点的芳香烃对一切生物均有毒性，而高沸点的芳香烃则是长效毒性，会对水生生物生命构成威胁，甚至死亡。</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hint="eastAsia"/>
                <w:sz w:val="24"/>
                <w:u w:val="single"/>
                <w:lang w:val="en-US" w:eastAsia="zh-CN"/>
                <w:highlight w:val="none"/>
              </w:rPr>
              <w:t>A、</w:t>
            </w:r>
            <w:r>
              <w:rPr>
                <w:rFonts w:ascii="Times New Roman" w:eastAsia="宋体" w:cs="Times New Roman" w:hAnsi="Times New Roman"/>
                <w:sz w:val="24"/>
                <w:u w:val="single"/>
                <w:lang w:val="en-US" w:eastAsia="zh-CN"/>
                <w:highlight w:val="none"/>
              </w:rPr>
              <w:t>对水源保护区影响风险分析</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sz w:val="24"/>
                <w:u w:val="single"/>
                <w:lang w:val="en-US" w:eastAsia="zh-CN"/>
                <w:highlight w:val="none"/>
              </w:rPr>
              <w:t>石油类污染物大多数都不溶于水，在水表面随流和风漂流扩散。溢油油膜初期为受重力作用在水表面扩展，然后油膜随水流和风漂移扩散，再其后发生蒸发、乳化和生物作用而衰减。其中初期阶段随水流和风漂移扩散对水域环境影响较为明显，里山河水库水流流速缓慢，一般流速在0.2m/s以下，工程区域油膜漂移方向随风向外扩展，会对扩展范围内水质和鱼类等造成影响。</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hint="eastAsia"/>
                <w:sz w:val="24"/>
                <w:u w:val="single"/>
                <w:lang w:val="en-US" w:eastAsia="zh-CN"/>
                <w:highlight w:val="none"/>
              </w:rPr>
              <w:t>B、</w:t>
            </w:r>
            <w:r>
              <w:rPr>
                <w:rFonts w:ascii="Times New Roman" w:eastAsia="宋体" w:cs="Times New Roman" w:hAnsi="Times New Roman"/>
                <w:sz w:val="24"/>
                <w:u w:val="single"/>
                <w:lang w:val="en-US" w:eastAsia="zh-CN"/>
                <w:highlight w:val="none"/>
              </w:rPr>
              <w:t>对水生生物影响风险分析</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sz w:val="24"/>
                <w:u w:val="single"/>
                <w:lang w:val="en-US" w:eastAsia="zh-CN"/>
                <w:highlight w:val="none"/>
              </w:rPr>
              <w:t>根据相关研究结果得出，石油类污染带瞬时高浓度排放（即事故性排放）可导致急性中毒死鱼事故，此外，当油在水面形成油膜后，影响氧气进入水体，对鱼类造成危害。</w:t>
            </w:r>
          </w:p>
          <w:p>
            <w:pPr>
              <w:pStyle w:val="65"/>
              <w:tabs>
                <w:tab w:val="left" w:pos="901"/>
              </w:tabs>
              <w:spacing w:line="360" w:lineRule="auto"/>
              <w:ind w:firstLineChars="200" w:firstLine="480"/>
              <w:rPr>
                <w:rFonts w:ascii="Times New Roman" w:eastAsia="宋体" w:cs="Times New Roman" w:hAnsi="Times New Roman"/>
                <w:sz w:val="24"/>
                <w:u w:val="single"/>
                <w:lang w:val="en-US" w:eastAsia="zh-CN"/>
                <w:highlight w:val="none"/>
              </w:rPr>
            </w:pPr>
            <w:r>
              <w:rPr>
                <w:rFonts w:ascii="Times New Roman" w:eastAsia="宋体" w:cs="Times New Roman" w:hAnsi="Times New Roman"/>
                <w:sz w:val="24"/>
                <w:u w:val="single"/>
                <w:lang w:val="en-US" w:eastAsia="zh-CN"/>
                <w:highlight w:val="none"/>
              </w:rPr>
              <w:t>石油类污染物藻鱼体中的积累和残留可引起鱼类慢性中毒而带来长效应的污染影响，这种影响不仅可引起鱼类资源的变动，甚至会造成鱼类种质的变异。鱼类一旦与油分子接触就会在短时间内发生油臭，从而影响其食用价值。</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sz w:val="24"/>
                <w:u w:val="single"/>
                <w:lang w:val="zh-CN"/>
                <w:highlight w:val="none"/>
              </w:rPr>
              <w:t>实验证明石油类会破坏浮游植物细胞，损坏叶绿素及干扰气体交换，从而妨碍光合作用。这种破坏程度取决于油的类型、浓度及浮游植物的种类。根据国内外众多毒性实验结果表明，作为鱼、虾类饵料基础的浮游植物，对各类油类的耐受能力都很低。一般浮游植物石油急性中毒致死浓度为 0.1~10.0mg/L，也会影响细胞的分裂和生长。浮游动物石油类急性中毒致死浓度范围一般为 0.1~15mg/L，而且通过不同浓度的石油类环境对挠足类幼体影响实验表明，终生性浮游动物幼体的敏感性大于临时性的底栖生物幼体，而它们各自的幼体敏感性又大于成体。因此，为了减少石油类的污染，工程建设期间将对施工设备和机械进行严格的管控，合理组织施工程序和施工机械；加强附近道路运输管理，加强交通管制， 并注意路面维护，确保施工运输车辆安全通行，杜绝施工人员由于疲劳驾驶、速度过快或者车况不好，导致翻车漏油事故的出现；严格落实各项风险防范措施和事故应急预案，严防事故发生。</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微软雅黑" w:cs="Times New Roman" w:hAnsi="Times New Roman"/>
                <w:sz w:val="24"/>
                <w:u w:val="single"/>
                <w:lang w:val="en-US" w:eastAsia="zh-CN"/>
                <w:highlight w:val="none"/>
              </w:rPr>
              <w:t>②</w:t>
            </w:r>
            <w:r>
              <w:rPr>
                <w:rFonts w:ascii="Times New Roman" w:eastAsia="宋体" w:cs="Times New Roman" w:hAnsi="Times New Roman"/>
                <w:sz w:val="24"/>
                <w:u w:val="single"/>
                <w:lang w:val="en-US" w:eastAsia="zh-CN"/>
                <w:highlight w:val="none"/>
              </w:rPr>
              <w:t>废水事故性排放</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sz w:val="24"/>
                <w:u w:val="single"/>
                <w:lang w:val="en-US" w:eastAsia="zh-CN"/>
                <w:highlight w:val="none"/>
              </w:rPr>
              <w:t>若工程施工时，未按环保措施要求施工，没有及时采取相应拦挡等措施防护，产生的施工废污水不慎进入水库将对附近水体水质产生不利影响；如若本项目废水处理设施出现破裂或设备故障，导致废污水未经处理或处理不达标外排，将影响周围环境质量。</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微软雅黑" w:cs="Times New Roman" w:hAnsi="Times New Roman"/>
                <w:sz w:val="24"/>
                <w:u w:val="single"/>
                <w:lang w:val="en-US" w:eastAsia="zh-CN"/>
                <w:highlight w:val="none"/>
              </w:rPr>
              <w:t>③</w:t>
            </w:r>
            <w:r>
              <w:rPr>
                <w:rFonts w:ascii="Times New Roman" w:eastAsia="宋体" w:cs="Times New Roman" w:hAnsi="Times New Roman"/>
                <w:sz w:val="24"/>
                <w:u w:val="single"/>
                <w:lang w:val="en-US" w:eastAsia="zh-CN"/>
                <w:highlight w:val="none"/>
              </w:rPr>
              <w:t>火灾、爆炸事故</w:t>
            </w:r>
          </w:p>
          <w:p>
            <w:pPr>
              <w:pStyle w:val="65"/>
              <w:tabs>
                <w:tab w:val="left" w:pos="901"/>
              </w:tabs>
              <w:spacing w:line="360" w:lineRule="auto"/>
              <w:ind w:firstLineChars="200" w:firstLine="480"/>
              <w:rPr>
                <w:rFonts w:ascii="Times New Roman" w:eastAsia="宋体" w:cs="Times New Roman" w:hAnsi="Times New Roman"/>
                <w:sz w:val="24"/>
                <w:u w:val="single"/>
                <w:lang w:val="en-US" w:eastAsia="zh-CN"/>
                <w:highlight w:val="none"/>
              </w:rPr>
            </w:pPr>
            <w:r>
              <w:rPr>
                <w:rFonts w:ascii="Times New Roman" w:eastAsia="宋体" w:cs="Times New Roman" w:hAnsi="Times New Roman"/>
                <w:sz w:val="24"/>
                <w:u w:val="single"/>
                <w:lang w:val="en-US" w:eastAsia="zh-CN"/>
                <w:highlight w:val="none"/>
              </w:rPr>
              <w:t>本项目柴油、汽油属于易燃易爆物质，易引发火灾、爆炸；如发生交通事故也可能引起火灾、爆炸事故；工程周围植被较多，在非雨季的季节很容易发生火灾，从而影响周围大气环境。</w:t>
            </w:r>
          </w:p>
          <w:p>
            <w:pPr>
              <w:pStyle w:val="65"/>
              <w:tabs>
                <w:tab w:val="left" w:pos="901"/>
              </w:tabs>
              <w:spacing w:line="360" w:lineRule="auto"/>
              <w:ind w:firstLineChars="200" w:firstLine="480"/>
              <w:rPr>
                <w:rFonts w:eastAsia="宋体" w:cs="Cambria Math"/>
                <w:sz w:val="24"/>
                <w:u w:val="single"/>
                <w:lang w:val="en-US" w:eastAsia="zh-CN"/>
                <w:highlight w:val="none"/>
              </w:rPr>
            </w:pPr>
            <w:r>
              <w:rPr>
                <w:rFonts w:ascii="Times New Roman" w:cs="Times New Roman" w:hAnsi="Times New Roman"/>
                <w:sz w:val="24"/>
                <w:u w:val="single"/>
                <w:lang w:val="en-US" w:eastAsia="zh-CN"/>
                <w:highlight w:val="none"/>
              </w:rPr>
              <w:t>2）</w:t>
            </w:r>
            <w:r>
              <w:rPr>
                <w:rFonts w:cs="Cambria Math" w:hint="eastAsia"/>
                <w:sz w:val="24"/>
                <w:u w:val="single"/>
                <w:lang w:val="en-US" w:eastAsia="zh-CN"/>
                <w:highlight w:val="none"/>
              </w:rPr>
              <w:t>营运期环境风险分析</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cs="Cambria Math" w:hint="eastAsia"/>
                <w:sz w:val="24"/>
                <w:u w:val="single"/>
                <w:highlight w:val="none"/>
              </w:rPr>
              <w:t>①</w:t>
            </w:r>
            <w:r>
              <w:rPr>
                <w:rFonts w:ascii="Times New Roman" w:cs="Times New Roman" w:hAnsi="Times New Roman"/>
                <w:sz w:val="24"/>
                <w:u w:val="single"/>
                <w:highlight w:val="none"/>
              </w:rPr>
              <w:t>大气环境风险分析</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sz w:val="24"/>
                <w:u w:val="single"/>
                <w:highlight w:val="none"/>
              </w:rPr>
              <w:t>项目大气环境风险主要来自次氯酸钠泄露</w:t>
            </w:r>
            <w:r>
              <w:rPr>
                <w:rFonts w:ascii="Times New Roman" w:cs="Times New Roman" w:hAnsi="Times New Roman" w:hint="eastAsia"/>
                <w:sz w:val="24"/>
                <w:u w:val="single"/>
                <w:highlight w:val="none"/>
              </w:rPr>
              <w:t>产生的</w:t>
            </w:r>
            <w:r>
              <w:rPr>
                <w:rFonts w:ascii="Times New Roman" w:cs="Times New Roman" w:hAnsi="Times New Roman"/>
                <w:sz w:val="24"/>
                <w:u w:val="single"/>
                <w:highlight w:val="none"/>
              </w:rPr>
              <w:t>伴生污染物排放等。</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sz w:val="24"/>
                <w:u w:val="single"/>
                <w:highlight w:val="none"/>
              </w:rPr>
              <w:t>当次氯酸钠泄露后，会分解产生氯气，继而对大气环境造成污染；柴油发电机储罐泄露遇明火发生火灾爆炸后，其伴生污染物主要为其不完全燃烧产生的CO与SO</w:t>
            </w:r>
            <w:r>
              <w:rPr>
                <w:rFonts w:ascii="Times New Roman" w:cs="Times New Roman" w:hAnsi="Times New Roman"/>
                <w:sz w:val="24"/>
                <w:u w:val="single"/>
                <w:vertAlign w:val="subscript"/>
                <w:highlight w:val="none"/>
              </w:rPr>
              <w:t>2</w:t>
            </w:r>
            <w:r>
              <w:rPr>
                <w:rFonts w:ascii="Times New Roman" w:cs="Times New Roman" w:hAnsi="Times New Roman"/>
                <w:sz w:val="24"/>
                <w:u w:val="single"/>
                <w:highlight w:val="none"/>
              </w:rPr>
              <w:t>等，将对周围环境空气造成污染。</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cs="Cambria Math" w:hint="eastAsia"/>
                <w:sz w:val="24"/>
                <w:u w:val="single"/>
                <w:highlight w:val="none"/>
              </w:rPr>
              <w:t>②</w:t>
            </w:r>
            <w:r>
              <w:rPr>
                <w:rFonts w:ascii="Times New Roman" w:cs="Times New Roman" w:hAnsi="Times New Roman"/>
                <w:sz w:val="24"/>
                <w:u w:val="single"/>
                <w:highlight w:val="none"/>
              </w:rPr>
              <w:t>地表水风险分析</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sz w:val="24"/>
                <w:u w:val="single"/>
                <w:highlight w:val="none"/>
              </w:rPr>
              <w:t>项目次氯酸钠</w:t>
            </w:r>
            <w:r>
              <w:rPr>
                <w:rFonts w:ascii="Times New Roman" w:cs="Times New Roman" w:hAnsi="Times New Roman" w:hint="eastAsia"/>
                <w:sz w:val="24"/>
                <w:u w:val="single"/>
                <w:highlight w:val="none"/>
              </w:rPr>
              <w:t>、危险废物</w:t>
            </w:r>
            <w:r>
              <w:rPr>
                <w:rFonts w:ascii="Times New Roman" w:cs="Times New Roman" w:hAnsi="Times New Roman"/>
                <w:sz w:val="24"/>
                <w:u w:val="single"/>
                <w:highlight w:val="none"/>
              </w:rPr>
              <w:t>发生泄露，若进入地表水体，引起地表水中COD</w:t>
            </w:r>
            <w:r>
              <w:rPr>
                <w:rFonts w:ascii="Times New Roman" w:cs="Times New Roman" w:hAnsi="Times New Roman"/>
                <w:sz w:val="24"/>
                <w:u w:val="single"/>
                <w:vertAlign w:val="subscript"/>
                <w:highlight w:val="none"/>
              </w:rPr>
              <w:t>Cr</w:t>
            </w:r>
            <w:r>
              <w:rPr>
                <w:rFonts w:ascii="Times New Roman" w:cs="Times New Roman" w:hAnsi="Times New Roman" w:hint="eastAsia"/>
                <w:sz w:val="24"/>
                <w:u w:val="single"/>
                <w:highlight w:val="none"/>
              </w:rPr>
              <w:t>、石油类</w:t>
            </w:r>
            <w:r>
              <w:rPr>
                <w:rFonts w:ascii="Times New Roman" w:cs="Times New Roman" w:hAnsi="Times New Roman"/>
                <w:sz w:val="24"/>
                <w:u w:val="single"/>
                <w:highlight w:val="none"/>
              </w:rPr>
              <w:t>含量的上升；本项目中次氯酸钠</w:t>
            </w:r>
            <w:r>
              <w:rPr>
                <w:rFonts w:ascii="Times New Roman" w:cs="Times New Roman" w:hAnsi="Times New Roman" w:hint="eastAsia"/>
                <w:sz w:val="24"/>
                <w:u w:val="single"/>
                <w:highlight w:val="none"/>
              </w:rPr>
              <w:t>、危险废物</w:t>
            </w:r>
            <w:r>
              <w:rPr>
                <w:rFonts w:ascii="Times New Roman" w:cs="Times New Roman" w:hAnsi="Times New Roman"/>
                <w:sz w:val="24"/>
                <w:u w:val="single"/>
                <w:highlight w:val="none"/>
              </w:rPr>
              <w:t>，可能在贮存、运输过程中因泄漏通过雨水管网排入下游地表水体，导致地表水水质的污染，从而影响水厂供水水质及地表水水生生物生存环境，对</w:t>
            </w:r>
            <w:r>
              <w:rPr>
                <w:rFonts w:ascii="Times New Roman" w:cs="Times New Roman" w:hAnsi="Times New Roman" w:hint="eastAsia"/>
                <w:sz w:val="24"/>
                <w:u w:val="single"/>
                <w:highlight w:val="none"/>
              </w:rPr>
              <w:t>水</w:t>
            </w:r>
            <w:r>
              <w:rPr>
                <w:rFonts w:ascii="Times New Roman" w:cs="Times New Roman" w:hAnsi="Times New Roman"/>
                <w:sz w:val="24"/>
                <w:u w:val="single"/>
                <w:highlight w:val="none"/>
              </w:rPr>
              <w:t>生物有毒并具有长期持续影响。</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cs="Cambria Math" w:hint="eastAsia"/>
                <w:sz w:val="24"/>
                <w:u w:val="single"/>
                <w:highlight w:val="none"/>
              </w:rPr>
              <w:t>③</w:t>
            </w:r>
            <w:r>
              <w:rPr>
                <w:rFonts w:ascii="Times New Roman" w:cs="Times New Roman" w:hAnsi="Times New Roman"/>
                <w:sz w:val="24"/>
                <w:u w:val="single"/>
                <w:highlight w:val="none"/>
              </w:rPr>
              <w:t>地下水环境风险分析</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single"/>
                <w:highlight w:val="none"/>
              </w:rPr>
              <w:t>项目次氯酸钠及</w:t>
            </w:r>
            <w:r>
              <w:rPr>
                <w:rFonts w:ascii="Times New Roman" w:cs="Times New Roman" w:hAnsi="Times New Roman" w:hint="eastAsia"/>
                <w:sz w:val="24"/>
                <w:u w:val="single"/>
                <w:highlight w:val="none"/>
              </w:rPr>
              <w:t>危险废物</w:t>
            </w:r>
            <w:r>
              <w:rPr>
                <w:rFonts w:ascii="Times New Roman" w:cs="Times New Roman" w:hAnsi="Times New Roman"/>
                <w:sz w:val="24"/>
                <w:u w:val="single"/>
                <w:highlight w:val="none"/>
              </w:rPr>
              <w:t>一旦发生泄露，可通过土壤发生渗漏，对区域地下水环境造成污染，若进入水井中，可能导致其水井饮用功能丧失。</w:t>
            </w:r>
          </w:p>
          <w:p>
            <w:pPr>
              <w:pStyle w:val="65"/>
              <w:tabs>
                <w:tab w:val="left" w:pos="901"/>
              </w:tabs>
              <w:spacing w:line="360" w:lineRule="auto"/>
              <w:ind w:firstLineChars="200" w:firstLine="480"/>
              <w:rPr>
                <w:rFonts w:ascii="Times New Roman" w:cs="Times New Roman" w:hAnsi="Times New Roman"/>
                <w:sz w:val="24"/>
                <w:u w:val="single"/>
                <w:highlight w:val="none"/>
              </w:rPr>
            </w:pPr>
            <w:r>
              <w:rPr>
                <w:rFonts w:ascii="Times New Roman" w:cs="Times New Roman" w:hAnsi="Times New Roman" w:hint="eastAsia"/>
                <w:sz w:val="24"/>
                <w:u w:val="none"/>
                <w:highlight w:val="none"/>
              </w:rPr>
              <w:t>（5）</w:t>
            </w:r>
            <w:r>
              <w:rPr>
                <w:rFonts w:ascii="Times New Roman" w:cs="Times New Roman" w:hAnsi="Times New Roman"/>
                <w:sz w:val="24"/>
                <w:u w:val="none"/>
                <w:highlight w:val="none"/>
              </w:rPr>
              <w:t>环境风险防范措施及应急要求</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hint="eastAsia"/>
                <w:b/>
                <w:bCs/>
                <w:sz w:val="24"/>
                <w:u w:val="single"/>
                <w:lang w:val="en-US" w:eastAsia="zh-CN"/>
                <w:highlight w:val="none"/>
              </w:rPr>
              <w:t>1）施工期环境风险防范措施</w:t>
            </w:r>
          </w:p>
          <w:p>
            <w:pPr>
              <w:pStyle w:val="65"/>
              <w:tabs>
                <w:tab w:val="left" w:pos="901"/>
              </w:tabs>
              <w:spacing w:line="360" w:lineRule="auto"/>
              <w:ind w:firstLineChars="200" w:firstLine="480"/>
              <w:rPr>
                <w:rFonts w:ascii="Times New Roman" w:eastAsia="宋体" w:cs="Times New Roman" w:hAnsi="Times New Roman"/>
                <w:sz w:val="24"/>
                <w:u w:val="single"/>
                <w:lang w:val="zh-CN"/>
                <w:highlight w:val="none"/>
              </w:rPr>
            </w:pPr>
            <w:r>
              <w:rPr>
                <w:rFonts w:ascii="Times New Roman" w:eastAsia="宋体" w:cs="Times New Roman" w:hAnsi="Times New Roman"/>
                <w:sz w:val="24"/>
                <w:u w:val="single"/>
                <w:lang w:val="zh-CN"/>
                <w:highlight w:val="none"/>
              </w:rPr>
              <w:t>1）合理安排施工作业面，减少各类施工车辆、机械碰撞几率，加强机械设备的检修维护。</w:t>
            </w:r>
          </w:p>
          <w:p>
            <w:pPr>
              <w:pStyle w:val="65"/>
              <w:tabs>
                <w:tab w:val="left" w:pos="901"/>
              </w:tabs>
              <w:spacing w:line="360" w:lineRule="auto"/>
              <w:ind w:firstLineChars="200" w:firstLine="480"/>
              <w:rPr>
                <w:rFonts w:ascii="Times New Roman" w:eastAsia="宋体" w:cs="Times New Roman" w:hAnsi="Times New Roman"/>
                <w:sz w:val="24"/>
                <w:u w:val="single"/>
                <w:lang w:val="zh-CN"/>
                <w:highlight w:val="none"/>
              </w:rPr>
            </w:pPr>
            <w:r>
              <w:rPr>
                <w:rFonts w:ascii="Times New Roman" w:eastAsia="宋体" w:cs="Times New Roman" w:hAnsi="Times New Roman"/>
                <w:sz w:val="24"/>
                <w:u w:val="single"/>
                <w:lang w:val="zh-CN"/>
                <w:highlight w:val="none"/>
              </w:rPr>
              <w:t>2）工程施工前与防汛、气象等部门沟通，研究划定施工界限，获得施工许可；未经同意，不得擅自开工；加强施工质量和进度管理，严格按照既定的施工要求和施工进度进行施工，尽量避免雨季及汛期施工。</w:t>
            </w:r>
          </w:p>
          <w:p>
            <w:pPr>
              <w:pStyle w:val="65"/>
              <w:tabs>
                <w:tab w:val="left" w:pos="901"/>
              </w:tabs>
              <w:spacing w:line="360" w:lineRule="auto"/>
              <w:ind w:firstLineChars="200" w:firstLine="480"/>
              <w:rPr>
                <w:rFonts w:ascii="Times New Roman" w:eastAsia="宋体" w:cs="Times New Roman" w:hAnsi="Times New Roman"/>
                <w:sz w:val="24"/>
                <w:u w:val="single"/>
                <w:lang w:val="zh-CN"/>
                <w:highlight w:val="none"/>
              </w:rPr>
            </w:pPr>
            <w:r>
              <w:rPr>
                <w:rFonts w:ascii="Times New Roman" w:eastAsia="宋体" w:cs="Times New Roman" w:hAnsi="Times New Roman"/>
                <w:sz w:val="24"/>
                <w:u w:val="single"/>
                <w:lang w:val="zh-CN"/>
                <w:highlight w:val="none"/>
              </w:rPr>
              <w:t>3）加强对施工机械设备操作人员和车辆驾驶人员的技术培训，提高施工人员的安全意识和环境保护意识，严格操作规程，避免人为操作失当引起溢油事故发生。</w:t>
            </w:r>
          </w:p>
          <w:p>
            <w:pPr>
              <w:pStyle w:val="65"/>
              <w:tabs>
                <w:tab w:val="left" w:pos="901"/>
              </w:tabs>
              <w:spacing w:line="360" w:lineRule="auto"/>
              <w:ind w:firstLineChars="200" w:firstLine="480"/>
              <w:rPr>
                <w:rFonts w:ascii="Times New Roman" w:eastAsia="宋体" w:cs="Times New Roman" w:hAnsi="Times New Roman"/>
                <w:sz w:val="24"/>
                <w:u w:val="single"/>
                <w:lang w:val="zh-CN"/>
                <w:highlight w:val="none"/>
              </w:rPr>
            </w:pPr>
            <w:r>
              <w:rPr>
                <w:rFonts w:ascii="Times New Roman" w:eastAsia="宋体" w:cs="Times New Roman" w:hAnsi="Times New Roman"/>
                <w:sz w:val="24"/>
                <w:u w:val="single"/>
                <w:lang w:val="zh-CN"/>
                <w:highlight w:val="none"/>
              </w:rPr>
              <w:t>4）建立避台防汛应急预案，施工期间如遇恶劣天气必须将工程车辆、机械及时撤离，保证设备及库区水质安全。</w:t>
            </w:r>
          </w:p>
          <w:p>
            <w:pPr>
              <w:pStyle w:val="65"/>
              <w:tabs>
                <w:tab w:val="left" w:pos="901"/>
              </w:tabs>
              <w:spacing w:line="360" w:lineRule="auto"/>
              <w:ind w:firstLineChars="200" w:firstLine="480"/>
              <w:rPr>
                <w:rFonts w:ascii="Times New Roman" w:eastAsia="宋体" w:cs="Times New Roman" w:hAnsi="Times New Roman"/>
                <w:sz w:val="24"/>
                <w:u w:val="single"/>
                <w:lang w:val="zh-CN"/>
                <w:highlight w:val="none"/>
              </w:rPr>
            </w:pPr>
            <w:r>
              <w:rPr>
                <w:rFonts w:ascii="Times New Roman" w:eastAsia="宋体" w:cs="Times New Roman" w:hAnsi="Times New Roman"/>
                <w:sz w:val="24"/>
                <w:u w:val="single"/>
                <w:lang w:val="zh-CN"/>
                <w:highlight w:val="none"/>
              </w:rPr>
              <w:t>5）制定施工期溢油事故应急预案，预案应包括应急事故机构、应急救援队伍、应急设施及物质配备、应急报警系统、应急处理措施、应急培训计划等内容； 施工场所张贴应急报警电话。</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sz w:val="24"/>
                <w:u w:val="single"/>
                <w:lang w:val="zh-CN"/>
                <w:highlight w:val="none"/>
              </w:rPr>
              <w:t>6）油溢到水面后，在自身重力和风、流及其其它因素是作用下会迅速扩散和漂移。因此，溢油清除要尽快采取措施，利用吸油毡、围油栏有效围控溢油， 阻止其进一步扩散漂移，以减少水域污染范围。</w:t>
            </w:r>
          </w:p>
          <w:p>
            <w:pPr>
              <w:pStyle w:val="65"/>
              <w:tabs>
                <w:tab w:val="left" w:pos="901"/>
              </w:tabs>
              <w:spacing w:line="360" w:lineRule="auto"/>
              <w:ind w:firstLineChars="200" w:firstLine="480"/>
              <w:rPr>
                <w:rFonts w:ascii="Times New Roman" w:eastAsia="宋体" w:cs="Times New Roman" w:hAnsi="Times New Roman" w:hint="eastAsia"/>
                <w:sz w:val="24"/>
                <w:u w:val="single"/>
                <w:lang w:eastAsia="zh-CN"/>
                <w:highlight w:val="none"/>
              </w:rPr>
            </w:pPr>
            <w:r>
              <w:rPr>
                <w:rFonts w:ascii="Times New Roman" w:eastAsia="宋体" w:cs="Times New Roman" w:hAnsi="Times New Roman" w:hint="eastAsia"/>
                <w:b/>
                <w:bCs/>
                <w:sz w:val="24"/>
                <w:u w:val="single"/>
                <w:lang w:val="en-US" w:eastAsia="zh-CN"/>
                <w:highlight w:val="none"/>
              </w:rPr>
              <w:t>2）运行期环境风险防范措施</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hint="eastAsia"/>
                <w:sz w:val="24"/>
                <w:u w:val="single"/>
                <w:lang w:eastAsia="zh-CN"/>
                <w:highlight w:val="none"/>
              </w:rPr>
              <w:t>1）</w:t>
            </w:r>
            <w:r>
              <w:rPr>
                <w:rFonts w:ascii="Times New Roman" w:eastAsia="宋体" w:cs="Times New Roman" w:hAnsi="Times New Roman"/>
                <w:sz w:val="24"/>
                <w:u w:val="single"/>
                <w:highlight w:val="none"/>
              </w:rPr>
              <w:t>次氯酸钠泄漏风险防范措施：</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hint="eastAsia"/>
                <w:sz w:val="24"/>
                <w:u w:val="single"/>
                <w:highlight w:val="none"/>
              </w:rPr>
              <w:t>①</w:t>
            </w:r>
            <w:r>
              <w:rPr>
                <w:rFonts w:ascii="Times New Roman" w:eastAsia="宋体" w:cs="Times New Roman" w:hAnsi="Times New Roman"/>
                <w:sz w:val="24"/>
                <w:u w:val="single"/>
                <w:highlight w:val="none"/>
              </w:rPr>
              <w:t>储存注意事项：宜储存于阴凉、干燥、通风的单独仓库内，储存区设置围堰以防渗漏。远离火种、热源。库温不宜超过30℃。保持容器密封，应与氧化剂、酸类、碱金属、胺类等分开存放，切忌混储。次氯酸钠储存场所</w:t>
            </w:r>
            <w:r>
              <w:rPr>
                <w:rFonts w:ascii="Times New Roman" w:eastAsia="宋体" w:cs="Times New Roman" w:hAnsi="Times New Roman" w:hint="eastAsia"/>
                <w:sz w:val="24"/>
                <w:u w:val="single"/>
                <w:lang w:val="en-US" w:eastAsia="zh-CN"/>
                <w:highlight w:val="none"/>
              </w:rPr>
              <w:t>尽可能远离太青水库一侧，且</w:t>
            </w:r>
            <w:r>
              <w:rPr>
                <w:rFonts w:ascii="Times New Roman" w:eastAsia="宋体" w:cs="Times New Roman" w:hAnsi="Times New Roman"/>
                <w:sz w:val="24"/>
                <w:u w:val="single"/>
                <w:highlight w:val="none"/>
              </w:rPr>
              <w:t>周围应设置围堰、排水沟等设施，以便回收与废水的末端处理。</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hint="eastAsia"/>
                <w:sz w:val="24"/>
                <w:u w:val="single"/>
                <w:highlight w:val="none"/>
              </w:rPr>
              <w:t>②</w:t>
            </w:r>
            <w:r>
              <w:rPr>
                <w:rFonts w:ascii="Times New Roman" w:eastAsia="宋体" w:cs="Times New Roman" w:hAnsi="Times New Roman"/>
                <w:sz w:val="24"/>
                <w:u w:val="single"/>
                <w:highlight w:val="none"/>
              </w:rPr>
              <w:t>使用注意事项：增强安全生产、环境保护意识，完善并严格执行各项操作规程，从思想上重视安全生产，杜绝事故的发生。普及在岗职工对有害物质的性质、毒害和安全防护的基本知识，对工作人员进行严格的培训，定期考察，不合格者严禁上岗。</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hint="eastAsia"/>
                <w:sz w:val="24"/>
                <w:u w:val="single"/>
                <w:highlight w:val="none"/>
              </w:rPr>
              <w:t>③</w:t>
            </w:r>
            <w:r>
              <w:rPr>
                <w:rFonts w:ascii="Times New Roman" w:eastAsia="宋体" w:cs="Times New Roman" w:hAnsi="Times New Roman"/>
                <w:sz w:val="24"/>
                <w:u w:val="single"/>
                <w:highlight w:val="none"/>
              </w:rPr>
              <w:t>操作注意事项：如与眼部接触，立即提起眼睑，立即用大量流动清水连续冲洗眼睛；如与皮肤接触，立即脱去污染的衣着，快速用大量流动清水连续冲洗沾染部位；如吸入，则迅速脱离现场至空气新鲜处，保持呼吸道通畅；以上情况如有持续不适则需就医。如误食，用大量水漱口，饮水，立即就医。</w:t>
            </w:r>
          </w:p>
          <w:p>
            <w:pPr>
              <w:pStyle w:val="65"/>
              <w:tabs>
                <w:tab w:val="left" w:pos="901"/>
              </w:tabs>
              <w:spacing w:line="360" w:lineRule="auto"/>
              <w:ind w:firstLineChars="200" w:firstLine="480"/>
              <w:rPr>
                <w:rFonts w:ascii="Times New Roman" w:eastAsia="宋体" w:cs="Times New Roman" w:hAnsi="Times New Roman"/>
                <w:sz w:val="24"/>
                <w:u w:val="single"/>
                <w:highlight w:val="none"/>
              </w:rPr>
            </w:pPr>
            <w:r>
              <w:rPr>
                <w:rFonts w:ascii="Times New Roman" w:eastAsia="宋体" w:cs="Times New Roman" w:hAnsi="Times New Roman" w:hint="eastAsia"/>
                <w:sz w:val="24"/>
                <w:u w:val="single"/>
                <w:highlight w:val="none"/>
              </w:rPr>
              <w:t>④</w:t>
            </w:r>
            <w:r>
              <w:rPr>
                <w:rFonts w:ascii="Times New Roman" w:eastAsia="宋体" w:cs="Times New Roman" w:hAnsi="Times New Roman"/>
                <w:sz w:val="24"/>
                <w:u w:val="single"/>
                <w:highlight w:val="none"/>
              </w:rPr>
              <w:t>运输注意事项：加强次氯酸钠原液的运输管理，原液运输单位必须取得相关的资质认定和准运证，运输原料的机动车需配备必须的抢修和防护器材，严格遵守交通部门规定的行车路线。</w:t>
            </w:r>
          </w:p>
          <w:p>
            <w:pPr>
              <w:pStyle w:val="65"/>
              <w:tabs>
                <w:tab w:val="left" w:pos="901"/>
              </w:tabs>
              <w:spacing w:line="360" w:lineRule="auto"/>
              <w:ind w:firstLineChars="200" w:firstLine="480"/>
              <w:rPr>
                <w:rFonts w:ascii="Times New Roman" w:eastAsia="宋体" w:cs="Times New Roman" w:hAnsi="Times New Roman"/>
                <w:sz w:val="24"/>
                <w:u w:val="single"/>
                <w:lang w:eastAsia="zh-CN"/>
                <w:highlight w:val="none"/>
              </w:rPr>
            </w:pPr>
            <w:r>
              <w:rPr>
                <w:rFonts w:ascii="Times New Roman" w:eastAsia="宋体" w:cs="Times New Roman" w:hAnsi="Times New Roman" w:hint="eastAsia"/>
                <w:sz w:val="24"/>
                <w:u w:val="single"/>
                <w:lang w:eastAsia="zh-CN"/>
                <w:highlight w:val="none"/>
              </w:rPr>
              <w:t>2）危废仓库防范措施</w:t>
            </w:r>
          </w:p>
          <w:p>
            <w:pPr>
              <w:pStyle w:val="65"/>
              <w:tabs>
                <w:tab w:val="left" w:pos="901"/>
              </w:tabs>
              <w:spacing w:line="360" w:lineRule="auto"/>
              <w:ind w:firstLineChars="200" w:firstLine="480"/>
              <w:rPr>
                <w:rFonts w:ascii="Times New Roman" w:eastAsia="宋体" w:cs="Times New Roman" w:hAnsi="Times New Roman"/>
                <w:sz w:val="24"/>
                <w:u w:val="single"/>
                <w:lang w:eastAsia="zh-CN"/>
                <w:highlight w:val="none"/>
              </w:rPr>
            </w:pPr>
            <w:r>
              <w:rPr>
                <w:rFonts w:ascii="Times New Roman" w:eastAsia="宋体" w:cs="Times New Roman" w:hAnsi="Times New Roman" w:hint="eastAsia"/>
                <w:sz w:val="24"/>
                <w:u w:val="single"/>
                <w:lang w:eastAsia="zh-CN"/>
                <w:highlight w:val="none"/>
              </w:rPr>
              <w:t>严格按照《危险废物贮存污染控制标准》（GB18597-2023）对危险仓库进行设计和建设，同时按相关法律法规将危险废物相关交有资质单位处置，建立台账制度，对危废进出库进行登记管理，并按《危险废物转移联单管理办法》做好转移记录。</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none"/>
                <w:highlight w:val="none"/>
              </w:rPr>
              <w:t>（</w:t>
            </w:r>
            <w:r>
              <w:rPr>
                <w:rFonts w:ascii="Times New Roman" w:cs="Times New Roman" w:hAnsi="Times New Roman" w:hint="eastAsia"/>
                <w:sz w:val="24"/>
                <w:u w:val="none"/>
                <w:lang w:val="en-US" w:eastAsia="zh-CN"/>
                <w:highlight w:val="none"/>
              </w:rPr>
              <w:t>6</w:t>
            </w:r>
            <w:r>
              <w:rPr>
                <w:rFonts w:ascii="Times New Roman" w:cs="Times New Roman" w:hAnsi="Times New Roman"/>
                <w:sz w:val="24"/>
                <w:u w:val="none"/>
                <w:highlight w:val="none"/>
              </w:rPr>
              <w:t>）分析结论</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none"/>
                <w:highlight w:val="none"/>
              </w:rPr>
              <w:t>综上所述，项目环境风险潜势为Ⅰ级，环境风险影响范围较小，影响程度轻微，在采取相应风险管理防范措施的情况下，项目环境风险影响可控。</w:t>
            </w:r>
          </w:p>
          <w:p>
            <w:pPr>
              <w:pStyle w:val="65"/>
              <w:tabs>
                <w:tab w:val="left" w:pos="901"/>
              </w:tabs>
              <w:spacing w:line="360" w:lineRule="auto"/>
              <w:ind w:firstLineChars="200" w:firstLine="480"/>
              <w:rPr>
                <w:rFonts w:ascii="Times New Roman" w:cs="Times New Roman" w:hAnsi="Times New Roman"/>
                <w:sz w:val="24"/>
                <w:u w:val="none"/>
                <w:highlight w:val="none"/>
              </w:rPr>
            </w:pPr>
            <w:r>
              <w:rPr>
                <w:rFonts w:ascii="Times New Roman" w:cs="Times New Roman" w:hAnsi="Times New Roman"/>
                <w:sz w:val="24"/>
                <w:u w:val="none"/>
                <w:highlight w:val="none"/>
              </w:rPr>
              <w:t>根据项目的工艺过程和污染物性质及控制，本项目发生事故主要部位为容器阀门等破损，主要风险为</w:t>
            </w:r>
            <w:r>
              <w:rPr>
                <w:rFonts w:ascii="Times New Roman" w:cs="Times New Roman" w:hAnsi="Times New Roman" w:hint="eastAsia"/>
                <w:sz w:val="24"/>
                <w:u w:val="none"/>
                <w:lang w:val="en-US" w:eastAsia="zh-CN"/>
                <w:highlight w:val="none"/>
              </w:rPr>
              <w:t>施工机械使用的柴油、汽油以及营运期</w:t>
            </w:r>
            <w:r>
              <w:rPr>
                <w:rFonts w:ascii="Times New Roman" w:cs="Times New Roman" w:hAnsi="Times New Roman"/>
                <w:sz w:val="24"/>
                <w:u w:val="none"/>
                <w:highlight w:val="none"/>
              </w:rPr>
              <w:t>次氯酸钠</w:t>
            </w:r>
            <w:r>
              <w:rPr>
                <w:rFonts w:ascii="Times New Roman" w:cs="Times New Roman" w:hAnsi="Times New Roman" w:hint="eastAsia"/>
                <w:sz w:val="24"/>
                <w:u w:val="none"/>
                <w:highlight w:val="none"/>
              </w:rPr>
              <w:t>、危险废物</w:t>
            </w:r>
            <w:r>
              <w:rPr>
                <w:rFonts w:ascii="Times New Roman" w:cs="Times New Roman" w:hAnsi="Times New Roman"/>
                <w:sz w:val="24"/>
                <w:u w:val="none"/>
                <w:highlight w:val="none"/>
              </w:rPr>
              <w:t>泄露情况。</w:t>
            </w:r>
          </w:p>
          <w:p>
            <w:pPr>
              <w:pStyle w:val="65"/>
              <w:tabs>
                <w:tab w:val="left" w:pos="901"/>
              </w:tabs>
              <w:spacing w:line="360" w:lineRule="auto"/>
              <w:ind w:firstLineChars="200" w:firstLine="480"/>
              <w:rPr>
                <w:rFonts w:ascii="Times New Roman" w:cs="Times New Roman" w:hAnsi="Times New Roman"/>
                <w:sz w:val="24"/>
                <w:u w:val="single"/>
                <w:lang w:eastAsia="zh-CN"/>
                <w:highlight w:val="none"/>
              </w:rPr>
            </w:pPr>
            <w:r>
              <w:rPr>
                <w:rFonts w:ascii="Times New Roman" w:cs="Times New Roman" w:hAnsi="Times New Roman"/>
                <w:sz w:val="24"/>
                <w:u w:val="none"/>
                <w:highlight w:val="none"/>
              </w:rPr>
              <w:t>建设单位必须加强管理，制定完备、有效的安全防范措施，对次氯酸钠贮存区</w:t>
            </w:r>
            <w:r>
              <w:rPr>
                <w:rFonts w:ascii="Times New Roman" w:cs="Times New Roman" w:hAnsi="Times New Roman" w:hint="eastAsia"/>
                <w:sz w:val="24"/>
                <w:u w:val="none"/>
                <w:highlight w:val="none"/>
              </w:rPr>
              <w:t>和</w:t>
            </w:r>
            <w:r>
              <w:rPr>
                <w:rFonts w:ascii="Times New Roman" w:cs="Times New Roman" w:hAnsi="Times New Roman"/>
                <w:sz w:val="24"/>
                <w:u w:val="none"/>
                <w:highlight w:val="none"/>
              </w:rPr>
              <w:t>药剂投放管道，定期进行维护和检测，及时维修更换，尽可能降低本项目环境风险事故发生的概率，减少事故的损失和危害，事故一旦发生，应及时抢救处理，不能拖延事故持续时间。</w:t>
            </w:r>
          </w:p>
          <w:p>
            <w:pPr>
              <w:snapToGrid w:val="0"/>
              <w:contextualSpacing/>
              <w:jc w:val="center"/>
              <w:rPr>
                <w:b/>
                <w:szCs w:val="21"/>
                <w:u w:val="none"/>
                <w:highlight w:val="none"/>
              </w:rPr>
            </w:pPr>
            <w:r>
              <w:rPr>
                <w:b/>
                <w:szCs w:val="21"/>
                <w:u w:val="none"/>
                <w:highlight w:val="none"/>
              </w:rPr>
              <w:t>表4-</w:t>
            </w:r>
            <w:r>
              <w:rPr>
                <w:rFonts w:hint="eastAsia"/>
                <w:b/>
                <w:szCs w:val="21"/>
                <w:u w:val="none"/>
                <w:highlight w:val="none"/>
              </w:rPr>
              <w:t>15</w:t>
            </w:r>
            <w:r>
              <w:rPr>
                <w:b/>
                <w:szCs w:val="21"/>
                <w:u w:val="none"/>
                <w:highlight w:val="none"/>
              </w:rPr>
              <w:t xml:space="preserve">  建设项目环境风险简单分析内容表</w:t>
            </w:r>
          </w:p>
          <w:tbl>
            <w:tblPr>
              <w:jc w:val="left"/>
              <w:tblInd w:w="0" w:type="dxa"/>
              <w:tblW w:w="4951"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CellMar>
                <w:top w:w="0" w:type="dxa"/>
                <w:left w:w="108" w:type="dxa"/>
                <w:bottom w:w="0" w:type="dxa"/>
                <w:right w:w="108" w:type="dxa"/>
              </w:tblCellMar>
              <w:tblLook w:val="0600" w:firstRow="0" w:lastRow="0" w:firstColumn="0" w:lastColumn="0" w:noHBand="1" w:noVBand="1"/>
            </w:tblPr>
            <w:tblGrid>
              <w:gridCol w:w="1824"/>
              <w:gridCol w:w="6233"/>
            </w:tblGrid>
            <w:tr>
              <w:trPr>
                <w:trHeight w:val="340"/>
              </w:trPr>
              <w:tc>
                <w:tcPr>
                  <w:tcW w:w="1132" w:type="pct"/>
                  <w:vAlign w:val="center"/>
                </w:tcPr>
                <w:p>
                  <w:pPr>
                    <w:adjustRightInd w:val="0"/>
                    <w:snapToGrid w:val="0"/>
                    <w:jc w:val="center"/>
                    <w:rPr>
                      <w:szCs w:val="21"/>
                      <w:u w:val="none"/>
                      <w:highlight w:val="none"/>
                    </w:rPr>
                  </w:pPr>
                  <w:r>
                    <w:rPr>
                      <w:szCs w:val="21"/>
                      <w:u w:val="none"/>
                      <w:highlight w:val="none"/>
                    </w:rPr>
                    <w:t>建设项目名称</w:t>
                  </w:r>
                </w:p>
              </w:tc>
              <w:tc>
                <w:tcPr>
                  <w:tcW w:w="3868" w:type="pct"/>
                  <w:vAlign w:val="center"/>
                </w:tcPr>
                <w:p>
                  <w:pPr>
                    <w:adjustRightInd w:val="0"/>
                    <w:snapToGrid w:val="0"/>
                    <w:jc w:val="center"/>
                    <w:rPr>
                      <w:rFonts w:eastAsia="宋体" w:hint="eastAsia"/>
                      <w:szCs w:val="21"/>
                      <w:u w:val="none"/>
                      <w:lang w:eastAsia="zh-CN"/>
                      <w:highlight w:val="none"/>
                    </w:rPr>
                  </w:pPr>
                  <w:r>
                    <w:rPr>
                      <w:rFonts w:hint="eastAsia"/>
                      <w:szCs w:val="21"/>
                      <w:u w:val="none"/>
                      <w:lang w:eastAsia="zh-CN"/>
                      <w:highlight w:val="none"/>
                    </w:rPr>
                    <w:t>澧县甘溪滩片区农村供水建设项目（一期）</w:t>
                  </w:r>
                </w:p>
              </w:tc>
            </w:tr>
            <w:tr>
              <w:trPr>
                <w:trHeight w:val="340"/>
              </w:trPr>
              <w:tc>
                <w:tcPr>
                  <w:tcW w:w="1132" w:type="pct"/>
                  <w:vAlign w:val="center"/>
                </w:tcPr>
                <w:p>
                  <w:pPr>
                    <w:adjustRightInd w:val="0"/>
                    <w:snapToGrid w:val="0"/>
                    <w:jc w:val="center"/>
                    <w:rPr>
                      <w:szCs w:val="21"/>
                      <w:u w:val="none"/>
                      <w:highlight w:val="none"/>
                    </w:rPr>
                  </w:pPr>
                  <w:r>
                    <w:rPr>
                      <w:szCs w:val="21"/>
                      <w:u w:val="none"/>
                      <w:highlight w:val="none"/>
                    </w:rPr>
                    <w:t>建设地点</w:t>
                  </w:r>
                </w:p>
              </w:tc>
              <w:tc>
                <w:tcPr>
                  <w:tcW w:w="3868" w:type="pct"/>
                  <w:vAlign w:val="center"/>
                </w:tcPr>
                <w:p>
                  <w:pPr>
                    <w:adjustRightInd w:val="0"/>
                    <w:snapToGrid w:val="0"/>
                    <w:jc w:val="center"/>
                    <w:rPr>
                      <w:szCs w:val="21"/>
                      <w:u w:val="none"/>
                      <w:highlight w:val="none"/>
                    </w:rPr>
                  </w:pPr>
                  <w:r>
                    <w:rPr>
                      <w:rFonts w:hint="eastAsia"/>
                      <w:szCs w:val="21"/>
                      <w:u w:val="none"/>
                      <w:highlight w:val="none"/>
                    </w:rPr>
                    <w:t>湖南省</w:t>
                  </w:r>
                  <w:r>
                    <w:rPr>
                      <w:rFonts w:hint="eastAsia"/>
                      <w:szCs w:val="21"/>
                      <w:u w:val="none"/>
                      <w:lang w:val="en-US" w:eastAsia="zh-CN"/>
                      <w:highlight w:val="none"/>
                    </w:rPr>
                    <w:t>澧县甘溪滩镇、</w:t>
                  </w:r>
                  <w:r>
                    <w:rPr>
                      <w:rFonts w:ascii="Times New Roman" w:eastAsia="宋体" w:cs="Times New Roman" w:hAnsi="Times New Roman" w:hint="eastAsia"/>
                      <w:szCs w:val="21"/>
                      <w:u w:val="none"/>
                      <w:lang w:val="en-US" w:eastAsia="zh-CN"/>
                      <w:highlight w:val="none"/>
                    </w:rPr>
                    <w:t>火连坡镇</w:t>
                  </w:r>
                </w:p>
              </w:tc>
            </w:tr>
            <w:tr>
              <w:trPr>
                <w:trHeight w:val="340"/>
              </w:trPr>
              <w:tc>
                <w:tcPr>
                  <w:tcW w:w="1132" w:type="pct"/>
                  <w:vAlign w:val="center"/>
                </w:tcPr>
                <w:p>
                  <w:pPr>
                    <w:adjustRightInd w:val="0"/>
                    <w:snapToGrid w:val="0"/>
                    <w:jc w:val="center"/>
                    <w:rPr>
                      <w:szCs w:val="21"/>
                      <w:u w:val="none"/>
                      <w:highlight w:val="none"/>
                    </w:rPr>
                  </w:pPr>
                  <w:r>
                    <w:rPr>
                      <w:szCs w:val="21"/>
                      <w:u w:val="none"/>
                      <w:highlight w:val="none"/>
                    </w:rPr>
                    <w:t>地理坐标</w:t>
                  </w:r>
                </w:p>
              </w:tc>
              <w:tc>
                <w:tcPr>
                  <w:tcW w:w="3868" w:type="pct"/>
                  <w:vAlign w:val="center"/>
                </w:tcPr>
                <w:p>
                  <w:pPr>
                    <w:adjustRightInd w:val="0"/>
                    <w:snapToGrid w:val="0"/>
                    <w:jc w:val="center"/>
                    <w:rPr>
                      <w:szCs w:val="21"/>
                      <w:u w:val="none"/>
                      <w:highlight w:val="none"/>
                    </w:rPr>
                  </w:pPr>
                  <w:r>
                    <w:rPr>
                      <w:rFonts w:hint="eastAsia"/>
                      <w:szCs w:val="21"/>
                      <w:u w:val="none"/>
                      <w:lang w:val="en-US" w:eastAsia="zh-CN"/>
                      <w:highlight w:val="none"/>
                    </w:rPr>
                    <w:t>太青</w:t>
                  </w:r>
                  <w:r>
                    <w:rPr>
                      <w:rFonts w:hint="eastAsia"/>
                      <w:szCs w:val="21"/>
                      <w:u w:val="none"/>
                      <w:lang w:eastAsia="zh-CN"/>
                      <w:highlight w:val="none"/>
                    </w:rPr>
                    <w:t>水厂</w:t>
                  </w:r>
                  <w:r>
                    <w:rPr>
                      <w:rFonts w:hint="eastAsia"/>
                      <w:szCs w:val="21"/>
                      <w:u w:val="none"/>
                      <w:highlight w:val="none"/>
                    </w:rPr>
                    <w:t>：</w:t>
                  </w:r>
                  <w:r>
                    <w:rPr>
                      <w:sz w:val="24"/>
                      <w:highlight w:val="none"/>
                    </w:rPr>
                    <w:t>E：11</w:t>
                  </w:r>
                  <w:r>
                    <w:rPr>
                      <w:rFonts w:hint="eastAsia"/>
                      <w:sz w:val="24"/>
                      <w:lang w:val="en-US" w:eastAsia="zh-CN"/>
                      <w:highlight w:val="none"/>
                    </w:rPr>
                    <w:t>1</w:t>
                  </w:r>
                  <w:r>
                    <w:rPr>
                      <w:sz w:val="24"/>
                      <w:highlight w:val="none"/>
                    </w:rPr>
                    <w:t>°</w:t>
                  </w:r>
                  <w:r>
                    <w:rPr>
                      <w:rFonts w:hint="eastAsia"/>
                      <w:sz w:val="24"/>
                      <w:lang w:val="en-US" w:eastAsia="zh-CN"/>
                      <w:highlight w:val="none"/>
                    </w:rPr>
                    <w:t>17</w:t>
                  </w:r>
                  <w:r>
                    <w:rPr>
                      <w:sz w:val="24"/>
                      <w:highlight w:val="none"/>
                    </w:rPr>
                    <w:t>′</w:t>
                  </w:r>
                  <w:r>
                    <w:rPr>
                      <w:rFonts w:hint="eastAsia"/>
                      <w:sz w:val="24"/>
                      <w:lang w:val="en-US" w:eastAsia="zh-CN"/>
                      <w:highlight w:val="none"/>
                    </w:rPr>
                    <w:t>6.785</w:t>
                  </w:r>
                  <w:r>
                    <w:rPr>
                      <w:sz w:val="24"/>
                      <w:highlight w:val="none"/>
                    </w:rPr>
                    <w:t>″，N：2</w:t>
                  </w:r>
                  <w:r>
                    <w:rPr>
                      <w:rFonts w:hint="eastAsia"/>
                      <w:sz w:val="24"/>
                      <w:highlight w:val="none"/>
                    </w:rPr>
                    <w:t>9</w:t>
                  </w:r>
                  <w:r>
                    <w:rPr>
                      <w:sz w:val="24"/>
                      <w:highlight w:val="none"/>
                    </w:rPr>
                    <w:t>°</w:t>
                  </w:r>
                  <w:r>
                    <w:rPr>
                      <w:rFonts w:hint="eastAsia"/>
                      <w:sz w:val="24"/>
                      <w:lang w:val="en-US" w:eastAsia="zh-CN"/>
                      <w:highlight w:val="none"/>
                    </w:rPr>
                    <w:t>53</w:t>
                  </w:r>
                  <w:r>
                    <w:rPr>
                      <w:sz w:val="24"/>
                      <w:highlight w:val="none"/>
                    </w:rPr>
                    <w:t>′</w:t>
                  </w:r>
                  <w:r>
                    <w:rPr>
                      <w:rFonts w:hint="eastAsia"/>
                      <w:sz w:val="24"/>
                      <w:lang w:val="en-US" w:eastAsia="zh-CN"/>
                      <w:highlight w:val="none"/>
                    </w:rPr>
                    <w:t>32.028</w:t>
                  </w:r>
                  <w:r>
                    <w:rPr>
                      <w:sz w:val="24"/>
                      <w:highlight w:val="none"/>
                    </w:rPr>
                    <w:t>″</w:t>
                  </w:r>
                </w:p>
              </w:tc>
            </w:tr>
            <w:tr>
              <w:trPr>
                <w:trHeight w:val="340"/>
              </w:trPr>
              <w:tc>
                <w:tcPr>
                  <w:tcW w:w="1132" w:type="pct"/>
                  <w:vAlign w:val="center"/>
                </w:tcPr>
                <w:p>
                  <w:pPr>
                    <w:adjustRightInd w:val="0"/>
                    <w:snapToGrid w:val="0"/>
                    <w:jc w:val="center"/>
                    <w:rPr>
                      <w:szCs w:val="21"/>
                      <w:u w:val="none"/>
                      <w:highlight w:val="none"/>
                    </w:rPr>
                  </w:pPr>
                  <w:r>
                    <w:rPr>
                      <w:szCs w:val="21"/>
                      <w:u w:val="none"/>
                      <w:highlight w:val="none"/>
                    </w:rPr>
                    <w:t>主要危险物质及分布</w:t>
                  </w:r>
                </w:p>
              </w:tc>
              <w:tc>
                <w:tcPr>
                  <w:tcW w:w="3868" w:type="pct"/>
                  <w:vAlign w:val="center"/>
                </w:tcPr>
                <w:p>
                  <w:pPr>
                    <w:adjustRightInd w:val="0"/>
                    <w:snapToGrid w:val="0"/>
                    <w:jc w:val="center"/>
                    <w:rPr>
                      <w:szCs w:val="21"/>
                      <w:u w:val="none"/>
                      <w:highlight w:val="none"/>
                    </w:rPr>
                  </w:pPr>
                  <w:r>
                    <w:rPr>
                      <w:rFonts w:hint="eastAsia"/>
                      <w:szCs w:val="21"/>
                      <w:u w:val="none"/>
                      <w:highlight w:val="none"/>
                    </w:rPr>
                    <w:t>次氯酸钠</w:t>
                  </w:r>
                  <w:r>
                    <w:rPr>
                      <w:szCs w:val="21"/>
                      <w:u w:val="none"/>
                      <w:highlight w:val="none"/>
                    </w:rPr>
                    <w:t>（</w:t>
                  </w:r>
                  <w:r>
                    <w:rPr>
                      <w:rFonts w:hint="eastAsia"/>
                      <w:szCs w:val="21"/>
                      <w:u w:val="none"/>
                      <w:highlight w:val="none"/>
                    </w:rPr>
                    <w:t>加氯间</w:t>
                  </w:r>
                  <w:r>
                    <w:rPr>
                      <w:szCs w:val="21"/>
                      <w:u w:val="none"/>
                      <w:highlight w:val="none"/>
                    </w:rPr>
                    <w:t>）、危险废物（危废暂存间）</w:t>
                  </w:r>
                </w:p>
              </w:tc>
            </w:tr>
            <w:tr>
              <w:trPr>
                <w:trHeight w:val="340"/>
              </w:trPr>
              <w:tc>
                <w:tcPr>
                  <w:tcW w:w="1132" w:type="pct"/>
                  <w:vAlign w:val="center"/>
                </w:tcPr>
                <w:p>
                  <w:pPr>
                    <w:adjustRightInd w:val="0"/>
                    <w:snapToGrid w:val="0"/>
                    <w:jc w:val="center"/>
                    <w:rPr>
                      <w:szCs w:val="21"/>
                      <w:u w:val="none"/>
                      <w:highlight w:val="none"/>
                    </w:rPr>
                  </w:pPr>
                  <w:r>
                    <w:rPr>
                      <w:szCs w:val="21"/>
                      <w:u w:val="none"/>
                      <w:highlight w:val="none"/>
                    </w:rPr>
                    <w:t>主要环境影响途径及危害后果（大气、地表水、地下水等）</w:t>
                  </w:r>
                </w:p>
              </w:tc>
              <w:tc>
                <w:tcPr>
                  <w:tcW w:w="3868" w:type="pct"/>
                  <w:vAlign w:val="center"/>
                </w:tcPr>
                <w:p>
                  <w:pPr>
                    <w:adjustRightInd w:val="0"/>
                    <w:snapToGrid w:val="0"/>
                    <w:jc w:val="left"/>
                    <w:rPr>
                      <w:szCs w:val="21"/>
                      <w:u w:val="none"/>
                      <w:highlight w:val="none"/>
                    </w:rPr>
                  </w:pPr>
                  <w:r>
                    <w:rPr>
                      <w:rFonts w:hint="eastAsia"/>
                      <w:szCs w:val="21"/>
                      <w:u w:val="none"/>
                      <w:highlight w:val="none"/>
                    </w:rPr>
                    <w:t>次氯酸钠</w:t>
                  </w:r>
                  <w:r>
                    <w:rPr>
                      <w:szCs w:val="21"/>
                      <w:u w:val="none"/>
                      <w:highlight w:val="none"/>
                    </w:rPr>
                    <w:t xml:space="preserve">、危险废物的泄漏会污染周边土壤及地表水体、地下水体 </w:t>
                  </w:r>
                </w:p>
              </w:tc>
            </w:tr>
            <w:tr>
              <w:trPr>
                <w:trHeight w:val="340"/>
              </w:trPr>
              <w:tc>
                <w:tcPr>
                  <w:tcW w:w="1132" w:type="pct"/>
                  <w:vAlign w:val="center"/>
                </w:tcPr>
                <w:p>
                  <w:pPr>
                    <w:adjustRightInd w:val="0"/>
                    <w:snapToGrid w:val="0"/>
                    <w:jc w:val="center"/>
                    <w:rPr>
                      <w:szCs w:val="21"/>
                      <w:u w:val="none"/>
                      <w:highlight w:val="none"/>
                    </w:rPr>
                  </w:pPr>
                  <w:r>
                    <w:rPr>
                      <w:szCs w:val="21"/>
                      <w:u w:val="none"/>
                      <w:highlight w:val="none"/>
                    </w:rPr>
                    <w:t>风险防范措施要求</w:t>
                  </w:r>
                </w:p>
              </w:tc>
              <w:tc>
                <w:tcPr>
                  <w:tcW w:w="3868" w:type="pct"/>
                  <w:vAlign w:val="center"/>
                </w:tcPr>
                <w:p>
                  <w:pPr>
                    <w:autoSpaceDE w:val="0"/>
                    <w:autoSpaceDN w:val="0"/>
                    <w:adjustRightInd w:val="0"/>
                    <w:jc w:val="both"/>
                    <w:rPr>
                      <w:rFonts w:ascii="宋体" w:cs="Cambria Math" w:hAnsi="宋体" w:hint="eastAsia"/>
                      <w:kern w:val="0"/>
                      <w:szCs w:val="21"/>
                      <w:u w:val="single"/>
                      <w:highlight w:val="none"/>
                    </w:rPr>
                  </w:pPr>
                  <w:r>
                    <w:rPr>
                      <w:rFonts w:ascii="宋体" w:cs="Cambria Math" w:hAnsi="宋体" w:hint="eastAsia"/>
                      <w:kern w:val="0"/>
                      <w:szCs w:val="21"/>
                      <w:u w:val="single"/>
                      <w:highlight w:val="none"/>
                    </w:rPr>
                    <w:t>①</w:t>
                  </w:r>
                  <w:r>
                    <w:rPr>
                      <w:rFonts w:ascii="Times New Roman" w:eastAsia="宋体" w:cs="Times New Roman" w:hAnsi="Times New Roman"/>
                      <w:color w:val="auto"/>
                      <w:spacing w:val="-5"/>
                      <w:sz w:val="21"/>
                      <w:szCs w:val="21"/>
                      <w:u w:val="single"/>
                      <w:lang w:val="zh-CN" w:bidi="zh-CN"/>
                      <w:highlight w:val="none"/>
                    </w:rPr>
                    <w:t>工程建设期间将对施工设备和机械进行严格的管控，合理组织施工程序和施工机械；加强附近道路运输管理，加强交通管制， 并注意路面维护，确保施工运输车辆安全通行，杜绝施工人员由于疲劳驾驶、速度过快或者车况不好，导致翻车漏油事故的出现；严格落实各项风险防范措施和事故应急预案，严防事故发生。</w:t>
                  </w:r>
                </w:p>
                <w:p>
                  <w:pPr>
                    <w:autoSpaceDE w:val="0"/>
                    <w:autoSpaceDN w:val="0"/>
                    <w:adjustRightInd w:val="0"/>
                    <w:jc w:val="left"/>
                    <w:rPr>
                      <w:rFonts w:eastAsia="宋体"/>
                      <w:kern w:val="0"/>
                      <w:szCs w:val="21"/>
                      <w:u w:val="none"/>
                      <w:highlight w:val="none"/>
                    </w:rPr>
                  </w:pPr>
                  <w:r>
                    <w:rPr>
                      <w:rFonts w:ascii="宋体" w:cs="Cambria Math" w:hAnsi="宋体" w:hint="eastAsia"/>
                      <w:kern w:val="0"/>
                      <w:szCs w:val="21"/>
                      <w:u w:val="none"/>
                      <w:highlight w:val="none"/>
                    </w:rPr>
                    <w:t>②</w:t>
                  </w:r>
                  <w:r>
                    <w:rPr>
                      <w:rFonts w:hint="eastAsia"/>
                      <w:szCs w:val="21"/>
                      <w:u w:val="none"/>
                      <w:highlight w:val="none"/>
                    </w:rPr>
                    <w:t>次氯酸钠</w:t>
                  </w:r>
                  <w:r>
                    <w:rPr>
                      <w:kern w:val="0"/>
                      <w:szCs w:val="21"/>
                      <w:u w:val="none"/>
                      <w:highlight w:val="none"/>
                    </w:rPr>
                    <w:t>按照要求进行贮存，避免因管理不当导致的</w:t>
                  </w:r>
                  <w:r>
                    <w:rPr>
                      <w:rFonts w:hint="eastAsia"/>
                      <w:szCs w:val="21"/>
                      <w:u w:val="none"/>
                      <w:highlight w:val="none"/>
                    </w:rPr>
                    <w:t>次氯酸钠</w:t>
                  </w:r>
                  <w:r>
                    <w:rPr>
                      <w:kern w:val="0"/>
                      <w:szCs w:val="21"/>
                      <w:u w:val="none"/>
                      <w:highlight w:val="none"/>
                    </w:rPr>
                    <w:t>泄漏事故发生。</w:t>
                  </w:r>
                  <w:r>
                    <w:rPr>
                      <w:rFonts w:eastAsia="宋体"/>
                      <w:kern w:val="0"/>
                      <w:szCs w:val="21"/>
                      <w:u w:val="none"/>
                      <w:highlight w:val="none"/>
                    </w:rPr>
                    <w:t>次氯酸钠储存场所</w:t>
                  </w:r>
                  <w:r>
                    <w:rPr>
                      <w:rFonts w:eastAsia="宋体" w:hint="eastAsia"/>
                      <w:kern w:val="0"/>
                      <w:szCs w:val="21"/>
                      <w:u w:val="none"/>
                      <w:lang w:val="en-US" w:eastAsia="zh-CN"/>
                      <w:highlight w:val="none"/>
                    </w:rPr>
                    <w:t>尽可能远离太青水库一侧，且</w:t>
                  </w:r>
                  <w:r>
                    <w:rPr>
                      <w:rFonts w:eastAsia="宋体"/>
                      <w:kern w:val="0"/>
                      <w:szCs w:val="21"/>
                      <w:u w:val="none"/>
                      <w:highlight w:val="none"/>
                    </w:rPr>
                    <w:t>周围应设置围堰、排水沟等设施，以便回收与废水的末端处理。</w:t>
                  </w:r>
                </w:p>
                <w:p>
                  <w:pPr>
                    <w:autoSpaceDE w:val="0"/>
                    <w:autoSpaceDN w:val="0"/>
                    <w:adjustRightInd w:val="0"/>
                    <w:jc w:val="left"/>
                    <w:rPr>
                      <w:kern w:val="0"/>
                      <w:szCs w:val="21"/>
                      <w:u w:val="none"/>
                      <w:highlight w:val="none"/>
                    </w:rPr>
                  </w:pPr>
                  <w:r>
                    <w:rPr>
                      <w:rFonts w:ascii="宋体" w:cs="Cambria Math" w:hAnsi="宋体" w:hint="eastAsia"/>
                      <w:kern w:val="0"/>
                      <w:szCs w:val="21"/>
                      <w:u w:val="none"/>
                      <w:highlight w:val="none"/>
                    </w:rPr>
                    <w:t>③</w:t>
                  </w:r>
                  <w:r>
                    <w:rPr>
                      <w:kern w:val="0"/>
                      <w:szCs w:val="21"/>
                      <w:u w:val="none"/>
                      <w:highlight w:val="none"/>
                    </w:rPr>
                    <w:t>危废暂存间要求防风、防雨、防渗漏，并安排专人管理。</w:t>
                  </w:r>
                </w:p>
                <w:p>
                  <w:pPr>
                    <w:autoSpaceDE w:val="0"/>
                    <w:autoSpaceDN w:val="0"/>
                    <w:adjustRightInd w:val="0"/>
                    <w:jc w:val="left"/>
                    <w:rPr>
                      <w:szCs w:val="21"/>
                      <w:u w:val="none"/>
                      <w:highlight w:val="none"/>
                    </w:rPr>
                  </w:pPr>
                  <w:r>
                    <w:rPr>
                      <w:rFonts w:ascii="宋体" w:cs="Cambria Math" w:hAnsi="宋体" w:hint="eastAsia"/>
                      <w:kern w:val="0"/>
                      <w:szCs w:val="21"/>
                      <w:u w:val="none"/>
                      <w:highlight w:val="none"/>
                    </w:rPr>
                    <w:t>④</w:t>
                  </w:r>
                  <w:r>
                    <w:rPr>
                      <w:kern w:val="0"/>
                      <w:szCs w:val="21"/>
                      <w:u w:val="none"/>
                      <w:highlight w:val="none"/>
                    </w:rPr>
                    <w:t>危险废物妥善收集，作好防渗透处理，临时堆存时间不得过长，堆存量不得超过规定要求，以防造成渗漏等二次污染事故。</w:t>
                  </w:r>
                </w:p>
              </w:tc>
            </w:tr>
            <w:tr>
              <w:trPr>
                <w:trHeight w:val="340"/>
              </w:trPr>
              <w:tc>
                <w:tcPr>
                  <w:tcW w:w="1132" w:type="pct"/>
                  <w:vAlign w:val="center"/>
                </w:tcPr>
                <w:p>
                  <w:pPr>
                    <w:adjustRightInd w:val="0"/>
                    <w:snapToGrid w:val="0"/>
                    <w:jc w:val="center"/>
                    <w:rPr>
                      <w:szCs w:val="21"/>
                      <w:u w:val="none"/>
                      <w:highlight w:val="none"/>
                    </w:rPr>
                  </w:pPr>
                  <w:r>
                    <w:rPr>
                      <w:szCs w:val="21"/>
                      <w:u w:val="none"/>
                      <w:highlight w:val="none"/>
                    </w:rPr>
                    <w:t>填表说明</w:t>
                  </w:r>
                </w:p>
              </w:tc>
              <w:tc>
                <w:tcPr>
                  <w:tcW w:w="3868" w:type="pct"/>
                  <w:vAlign w:val="center"/>
                </w:tcPr>
                <w:p>
                  <w:pPr>
                    <w:adjustRightInd w:val="0"/>
                    <w:snapToGrid w:val="0"/>
                    <w:jc w:val="center"/>
                    <w:rPr>
                      <w:szCs w:val="21"/>
                      <w:u w:val="none"/>
                      <w:highlight w:val="none"/>
                    </w:rPr>
                  </w:pPr>
                  <w:r>
                    <w:rPr>
                      <w:szCs w:val="21"/>
                      <w:u w:val="none"/>
                      <w:highlight w:val="none"/>
                    </w:rPr>
                    <w:t>采取上述风险防范措施后，项目产生的环境风险控制在最低水平，外环境影响小。</w:t>
                  </w:r>
                </w:p>
              </w:tc>
            </w:tr>
          </w:tbl>
          <w:p>
            <w:pPr>
              <w:pStyle w:val="111"/>
              <w:keepNext w:val="0"/>
              <w:keepLines w:val="0"/>
              <w:pageBreakBefore w:val="0"/>
              <w:widowControl/>
              <w:kinsoku/>
              <w:wordWrap/>
              <w:overflowPunct/>
              <w:topLinePunct w:val="0"/>
              <w:autoSpaceDE/>
              <w:autoSpaceDN/>
              <w:bidi w:val="0"/>
              <w:adjustRightInd w:val="0"/>
              <w:snapToGrid w:val="0"/>
              <w:spacing w:line="360" w:lineRule="auto"/>
              <w:ind w:left="0" w:firstLineChars="0" w:firstLine="0"/>
              <w:textAlignment w:val="auto"/>
              <w:rPr>
                <w:rFonts w:ascii="Times New Roman" w:eastAsia="宋体" w:cs="Times New Roman" w:hAnsi="Times New Roman"/>
                <w:b/>
                <w:bCs/>
                <w:color w:val="auto"/>
                <w:sz w:val="24"/>
                <w:szCs w:val="24"/>
                <w:lang w:eastAsia="zh-CN"/>
                <w:highlight w:val="none"/>
              </w:rPr>
            </w:pPr>
            <w:r>
              <w:rPr>
                <w:rFonts w:ascii="Times New Roman" w:eastAsia="宋体" w:cs="Times New Roman" w:hAnsi="Times New Roman" w:hint="eastAsia"/>
                <w:b/>
                <w:bCs/>
                <w:color w:val="auto"/>
                <w:sz w:val="24"/>
                <w:szCs w:val="24"/>
                <w:lang w:val="en-US" w:eastAsia="zh-CN"/>
                <w:highlight w:val="none"/>
              </w:rPr>
              <w:t>8、</w:t>
            </w:r>
            <w:r>
              <w:rPr>
                <w:rFonts w:ascii="Times New Roman" w:eastAsia="宋体" w:cs="Times New Roman" w:hAnsi="Times New Roman"/>
                <w:b/>
                <w:bCs/>
                <w:color w:val="auto"/>
                <w:sz w:val="24"/>
                <w:szCs w:val="24"/>
                <w:lang w:eastAsia="zh-CN"/>
                <w:highlight w:val="none"/>
              </w:rPr>
              <w:t>环保投资</w:t>
            </w:r>
          </w:p>
          <w:p>
            <w:pPr>
              <w:pStyle w:val="111"/>
              <w:keepNext w:val="0"/>
              <w:keepLines w:val="0"/>
              <w:pageBreakBefore w:val="0"/>
              <w:widowControl/>
              <w:kinsoku/>
              <w:wordWrap/>
              <w:overflowPunct/>
              <w:topLinePunct w:val="0"/>
              <w:autoSpaceDE/>
              <w:autoSpaceDN/>
              <w:bidi w:val="0"/>
              <w:adjustRightInd w:val="0"/>
              <w:snapToGrid w:val="0"/>
              <w:spacing w:line="360" w:lineRule="auto"/>
              <w:textAlignment w:val="auto"/>
              <w:rPr>
                <w:rFonts w:ascii="Times New Roman" w:eastAsia="宋体" w:cs="Times New Roman" w:hAnsi="Times New Roman"/>
                <w:b w:val="0"/>
                <w:bCs w:val="0"/>
                <w:color w:val="auto"/>
                <w:sz w:val="24"/>
                <w:szCs w:val="24"/>
                <w:lang w:eastAsia="zh-CN"/>
                <w:highlight w:val="none"/>
              </w:rPr>
            </w:pPr>
            <w:r>
              <w:rPr>
                <w:rFonts w:ascii="Times New Roman" w:eastAsia="宋体" w:cs="Times New Roman" w:hAnsi="Times New Roman"/>
                <w:b w:val="0"/>
                <w:bCs w:val="0"/>
                <w:color w:val="auto"/>
                <w:sz w:val="24"/>
                <w:szCs w:val="24"/>
                <w:lang w:eastAsia="zh-CN"/>
                <w:highlight w:val="none"/>
              </w:rPr>
              <w:t>本项目总投资</w:t>
            </w:r>
            <w:r>
              <w:rPr>
                <w:rFonts w:ascii="Times New Roman" w:eastAsia="宋体" w:cs="Times New Roman" w:hAnsi="Times New Roman" w:hint="eastAsia"/>
                <w:b w:val="0"/>
                <w:bCs w:val="0"/>
                <w:color w:val="auto"/>
                <w:sz w:val="24"/>
                <w:szCs w:val="24"/>
                <w:lang w:val="en-US" w:eastAsia="zh-CN"/>
                <w:highlight w:val="none"/>
              </w:rPr>
              <w:t>9238.82</w:t>
            </w:r>
            <w:r>
              <w:rPr>
                <w:rFonts w:ascii="Times New Roman" w:eastAsia="宋体" w:cs="Times New Roman" w:hAnsi="Times New Roman"/>
                <w:b w:val="0"/>
                <w:bCs w:val="0"/>
                <w:color w:val="auto"/>
                <w:sz w:val="24"/>
                <w:szCs w:val="24"/>
                <w:lang w:eastAsia="zh-CN"/>
                <w:highlight w:val="none"/>
              </w:rPr>
              <w:t>万元，根据项目排污情况分析，</w:t>
            </w:r>
            <w:r>
              <w:rPr>
                <w:rFonts w:ascii="Times New Roman" w:eastAsia="宋体" w:cs="Times New Roman" w:hAnsi="Times New Roman"/>
                <w:b w:val="0"/>
                <w:bCs w:val="0"/>
                <w:color w:val="auto"/>
                <w:sz w:val="24"/>
                <w:szCs w:val="24"/>
                <w:u w:val="single"/>
                <w:lang w:eastAsia="zh-CN"/>
                <w:highlight w:val="none"/>
              </w:rPr>
              <w:t>环保投资约</w:t>
            </w:r>
            <w:r>
              <w:rPr>
                <w:rFonts w:ascii="Times New Roman" w:eastAsia="宋体" w:cs="Times New Roman" w:hAnsi="Times New Roman" w:hint="eastAsia"/>
                <w:b w:val="0"/>
                <w:bCs w:val="0"/>
                <w:color w:val="auto"/>
                <w:sz w:val="24"/>
                <w:szCs w:val="24"/>
                <w:u w:val="single"/>
                <w:lang w:val="en-US" w:eastAsia="zh-CN"/>
                <w:highlight w:val="none"/>
              </w:rPr>
              <w:t>60</w:t>
            </w:r>
            <w:r>
              <w:rPr>
                <w:rFonts w:ascii="Times New Roman" w:eastAsia="宋体" w:cs="Times New Roman" w:hAnsi="Times New Roman"/>
                <w:b w:val="0"/>
                <w:bCs w:val="0"/>
                <w:color w:val="auto"/>
                <w:sz w:val="24"/>
                <w:szCs w:val="24"/>
                <w:u w:val="single"/>
                <w:lang w:eastAsia="zh-CN"/>
                <w:highlight w:val="none"/>
              </w:rPr>
              <w:t>万元，环保投资占项目总投资</w:t>
            </w:r>
            <w:r>
              <w:rPr>
                <w:rFonts w:ascii="Times New Roman" w:eastAsia="宋体" w:cs="Times New Roman" w:hAnsi="Times New Roman" w:hint="eastAsia"/>
                <w:b w:val="0"/>
                <w:bCs w:val="0"/>
                <w:color w:val="auto"/>
                <w:sz w:val="24"/>
                <w:szCs w:val="24"/>
                <w:u w:val="single"/>
                <w:lang w:val="en-US" w:eastAsia="zh-CN"/>
                <w:highlight w:val="none"/>
              </w:rPr>
              <w:t>0.89</w:t>
            </w:r>
            <w:r>
              <w:rPr>
                <w:rFonts w:ascii="Times New Roman" w:eastAsia="宋体" w:cs="Times New Roman" w:hAnsi="Times New Roman"/>
                <w:b w:val="0"/>
                <w:bCs w:val="0"/>
                <w:color w:val="auto"/>
                <w:sz w:val="24"/>
                <w:szCs w:val="24"/>
                <w:u w:val="single"/>
                <w:lang w:eastAsia="zh-CN"/>
                <w:highlight w:val="none"/>
              </w:rPr>
              <w:t>%。</w:t>
            </w:r>
            <w:r>
              <w:rPr>
                <w:rFonts w:ascii="Times New Roman" w:eastAsia="宋体" w:cs="Times New Roman" w:hAnsi="Times New Roman"/>
                <w:b w:val="0"/>
                <w:bCs w:val="0"/>
                <w:color w:val="auto"/>
                <w:sz w:val="24"/>
                <w:szCs w:val="24"/>
                <w:lang w:eastAsia="zh-CN"/>
                <w:highlight w:val="none"/>
              </w:rPr>
              <w:t>项目环保投资估算见表4-</w:t>
            </w:r>
            <w:r>
              <w:rPr>
                <w:rFonts w:ascii="Times New Roman" w:eastAsia="宋体" w:cs="Times New Roman" w:hAnsi="Times New Roman" w:hint="eastAsia"/>
                <w:b w:val="0"/>
                <w:bCs w:val="0"/>
                <w:color w:val="auto"/>
                <w:sz w:val="24"/>
                <w:szCs w:val="24"/>
                <w:lang w:val="en-US" w:eastAsia="zh-CN"/>
                <w:highlight w:val="none"/>
              </w:rPr>
              <w:t>16</w:t>
            </w:r>
            <w:r>
              <w:rPr>
                <w:rFonts w:ascii="Times New Roman" w:eastAsia="宋体" w:cs="Times New Roman" w:hAnsi="Times New Roman"/>
                <w:b w:val="0"/>
                <w:bCs w:val="0"/>
                <w:color w:val="auto"/>
                <w:sz w:val="24"/>
                <w:szCs w:val="24"/>
                <w:lang w:eastAsia="zh-CN"/>
                <w:highlight w:val="none"/>
              </w:rPr>
              <w:t>。</w:t>
            </w:r>
          </w:p>
          <w:p>
            <w:pPr>
              <w:pStyle w:val="111"/>
              <w:keepNext w:val="0"/>
              <w:keepLines w:val="0"/>
              <w:pageBreakBefore w:val="0"/>
              <w:widowControl/>
              <w:kinsoku/>
              <w:wordWrap/>
              <w:overflowPunct/>
              <w:topLinePunct w:val="0"/>
              <w:autoSpaceDE/>
              <w:autoSpaceDN/>
              <w:bidi w:val="0"/>
              <w:adjustRightInd w:val="0"/>
              <w:snapToGrid w:val="0"/>
              <w:spacing w:line="240" w:lineRule="auto"/>
              <w:ind w:firstLineChars="0" w:firstLine="0"/>
              <w:jc w:val="center"/>
              <w:textAlignment w:val="auto"/>
              <w:rPr>
                <w:rFonts w:ascii="Times New Roman" w:eastAsia="宋体" w:cs="Times New Roman" w:hAnsi="Times New Roman"/>
                <w:b/>
                <w:color w:val="auto"/>
                <w:spacing w:val="-1"/>
                <w:kern w:val="2"/>
                <w:sz w:val="24"/>
                <w:szCs w:val="24"/>
                <w:u w:val="none"/>
                <w:lang w:val="en-US" w:eastAsia="zh-CN" w:bidi="ar-SA"/>
                <w:highlight w:val="none"/>
              </w:rPr>
            </w:pPr>
            <w:r>
              <w:rPr>
                <w:rFonts w:ascii="Times New Roman" w:eastAsia="宋体" w:cs="Times New Roman" w:hAnsi="Times New Roman"/>
                <w:b/>
                <w:color w:val="auto"/>
                <w:spacing w:val="-1"/>
                <w:kern w:val="2"/>
                <w:sz w:val="24"/>
                <w:szCs w:val="24"/>
                <w:u w:val="none"/>
                <w:lang w:val="en-US" w:eastAsia="zh-CN" w:bidi="ar-SA"/>
                <w:highlight w:val="none"/>
              </w:rPr>
              <w:t>表4-</w:t>
            </w:r>
            <w:r>
              <w:rPr>
                <w:rFonts w:ascii="Times New Roman" w:eastAsia="宋体" w:cs="Times New Roman" w:hAnsi="Times New Roman" w:hint="eastAsia"/>
                <w:b/>
                <w:color w:val="auto"/>
                <w:spacing w:val="-1"/>
                <w:kern w:val="2"/>
                <w:sz w:val="24"/>
                <w:szCs w:val="24"/>
                <w:u w:val="none"/>
                <w:lang w:val="en-US" w:eastAsia="zh-CN" w:bidi="ar-SA"/>
                <w:highlight w:val="none"/>
              </w:rPr>
              <w:t xml:space="preserve">16  </w:t>
            </w:r>
            <w:r>
              <w:rPr>
                <w:rFonts w:ascii="Times New Roman" w:eastAsia="宋体" w:cs="Times New Roman" w:hAnsi="Times New Roman"/>
                <w:b/>
                <w:color w:val="auto"/>
                <w:spacing w:val="-1"/>
                <w:kern w:val="2"/>
                <w:sz w:val="24"/>
                <w:szCs w:val="24"/>
                <w:u w:val="none"/>
                <w:lang w:val="en-US" w:eastAsia="zh-CN" w:bidi="ar-SA"/>
                <w:highlight w:val="none"/>
              </w:rPr>
              <w:t>环保投资估算一览表</w:t>
            </w:r>
          </w:p>
          <w:tbl>
            <w:tblPr>
              <w:jc w:val="center"/>
              <w:tblW w:w="4998"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926"/>
              <w:gridCol w:w="893"/>
              <w:gridCol w:w="2427"/>
              <w:gridCol w:w="2956"/>
              <w:gridCol w:w="930"/>
            </w:tblGrid>
            <w:tr>
              <w:trPr>
                <w:trHeight w:val="310"/>
              </w:trPr>
              <w:tc>
                <w:tcPr>
                  <w:tcW w:w="56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时段</w:t>
                  </w:r>
                </w:p>
              </w:tc>
              <w:tc>
                <w:tcPr>
                  <w:tcW w:w="54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类别</w:t>
                  </w: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污染源</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环保措施</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投资额</w:t>
                  </w:r>
                </w:p>
              </w:tc>
            </w:tr>
            <w:tr>
              <w:trPr>
                <w:trHeight w:val="590"/>
              </w:trPr>
              <w:tc>
                <w:tcPr>
                  <w:tcW w:w="569" w:type="pct"/>
                  <w:vMerge w:val="restar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施工期</w:t>
                  </w:r>
                </w:p>
              </w:tc>
              <w:tc>
                <w:tcPr>
                  <w:tcW w:w="54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废气</w:t>
                  </w: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土地平整、基础施工、运输扬尘</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洒水、洗车池、硬质围挡、防尘布</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highlight w:val="none"/>
                    </w:rPr>
                  </w:pPr>
                  <w:r>
                    <w:rPr>
                      <w:rFonts w:ascii="Times New Roman" w:eastAsia="宋体" w:cs="Times New Roman" w:hAnsi="Times New Roman" w:hint="eastAsia"/>
                      <w:b w:val="0"/>
                      <w:bCs/>
                      <w:color w:val="auto"/>
                      <w:sz w:val="21"/>
                      <w:szCs w:val="21"/>
                      <w:u w:val="single"/>
                      <w:lang w:val="en-US" w:eastAsia="zh-CN"/>
                      <w:highlight w:val="none"/>
                    </w:rPr>
                    <w:t>1</w:t>
                  </w:r>
                  <w:r>
                    <w:rPr>
                      <w:rFonts w:cs="Times New Roman" w:hint="eastAsia"/>
                      <w:b w:val="0"/>
                      <w:bCs/>
                      <w:color w:val="auto"/>
                      <w:sz w:val="21"/>
                      <w:szCs w:val="21"/>
                      <w:u w:val="single"/>
                      <w:lang w:val="en-US" w:eastAsia="zh-CN"/>
                      <w:highlight w:val="none"/>
                    </w:rPr>
                    <w:t>2</w:t>
                  </w:r>
                </w:p>
              </w:tc>
            </w:tr>
            <w:tr>
              <w:trPr>
                <w:trHeight w:val="310"/>
              </w:trPr>
              <w:tc>
                <w:tcPr>
                  <w:tcW w:w="569" w:type="pct"/>
                  <w:vMerge/>
                  <w:tcBorders>
                    <w:tl2br w:val="nil"/>
                    <w:tr2bl w:val="nil"/>
                  </w:tcBorders>
                  <w:vAlign w:val="center"/>
                </w:tcPr>
                <w:p/>
              </w:tc>
              <w:tc>
                <w:tcPr>
                  <w:tcW w:w="54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废水</w:t>
                  </w: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施工废水</w:t>
                  </w:r>
                </w:p>
              </w:tc>
              <w:tc>
                <w:tcPr>
                  <w:tcW w:w="1817" w:type="pct"/>
                  <w:tcBorders>
                    <w:tl2br w:val="nil"/>
                    <w:tr2bl w:val="nil"/>
                  </w:tcBorders>
                  <w:vAlign w:val="center"/>
                </w:tcPr>
                <w:p>
                  <w:pPr>
                    <w:adjustRightInd w:val="0"/>
                    <w:snapToGrid w:val="0"/>
                    <w:jc w:val="center"/>
                    <w:rPr>
                      <w:rFonts w:ascii="Times New Roman" w:eastAsia="宋体" w:cs="Times New Roman" w:hAnsi="Times New Roman" w:hint="eastAsia"/>
                      <w:b w:val="0"/>
                      <w:bCs/>
                      <w:color w:val="auto"/>
                      <w:sz w:val="21"/>
                      <w:szCs w:val="21"/>
                      <w:u w:val="single"/>
                      <w:lang w:eastAsia="zh-CN"/>
                      <w:highlight w:val="none"/>
                    </w:rPr>
                  </w:pPr>
                  <w:r>
                    <w:rPr>
                      <w:rFonts w:ascii="Times New Roman" w:eastAsia="宋体" w:cs="Times New Roman" w:hAnsi="Times New Roman"/>
                      <w:b w:val="0"/>
                      <w:bCs/>
                      <w:color w:val="auto"/>
                      <w:sz w:val="21"/>
                      <w:szCs w:val="21"/>
                      <w:u w:val="single"/>
                      <w:highlight w:val="none"/>
                    </w:rPr>
                    <w:t>隔油池、沉淀池</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ascii="Times New Roman" w:eastAsia="宋体" w:cs="Times New Roman" w:hAnsi="Times New Roman" w:hint="eastAsia"/>
                      <w:b w:val="0"/>
                      <w:bCs/>
                      <w:color w:val="auto"/>
                      <w:sz w:val="21"/>
                      <w:szCs w:val="21"/>
                      <w:u w:val="single"/>
                      <w:lang w:val="en-US" w:eastAsia="zh-CN"/>
                      <w:highlight w:val="none"/>
                    </w:rPr>
                    <w:t>5</w:t>
                  </w:r>
                </w:p>
              </w:tc>
            </w:tr>
            <w:tr>
              <w:trPr>
                <w:trHeight w:val="310"/>
              </w:trPr>
              <w:tc>
                <w:tcPr>
                  <w:tcW w:w="569" w:type="pct"/>
                  <w:vMerge/>
                  <w:tcBorders>
                    <w:tl2br w:val="nil"/>
                    <w:tr2bl w:val="nil"/>
                  </w:tcBorders>
                  <w:vAlign w:val="center"/>
                </w:tcPr>
                <w:p/>
              </w:tc>
              <w:tc>
                <w:tcPr>
                  <w:tcW w:w="54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固废</w:t>
                  </w: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弃土、建筑垃圾</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弃土、建筑垃圾收集</w:t>
                  </w:r>
                  <w:r>
                    <w:rPr>
                      <w:rFonts w:ascii="Times New Roman" w:eastAsia="宋体" w:cs="Times New Roman" w:hAnsi="Times New Roman" w:hint="eastAsia"/>
                      <w:b w:val="0"/>
                      <w:bCs/>
                      <w:color w:val="auto"/>
                      <w:sz w:val="21"/>
                      <w:szCs w:val="21"/>
                      <w:u w:val="single"/>
                      <w:lang w:val="en-US" w:eastAsia="zh-CN"/>
                      <w:highlight w:val="none"/>
                    </w:rPr>
                    <w:t>运输</w:t>
                  </w:r>
                  <w:r>
                    <w:rPr>
                      <w:rFonts w:ascii="Times New Roman" w:eastAsia="宋体" w:cs="Times New Roman" w:hAnsi="Times New Roman"/>
                      <w:b w:val="0"/>
                      <w:bCs/>
                      <w:color w:val="auto"/>
                      <w:sz w:val="21"/>
                      <w:szCs w:val="21"/>
                      <w:u w:val="single"/>
                      <w:highlight w:val="none"/>
                    </w:rPr>
                    <w:t>等</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cs="Times New Roman" w:hint="eastAsia"/>
                      <w:b w:val="0"/>
                      <w:bCs/>
                      <w:color w:val="auto"/>
                      <w:sz w:val="21"/>
                      <w:szCs w:val="21"/>
                      <w:u w:val="single"/>
                      <w:lang w:val="en-US" w:eastAsia="zh-CN"/>
                      <w:highlight w:val="none"/>
                    </w:rPr>
                    <w:t>10</w:t>
                  </w:r>
                </w:p>
              </w:tc>
            </w:tr>
            <w:tr>
              <w:trPr>
                <w:trHeight w:val="310"/>
              </w:trPr>
              <w:tc>
                <w:tcPr>
                  <w:tcW w:w="569" w:type="pct"/>
                  <w:vMerge/>
                  <w:tcBorders>
                    <w:tl2br w:val="nil"/>
                    <w:tr2bl w:val="nil"/>
                  </w:tcBorders>
                  <w:vAlign w:val="center"/>
                </w:tcPr>
                <w:p/>
              </w:tc>
              <w:tc>
                <w:tcPr>
                  <w:tcW w:w="54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噪声</w:t>
                  </w: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施工设备噪声</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临时护围隔声措施</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ascii="Times New Roman" w:eastAsia="宋体" w:cs="Times New Roman" w:hAnsi="Times New Roman" w:hint="eastAsia"/>
                      <w:b w:val="0"/>
                      <w:bCs/>
                      <w:color w:val="auto"/>
                      <w:sz w:val="21"/>
                      <w:szCs w:val="21"/>
                      <w:u w:val="single"/>
                      <w:lang w:val="en-US" w:eastAsia="zh-CN"/>
                      <w:highlight w:val="none"/>
                    </w:rPr>
                    <w:t>3</w:t>
                  </w:r>
                </w:p>
              </w:tc>
            </w:tr>
            <w:tr>
              <w:trPr>
                <w:trHeight w:val="590"/>
              </w:trPr>
              <w:tc>
                <w:tcPr>
                  <w:tcW w:w="569" w:type="pct"/>
                  <w:vMerge/>
                  <w:tcBorders>
                    <w:tl2br w:val="nil"/>
                    <w:tr2bl w:val="nil"/>
                  </w:tcBorders>
                  <w:vAlign w:val="center"/>
                </w:tcPr>
                <w:p/>
              </w:tc>
              <w:tc>
                <w:tcPr>
                  <w:tcW w:w="54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生态</w:t>
                  </w:r>
                </w:p>
              </w:tc>
              <w:tc>
                <w:tcPr>
                  <w:tcW w:w="1492" w:type="pct"/>
                  <w:tcBorders>
                    <w:tl2br w:val="nil"/>
                    <w:tr2bl w:val="nil"/>
                  </w:tcBorders>
                  <w:vAlign w:val="center"/>
                </w:tcPr>
                <w:p>
                  <w:pPr>
                    <w:adjustRightInd w:val="0"/>
                    <w:snapToGrid w:val="0"/>
                    <w:jc w:val="center"/>
                    <w:rPr>
                      <w:rFonts w:ascii="Times New Roman" w:eastAsia="宋体" w:cs="Times New Roman" w:hAnsi="Times New Roman" w:hint="eastAsia"/>
                      <w:b w:val="0"/>
                      <w:bCs/>
                      <w:color w:val="auto"/>
                      <w:sz w:val="21"/>
                      <w:szCs w:val="21"/>
                      <w:u w:val="single"/>
                      <w:lang w:val="en-US" w:eastAsia="zh-CN"/>
                      <w:highlight w:val="none"/>
                    </w:rPr>
                  </w:pPr>
                  <w:r>
                    <w:rPr>
                      <w:rFonts w:ascii="Times New Roman" w:eastAsia="宋体" w:cs="Times New Roman" w:hAnsi="Times New Roman" w:hint="eastAsia"/>
                      <w:b w:val="0"/>
                      <w:bCs/>
                      <w:color w:val="auto"/>
                      <w:sz w:val="21"/>
                      <w:szCs w:val="21"/>
                      <w:u w:val="single"/>
                      <w:lang w:val="en-US" w:eastAsia="zh-CN"/>
                      <w:highlight w:val="none"/>
                    </w:rPr>
                    <w:t>/</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排水沟、挡土墙、绿化复垦、原有路面恢复</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highlight w:val="none"/>
                    </w:rPr>
                  </w:pPr>
                  <w:r>
                    <w:rPr>
                      <w:rFonts w:cs="Times New Roman" w:hint="eastAsia"/>
                      <w:b w:val="0"/>
                      <w:bCs/>
                      <w:color w:val="auto"/>
                      <w:sz w:val="21"/>
                      <w:szCs w:val="21"/>
                      <w:u w:val="single"/>
                      <w:lang w:val="en-US" w:eastAsia="zh-CN"/>
                      <w:highlight w:val="none"/>
                    </w:rPr>
                    <w:t>28</w:t>
                  </w:r>
                </w:p>
              </w:tc>
            </w:tr>
            <w:tr>
              <w:trPr>
                <w:trHeight w:val="310"/>
              </w:trPr>
              <w:tc>
                <w:tcPr>
                  <w:tcW w:w="569" w:type="pct"/>
                  <w:vMerge w:val="restar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营运期</w:t>
                  </w:r>
                </w:p>
              </w:tc>
              <w:tc>
                <w:tcPr>
                  <w:tcW w:w="54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废水</w:t>
                  </w: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生活污水</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ascii="Times New Roman" w:eastAsia="宋体" w:cs="Times New Roman" w:hAnsi="Times New Roman"/>
                      <w:b w:val="0"/>
                      <w:bCs/>
                      <w:color w:val="auto"/>
                      <w:sz w:val="21"/>
                      <w:szCs w:val="21"/>
                      <w:u w:val="single"/>
                      <w:lang w:val="en-US" w:eastAsia="zh-CN"/>
                      <w:highlight w:val="none"/>
                    </w:rPr>
                    <w:t>化粪池</w:t>
                  </w:r>
                </w:p>
              </w:tc>
              <w:tc>
                <w:tcPr>
                  <w:tcW w:w="572" w:type="pct"/>
                  <w:tcBorders>
                    <w:tl2br w:val="nil"/>
                    <w:tr2bl w:val="nil"/>
                  </w:tcBorders>
                  <w:vAlign w:val="center"/>
                </w:tcPr>
                <w:p>
                  <w:pPr>
                    <w:adjustRightInd w:val="0"/>
                    <w:snapToGrid w:val="0"/>
                    <w:jc w:val="center"/>
                    <w:rPr>
                      <w:rFonts w:ascii="Times New Roman" w:eastAsia="宋体" w:cs="Times New Roman" w:hAnsi="Times New Roman" w:hint="eastAsia"/>
                      <w:b w:val="0"/>
                      <w:bCs/>
                      <w:color w:val="auto"/>
                      <w:sz w:val="21"/>
                      <w:szCs w:val="21"/>
                      <w:u w:val="single"/>
                      <w:lang w:val="en-US" w:eastAsia="zh-CN"/>
                      <w:highlight w:val="none"/>
                    </w:rPr>
                  </w:pPr>
                  <w:r>
                    <w:rPr>
                      <w:rFonts w:cs="Times New Roman" w:hint="eastAsia"/>
                      <w:b w:val="0"/>
                      <w:bCs/>
                      <w:color w:val="auto"/>
                      <w:sz w:val="21"/>
                      <w:szCs w:val="21"/>
                      <w:u w:val="single"/>
                      <w:lang w:val="en-US" w:eastAsia="zh-CN"/>
                      <w:highlight w:val="none"/>
                    </w:rPr>
                    <w:t>2</w:t>
                  </w:r>
                </w:p>
              </w:tc>
            </w:tr>
            <w:tr>
              <w:trPr>
                <w:trHeight w:val="310"/>
              </w:trPr>
              <w:tc>
                <w:tcPr>
                  <w:tcW w:w="569" w:type="pct"/>
                  <w:vMerge/>
                  <w:tcBorders>
                    <w:tl2br w:val="nil"/>
                    <w:tr2bl w:val="nil"/>
                  </w:tcBorders>
                  <w:vAlign w:val="center"/>
                </w:tcPr>
                <w:p/>
              </w:tc>
              <w:tc>
                <w:tcPr>
                  <w:tcW w:w="54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噪声</w:t>
                  </w: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设备噪声</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ascii="Times New Roman" w:eastAsia="宋体" w:cs="Times New Roman" w:hAnsi="Times New Roman"/>
                      <w:b w:val="0"/>
                      <w:bCs/>
                      <w:color w:val="auto"/>
                      <w:sz w:val="21"/>
                      <w:szCs w:val="21"/>
                      <w:u w:val="single"/>
                      <w:lang w:val="en-US" w:eastAsia="zh-CN"/>
                      <w:highlight w:val="none"/>
                    </w:rPr>
                    <w:t>隔声、减振</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cs="Times New Roman" w:hint="eastAsia"/>
                      <w:b w:val="0"/>
                      <w:bCs/>
                      <w:color w:val="auto"/>
                      <w:sz w:val="21"/>
                      <w:szCs w:val="21"/>
                      <w:u w:val="single"/>
                      <w:lang w:val="en-US" w:eastAsia="zh-CN"/>
                      <w:highlight w:val="none"/>
                    </w:rPr>
                    <w:t>3</w:t>
                  </w:r>
                </w:p>
              </w:tc>
            </w:tr>
            <w:tr>
              <w:trPr>
                <w:trHeight w:val="310"/>
              </w:trPr>
              <w:tc>
                <w:tcPr>
                  <w:tcW w:w="569" w:type="pct"/>
                  <w:vMerge/>
                  <w:tcBorders>
                    <w:tl2br w:val="nil"/>
                    <w:tr2bl w:val="nil"/>
                  </w:tcBorders>
                  <w:vAlign w:val="center"/>
                </w:tcPr>
                <w:p/>
              </w:tc>
              <w:tc>
                <w:tcPr>
                  <w:tcW w:w="549" w:type="pct"/>
                  <w:vMerge w:val="restar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固废</w:t>
                  </w: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生活垃圾</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ascii="Times New Roman" w:eastAsia="宋体" w:cs="Times New Roman" w:hAnsi="Times New Roman"/>
                      <w:b w:val="0"/>
                      <w:bCs/>
                      <w:color w:val="auto"/>
                      <w:sz w:val="21"/>
                      <w:szCs w:val="21"/>
                      <w:u w:val="single"/>
                      <w:lang w:val="en-US" w:eastAsia="zh-CN"/>
                      <w:highlight w:val="none"/>
                    </w:rPr>
                    <w:t>生活垃圾收集</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ascii="Times New Roman" w:eastAsia="宋体" w:cs="Times New Roman" w:hAnsi="Times New Roman" w:hint="eastAsia"/>
                      <w:b w:val="0"/>
                      <w:bCs/>
                      <w:color w:val="auto"/>
                      <w:sz w:val="21"/>
                      <w:szCs w:val="21"/>
                      <w:u w:val="single"/>
                      <w:lang w:val="en-US" w:eastAsia="zh-CN"/>
                      <w:highlight w:val="none"/>
                    </w:rPr>
                    <w:t>1</w:t>
                  </w:r>
                </w:p>
              </w:tc>
            </w:tr>
            <w:tr>
              <w:trPr>
                <w:trHeight w:val="310"/>
              </w:trPr>
              <w:tc>
                <w:tcPr>
                  <w:tcW w:w="569" w:type="pct"/>
                  <w:vMerge/>
                  <w:tcBorders>
                    <w:tl2br w:val="nil"/>
                    <w:tr2bl w:val="nil"/>
                  </w:tcBorders>
                  <w:vAlign w:val="center"/>
                </w:tcPr>
                <w:p/>
              </w:tc>
              <w:tc>
                <w:tcPr>
                  <w:tcW w:w="549" w:type="pct"/>
                  <w:vMerge/>
                  <w:tcBorders>
                    <w:tl2br w:val="nil"/>
                    <w:tr2bl w:val="nil"/>
                  </w:tcBorders>
                  <w:vAlign w:val="center"/>
                </w:tcP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ascii="Times New Roman" w:eastAsia="宋体" w:cs="Times New Roman" w:hAnsi="Times New Roman"/>
                      <w:b w:val="0"/>
                      <w:bCs/>
                      <w:color w:val="auto"/>
                      <w:sz w:val="21"/>
                      <w:szCs w:val="21"/>
                      <w:u w:val="single"/>
                      <w:highlight w:val="none"/>
                    </w:rPr>
                    <w:t>废</w:t>
                  </w:r>
                  <w:r>
                    <w:rPr>
                      <w:rFonts w:ascii="Times New Roman" w:eastAsia="宋体" w:cs="Times New Roman" w:hAnsi="Times New Roman" w:hint="eastAsia"/>
                      <w:b w:val="0"/>
                      <w:bCs/>
                      <w:color w:val="auto"/>
                      <w:sz w:val="21"/>
                      <w:szCs w:val="21"/>
                      <w:u w:val="single"/>
                      <w:lang w:val="en-US" w:eastAsia="zh-CN"/>
                      <w:highlight w:val="none"/>
                    </w:rPr>
                    <w:t>机油、废抹布</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ascii="Times New Roman" w:eastAsia="宋体" w:cs="Times New Roman" w:hAnsi="Times New Roman"/>
                      <w:b w:val="0"/>
                      <w:bCs/>
                      <w:color w:val="auto"/>
                      <w:sz w:val="21"/>
                      <w:szCs w:val="21"/>
                      <w:u w:val="single"/>
                      <w:lang w:val="en-US" w:eastAsia="zh-CN"/>
                      <w:highlight w:val="none"/>
                    </w:rPr>
                    <w:t>收集后，暂存于危废暂存间</w:t>
                  </w:r>
                </w:p>
              </w:tc>
              <w:tc>
                <w:tcPr>
                  <w:tcW w:w="572" w:type="pct"/>
                  <w:tcBorders>
                    <w:tl2br w:val="nil"/>
                    <w:tr2bl w:val="nil"/>
                  </w:tcBorders>
                  <w:vAlign w:val="center"/>
                </w:tcPr>
                <w:p>
                  <w:pPr>
                    <w:adjustRightInd w:val="0"/>
                    <w:snapToGrid w:val="0"/>
                    <w:jc w:val="center"/>
                    <w:rPr>
                      <w:rFonts w:ascii="Times New Roman" w:eastAsia="宋体" w:cs="Times New Roman" w:hAnsi="Times New Roman" w:hint="eastAsia"/>
                      <w:b w:val="0"/>
                      <w:bCs/>
                      <w:color w:val="auto"/>
                      <w:sz w:val="21"/>
                      <w:szCs w:val="21"/>
                      <w:u w:val="single"/>
                      <w:lang w:eastAsia="zh-CN"/>
                      <w:highlight w:val="none"/>
                    </w:rPr>
                  </w:pPr>
                  <w:r>
                    <w:rPr>
                      <w:rFonts w:ascii="Times New Roman" w:eastAsia="宋体" w:cs="Times New Roman" w:hAnsi="Times New Roman" w:hint="eastAsia"/>
                      <w:b w:val="0"/>
                      <w:bCs/>
                      <w:color w:val="auto"/>
                      <w:sz w:val="21"/>
                      <w:szCs w:val="21"/>
                      <w:u w:val="single"/>
                      <w:lang w:val="en-US" w:eastAsia="zh-CN"/>
                      <w:highlight w:val="none"/>
                    </w:rPr>
                    <w:t>3</w:t>
                  </w:r>
                </w:p>
              </w:tc>
            </w:tr>
            <w:tr>
              <w:trPr>
                <w:trHeight w:val="310"/>
              </w:trPr>
              <w:tc>
                <w:tcPr>
                  <w:tcW w:w="569" w:type="pct"/>
                  <w:vMerge/>
                  <w:tcBorders>
                    <w:tl2br w:val="nil"/>
                    <w:tr2bl w:val="nil"/>
                  </w:tcBorders>
                  <w:vAlign w:val="center"/>
                </w:tcPr>
                <w:p/>
              </w:tc>
              <w:tc>
                <w:tcPr>
                  <w:tcW w:w="549" w:type="pct"/>
                  <w:vMerge/>
                  <w:tcBorders>
                    <w:tl2br w:val="nil"/>
                    <w:tr2bl w:val="nil"/>
                  </w:tcBorders>
                  <w:vAlign w:val="center"/>
                </w:tcPr>
                <w:p/>
              </w:tc>
              <w:tc>
                <w:tcPr>
                  <w:tcW w:w="149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污泥</w:t>
                  </w:r>
                </w:p>
              </w:tc>
              <w:tc>
                <w:tcPr>
                  <w:tcW w:w="1817"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cs="Times New Roman" w:hint="eastAsia"/>
                      <w:b w:val="0"/>
                      <w:bCs/>
                      <w:color w:val="auto"/>
                      <w:sz w:val="21"/>
                      <w:szCs w:val="21"/>
                      <w:u w:val="single"/>
                      <w:lang w:val="en-US" w:eastAsia="zh-CN"/>
                      <w:highlight w:val="none"/>
                    </w:rPr>
                    <w:t>污泥干化池</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cs="Times New Roman" w:hint="eastAsia"/>
                      <w:b w:val="0"/>
                      <w:bCs/>
                      <w:color w:val="auto"/>
                      <w:sz w:val="21"/>
                      <w:szCs w:val="21"/>
                      <w:u w:val="single"/>
                      <w:lang w:val="en-US" w:eastAsia="zh-CN"/>
                      <w:highlight w:val="none"/>
                    </w:rPr>
                    <w:t>5</w:t>
                  </w:r>
                </w:p>
              </w:tc>
            </w:tr>
            <w:tr>
              <w:trPr>
                <w:trHeight w:val="310"/>
              </w:trPr>
              <w:tc>
                <w:tcPr>
                  <w:tcW w:w="569" w:type="pct"/>
                  <w:vMerge/>
                  <w:tcBorders>
                    <w:tl2br w:val="nil"/>
                    <w:tr2bl w:val="nil"/>
                  </w:tcBorders>
                  <w:vAlign w:val="center"/>
                </w:tcPr>
                <w:p/>
              </w:tc>
              <w:tc>
                <w:tcPr>
                  <w:tcW w:w="549" w:type="pct"/>
                  <w:tcBorders>
                    <w:tl2br w:val="nil"/>
                    <w:tr2bl w:val="nil"/>
                  </w:tcBorders>
                  <w:vAlign w:val="center"/>
                </w:tcPr>
                <w:p>
                  <w:pPr>
                    <w:adjustRightInd w:val="0"/>
                    <w:snapToGrid w:val="0"/>
                    <w:jc w:val="center"/>
                    <w:rPr>
                      <w:rFonts w:ascii="Times New Roman" w:eastAsia="宋体" w:cs="Times New Roman" w:hAnsi="Times New Roman" w:hint="eastAsia"/>
                      <w:b w:val="0"/>
                      <w:bCs/>
                      <w:color w:val="auto"/>
                      <w:sz w:val="21"/>
                      <w:szCs w:val="21"/>
                      <w:u w:val="single"/>
                      <w:lang w:val="en-US" w:eastAsia="zh-CN"/>
                      <w:highlight w:val="none"/>
                    </w:rPr>
                  </w:pPr>
                  <w:r>
                    <w:rPr>
                      <w:rFonts w:cs="Times New Roman" w:hint="eastAsia"/>
                      <w:b w:val="0"/>
                      <w:bCs/>
                      <w:color w:val="auto"/>
                      <w:sz w:val="21"/>
                      <w:szCs w:val="21"/>
                      <w:u w:val="single"/>
                      <w:lang w:val="en-US" w:eastAsia="zh-CN"/>
                      <w:highlight w:val="none"/>
                    </w:rPr>
                    <w:t>风险</w:t>
                  </w:r>
                </w:p>
              </w:tc>
              <w:tc>
                <w:tcPr>
                  <w:tcW w:w="1492" w:type="pct"/>
                  <w:tcBorders>
                    <w:tl2br w:val="nil"/>
                    <w:tr2bl w:val="nil"/>
                  </w:tcBorders>
                  <w:vAlign w:val="center"/>
                </w:tcPr>
                <w:p>
                  <w:pPr>
                    <w:adjustRightInd w:val="0"/>
                    <w:snapToGrid w:val="0"/>
                    <w:jc w:val="center"/>
                    <w:rPr>
                      <w:rFonts w:ascii="Times New Roman" w:eastAsia="宋体" w:cs="Times New Roman" w:hAnsi="Times New Roman" w:hint="eastAsia"/>
                      <w:b w:val="0"/>
                      <w:bCs/>
                      <w:color w:val="auto"/>
                      <w:sz w:val="21"/>
                      <w:szCs w:val="21"/>
                      <w:u w:val="single"/>
                      <w:lang w:val="en-US" w:eastAsia="zh-CN"/>
                      <w:highlight w:val="none"/>
                    </w:rPr>
                  </w:pPr>
                  <w:r>
                    <w:rPr>
                      <w:rFonts w:cs="Times New Roman" w:hint="eastAsia"/>
                      <w:b w:val="0"/>
                      <w:bCs/>
                      <w:color w:val="auto"/>
                      <w:sz w:val="21"/>
                      <w:szCs w:val="21"/>
                      <w:u w:val="single"/>
                      <w:lang w:val="en-US" w:eastAsia="zh-CN"/>
                      <w:highlight w:val="none"/>
                    </w:rPr>
                    <w:t>/</w:t>
                  </w:r>
                </w:p>
              </w:tc>
              <w:tc>
                <w:tcPr>
                  <w:tcW w:w="1817" w:type="pct"/>
                  <w:tcBorders>
                    <w:tl2br w:val="nil"/>
                    <w:tr2bl w:val="nil"/>
                  </w:tcBorders>
                  <w:vAlign w:val="center"/>
                </w:tcPr>
                <w:p>
                  <w:pPr>
                    <w:adjustRightInd w:val="0"/>
                    <w:snapToGrid w:val="0"/>
                    <w:jc w:val="center"/>
                    <w:rPr>
                      <w:rFonts w:cs="Times New Roman" w:hint="eastAsia"/>
                      <w:b w:val="0"/>
                      <w:bCs/>
                      <w:color w:val="auto"/>
                      <w:sz w:val="21"/>
                      <w:szCs w:val="21"/>
                      <w:u w:val="single"/>
                      <w:lang w:val="en-US" w:eastAsia="zh-CN"/>
                      <w:highlight w:val="none"/>
                    </w:rPr>
                  </w:pPr>
                  <w:r>
                    <w:rPr>
                      <w:rFonts w:eastAsia="宋体"/>
                      <w:kern w:val="0"/>
                      <w:szCs w:val="21"/>
                      <w:u w:val="single"/>
                      <w:highlight w:val="none"/>
                    </w:rPr>
                    <w:t>次氯酸钠储存场所周围应设置围堰、排水沟等设施</w:t>
                  </w:r>
                </w:p>
              </w:tc>
              <w:tc>
                <w:tcPr>
                  <w:tcW w:w="572" w:type="pct"/>
                  <w:tcBorders>
                    <w:tl2br w:val="nil"/>
                    <w:tr2bl w:val="nil"/>
                  </w:tcBorders>
                  <w:vAlign w:val="center"/>
                </w:tcPr>
                <w:p>
                  <w:pPr>
                    <w:adjustRightInd w:val="0"/>
                    <w:snapToGrid w:val="0"/>
                    <w:jc w:val="center"/>
                    <w:rPr>
                      <w:rFonts w:cs="Times New Roman"/>
                      <w:b w:val="0"/>
                      <w:bCs/>
                      <w:color w:val="auto"/>
                      <w:sz w:val="21"/>
                      <w:szCs w:val="21"/>
                      <w:u w:val="single"/>
                      <w:lang w:val="en-US" w:eastAsia="zh-CN"/>
                      <w:highlight w:val="none"/>
                    </w:rPr>
                  </w:pPr>
                  <w:r>
                    <w:rPr>
                      <w:rFonts w:cs="Times New Roman" w:hint="eastAsia"/>
                      <w:b w:val="0"/>
                      <w:bCs/>
                      <w:color w:val="auto"/>
                      <w:sz w:val="21"/>
                      <w:szCs w:val="21"/>
                      <w:u w:val="single"/>
                      <w:lang w:val="en-US" w:eastAsia="zh-CN"/>
                      <w:highlight w:val="none"/>
                    </w:rPr>
                    <w:t>10</w:t>
                  </w:r>
                </w:p>
              </w:tc>
            </w:tr>
            <w:tr>
              <w:trPr>
                <w:trHeight w:val="345"/>
              </w:trPr>
              <w:tc>
                <w:tcPr>
                  <w:tcW w:w="569"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p>
              </w:tc>
              <w:tc>
                <w:tcPr>
                  <w:tcW w:w="3858" w:type="pct"/>
                  <w:gridSpan w:val="3"/>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highlight w:val="none"/>
                    </w:rPr>
                  </w:pPr>
                  <w:r>
                    <w:rPr>
                      <w:rFonts w:ascii="Times New Roman" w:eastAsia="宋体" w:cs="Times New Roman" w:hAnsi="Times New Roman"/>
                      <w:b w:val="0"/>
                      <w:bCs/>
                      <w:color w:val="auto"/>
                      <w:sz w:val="21"/>
                      <w:szCs w:val="21"/>
                      <w:u w:val="single"/>
                      <w:highlight w:val="none"/>
                    </w:rPr>
                    <w:t>合计</w:t>
                  </w:r>
                </w:p>
              </w:tc>
              <w:tc>
                <w:tcPr>
                  <w:tcW w:w="572" w:type="pct"/>
                  <w:tcBorders>
                    <w:tl2br w:val="nil"/>
                    <w:tr2bl w:val="nil"/>
                  </w:tcBorders>
                  <w:vAlign w:val="center"/>
                </w:tcPr>
                <w:p>
                  <w:pPr>
                    <w:adjustRightInd w:val="0"/>
                    <w:snapToGrid w:val="0"/>
                    <w:jc w:val="center"/>
                    <w:rPr>
                      <w:rFonts w:ascii="Times New Roman" w:eastAsia="宋体" w:cs="Times New Roman" w:hAnsi="Times New Roman"/>
                      <w:b w:val="0"/>
                      <w:bCs/>
                      <w:color w:val="auto"/>
                      <w:sz w:val="21"/>
                      <w:szCs w:val="21"/>
                      <w:u w:val="single"/>
                      <w:lang w:val="en-US" w:eastAsia="zh-CN"/>
                      <w:highlight w:val="none"/>
                    </w:rPr>
                  </w:pPr>
                  <w:r>
                    <w:rPr>
                      <w:rFonts w:cs="Times New Roman" w:hint="eastAsia"/>
                      <w:b w:val="0"/>
                      <w:bCs/>
                      <w:color w:val="auto"/>
                      <w:sz w:val="21"/>
                      <w:szCs w:val="21"/>
                      <w:u w:val="single"/>
                      <w:lang w:val="en-US" w:eastAsia="zh-CN"/>
                      <w:highlight w:val="none"/>
                    </w:rPr>
                    <w:t>82</w:t>
                  </w:r>
                </w:p>
              </w:tc>
            </w:tr>
          </w:tbl>
          <w:p>
            <w:pPr>
              <w:spacing w:line="360" w:lineRule="auto"/>
              <w:rPr>
                <w:rFonts w:hint="eastAsia"/>
                <w:b/>
                <w:sz w:val="24"/>
                <w:highlight w:val="none"/>
              </w:rPr>
            </w:pPr>
          </w:p>
          <w:p>
            <w:pPr>
              <w:pStyle w:val="17"/>
              <w:jc w:val="both"/>
              <w:rPr>
                <w:highlight w:val="none"/>
              </w:rPr>
            </w:pPr>
          </w:p>
          <w:p>
            <w:pPr>
              <w:pStyle w:val="17"/>
              <w:rPr>
                <w:rFonts w:eastAsia="宋体"/>
                <w:b/>
                <w:sz w:val="24"/>
                <w:highlight w:val="none"/>
              </w:rPr>
            </w:pPr>
          </w:p>
        </w:tc>
      </w:tr>
    </w:tbl>
    <w:p>
      <w:pPr>
        <w:adjustRightInd w:val="0"/>
        <w:snapToGrid w:val="0"/>
        <w:spacing w:line="360" w:lineRule="auto"/>
        <w:rPr>
          <w:b/>
          <w:kern w:val="0"/>
          <w:sz w:val="28"/>
          <w:szCs w:val="28"/>
          <w:highlight w:val="none"/>
        </w:rPr>
        <w:sectPr>
          <w:pgSz w:w="11907" w:h="16840"/>
          <w:pgMar w:top="1701" w:right="1531" w:bottom="2127" w:left="1531" w:header="851" w:footer="1417" w:gutter="0"/>
          <w:pgBorders>
            <w:top w:val="none" w:sz="0" w:space="0" w:color="auto"/>
            <w:left w:val="none" w:sz="0" w:space="0" w:color="auto"/>
            <w:bottom w:val="none" w:sz="0" w:space="0" w:color="auto"/>
            <w:right w:val="none" w:sz="0" w:space="0" w:color="auto"/>
          </w:pgBorders>
          <w:cols w:num="1" w:space="720"/>
          <w:docGrid w:linePitch="312" w:charSpace="0"/>
        </w:sectPr>
      </w:pPr>
    </w:p>
    <w:p>
      <w:pPr>
        <w:pStyle w:val="34"/>
        <w:spacing w:before="0" w:beforeAutospacing="0" w:after="0" w:afterAutospacing="0" w:line="360" w:lineRule="auto"/>
        <w:jc w:val="center"/>
        <w:outlineLvl w:val="0"/>
        <w:rPr>
          <w:rFonts w:ascii="Times New Roman" w:hAnsi="Times New Roman"/>
          <w:b/>
          <w:bCs/>
          <w:snapToGrid w:val="0"/>
          <w:sz w:val="30"/>
          <w:szCs w:val="30"/>
          <w:highlight w:val="none"/>
        </w:rPr>
      </w:pPr>
      <w:bookmarkStart w:id="17" w:name="_Toc824"/>
      <w:r>
        <w:rPr>
          <w:rFonts w:ascii="Times New Roman" w:hAnsi="Times New Roman"/>
          <w:b/>
          <w:bCs/>
          <w:snapToGrid w:val="0"/>
          <w:sz w:val="30"/>
          <w:szCs w:val="30"/>
          <w:highlight w:val="none"/>
        </w:rPr>
        <w:t>五、</w:t>
      </w:r>
      <w:bookmarkStart w:id="18" w:name="_Hlk54167917"/>
      <w:r>
        <w:rPr>
          <w:rFonts w:ascii="Times New Roman" w:hAnsi="Times New Roman"/>
          <w:b/>
          <w:bCs/>
          <w:snapToGrid w:val="0"/>
          <w:sz w:val="30"/>
          <w:szCs w:val="30"/>
          <w:highlight w:val="none"/>
        </w:rPr>
        <w:t>环境保护措施监督检查清单</w:t>
      </w:r>
      <w:bookmarkEnd w:id="17"/>
      <w:bookmarkEnd w:id="18"/>
    </w:p>
    <w:tbl>
      <w:tblPr>
        <w:jc w:val="center"/>
        <w:tblW w:w="88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119"/>
        <w:gridCol w:w="1706"/>
        <w:gridCol w:w="1294"/>
        <w:gridCol w:w="2108"/>
        <w:gridCol w:w="2633"/>
      </w:tblGrid>
      <w:tr>
        <w:trPr>
          <w:trHeight w:val="397"/>
        </w:trPr>
        <w:tc>
          <w:tcPr>
            <w:tcW w:w="1119" w:type="dxa"/>
            <w:tcBorders>
              <w:tl2br w:val="single" w:sz="4" w:space="0" w:color="auto"/>
            </w:tcBorders>
            <w:vAlign w:val="center"/>
          </w:tcPr>
          <w:p>
            <w:pPr>
              <w:adjustRightInd w:val="0"/>
              <w:snapToGrid w:val="0"/>
              <w:ind w:firstLineChars="200" w:firstLine="420"/>
              <w:rPr>
                <w:b/>
                <w:bCs/>
                <w:szCs w:val="21"/>
                <w:highlight w:val="none"/>
              </w:rPr>
            </w:pPr>
            <w:r>
              <w:rPr>
                <w:b/>
                <w:bCs/>
                <w:szCs w:val="21"/>
                <w:highlight w:val="none"/>
              </w:rPr>
              <w:t>内容</w:t>
            </w:r>
          </w:p>
          <w:p>
            <w:pPr>
              <w:adjustRightInd w:val="0"/>
              <w:snapToGrid w:val="0"/>
              <w:rPr>
                <w:b/>
                <w:bCs/>
                <w:szCs w:val="21"/>
                <w:highlight w:val="none"/>
              </w:rPr>
            </w:pPr>
            <w:r>
              <w:rPr>
                <w:b/>
                <w:bCs/>
                <w:szCs w:val="21"/>
                <w:highlight w:val="none"/>
              </w:rPr>
              <w:t>要素</w:t>
            </w:r>
          </w:p>
        </w:tc>
        <w:tc>
          <w:tcPr>
            <w:tcW w:w="1706" w:type="dxa"/>
            <w:vAlign w:val="center"/>
          </w:tcPr>
          <w:p>
            <w:pPr>
              <w:adjustRightInd w:val="0"/>
              <w:snapToGrid w:val="0"/>
              <w:jc w:val="center"/>
              <w:rPr>
                <w:b/>
                <w:bCs/>
                <w:szCs w:val="21"/>
                <w:highlight w:val="none"/>
              </w:rPr>
            </w:pPr>
            <w:r>
              <w:rPr>
                <w:b/>
                <w:bCs/>
                <w:szCs w:val="21"/>
                <w:highlight w:val="none"/>
              </w:rPr>
              <w:t>排放口（编号、</w:t>
            </w:r>
          </w:p>
          <w:p>
            <w:pPr>
              <w:adjustRightInd w:val="0"/>
              <w:snapToGrid w:val="0"/>
              <w:jc w:val="center"/>
              <w:rPr>
                <w:b/>
                <w:bCs/>
                <w:szCs w:val="21"/>
                <w:highlight w:val="none"/>
              </w:rPr>
            </w:pPr>
            <w:r>
              <w:rPr>
                <w:b/>
                <w:bCs/>
                <w:szCs w:val="21"/>
                <w:highlight w:val="none"/>
              </w:rPr>
              <w:t>名称）/污染源</w:t>
            </w:r>
          </w:p>
        </w:tc>
        <w:tc>
          <w:tcPr>
            <w:tcW w:w="1294" w:type="dxa"/>
            <w:vAlign w:val="center"/>
          </w:tcPr>
          <w:p>
            <w:pPr>
              <w:adjustRightInd w:val="0"/>
              <w:snapToGrid w:val="0"/>
              <w:jc w:val="center"/>
              <w:rPr>
                <w:b/>
                <w:bCs/>
                <w:szCs w:val="21"/>
                <w:highlight w:val="none"/>
              </w:rPr>
            </w:pPr>
            <w:r>
              <w:rPr>
                <w:b/>
                <w:bCs/>
                <w:szCs w:val="21"/>
                <w:highlight w:val="none"/>
              </w:rPr>
              <w:t>污染物项目</w:t>
            </w:r>
          </w:p>
        </w:tc>
        <w:tc>
          <w:tcPr>
            <w:tcW w:w="2108" w:type="dxa"/>
            <w:vAlign w:val="center"/>
          </w:tcPr>
          <w:p>
            <w:pPr>
              <w:adjustRightInd w:val="0"/>
              <w:snapToGrid w:val="0"/>
              <w:jc w:val="center"/>
              <w:rPr>
                <w:b/>
                <w:bCs/>
                <w:szCs w:val="21"/>
                <w:highlight w:val="none"/>
              </w:rPr>
            </w:pPr>
            <w:r>
              <w:rPr>
                <w:b/>
                <w:bCs/>
                <w:szCs w:val="21"/>
                <w:highlight w:val="none"/>
              </w:rPr>
              <w:t>环境保护措施</w:t>
            </w:r>
          </w:p>
        </w:tc>
        <w:tc>
          <w:tcPr>
            <w:tcW w:w="2633" w:type="dxa"/>
            <w:vAlign w:val="center"/>
          </w:tcPr>
          <w:p>
            <w:pPr>
              <w:adjustRightInd w:val="0"/>
              <w:snapToGrid w:val="0"/>
              <w:jc w:val="center"/>
              <w:rPr>
                <w:b/>
                <w:bCs/>
                <w:szCs w:val="21"/>
                <w:highlight w:val="none"/>
              </w:rPr>
            </w:pPr>
            <w:r>
              <w:rPr>
                <w:b/>
                <w:bCs/>
                <w:szCs w:val="21"/>
                <w:highlight w:val="none"/>
              </w:rPr>
              <w:t>执行标准</w:t>
            </w:r>
          </w:p>
        </w:tc>
      </w:tr>
      <w:tr>
        <w:trPr>
          <w:trHeight w:val="397"/>
        </w:trPr>
        <w:tc>
          <w:tcPr>
            <w:tcW w:w="1119" w:type="dxa"/>
            <w:vAlign w:val="center"/>
          </w:tcPr>
          <w:p>
            <w:pPr>
              <w:adjustRightInd w:val="0"/>
              <w:snapToGrid w:val="0"/>
              <w:jc w:val="center"/>
              <w:rPr>
                <w:szCs w:val="21"/>
                <w:highlight w:val="none"/>
              </w:rPr>
            </w:pPr>
            <w:r>
              <w:rPr>
                <w:szCs w:val="21"/>
                <w:highlight w:val="none"/>
              </w:rPr>
              <w:t>大气环境</w:t>
            </w:r>
          </w:p>
        </w:tc>
        <w:tc>
          <w:tcPr>
            <w:tcW w:w="1706" w:type="dxa"/>
            <w:vAlign w:val="center"/>
          </w:tcPr>
          <w:p>
            <w:pPr>
              <w:adjustRightInd w:val="0"/>
              <w:snapToGrid w:val="0"/>
              <w:jc w:val="center"/>
              <w:rPr>
                <w:szCs w:val="21"/>
                <w:highlight w:val="none"/>
              </w:rPr>
            </w:pPr>
            <w:r>
              <w:rPr>
                <w:rFonts w:hint="eastAsia"/>
                <w:szCs w:val="21"/>
                <w:highlight w:val="none"/>
              </w:rPr>
              <w:t>污泥脱水</w:t>
            </w:r>
          </w:p>
        </w:tc>
        <w:tc>
          <w:tcPr>
            <w:tcW w:w="1294" w:type="dxa"/>
            <w:vAlign w:val="center"/>
          </w:tcPr>
          <w:p>
            <w:pPr>
              <w:adjustRightInd w:val="0"/>
              <w:snapToGrid w:val="0"/>
              <w:jc w:val="center"/>
              <w:rPr>
                <w:szCs w:val="21"/>
                <w:highlight w:val="none"/>
              </w:rPr>
            </w:pPr>
            <w:r>
              <w:rPr>
                <w:rFonts w:hint="eastAsia"/>
                <w:szCs w:val="21"/>
                <w:highlight w:val="none"/>
              </w:rPr>
              <w:t>臭气浓度</w:t>
            </w:r>
          </w:p>
        </w:tc>
        <w:tc>
          <w:tcPr>
            <w:tcW w:w="2108" w:type="dxa"/>
            <w:vAlign w:val="center"/>
          </w:tcPr>
          <w:p>
            <w:pPr>
              <w:pStyle w:val="20"/>
              <w:adjustRightInd w:val="0"/>
              <w:snapToGrid w:val="0"/>
              <w:spacing w:after="0"/>
              <w:ind w:leftChars="0" w:left="0"/>
              <w:jc w:val="center"/>
              <w:rPr>
                <w:kern w:val="2"/>
                <w:sz w:val="21"/>
                <w:szCs w:val="21"/>
                <w:highlight w:val="none"/>
              </w:rPr>
            </w:pPr>
            <w:r>
              <w:rPr>
                <w:rFonts w:hint="eastAsia"/>
                <w:sz w:val="21"/>
                <w:szCs w:val="21"/>
                <w:highlight w:val="none"/>
              </w:rPr>
              <w:t>加强厂区绿化</w:t>
            </w:r>
          </w:p>
        </w:tc>
        <w:tc>
          <w:tcPr>
            <w:tcW w:w="2633" w:type="dxa"/>
            <w:vAlign w:val="center"/>
          </w:tcPr>
          <w:p>
            <w:pPr>
              <w:pStyle w:val="20"/>
              <w:adjustRightInd w:val="0"/>
              <w:snapToGrid w:val="0"/>
              <w:spacing w:after="0"/>
              <w:ind w:leftChars="0" w:left="0"/>
              <w:jc w:val="center"/>
              <w:rPr>
                <w:kern w:val="2"/>
                <w:sz w:val="21"/>
                <w:szCs w:val="21"/>
                <w:highlight w:val="none"/>
              </w:rPr>
            </w:pPr>
            <w:r>
              <w:rPr>
                <w:rFonts w:hint="eastAsia"/>
                <w:sz w:val="21"/>
                <w:szCs w:val="21"/>
                <w:highlight w:val="none"/>
              </w:rPr>
              <w:t>《恶臭污染物排放标准》（GB14554-93）表1总二级标准</w:t>
            </w:r>
          </w:p>
        </w:tc>
      </w:tr>
      <w:tr>
        <w:trPr>
          <w:trHeight w:val="397"/>
        </w:trPr>
        <w:tc>
          <w:tcPr>
            <w:tcW w:w="1119" w:type="dxa"/>
            <w:vMerge w:val="restart"/>
            <w:vAlign w:val="center"/>
          </w:tcPr>
          <w:p>
            <w:pPr>
              <w:adjustRightInd w:val="0"/>
              <w:snapToGrid w:val="0"/>
              <w:jc w:val="center"/>
              <w:rPr>
                <w:szCs w:val="21"/>
                <w:highlight w:val="none"/>
              </w:rPr>
            </w:pPr>
            <w:r>
              <w:rPr>
                <w:szCs w:val="21"/>
                <w:highlight w:val="none"/>
              </w:rPr>
              <w:t>地表水环境</w:t>
            </w:r>
          </w:p>
        </w:tc>
        <w:tc>
          <w:tcPr>
            <w:tcW w:w="1706" w:type="dxa"/>
            <w:shd w:val="clear" w:color="auto" w:fill="auto"/>
            <w:vAlign w:val="center"/>
          </w:tcPr>
          <w:p>
            <w:pPr>
              <w:pStyle w:val="20"/>
              <w:adjustRightInd w:val="0"/>
              <w:snapToGrid w:val="0"/>
              <w:spacing w:after="0"/>
              <w:ind w:leftChars="0" w:left="0"/>
              <w:jc w:val="center"/>
              <w:rPr>
                <w:kern w:val="2"/>
                <w:sz w:val="21"/>
                <w:szCs w:val="21"/>
                <w:u w:val="none"/>
                <w:highlight w:val="none"/>
              </w:rPr>
            </w:pPr>
            <w:r>
              <w:rPr>
                <w:sz w:val="21"/>
                <w:szCs w:val="21"/>
                <w:u w:val="none"/>
                <w:highlight w:val="none"/>
              </w:rPr>
              <w:t>生活污水</w:t>
            </w:r>
          </w:p>
        </w:tc>
        <w:tc>
          <w:tcPr>
            <w:tcW w:w="1294" w:type="dxa"/>
            <w:shd w:val="clear" w:color="auto" w:fill="auto"/>
            <w:vAlign w:val="center"/>
          </w:tcPr>
          <w:p>
            <w:pPr>
              <w:pStyle w:val="20"/>
              <w:adjustRightInd w:val="0"/>
              <w:snapToGrid w:val="0"/>
              <w:spacing w:after="0"/>
              <w:ind w:leftChars="0" w:left="0"/>
              <w:jc w:val="center"/>
              <w:rPr>
                <w:kern w:val="2"/>
                <w:sz w:val="21"/>
                <w:szCs w:val="21"/>
                <w:u w:val="none"/>
                <w:highlight w:val="none"/>
              </w:rPr>
            </w:pPr>
            <w:r>
              <w:rPr>
                <w:sz w:val="21"/>
                <w:szCs w:val="21"/>
                <w:u w:val="none"/>
                <w:highlight w:val="none"/>
              </w:rPr>
              <w:t>COD、BOD</w:t>
            </w:r>
            <w:r>
              <w:rPr>
                <w:sz w:val="21"/>
                <w:szCs w:val="21"/>
                <w:u w:val="none"/>
                <w:vertAlign w:val="subscript"/>
                <w:highlight w:val="none"/>
              </w:rPr>
              <w:t>5</w:t>
            </w:r>
            <w:r>
              <w:rPr>
                <w:sz w:val="21"/>
                <w:szCs w:val="21"/>
                <w:u w:val="none"/>
                <w:highlight w:val="none"/>
              </w:rPr>
              <w:t>、SS、氨氮等</w:t>
            </w:r>
          </w:p>
        </w:tc>
        <w:tc>
          <w:tcPr>
            <w:tcW w:w="2108" w:type="dxa"/>
            <w:shd w:val="clear" w:color="auto" w:fill="auto"/>
            <w:vAlign w:val="center"/>
          </w:tcPr>
          <w:p>
            <w:pPr>
              <w:adjustRightInd w:val="0"/>
              <w:snapToGrid w:val="0"/>
              <w:jc w:val="center"/>
              <w:rPr>
                <w:szCs w:val="21"/>
                <w:u w:val="none"/>
                <w:lang w:val="en-US"/>
                <w:highlight w:val="none"/>
              </w:rPr>
            </w:pPr>
            <w:r>
              <w:rPr>
                <w:rFonts w:cs="Times New Roman" w:hint="eastAsia"/>
                <w:szCs w:val="21"/>
                <w:u w:val="none"/>
                <w:lang w:val="en-US" w:eastAsia="zh-CN"/>
                <w:highlight w:val="none"/>
              </w:rPr>
              <w:t>经化粪池处理后用于农肥</w:t>
            </w:r>
          </w:p>
        </w:tc>
        <w:tc>
          <w:tcPr>
            <w:tcW w:w="2633" w:type="dxa"/>
            <w:shd w:val="clear" w:color="auto" w:fill="auto"/>
            <w:vAlign w:val="center"/>
          </w:tcPr>
          <w:p>
            <w:pPr>
              <w:pStyle w:val="20"/>
              <w:adjustRightInd w:val="0"/>
              <w:snapToGrid w:val="0"/>
              <w:spacing w:after="0"/>
              <w:ind w:leftChars="0" w:left="0"/>
              <w:jc w:val="center"/>
              <w:rPr>
                <w:rFonts w:eastAsia="宋体" w:hint="eastAsia"/>
                <w:kern w:val="2"/>
                <w:sz w:val="21"/>
                <w:szCs w:val="21"/>
                <w:u w:val="none"/>
                <w:lang w:eastAsia="zh-CN"/>
                <w:highlight w:val="none"/>
              </w:rPr>
            </w:pPr>
            <w:r>
              <w:rPr>
                <w:rFonts w:hint="eastAsia"/>
                <w:sz w:val="21"/>
                <w:szCs w:val="21"/>
                <w:u w:val="none"/>
                <w:lang w:val="en-US" w:eastAsia="zh-CN"/>
                <w:highlight w:val="none"/>
              </w:rPr>
              <w:t>不外排</w:t>
            </w:r>
          </w:p>
        </w:tc>
      </w:tr>
      <w:tr>
        <w:trPr>
          <w:trHeight w:val="397"/>
        </w:trPr>
        <w:tc>
          <w:tcPr>
            <w:tcW w:w="1119" w:type="dxa"/>
            <w:vMerge/>
            <w:vAlign w:val="center"/>
          </w:tcPr>
          <w:p/>
        </w:tc>
        <w:tc>
          <w:tcPr>
            <w:tcW w:w="1706" w:type="dxa"/>
            <w:shd w:val="clear" w:color="auto" w:fill="auto"/>
            <w:vAlign w:val="center"/>
          </w:tcPr>
          <w:p>
            <w:pPr>
              <w:pStyle w:val="20"/>
              <w:adjustRightInd w:val="0"/>
              <w:snapToGrid w:val="0"/>
              <w:spacing w:after="0"/>
              <w:ind w:leftChars="0" w:left="0"/>
              <w:jc w:val="center"/>
              <w:rPr>
                <w:kern w:val="2"/>
                <w:sz w:val="21"/>
                <w:szCs w:val="21"/>
                <w:u w:val="none"/>
                <w:highlight w:val="none"/>
              </w:rPr>
            </w:pPr>
            <w:r>
              <w:rPr>
                <w:rFonts w:hint="eastAsia"/>
                <w:sz w:val="21"/>
                <w:szCs w:val="21"/>
                <w:u w:val="none"/>
                <w:highlight w:val="none"/>
              </w:rPr>
              <w:t>滤池反冲洗水</w:t>
            </w:r>
          </w:p>
        </w:tc>
        <w:tc>
          <w:tcPr>
            <w:tcW w:w="1294" w:type="dxa"/>
            <w:shd w:val="clear" w:color="auto" w:fill="auto"/>
            <w:vAlign w:val="center"/>
          </w:tcPr>
          <w:p>
            <w:pPr>
              <w:pStyle w:val="20"/>
              <w:adjustRightInd w:val="0"/>
              <w:snapToGrid w:val="0"/>
              <w:spacing w:after="0"/>
              <w:ind w:leftChars="0" w:left="0"/>
              <w:jc w:val="center"/>
              <w:rPr>
                <w:kern w:val="2"/>
                <w:sz w:val="21"/>
                <w:szCs w:val="21"/>
                <w:u w:val="none"/>
                <w:highlight w:val="none"/>
              </w:rPr>
            </w:pPr>
            <w:r>
              <w:rPr>
                <w:sz w:val="21"/>
                <w:szCs w:val="21"/>
                <w:u w:val="none"/>
                <w:highlight w:val="none"/>
              </w:rPr>
              <w:t>SS等</w:t>
            </w:r>
          </w:p>
        </w:tc>
        <w:tc>
          <w:tcPr>
            <w:tcW w:w="2108" w:type="dxa"/>
            <w:shd w:val="clear" w:color="auto" w:fill="auto"/>
            <w:vAlign w:val="center"/>
          </w:tcPr>
          <w:p>
            <w:pPr>
              <w:adjustRightInd w:val="0"/>
              <w:snapToGrid w:val="0"/>
              <w:jc w:val="center"/>
              <w:rPr>
                <w:szCs w:val="21"/>
                <w:u w:val="none"/>
                <w:highlight w:val="none"/>
              </w:rPr>
            </w:pPr>
            <w:r>
              <w:rPr>
                <w:szCs w:val="21"/>
                <w:u w:val="none"/>
                <w:highlight w:val="none"/>
              </w:rPr>
              <w:t>收集至</w:t>
            </w:r>
            <w:r>
              <w:rPr>
                <w:rFonts w:hint="eastAsia"/>
                <w:szCs w:val="21"/>
                <w:u w:val="none"/>
                <w:highlight w:val="none"/>
              </w:rPr>
              <w:t>絮凝沉淀池</w:t>
            </w:r>
            <w:r>
              <w:rPr>
                <w:szCs w:val="21"/>
                <w:u w:val="none"/>
                <w:highlight w:val="none"/>
              </w:rPr>
              <w:t>后回用于原水利用</w:t>
            </w:r>
          </w:p>
        </w:tc>
        <w:tc>
          <w:tcPr>
            <w:tcW w:w="2633" w:type="dxa"/>
            <w:shd w:val="clear" w:color="auto" w:fill="auto"/>
            <w:vAlign w:val="center"/>
          </w:tcPr>
          <w:p>
            <w:pPr>
              <w:pStyle w:val="20"/>
              <w:adjustRightInd w:val="0"/>
              <w:snapToGrid w:val="0"/>
              <w:spacing w:after="0"/>
              <w:ind w:leftChars="0" w:left="0"/>
              <w:jc w:val="center"/>
              <w:rPr>
                <w:bCs/>
                <w:snapToGrid w:val="0"/>
                <w:sz w:val="21"/>
                <w:szCs w:val="21"/>
                <w:u w:val="none"/>
                <w:highlight w:val="none"/>
              </w:rPr>
            </w:pPr>
            <w:r>
              <w:rPr>
                <w:sz w:val="21"/>
                <w:szCs w:val="21"/>
                <w:u w:val="none"/>
                <w:highlight w:val="none"/>
              </w:rPr>
              <w:t>不外排</w:t>
            </w:r>
          </w:p>
        </w:tc>
      </w:tr>
      <w:tr>
        <w:trPr>
          <w:trHeight w:val="397"/>
        </w:trPr>
        <w:tc>
          <w:tcPr>
            <w:tcW w:w="1119" w:type="dxa"/>
            <w:vMerge/>
            <w:vAlign w:val="center"/>
          </w:tcPr>
          <w:p/>
        </w:tc>
        <w:tc>
          <w:tcPr>
            <w:tcW w:w="1706" w:type="dxa"/>
            <w:shd w:val="clear" w:color="auto" w:fill="auto"/>
            <w:vAlign w:val="center"/>
          </w:tcPr>
          <w:p>
            <w:pPr>
              <w:pStyle w:val="20"/>
              <w:adjustRightInd w:val="0"/>
              <w:snapToGrid w:val="0"/>
              <w:spacing w:after="0"/>
              <w:ind w:leftChars="0" w:left="0"/>
              <w:jc w:val="center"/>
              <w:rPr>
                <w:kern w:val="2"/>
                <w:sz w:val="21"/>
                <w:szCs w:val="21"/>
                <w:u w:val="none"/>
                <w:highlight w:val="none"/>
              </w:rPr>
            </w:pPr>
            <w:r>
              <w:rPr>
                <w:rFonts w:hint="eastAsia"/>
                <w:kern w:val="21"/>
                <w:sz w:val="21"/>
                <w:szCs w:val="21"/>
                <w:u w:val="none"/>
                <w:highlight w:val="none"/>
              </w:rPr>
              <w:t>沉淀池排泥水</w:t>
            </w:r>
          </w:p>
        </w:tc>
        <w:tc>
          <w:tcPr>
            <w:tcW w:w="1294" w:type="dxa"/>
            <w:shd w:val="clear" w:color="auto" w:fill="auto"/>
            <w:vAlign w:val="center"/>
          </w:tcPr>
          <w:p>
            <w:pPr>
              <w:pStyle w:val="20"/>
              <w:adjustRightInd w:val="0"/>
              <w:snapToGrid w:val="0"/>
              <w:spacing w:after="0"/>
              <w:ind w:leftChars="0" w:left="0"/>
              <w:jc w:val="center"/>
              <w:rPr>
                <w:kern w:val="2"/>
                <w:sz w:val="21"/>
                <w:szCs w:val="21"/>
                <w:u w:val="none"/>
                <w:highlight w:val="none"/>
              </w:rPr>
            </w:pPr>
            <w:r>
              <w:rPr>
                <w:sz w:val="21"/>
                <w:szCs w:val="21"/>
                <w:u w:val="none"/>
                <w:highlight w:val="none"/>
              </w:rPr>
              <w:t>SS等</w:t>
            </w:r>
          </w:p>
        </w:tc>
        <w:tc>
          <w:tcPr>
            <w:tcW w:w="2108" w:type="dxa"/>
            <w:shd w:val="clear" w:color="auto" w:fill="auto"/>
            <w:vAlign w:val="center"/>
          </w:tcPr>
          <w:p>
            <w:pPr>
              <w:adjustRightInd w:val="0"/>
              <w:snapToGrid w:val="0"/>
              <w:jc w:val="center"/>
              <w:rPr>
                <w:szCs w:val="21"/>
                <w:u w:val="none"/>
                <w:highlight w:val="none"/>
              </w:rPr>
            </w:pPr>
            <w:r>
              <w:rPr>
                <w:rFonts w:ascii="Times New Roman" w:eastAsia="宋体" w:hAnsi="Times New Roman" w:hint="eastAsia"/>
                <w:kern w:val="21"/>
                <w:sz w:val="21"/>
                <w:szCs w:val="21"/>
                <w:u w:val="none"/>
                <w:lang w:val="en-US" w:eastAsia="zh-CN"/>
                <w:highlight w:val="none"/>
              </w:rPr>
              <w:t>沉淀池排泥</w:t>
            </w:r>
            <w:r>
              <w:rPr>
                <w:rFonts w:ascii="Times New Roman" w:eastAsia="宋体" w:hAnsi="Times New Roman" w:hint="eastAsia"/>
                <w:kern w:val="21"/>
                <w:sz w:val="21"/>
                <w:szCs w:val="21"/>
                <w:u w:val="none"/>
                <w:highlight w:val="none"/>
              </w:rPr>
              <w:t>污水排入</w:t>
            </w:r>
            <w:r>
              <w:rPr>
                <w:rFonts w:ascii="Times New Roman" w:eastAsia="宋体" w:cs="Times New Roman" w:hAnsi="Times New Roman" w:hint="eastAsia"/>
                <w:kern w:val="21"/>
                <w:sz w:val="21"/>
                <w:szCs w:val="21"/>
                <w:u w:val="none"/>
                <w:lang w:val="zh-CN" w:eastAsia="zh-CN"/>
                <w:highlight w:val="none"/>
              </w:rPr>
              <w:t>回用水池及排泥调节池</w:t>
            </w:r>
            <w:r>
              <w:rPr>
                <w:rFonts w:ascii="Times New Roman" w:eastAsia="宋体" w:cs="Times New Roman" w:hAnsi="Times New Roman" w:hint="eastAsia"/>
                <w:kern w:val="21"/>
                <w:sz w:val="21"/>
                <w:szCs w:val="21"/>
                <w:u w:val="none"/>
                <w:lang w:val="en-US" w:eastAsia="zh-CN"/>
                <w:highlight w:val="none"/>
              </w:rPr>
              <w:t>后</w:t>
            </w:r>
            <w:r>
              <w:rPr>
                <w:rFonts w:ascii="Times New Roman" w:eastAsia="宋体" w:hAnsi="Times New Roman" w:hint="eastAsia"/>
                <w:kern w:val="21"/>
                <w:sz w:val="21"/>
                <w:szCs w:val="21"/>
                <w:u w:val="none"/>
                <w:lang w:val="en-US" w:eastAsia="zh-CN"/>
                <w:highlight w:val="none"/>
              </w:rPr>
              <w:t>回用</w:t>
            </w:r>
            <w:r>
              <w:rPr>
                <w:rFonts w:ascii="Times New Roman" w:eastAsia="宋体" w:hAnsi="Times New Roman"/>
                <w:kern w:val="21"/>
                <w:sz w:val="21"/>
                <w:szCs w:val="21"/>
                <w:u w:val="none"/>
                <w:highlight w:val="none"/>
              </w:rPr>
              <w:t>，不外排</w:t>
            </w:r>
          </w:p>
        </w:tc>
        <w:tc>
          <w:tcPr>
            <w:tcW w:w="2633" w:type="dxa"/>
            <w:shd w:val="clear" w:color="auto" w:fill="auto"/>
            <w:vAlign w:val="center"/>
          </w:tcPr>
          <w:p>
            <w:pPr>
              <w:pStyle w:val="20"/>
              <w:adjustRightInd w:val="0"/>
              <w:snapToGrid w:val="0"/>
              <w:spacing w:after="0"/>
              <w:ind w:leftChars="0" w:left="0"/>
              <w:jc w:val="center"/>
              <w:rPr>
                <w:bCs/>
                <w:snapToGrid w:val="0"/>
                <w:sz w:val="21"/>
                <w:szCs w:val="21"/>
                <w:u w:val="none"/>
                <w:highlight w:val="none"/>
              </w:rPr>
            </w:pPr>
            <w:r>
              <w:rPr>
                <w:rFonts w:hint="eastAsia"/>
                <w:bCs/>
                <w:snapToGrid w:val="0"/>
                <w:sz w:val="21"/>
                <w:szCs w:val="21"/>
                <w:u w:val="none"/>
                <w:highlight w:val="none"/>
              </w:rPr>
              <w:t>不外排</w:t>
            </w:r>
          </w:p>
        </w:tc>
      </w:tr>
      <w:tr>
        <w:trPr>
          <w:trHeight w:val="397"/>
        </w:trPr>
        <w:tc>
          <w:tcPr>
            <w:tcW w:w="1119" w:type="dxa"/>
            <w:vAlign w:val="center"/>
          </w:tcPr>
          <w:p>
            <w:pPr>
              <w:adjustRightInd w:val="0"/>
              <w:snapToGrid w:val="0"/>
              <w:jc w:val="center"/>
              <w:rPr>
                <w:szCs w:val="21"/>
                <w:highlight w:val="none"/>
              </w:rPr>
            </w:pPr>
            <w:r>
              <w:rPr>
                <w:szCs w:val="21"/>
                <w:highlight w:val="none"/>
              </w:rPr>
              <w:t>声环境</w:t>
            </w:r>
          </w:p>
        </w:tc>
        <w:tc>
          <w:tcPr>
            <w:tcW w:w="1706" w:type="dxa"/>
            <w:vAlign w:val="center"/>
          </w:tcPr>
          <w:p>
            <w:pPr>
              <w:adjustRightInd w:val="0"/>
              <w:snapToGrid w:val="0"/>
              <w:jc w:val="center"/>
              <w:rPr>
                <w:szCs w:val="21"/>
                <w:highlight w:val="none"/>
              </w:rPr>
            </w:pPr>
            <w:r>
              <w:rPr>
                <w:szCs w:val="21"/>
                <w:highlight w:val="none"/>
              </w:rPr>
              <w:t>噪声</w:t>
            </w:r>
          </w:p>
        </w:tc>
        <w:tc>
          <w:tcPr>
            <w:tcW w:w="3402" w:type="dxa"/>
            <w:gridSpan w:val="2"/>
            <w:vAlign w:val="center"/>
          </w:tcPr>
          <w:p>
            <w:pPr>
              <w:adjustRightInd w:val="0"/>
              <w:snapToGrid w:val="0"/>
              <w:jc w:val="center"/>
              <w:rPr>
                <w:szCs w:val="21"/>
                <w:highlight w:val="none"/>
              </w:rPr>
            </w:pPr>
            <w:r>
              <w:rPr>
                <w:szCs w:val="21"/>
                <w:highlight w:val="none"/>
              </w:rPr>
              <w:t>选用低噪声设备、隔声、减振以</w:t>
            </w:r>
            <w:r>
              <w:rPr>
                <w:kern w:val="0"/>
                <w:szCs w:val="21"/>
                <w:highlight w:val="none"/>
              </w:rPr>
              <w:t>及对生产设备定期维修和保养</w:t>
            </w:r>
          </w:p>
        </w:tc>
        <w:tc>
          <w:tcPr>
            <w:tcW w:w="2633" w:type="dxa"/>
            <w:vAlign w:val="center"/>
          </w:tcPr>
          <w:p>
            <w:pPr>
              <w:adjustRightInd w:val="0"/>
              <w:snapToGrid w:val="0"/>
              <w:jc w:val="center"/>
              <w:rPr>
                <w:szCs w:val="21"/>
                <w:highlight w:val="none"/>
              </w:rPr>
            </w:pPr>
            <w:r>
              <w:rPr>
                <w:szCs w:val="21"/>
                <w:highlight w:val="none"/>
              </w:rPr>
              <w:t>《工业企业厂界环境噪声排放标准》（GB12348-2008）2类标准</w:t>
            </w:r>
          </w:p>
        </w:tc>
      </w:tr>
      <w:tr>
        <w:trPr>
          <w:trHeight w:val="397"/>
        </w:trPr>
        <w:tc>
          <w:tcPr>
            <w:tcW w:w="1119" w:type="dxa"/>
            <w:vAlign w:val="center"/>
          </w:tcPr>
          <w:p>
            <w:pPr>
              <w:adjustRightInd w:val="0"/>
              <w:snapToGrid w:val="0"/>
              <w:jc w:val="center"/>
              <w:rPr>
                <w:szCs w:val="21"/>
                <w:highlight w:val="none"/>
              </w:rPr>
            </w:pPr>
            <w:r>
              <w:rPr>
                <w:szCs w:val="21"/>
                <w:highlight w:val="none"/>
              </w:rPr>
              <w:t>固体废物</w:t>
            </w:r>
          </w:p>
        </w:tc>
        <w:tc>
          <w:tcPr>
            <w:tcW w:w="7741" w:type="dxa"/>
            <w:gridSpan w:val="4"/>
            <w:vAlign w:val="center"/>
          </w:tcPr>
          <w:p>
            <w:pPr>
              <w:adjustRightInd w:val="0"/>
              <w:snapToGrid w:val="0"/>
              <w:jc w:val="left"/>
              <w:rPr>
                <w:szCs w:val="21"/>
                <w:highlight w:val="none"/>
              </w:rPr>
            </w:pPr>
            <w:r>
              <w:rPr>
                <w:szCs w:val="21"/>
                <w:u w:val="none"/>
                <w:highlight w:val="none"/>
              </w:rPr>
              <w:t>沉淀池污泥脱水后</w:t>
            </w:r>
            <w:r>
              <w:rPr>
                <w:rFonts w:hint="eastAsia"/>
                <w:szCs w:val="21"/>
                <w:u w:val="none"/>
                <w:lang w:val="en-US" w:eastAsia="zh-CN"/>
                <w:highlight w:val="none"/>
              </w:rPr>
              <w:t>外运至周边环保砖厂进行综合利用</w:t>
            </w:r>
            <w:r>
              <w:rPr>
                <w:rFonts w:hint="eastAsia"/>
                <w:szCs w:val="21"/>
                <w:u w:val="none"/>
                <w:highlight w:val="none"/>
              </w:rPr>
              <w:t>。</w:t>
            </w:r>
            <w:r>
              <w:rPr>
                <w:rFonts w:hint="eastAsia"/>
                <w:szCs w:val="21"/>
                <w:highlight w:val="none"/>
              </w:rPr>
              <w:t>废润滑油、废含油抹布、废润滑油桶，分类收集暂存至危废暂存间，定期交有资质单位处理。</w:t>
            </w:r>
            <w:r>
              <w:rPr>
                <w:rFonts w:hint="eastAsia"/>
                <w:color w:val="auto"/>
                <w:szCs w:val="21"/>
                <w:u w:val="none"/>
                <w:lang w:val="en-US" w:eastAsia="zh-CN"/>
                <w:highlight w:val="none"/>
              </w:rPr>
              <w:t>生活垃圾由环卫部门统一清运处理</w:t>
            </w:r>
            <w:r>
              <w:rPr>
                <w:color w:val="auto"/>
                <w:szCs w:val="21"/>
                <w:u w:val="none"/>
                <w:highlight w:val="none"/>
              </w:rPr>
              <w:t>。</w:t>
            </w:r>
          </w:p>
        </w:tc>
      </w:tr>
      <w:tr>
        <w:trPr>
          <w:trHeight w:val="397"/>
        </w:trPr>
        <w:tc>
          <w:tcPr>
            <w:tcW w:w="1119" w:type="dxa"/>
            <w:vAlign w:val="center"/>
          </w:tcPr>
          <w:p>
            <w:pPr>
              <w:adjustRightInd w:val="0"/>
              <w:snapToGrid w:val="0"/>
              <w:jc w:val="center"/>
              <w:rPr>
                <w:szCs w:val="21"/>
                <w:highlight w:val="none"/>
              </w:rPr>
            </w:pPr>
            <w:r>
              <w:rPr>
                <w:szCs w:val="21"/>
                <w:highlight w:val="none"/>
              </w:rPr>
              <w:t>土壤及地下水污染防治措施</w:t>
            </w:r>
          </w:p>
        </w:tc>
        <w:tc>
          <w:tcPr>
            <w:tcW w:w="7741" w:type="dxa"/>
            <w:gridSpan w:val="4"/>
            <w:vAlign w:val="center"/>
          </w:tcPr>
          <w:p>
            <w:pPr>
              <w:adjustRightInd w:val="0"/>
              <w:snapToGrid w:val="0"/>
              <w:spacing w:line="276" w:lineRule="auto"/>
              <w:ind w:firstLineChars="200" w:firstLine="420"/>
              <w:rPr>
                <w:szCs w:val="21"/>
                <w:highlight w:val="none"/>
              </w:rPr>
            </w:pPr>
            <w:r>
              <w:rPr>
                <w:rFonts w:ascii="宋体" w:cs="宋体" w:hAnsi="宋体" w:hint="eastAsia"/>
                <w:szCs w:val="21"/>
                <w:highlight w:val="none"/>
              </w:rPr>
              <w:t>①重点防渗区：</w:t>
            </w:r>
            <w:r>
              <w:rPr>
                <w:szCs w:val="21"/>
                <w:highlight w:val="none"/>
              </w:rPr>
              <w:t>项目</w:t>
            </w:r>
            <w:r>
              <w:rPr>
                <w:rFonts w:hint="eastAsia"/>
                <w:szCs w:val="21"/>
                <w:highlight w:val="none"/>
              </w:rPr>
              <w:t>加药间、危废间地面</w:t>
            </w:r>
            <w:r>
              <w:rPr>
                <w:szCs w:val="21"/>
                <w:highlight w:val="none"/>
              </w:rPr>
              <w:t>采用水泥硬化，</w:t>
            </w:r>
            <w:r>
              <w:rPr>
                <w:bCs/>
                <w:szCs w:val="21"/>
                <w:highlight w:val="none"/>
              </w:rPr>
              <w:t>铺设环氧树脂涂层防渗防腐</w:t>
            </w:r>
            <w:r>
              <w:rPr>
                <w:szCs w:val="21"/>
                <w:highlight w:val="none"/>
              </w:rPr>
              <w:t>处理。</w:t>
            </w:r>
          </w:p>
          <w:p>
            <w:pPr>
              <w:adjustRightInd w:val="0"/>
              <w:snapToGrid w:val="0"/>
              <w:spacing w:line="276" w:lineRule="auto"/>
              <w:ind w:firstLineChars="200" w:firstLine="420"/>
              <w:rPr>
                <w:szCs w:val="21"/>
                <w:highlight w:val="none"/>
              </w:rPr>
            </w:pPr>
            <w:r>
              <w:rPr>
                <w:rFonts w:ascii="宋体" w:cs="宋体" w:hAnsi="宋体" w:hint="eastAsia"/>
                <w:szCs w:val="21"/>
                <w:highlight w:val="none"/>
              </w:rPr>
              <w:t>②一般防渗区：</w:t>
            </w:r>
            <w:r>
              <w:rPr>
                <w:szCs w:val="21"/>
                <w:highlight w:val="none"/>
              </w:rPr>
              <w:t>对化粪池、</w:t>
            </w:r>
            <w:r>
              <w:rPr>
                <w:rFonts w:hint="eastAsia"/>
                <w:szCs w:val="21"/>
                <w:highlight w:val="none"/>
              </w:rPr>
              <w:t>脱水车间</w:t>
            </w:r>
            <w:r>
              <w:rPr>
                <w:szCs w:val="21"/>
                <w:highlight w:val="none"/>
              </w:rPr>
              <w:t>地面采</w:t>
            </w:r>
            <w:r>
              <w:rPr>
                <w:rFonts w:hint="eastAsia"/>
                <w:szCs w:val="21"/>
                <w:highlight w:val="none"/>
              </w:rPr>
              <w:t>用</w:t>
            </w:r>
            <w:r>
              <w:rPr>
                <w:bCs/>
                <w:szCs w:val="21"/>
                <w:highlight w:val="none"/>
              </w:rPr>
              <w:t>铺设一层1mmHDPE膜、水泥硬化</w:t>
            </w:r>
            <w:r>
              <w:rPr>
                <w:szCs w:val="21"/>
                <w:highlight w:val="none"/>
              </w:rPr>
              <w:t>处理。</w:t>
            </w:r>
          </w:p>
          <w:p>
            <w:pPr>
              <w:adjustRightInd w:val="0"/>
              <w:snapToGrid w:val="0"/>
              <w:spacing w:line="276" w:lineRule="auto"/>
              <w:ind w:firstLineChars="200" w:firstLine="420"/>
              <w:jc w:val="left"/>
              <w:rPr>
                <w:szCs w:val="21"/>
                <w:highlight w:val="none"/>
              </w:rPr>
            </w:pPr>
            <w:r>
              <w:rPr>
                <w:rFonts w:ascii="宋体" w:cs="宋体" w:hAnsi="宋体" w:hint="eastAsia"/>
                <w:szCs w:val="21"/>
                <w:highlight w:val="none"/>
              </w:rPr>
              <w:t>③简单防渗区：</w:t>
            </w:r>
            <w:r>
              <w:rPr>
                <w:szCs w:val="21"/>
                <w:highlight w:val="none"/>
              </w:rPr>
              <w:t>设备车间、综合楼等地面</w:t>
            </w:r>
            <w:r>
              <w:rPr>
                <w:rFonts w:hint="eastAsia"/>
                <w:szCs w:val="21"/>
                <w:highlight w:val="none"/>
              </w:rPr>
              <w:t>采用</w:t>
            </w:r>
            <w:r>
              <w:rPr>
                <w:bCs/>
                <w:szCs w:val="21"/>
                <w:highlight w:val="none"/>
              </w:rPr>
              <w:t>水泥硬化</w:t>
            </w:r>
            <w:r>
              <w:rPr>
                <w:rFonts w:hint="eastAsia"/>
                <w:bCs/>
                <w:szCs w:val="21"/>
                <w:highlight w:val="none"/>
              </w:rPr>
              <w:t>处理</w:t>
            </w:r>
            <w:r>
              <w:rPr>
                <w:szCs w:val="21"/>
                <w:highlight w:val="none"/>
              </w:rPr>
              <w:t>。</w:t>
            </w:r>
          </w:p>
        </w:tc>
      </w:tr>
      <w:tr>
        <w:trPr>
          <w:trHeight w:val="397"/>
        </w:trPr>
        <w:tc>
          <w:tcPr>
            <w:tcW w:w="1119" w:type="dxa"/>
            <w:vAlign w:val="center"/>
          </w:tcPr>
          <w:p>
            <w:pPr>
              <w:adjustRightInd w:val="0"/>
              <w:snapToGrid w:val="0"/>
              <w:jc w:val="center"/>
              <w:rPr>
                <w:szCs w:val="21"/>
                <w:highlight w:val="none"/>
              </w:rPr>
            </w:pPr>
            <w:r>
              <w:rPr>
                <w:szCs w:val="21"/>
                <w:highlight w:val="none"/>
              </w:rPr>
              <w:t>生态保护措施</w:t>
            </w:r>
          </w:p>
        </w:tc>
        <w:tc>
          <w:tcPr>
            <w:tcW w:w="7741" w:type="dxa"/>
            <w:gridSpan w:val="4"/>
            <w:vAlign w:val="center"/>
          </w:tcPr>
          <w:p>
            <w:pPr>
              <w:adjustRightInd w:val="0"/>
              <w:snapToGrid w:val="0"/>
              <w:spacing w:line="360" w:lineRule="auto"/>
              <w:ind w:firstLineChars="200" w:firstLine="420"/>
              <w:rPr>
                <w:rFonts w:ascii="宋体" w:cs="宋体" w:hAnsi="宋体" w:hint="eastAsia"/>
                <w:szCs w:val="21"/>
                <w:highlight w:val="none"/>
              </w:rPr>
            </w:pPr>
            <w:r>
              <w:rPr>
                <w:rFonts w:ascii="宋体" w:cs="宋体" w:hAnsi="宋体" w:hint="eastAsia"/>
                <w:szCs w:val="21"/>
                <w:highlight w:val="none"/>
              </w:rPr>
              <w:t>①控制施工范围，尽可能保留项目用地范围内可利用的植物；避免深挖深填，避开雨季施工；分段开挖，分段敷设，分段恢复，及时进行植被恢复；多余的土方运至有关部门指定的地方堆存，开挖的地表覆土覆绿；</w:t>
            </w:r>
          </w:p>
          <w:p>
            <w:pPr>
              <w:adjustRightInd w:val="0"/>
              <w:snapToGrid w:val="0"/>
              <w:spacing w:line="360" w:lineRule="auto"/>
              <w:ind w:firstLineChars="200" w:firstLine="420"/>
              <w:rPr>
                <w:rFonts w:ascii="宋体" w:cs="宋体" w:hAnsi="宋体" w:hint="eastAsia"/>
                <w:szCs w:val="21"/>
                <w:highlight w:val="none"/>
              </w:rPr>
            </w:pPr>
            <w:r>
              <w:rPr>
                <w:rFonts w:ascii="宋体" w:cs="宋体" w:hAnsi="宋体" w:hint="eastAsia"/>
                <w:szCs w:val="21"/>
                <w:highlight w:val="none"/>
              </w:rPr>
              <w:t>②</w:t>
            </w:r>
            <w:r>
              <w:rPr>
                <w:rFonts w:ascii="宋体" w:cs="宋体" w:hAnsi="宋体" w:hint="eastAsia"/>
                <w:szCs w:val="21"/>
                <w:lang w:val="en-US" w:eastAsia="zh-CN"/>
                <w:highlight w:val="none"/>
              </w:rPr>
              <w:t>取水泵站</w:t>
            </w:r>
            <w:r>
              <w:rPr>
                <w:rFonts w:ascii="宋体" w:cs="宋体" w:hAnsi="宋体" w:hint="eastAsia"/>
                <w:szCs w:val="21"/>
                <w:highlight w:val="none"/>
              </w:rPr>
              <w:t>施工在枯水季节进行，设置围堰等；</w:t>
            </w:r>
          </w:p>
          <w:p>
            <w:pPr>
              <w:adjustRightInd w:val="0"/>
              <w:snapToGrid w:val="0"/>
              <w:spacing w:line="360" w:lineRule="auto"/>
              <w:ind w:firstLineChars="200" w:firstLine="420"/>
              <w:rPr>
                <w:rFonts w:ascii="宋体" w:cs="宋体" w:hAnsi="宋体" w:hint="eastAsia"/>
                <w:szCs w:val="21"/>
                <w:highlight w:val="none"/>
              </w:rPr>
            </w:pPr>
            <w:r>
              <w:rPr>
                <w:rFonts w:ascii="宋体" w:cs="宋体" w:hAnsi="宋体" w:hint="eastAsia"/>
                <w:szCs w:val="21"/>
                <w:highlight w:val="none"/>
              </w:rPr>
              <w:t>③施工区域设置围挡、运输车辆加盖帆布、限速行驶，保持路面清洁，洒水降尘等。</w:t>
            </w:r>
          </w:p>
        </w:tc>
      </w:tr>
      <w:tr>
        <w:trPr>
          <w:trHeight w:val="397"/>
        </w:trPr>
        <w:tc>
          <w:tcPr>
            <w:tcW w:w="1119" w:type="dxa"/>
            <w:vAlign w:val="center"/>
          </w:tcPr>
          <w:p>
            <w:pPr>
              <w:adjustRightInd w:val="0"/>
              <w:snapToGrid w:val="0"/>
              <w:jc w:val="center"/>
              <w:rPr>
                <w:szCs w:val="21"/>
                <w:highlight w:val="none"/>
              </w:rPr>
            </w:pPr>
            <w:r>
              <w:rPr>
                <w:szCs w:val="21"/>
                <w:highlight w:val="none"/>
              </w:rPr>
              <w:t>环境风险</w:t>
            </w:r>
          </w:p>
          <w:p>
            <w:pPr>
              <w:adjustRightInd w:val="0"/>
              <w:snapToGrid w:val="0"/>
              <w:jc w:val="center"/>
              <w:rPr>
                <w:szCs w:val="21"/>
                <w:highlight w:val="none"/>
              </w:rPr>
            </w:pPr>
            <w:r>
              <w:rPr>
                <w:szCs w:val="21"/>
                <w:highlight w:val="none"/>
              </w:rPr>
              <w:t>防范措施</w:t>
            </w:r>
          </w:p>
        </w:tc>
        <w:tc>
          <w:tcPr>
            <w:tcW w:w="7741" w:type="dxa"/>
            <w:gridSpan w:val="4"/>
            <w:vAlign w:val="center"/>
          </w:tcPr>
          <w:p>
            <w:pPr>
              <w:adjustRightInd w:val="0"/>
              <w:snapToGrid w:val="0"/>
              <w:spacing w:line="360" w:lineRule="auto"/>
              <w:ind w:firstLineChars="200" w:firstLine="420"/>
              <w:rPr>
                <w:rFonts w:ascii="宋体" w:cs="宋体" w:hAnsi="宋体" w:hint="eastAsia"/>
                <w:szCs w:val="21"/>
                <w:u w:val="none"/>
                <w:highlight w:val="none"/>
              </w:rPr>
            </w:pPr>
            <w:r>
              <w:rPr>
                <w:rFonts w:ascii="宋体" w:cs="宋体" w:hAnsi="宋体" w:hint="eastAsia"/>
                <w:szCs w:val="21"/>
                <w:u w:val="none"/>
                <w:highlight w:val="none"/>
              </w:rPr>
              <w:t>①储存注意事项：宜储存于阴凉、干燥、通风的单独仓库内，储存区设置围堰以防渗漏。远离火种、热源。库温不宜超过30℃。保持容器密封，应与氧化剂、酸类、碱金属、胺类等分开存放，切忌混储。</w:t>
            </w:r>
            <w:r>
              <w:rPr>
                <w:rFonts w:ascii="宋体" w:eastAsia="宋体" w:cs="宋体" w:hAnsi="宋体" w:hint="eastAsia"/>
                <w:szCs w:val="21"/>
                <w:u w:val="none"/>
                <w:highlight w:val="none"/>
              </w:rPr>
              <w:t>次氯酸钠储存场所</w:t>
            </w:r>
            <w:r>
              <w:rPr>
                <w:rFonts w:ascii="宋体" w:eastAsia="宋体" w:cs="宋体" w:hAnsi="宋体" w:hint="eastAsia"/>
                <w:szCs w:val="21"/>
                <w:u w:val="none"/>
                <w:lang w:val="en-US" w:eastAsia="zh-CN"/>
                <w:highlight w:val="none"/>
              </w:rPr>
              <w:t>尽可能远离太青水库一侧，且</w:t>
            </w:r>
            <w:r>
              <w:rPr>
                <w:rFonts w:ascii="宋体" w:eastAsia="宋体" w:cs="宋体" w:hAnsi="宋体" w:hint="eastAsia"/>
                <w:szCs w:val="21"/>
                <w:u w:val="none"/>
                <w:highlight w:val="none"/>
              </w:rPr>
              <w:t>周围应设置围堰、排水沟等设施，以便回收与废水的末端处理。</w:t>
            </w:r>
          </w:p>
          <w:p>
            <w:pPr>
              <w:adjustRightInd w:val="0"/>
              <w:snapToGrid w:val="0"/>
              <w:spacing w:line="360" w:lineRule="auto"/>
              <w:ind w:firstLineChars="200" w:firstLine="420"/>
              <w:rPr>
                <w:rFonts w:ascii="宋体" w:cs="宋体" w:hAnsi="宋体" w:hint="eastAsia"/>
                <w:szCs w:val="21"/>
                <w:highlight w:val="none"/>
              </w:rPr>
            </w:pPr>
            <w:r>
              <w:rPr>
                <w:rFonts w:ascii="宋体" w:cs="宋体" w:hAnsi="宋体" w:hint="eastAsia"/>
                <w:szCs w:val="21"/>
                <w:highlight w:val="none"/>
              </w:rPr>
              <w:t>②使用注意事项：增强安全生产、环境保护意识，完善并严格执行各项操作规程，从思想上重视安全生产，杜绝事故的发生。普及在岗职工对有害物质的性质、毒害和安全防护的基本知识，对工作人员进行严格的培训，定期考察，不合格者严禁上岗。</w:t>
            </w:r>
          </w:p>
          <w:p>
            <w:pPr>
              <w:adjustRightInd w:val="0"/>
              <w:snapToGrid w:val="0"/>
              <w:spacing w:line="360" w:lineRule="auto"/>
              <w:ind w:firstLineChars="200" w:firstLine="420"/>
              <w:rPr>
                <w:rFonts w:ascii="宋体" w:cs="宋体" w:hAnsi="宋体" w:hint="eastAsia"/>
                <w:szCs w:val="21"/>
                <w:highlight w:val="none"/>
              </w:rPr>
            </w:pPr>
            <w:r>
              <w:rPr>
                <w:rFonts w:ascii="宋体" w:cs="宋体" w:hAnsi="宋体" w:hint="eastAsia"/>
                <w:szCs w:val="21"/>
                <w:highlight w:val="none"/>
              </w:rPr>
              <w:t>③操作注意事项：如与眼部接触，立即提起眼睑，立即用大量流动清水连续冲洗眼睛；如与皮肤接触，立即脱去污染的衣着，快速用大量流动清水连续冲洗沾染部位；如吸入，则迅速脱离现场至空气新鲜处，保持呼吸道通畅；以上情况如有持续不适则需就医。如误食，用大量水漱口，饮水，立即就医。</w:t>
            </w:r>
          </w:p>
          <w:p>
            <w:pPr>
              <w:adjustRightInd w:val="0"/>
              <w:snapToGrid w:val="0"/>
              <w:spacing w:line="360" w:lineRule="auto"/>
              <w:ind w:firstLineChars="200" w:firstLine="420"/>
              <w:rPr>
                <w:rFonts w:ascii="宋体" w:cs="宋体" w:hAnsi="宋体" w:hint="eastAsia"/>
                <w:szCs w:val="21"/>
                <w:highlight w:val="none"/>
              </w:rPr>
            </w:pPr>
            <w:r>
              <w:rPr>
                <w:rFonts w:ascii="宋体" w:cs="宋体" w:hAnsi="宋体" w:hint="eastAsia"/>
                <w:szCs w:val="21"/>
                <w:highlight w:val="none"/>
              </w:rPr>
              <w:t>④运输注意事项：加强次氯酸钠原液的运输管理，原液运输单位必须取得相关的资质认定和准运证，运输原料的机动车需配备必须的抢修和防护器材，严格遵守交通部门规定的行车路线。</w:t>
            </w:r>
          </w:p>
          <w:p>
            <w:pPr>
              <w:adjustRightInd w:val="0"/>
              <w:snapToGrid w:val="0"/>
              <w:spacing w:line="360" w:lineRule="auto"/>
              <w:ind w:firstLineChars="200" w:firstLine="420"/>
              <w:rPr>
                <w:highlight w:val="none"/>
              </w:rPr>
            </w:pPr>
            <w:r>
              <w:rPr>
                <w:rFonts w:ascii="宋体" w:cs="宋体" w:hAnsi="宋体" w:hint="eastAsia"/>
                <w:szCs w:val="21"/>
                <w:highlight w:val="none"/>
              </w:rPr>
              <w:t>⑤</w:t>
            </w:r>
            <w:r>
              <w:rPr>
                <w:rFonts w:ascii="宋体" w:cs="宋体" w:hAnsi="宋体"/>
                <w:szCs w:val="21"/>
                <w:highlight w:val="none"/>
              </w:rPr>
              <w:t>危废暂存间要求防风、防雨、防渗漏，并安排专人管理。</w:t>
            </w:r>
          </w:p>
        </w:tc>
      </w:tr>
      <w:tr>
        <w:trPr>
          <w:trHeight w:val="397"/>
        </w:trPr>
        <w:tc>
          <w:tcPr>
            <w:tcW w:w="1119" w:type="dxa"/>
            <w:vAlign w:val="center"/>
          </w:tcPr>
          <w:p>
            <w:pPr>
              <w:adjustRightInd w:val="0"/>
              <w:snapToGrid w:val="0"/>
              <w:jc w:val="center"/>
              <w:rPr>
                <w:szCs w:val="21"/>
                <w:highlight w:val="none"/>
              </w:rPr>
            </w:pPr>
            <w:r>
              <w:rPr>
                <w:szCs w:val="21"/>
                <w:highlight w:val="none"/>
              </w:rPr>
              <w:t>其他环境</w:t>
            </w:r>
          </w:p>
          <w:p>
            <w:pPr>
              <w:adjustRightInd w:val="0"/>
              <w:snapToGrid w:val="0"/>
              <w:jc w:val="center"/>
              <w:rPr>
                <w:szCs w:val="21"/>
                <w:highlight w:val="none"/>
              </w:rPr>
            </w:pPr>
            <w:r>
              <w:rPr>
                <w:szCs w:val="21"/>
                <w:highlight w:val="none"/>
              </w:rPr>
              <w:t>管理要求</w:t>
            </w:r>
          </w:p>
        </w:tc>
        <w:tc>
          <w:tcPr>
            <w:tcW w:w="7741" w:type="dxa"/>
            <w:gridSpan w:val="4"/>
            <w:vAlign w:val="center"/>
          </w:tcPr>
          <w:p>
            <w:pPr>
              <w:adjustRightInd w:val="0"/>
              <w:snapToGrid w:val="0"/>
              <w:spacing w:line="360" w:lineRule="auto"/>
              <w:rPr>
                <w:b/>
                <w:bCs/>
                <w:szCs w:val="21"/>
                <w:highlight w:val="none"/>
              </w:rPr>
            </w:pPr>
            <w:r>
              <w:rPr>
                <w:b/>
                <w:bCs/>
                <w:szCs w:val="21"/>
                <w:highlight w:val="none"/>
              </w:rPr>
              <w:t>1、环境管理</w:t>
            </w:r>
          </w:p>
          <w:p>
            <w:pPr>
              <w:adjustRightInd w:val="0"/>
              <w:snapToGrid w:val="0"/>
              <w:spacing w:line="360" w:lineRule="auto"/>
              <w:ind w:firstLineChars="200" w:firstLine="420"/>
              <w:rPr>
                <w:szCs w:val="21"/>
                <w:highlight w:val="none"/>
              </w:rPr>
            </w:pPr>
            <w:r>
              <w:rPr>
                <w:szCs w:val="21"/>
                <w:highlight w:val="none"/>
              </w:rPr>
              <w:t>建设项目应设环境管理机构，运营期要确保环保设施的运行，并定期检查其效果，了解建设项目的污染因子的变化情况，建立健全环保档案，为保护和改善区域环境质量作好组织和监督工作，环境管理具体内容如下：</w:t>
            </w:r>
          </w:p>
          <w:p>
            <w:pPr>
              <w:adjustRightInd w:val="0"/>
              <w:snapToGrid w:val="0"/>
              <w:spacing w:line="360" w:lineRule="auto"/>
              <w:ind w:firstLineChars="200" w:firstLine="420"/>
              <w:rPr>
                <w:szCs w:val="21"/>
                <w:highlight w:val="none"/>
              </w:rPr>
            </w:pPr>
            <w:r>
              <w:rPr>
                <w:rFonts w:ascii="宋体" w:cs="Cambria Math" w:hAnsi="宋体" w:hint="eastAsia"/>
                <w:szCs w:val="21"/>
                <w:highlight w:val="none"/>
              </w:rPr>
              <w:t>①</w:t>
            </w:r>
            <w:r>
              <w:rPr>
                <w:szCs w:val="21"/>
                <w:highlight w:val="none"/>
              </w:rPr>
              <w:t>严格执行国家环境保护有关政策和法规，项目建成后及时协助有关环保部门进行建设工程项目环境保护设施的验收工作。</w:t>
            </w:r>
          </w:p>
          <w:p>
            <w:pPr>
              <w:adjustRightInd w:val="0"/>
              <w:snapToGrid w:val="0"/>
              <w:spacing w:line="360" w:lineRule="auto"/>
              <w:ind w:firstLineChars="200" w:firstLine="420"/>
              <w:rPr>
                <w:szCs w:val="21"/>
                <w:highlight w:val="none"/>
              </w:rPr>
            </w:pPr>
            <w:r>
              <w:rPr>
                <w:rFonts w:ascii="宋体" w:cs="Cambria Math" w:hAnsi="宋体" w:hint="eastAsia"/>
                <w:szCs w:val="21"/>
                <w:highlight w:val="none"/>
              </w:rPr>
              <w:t>②</w:t>
            </w:r>
            <w:r>
              <w:rPr>
                <w:szCs w:val="21"/>
                <w:highlight w:val="none"/>
              </w:rPr>
              <w:t>加强对管理人员的教育，包括业务能力、操作技术、环保管理知识的教育，以增强他们的环保意识，提高管理水平。</w:t>
            </w:r>
          </w:p>
          <w:p>
            <w:pPr>
              <w:adjustRightInd w:val="0"/>
              <w:snapToGrid w:val="0"/>
              <w:spacing w:line="360" w:lineRule="auto"/>
              <w:ind w:firstLineChars="200" w:firstLine="420"/>
              <w:rPr>
                <w:szCs w:val="21"/>
                <w:highlight w:val="none"/>
              </w:rPr>
            </w:pPr>
            <w:r>
              <w:rPr>
                <w:rFonts w:ascii="宋体" w:cs="Cambria Math" w:hAnsi="宋体" w:hint="eastAsia"/>
                <w:szCs w:val="21"/>
                <w:highlight w:val="none"/>
              </w:rPr>
              <w:t>③</w:t>
            </w:r>
            <w:r>
              <w:rPr>
                <w:szCs w:val="21"/>
                <w:highlight w:val="none"/>
              </w:rPr>
              <w:t>建设单位应加强生产全过程的环境管理，始终贯彻清洁生产，节约原材料和能源，减少所有废弃物的数量：减少从原材料选择到产品最终处置的全生命周期的不利影响。</w:t>
            </w:r>
          </w:p>
          <w:p>
            <w:pPr>
              <w:adjustRightInd w:val="0"/>
              <w:snapToGrid w:val="0"/>
              <w:spacing w:line="360" w:lineRule="auto"/>
              <w:ind w:firstLineChars="200" w:firstLine="420"/>
              <w:rPr>
                <w:szCs w:val="21"/>
                <w:highlight w:val="none"/>
              </w:rPr>
            </w:pPr>
            <w:r>
              <w:rPr>
                <w:rFonts w:ascii="宋体" w:cs="Cambria Math" w:hAnsi="宋体" w:hint="eastAsia"/>
                <w:szCs w:val="21"/>
                <w:highlight w:val="none"/>
              </w:rPr>
              <w:t>④</w:t>
            </w:r>
            <w:r>
              <w:rPr>
                <w:szCs w:val="21"/>
                <w:highlight w:val="none"/>
              </w:rPr>
              <w:t>项目建成投产前，必须切实做好各项处理设备的选型、安装、调试；对各环保处理设施，要加强管理，及时维修、定期保养，保证处理设施正常运行。</w:t>
            </w:r>
          </w:p>
          <w:p>
            <w:pPr>
              <w:adjustRightInd w:val="0"/>
              <w:snapToGrid w:val="0"/>
              <w:spacing w:line="360" w:lineRule="auto"/>
              <w:rPr>
                <w:b/>
                <w:bCs/>
                <w:szCs w:val="21"/>
                <w:highlight w:val="none"/>
              </w:rPr>
            </w:pPr>
            <w:r>
              <w:rPr>
                <w:b/>
                <w:bCs/>
                <w:szCs w:val="21"/>
                <w:highlight w:val="none"/>
              </w:rPr>
              <w:t>2、排污口规范化设置</w:t>
            </w:r>
          </w:p>
          <w:p>
            <w:pPr>
              <w:adjustRightInd w:val="0"/>
              <w:snapToGrid w:val="0"/>
              <w:spacing w:line="360" w:lineRule="auto"/>
              <w:ind w:firstLineChars="200" w:firstLine="420"/>
              <w:rPr>
                <w:szCs w:val="21"/>
                <w:highlight w:val="none"/>
              </w:rPr>
            </w:pPr>
            <w:r>
              <w:rPr>
                <w:rFonts w:hint="eastAsia"/>
                <w:szCs w:val="21"/>
                <w:highlight w:val="none"/>
              </w:rPr>
              <w:t>根据国家、地方颁布的有关环境保护规定，废水排放口、噪声排放源和固废贮存处置场所均应按《环境保护图形标志--排放口（源)》（GB15562.1-1995、GB15562.2-1995）、《环境保护图形标志—固体废物贮存（处置）场》（GB 15562.2-1995）修改单要求设立明显标志，标志牌应设在与之功能相应的醒目处，并保持清晰、完整，具体标识见表。</w:t>
            </w:r>
          </w:p>
          <w:p>
            <w:pPr>
              <w:adjustRightInd w:val="0"/>
              <w:snapToGrid w:val="0"/>
              <w:spacing w:beforeLines="25" w:before="60"/>
              <w:jc w:val="center"/>
              <w:outlineLvl w:val="5"/>
              <w:rPr>
                <w:rFonts w:cs="宋体"/>
                <w:b/>
                <w:szCs w:val="20"/>
                <w:highlight w:val="none"/>
              </w:rPr>
            </w:pPr>
            <w:r>
              <w:rPr>
                <w:rFonts w:cs="宋体" w:hint="eastAsia"/>
                <w:b/>
                <w:szCs w:val="20"/>
                <w:highlight w:val="none"/>
              </w:rPr>
              <w:t>表5-1  环境保护图形标志的形状及颜色分类</w:t>
            </w:r>
          </w:p>
          <w:tbl>
            <w:tblPr>
              <w:jc w:val="left"/>
              <w:tblInd w:w="0" w:type="dxa"/>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1880"/>
              <w:gridCol w:w="1880"/>
              <w:gridCol w:w="1880"/>
              <w:gridCol w:w="1880"/>
            </w:tblGrid>
            <w:tr>
              <w:trPr>
                <w:trHeight w:val="340"/>
              </w:trPr>
              <w:tc>
                <w:tcPr>
                  <w:tcW w:w="500" w:type="dxa"/>
                  <w:vAlign w:val="center"/>
                </w:tcPr>
                <w:p>
                  <w:pPr>
                    <w:jc w:val="center"/>
                    <w:rPr>
                      <w:b/>
                      <w:szCs w:val="21"/>
                      <w:highlight w:val="none"/>
                    </w:rPr>
                  </w:pPr>
                  <w:r>
                    <w:rPr>
                      <w:b/>
                      <w:szCs w:val="21"/>
                      <w:highlight w:val="none"/>
                    </w:rPr>
                    <w:t>分类</w:t>
                  </w:r>
                </w:p>
              </w:tc>
              <w:tc>
                <w:tcPr>
                  <w:tcW w:w="500" w:type="dxa"/>
                  <w:vAlign w:val="center"/>
                </w:tcPr>
                <w:p>
                  <w:pPr>
                    <w:jc w:val="center"/>
                    <w:rPr>
                      <w:b/>
                      <w:szCs w:val="21"/>
                      <w:highlight w:val="none"/>
                    </w:rPr>
                  </w:pPr>
                  <w:r>
                    <w:rPr>
                      <w:b/>
                      <w:szCs w:val="21"/>
                      <w:highlight w:val="none"/>
                    </w:rPr>
                    <w:t>形状</w:t>
                  </w:r>
                </w:p>
              </w:tc>
              <w:tc>
                <w:tcPr>
                  <w:tcW w:w="500" w:type="dxa"/>
                  <w:vAlign w:val="center"/>
                </w:tcPr>
                <w:p>
                  <w:pPr>
                    <w:jc w:val="center"/>
                    <w:rPr>
                      <w:b/>
                      <w:szCs w:val="21"/>
                      <w:highlight w:val="none"/>
                    </w:rPr>
                  </w:pPr>
                  <w:r>
                    <w:rPr>
                      <w:b/>
                      <w:szCs w:val="21"/>
                      <w:highlight w:val="none"/>
                    </w:rPr>
                    <w:t>背景颜色</w:t>
                  </w:r>
                </w:p>
              </w:tc>
              <w:tc>
                <w:tcPr>
                  <w:tcW w:w="500" w:type="dxa"/>
                  <w:vAlign w:val="center"/>
                </w:tcPr>
                <w:p>
                  <w:pPr>
                    <w:jc w:val="center"/>
                    <w:rPr>
                      <w:b/>
                      <w:szCs w:val="21"/>
                      <w:highlight w:val="none"/>
                    </w:rPr>
                  </w:pPr>
                  <w:r>
                    <w:rPr>
                      <w:b/>
                      <w:szCs w:val="21"/>
                      <w:highlight w:val="none"/>
                    </w:rPr>
                    <w:t>图形颜色</w:t>
                  </w:r>
                </w:p>
              </w:tc>
            </w:tr>
            <w:tr>
              <w:trPr>
                <w:trHeight w:val="340"/>
              </w:trPr>
              <w:tc>
                <w:tcPr>
                  <w:tcW w:w="500" w:type="dxa"/>
                  <w:vAlign w:val="center"/>
                </w:tcPr>
                <w:p>
                  <w:pPr>
                    <w:jc w:val="center"/>
                    <w:rPr>
                      <w:szCs w:val="21"/>
                      <w:highlight w:val="none"/>
                    </w:rPr>
                  </w:pPr>
                  <w:r>
                    <w:rPr>
                      <w:szCs w:val="21"/>
                      <w:highlight w:val="none"/>
                    </w:rPr>
                    <w:t>警告标志</w:t>
                  </w:r>
                </w:p>
              </w:tc>
              <w:tc>
                <w:tcPr>
                  <w:tcW w:w="500" w:type="dxa"/>
                  <w:vAlign w:val="center"/>
                </w:tcPr>
                <w:p>
                  <w:pPr>
                    <w:jc w:val="center"/>
                    <w:rPr>
                      <w:szCs w:val="21"/>
                      <w:highlight w:val="none"/>
                    </w:rPr>
                  </w:pPr>
                  <w:r>
                    <w:rPr>
                      <w:szCs w:val="21"/>
                      <w:highlight w:val="none"/>
                    </w:rPr>
                    <w:t>三角形边框</w:t>
                  </w:r>
                </w:p>
              </w:tc>
              <w:tc>
                <w:tcPr>
                  <w:tcW w:w="500" w:type="dxa"/>
                  <w:vAlign w:val="center"/>
                </w:tcPr>
                <w:p>
                  <w:pPr>
                    <w:jc w:val="center"/>
                    <w:rPr>
                      <w:szCs w:val="21"/>
                      <w:highlight w:val="none"/>
                    </w:rPr>
                  </w:pPr>
                  <w:r>
                    <w:rPr>
                      <w:szCs w:val="21"/>
                      <w:highlight w:val="none"/>
                    </w:rPr>
                    <w:t>黄色</w:t>
                  </w:r>
                </w:p>
              </w:tc>
              <w:tc>
                <w:tcPr>
                  <w:tcW w:w="500" w:type="dxa"/>
                  <w:vAlign w:val="center"/>
                </w:tcPr>
                <w:p>
                  <w:pPr>
                    <w:jc w:val="center"/>
                    <w:rPr>
                      <w:szCs w:val="21"/>
                      <w:highlight w:val="none"/>
                    </w:rPr>
                  </w:pPr>
                  <w:r>
                    <w:rPr>
                      <w:szCs w:val="21"/>
                      <w:highlight w:val="none"/>
                    </w:rPr>
                    <w:t>黑色</w:t>
                  </w:r>
                </w:p>
              </w:tc>
            </w:tr>
            <w:tr>
              <w:trPr>
                <w:trHeight w:val="340"/>
              </w:trPr>
              <w:tc>
                <w:tcPr>
                  <w:tcW w:w="500" w:type="dxa"/>
                  <w:vAlign w:val="center"/>
                </w:tcPr>
                <w:p>
                  <w:pPr>
                    <w:jc w:val="center"/>
                    <w:rPr>
                      <w:szCs w:val="21"/>
                      <w:highlight w:val="none"/>
                    </w:rPr>
                  </w:pPr>
                  <w:r>
                    <w:rPr>
                      <w:szCs w:val="21"/>
                      <w:highlight w:val="none"/>
                    </w:rPr>
                    <w:t>提示标志</w:t>
                  </w:r>
                </w:p>
              </w:tc>
              <w:tc>
                <w:tcPr>
                  <w:tcW w:w="500" w:type="dxa"/>
                  <w:vAlign w:val="center"/>
                </w:tcPr>
                <w:p>
                  <w:pPr>
                    <w:jc w:val="center"/>
                    <w:rPr>
                      <w:szCs w:val="21"/>
                      <w:highlight w:val="none"/>
                    </w:rPr>
                  </w:pPr>
                  <w:r>
                    <w:rPr>
                      <w:szCs w:val="21"/>
                      <w:highlight w:val="none"/>
                    </w:rPr>
                    <w:t>正方形边框</w:t>
                  </w:r>
                </w:p>
              </w:tc>
              <w:tc>
                <w:tcPr>
                  <w:tcW w:w="500" w:type="dxa"/>
                  <w:vAlign w:val="center"/>
                </w:tcPr>
                <w:p>
                  <w:pPr>
                    <w:jc w:val="center"/>
                    <w:rPr>
                      <w:szCs w:val="21"/>
                      <w:highlight w:val="none"/>
                    </w:rPr>
                  </w:pPr>
                  <w:r>
                    <w:rPr>
                      <w:szCs w:val="21"/>
                      <w:highlight w:val="none"/>
                    </w:rPr>
                    <w:t>绿色</w:t>
                  </w:r>
                </w:p>
              </w:tc>
              <w:tc>
                <w:tcPr>
                  <w:tcW w:w="500" w:type="dxa"/>
                  <w:vAlign w:val="center"/>
                </w:tcPr>
                <w:p>
                  <w:pPr>
                    <w:jc w:val="center"/>
                    <w:rPr>
                      <w:szCs w:val="21"/>
                      <w:highlight w:val="none"/>
                    </w:rPr>
                  </w:pPr>
                  <w:r>
                    <w:rPr>
                      <w:szCs w:val="21"/>
                      <w:highlight w:val="none"/>
                    </w:rPr>
                    <w:t>白色</w:t>
                  </w:r>
                </w:p>
              </w:tc>
            </w:tr>
          </w:tbl>
          <w:p>
            <w:pPr>
              <w:adjustRightInd w:val="0"/>
              <w:snapToGrid w:val="0"/>
              <w:spacing w:beforeLines="25" w:before="60"/>
              <w:jc w:val="center"/>
              <w:outlineLvl w:val="5"/>
              <w:rPr>
                <w:rFonts w:cs="宋体" w:hint="eastAsia"/>
                <w:b/>
                <w:szCs w:val="20"/>
                <w:highlight w:val="none"/>
              </w:rPr>
            </w:pPr>
          </w:p>
          <w:p>
            <w:pPr>
              <w:adjustRightInd w:val="0"/>
              <w:snapToGrid w:val="0"/>
              <w:spacing w:beforeLines="25" w:before="60"/>
              <w:jc w:val="center"/>
              <w:outlineLvl w:val="5"/>
              <w:rPr>
                <w:rFonts w:cs="宋体"/>
                <w:b/>
                <w:szCs w:val="20"/>
                <w:highlight w:val="none"/>
              </w:rPr>
            </w:pPr>
            <w:r>
              <w:rPr>
                <w:rFonts w:cs="宋体" w:hint="eastAsia"/>
                <w:b/>
                <w:szCs w:val="20"/>
                <w:highlight w:val="none"/>
              </w:rPr>
              <w:t>表5-2  环境保护图形标志一览表</w:t>
            </w:r>
          </w:p>
          <w:tbl>
            <w:tblPr>
              <w:jc w:val="left"/>
              <w:tblInd w:w="0" w:type="dxa"/>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727"/>
              <w:gridCol w:w="2244"/>
              <w:gridCol w:w="1686"/>
              <w:gridCol w:w="1423"/>
              <w:gridCol w:w="1445"/>
            </w:tblGrid>
            <w:tr>
              <w:tc>
                <w:tcPr>
                  <w:tcW w:w="727" w:type="dxa"/>
                  <w:tcBorders>
                    <w:tl2br w:val="nil"/>
                    <w:tr2bl w:val="nil"/>
                  </w:tcBorders>
                  <w:vAlign w:val="center"/>
                </w:tcPr>
                <w:p>
                  <w:pPr>
                    <w:spacing w:line="360" w:lineRule="auto"/>
                    <w:jc w:val="center"/>
                    <w:rPr>
                      <w:b/>
                      <w:szCs w:val="21"/>
                      <w:highlight w:val="none"/>
                    </w:rPr>
                  </w:pPr>
                  <w:r>
                    <w:rPr>
                      <w:b/>
                      <w:szCs w:val="21"/>
                      <w:highlight w:val="none"/>
                    </w:rPr>
                    <w:t>序号</w:t>
                  </w:r>
                </w:p>
              </w:tc>
              <w:tc>
                <w:tcPr>
                  <w:tcW w:w="2244" w:type="dxa"/>
                  <w:tcBorders>
                    <w:tl2br w:val="nil"/>
                    <w:tr2bl w:val="nil"/>
                  </w:tcBorders>
                  <w:vAlign w:val="center"/>
                </w:tcPr>
                <w:p>
                  <w:pPr>
                    <w:spacing w:line="360" w:lineRule="auto"/>
                    <w:jc w:val="center"/>
                    <w:rPr>
                      <w:b/>
                      <w:szCs w:val="21"/>
                      <w:highlight w:val="none"/>
                    </w:rPr>
                  </w:pPr>
                  <w:r>
                    <w:rPr>
                      <w:b/>
                      <w:szCs w:val="21"/>
                      <w:highlight w:val="none"/>
                    </w:rPr>
                    <w:t>提示图形符号</w:t>
                  </w:r>
                </w:p>
              </w:tc>
              <w:tc>
                <w:tcPr>
                  <w:tcW w:w="1686" w:type="dxa"/>
                  <w:tcBorders>
                    <w:tl2br w:val="nil"/>
                    <w:tr2bl w:val="nil"/>
                  </w:tcBorders>
                  <w:vAlign w:val="center"/>
                </w:tcPr>
                <w:p>
                  <w:pPr>
                    <w:spacing w:line="360" w:lineRule="auto"/>
                    <w:jc w:val="center"/>
                    <w:rPr>
                      <w:b/>
                      <w:szCs w:val="21"/>
                      <w:highlight w:val="none"/>
                    </w:rPr>
                  </w:pPr>
                  <w:r>
                    <w:rPr>
                      <w:b/>
                      <w:szCs w:val="21"/>
                      <w:highlight w:val="none"/>
                    </w:rPr>
                    <w:t>警示图形符号</w:t>
                  </w:r>
                </w:p>
              </w:tc>
              <w:tc>
                <w:tcPr>
                  <w:tcW w:w="1423" w:type="dxa"/>
                  <w:tcBorders>
                    <w:tl2br w:val="nil"/>
                    <w:tr2bl w:val="nil"/>
                  </w:tcBorders>
                  <w:vAlign w:val="center"/>
                </w:tcPr>
                <w:p>
                  <w:pPr>
                    <w:spacing w:line="360" w:lineRule="auto"/>
                    <w:jc w:val="center"/>
                    <w:rPr>
                      <w:b/>
                      <w:szCs w:val="21"/>
                      <w:highlight w:val="none"/>
                    </w:rPr>
                  </w:pPr>
                  <w:r>
                    <w:rPr>
                      <w:b/>
                      <w:szCs w:val="21"/>
                      <w:highlight w:val="none"/>
                    </w:rPr>
                    <w:t>名称</w:t>
                  </w:r>
                </w:p>
              </w:tc>
              <w:tc>
                <w:tcPr>
                  <w:tcW w:w="1445" w:type="dxa"/>
                  <w:tcBorders>
                    <w:tl2br w:val="nil"/>
                    <w:tr2bl w:val="nil"/>
                  </w:tcBorders>
                  <w:vAlign w:val="center"/>
                </w:tcPr>
                <w:p>
                  <w:pPr>
                    <w:spacing w:line="360" w:lineRule="auto"/>
                    <w:jc w:val="center"/>
                    <w:rPr>
                      <w:b/>
                      <w:szCs w:val="21"/>
                      <w:highlight w:val="none"/>
                    </w:rPr>
                  </w:pPr>
                  <w:r>
                    <w:rPr>
                      <w:b/>
                      <w:szCs w:val="21"/>
                      <w:highlight w:val="none"/>
                    </w:rPr>
                    <w:t>功能</w:t>
                  </w:r>
                </w:p>
              </w:tc>
            </w:tr>
            <w:tr>
              <w:tc>
                <w:tcPr>
                  <w:tcW w:w="727" w:type="dxa"/>
                  <w:tcBorders>
                    <w:tl2br w:val="nil"/>
                    <w:tr2bl w:val="nil"/>
                  </w:tcBorders>
                  <w:vAlign w:val="center"/>
                </w:tcPr>
                <w:p>
                  <w:pPr>
                    <w:spacing w:line="360" w:lineRule="auto"/>
                    <w:jc w:val="center"/>
                    <w:rPr>
                      <w:bCs/>
                      <w:szCs w:val="21"/>
                      <w:highlight w:val="none"/>
                    </w:rPr>
                  </w:pPr>
                  <w:r>
                    <w:rPr>
                      <w:rFonts w:hint="eastAsia"/>
                      <w:bCs/>
                      <w:szCs w:val="21"/>
                      <w:highlight w:val="none"/>
                    </w:rPr>
                    <w:t>1</w:t>
                  </w:r>
                </w:p>
              </w:tc>
              <w:tc>
                <w:tcPr>
                  <w:tcW w:w="2244" w:type="dxa"/>
                  <w:tcBorders>
                    <w:tl2br w:val="nil"/>
                    <w:tr2bl w:val="nil"/>
                  </w:tcBorders>
                  <w:vAlign w:val="center"/>
                </w:tcPr>
                <w:p>
                  <w:pPr>
                    <w:spacing w:line="360" w:lineRule="auto"/>
                    <w:jc w:val="center"/>
                    <w:rPr>
                      <w:bCs/>
                      <w:szCs w:val="21"/>
                      <w:highlight w:val="none"/>
                    </w:rPr>
                  </w:pPr>
                  <w:r>
                    <w:rPr>
                      <w:rFonts w:eastAsia="Century Gothic"/>
                      <w:szCs w:val="21"/>
                      <w:highlight w:val="none"/>
                    </w:rPr>
                    <w:drawing>
                      <wp:inline distT="0" distB="0" distL="114300" distR="114300">
                        <wp:extent cx="850900" cy="749300"/>
                        <wp:effectExtent l="0" t="0" r="1" b="0"/>
                        <wp:docPr id="1048" name="图片 19" descr="13003"/>
                        <wp:cNvGraphicFramePr>
                          <a:graphicFrameLocks noChangeAspect="1"/>
                        </wp:cNvGraphicFramePr>
                        <a:graphic>
                          <a:graphicData uri="http://schemas.openxmlformats.org/drawingml/2006/picture">
                            <pic:pic>
                              <pic:nvPicPr>
                                <pic:cNvPr id="46" name="图片 19 46"/>
                                <pic:cNvPicPr/>
                              </pic:nvPicPr>
                              <pic:blipFill>
                                <a:blip r:embed="rId30"/>
                                <a:stretch>
                                  <a:fillRect/>
                                </a:stretch>
                              </pic:blipFill>
                              <pic:spPr>
                                <a:xfrm rot="0">
                                  <a:off x="0" y="0"/>
                                  <a:ext cx="850900" cy="749300"/>
                                </a:xfrm>
                                <a:prstGeom prst="rect"/>
                                <a:noFill/>
                                <a:ln cmpd="sng" cap="flat">
                                  <a:noFill/>
                                  <a:prstDash val="solid"/>
                                  <a:round/>
                                </a:ln>
                              </pic:spPr>
                            </pic:pic>
                          </a:graphicData>
                        </a:graphic>
                      </wp:inline>
                    </w:drawing>
                  </w:r>
                </w:p>
              </w:tc>
              <w:tc>
                <w:tcPr>
                  <w:tcW w:w="1686" w:type="dxa"/>
                  <w:tcBorders>
                    <w:tl2br w:val="nil"/>
                    <w:tr2bl w:val="nil"/>
                  </w:tcBorders>
                  <w:vAlign w:val="center"/>
                </w:tcPr>
                <w:p>
                  <w:pPr>
                    <w:spacing w:line="360" w:lineRule="auto"/>
                    <w:jc w:val="center"/>
                    <w:rPr>
                      <w:bCs/>
                      <w:szCs w:val="21"/>
                      <w:highlight w:val="none"/>
                    </w:rPr>
                  </w:pPr>
                  <w:r>
                    <w:rPr>
                      <w:rFonts w:eastAsia="Century Gothic"/>
                      <w:szCs w:val="21"/>
                      <w:highlight w:val="none"/>
                    </w:rPr>
                    <w:drawing>
                      <wp:inline distT="0" distB="0" distL="114300" distR="114300">
                        <wp:extent cx="889000" cy="774700"/>
                        <wp:effectExtent l="0" t="0" r="1" b="1"/>
                        <wp:docPr id="1049" name="图片 20" descr="4"/>
                        <wp:cNvGraphicFramePr>
                          <a:graphicFrameLocks noChangeAspect="1"/>
                        </wp:cNvGraphicFramePr>
                        <a:graphic>
                          <a:graphicData uri="http://schemas.openxmlformats.org/drawingml/2006/picture">
                            <pic:pic>
                              <pic:nvPicPr>
                                <pic:cNvPr id="48" name="图片 20 48"/>
                                <pic:cNvPicPr/>
                              </pic:nvPicPr>
                              <pic:blipFill>
                                <a:blip r:embed="rId31"/>
                                <a:stretch>
                                  <a:fillRect/>
                                </a:stretch>
                              </pic:blipFill>
                              <pic:spPr>
                                <a:xfrm rot="0">
                                  <a:off x="0" y="0"/>
                                  <a:ext cx="889000" cy="774700"/>
                                </a:xfrm>
                                <a:prstGeom prst="rect"/>
                                <a:noFill/>
                                <a:ln cmpd="sng" cap="flat">
                                  <a:noFill/>
                                  <a:prstDash val="solid"/>
                                  <a:round/>
                                </a:ln>
                              </pic:spPr>
                            </pic:pic>
                          </a:graphicData>
                        </a:graphic>
                      </wp:inline>
                    </w:drawing>
                  </w:r>
                </w:p>
              </w:tc>
              <w:tc>
                <w:tcPr>
                  <w:tcW w:w="1423" w:type="dxa"/>
                  <w:tcBorders>
                    <w:tl2br w:val="nil"/>
                    <w:tr2bl w:val="nil"/>
                  </w:tcBorders>
                  <w:vAlign w:val="center"/>
                </w:tcPr>
                <w:p>
                  <w:pPr>
                    <w:spacing w:line="360" w:lineRule="auto"/>
                    <w:jc w:val="center"/>
                    <w:rPr>
                      <w:bCs/>
                      <w:szCs w:val="21"/>
                      <w:highlight w:val="none"/>
                    </w:rPr>
                  </w:pPr>
                  <w:r>
                    <w:rPr>
                      <w:bCs/>
                      <w:szCs w:val="21"/>
                      <w:highlight w:val="none"/>
                    </w:rPr>
                    <w:t>废气排放口</w:t>
                  </w:r>
                </w:p>
              </w:tc>
              <w:tc>
                <w:tcPr>
                  <w:tcW w:w="1445" w:type="dxa"/>
                  <w:tcBorders>
                    <w:tl2br w:val="nil"/>
                    <w:tr2bl w:val="nil"/>
                  </w:tcBorders>
                  <w:vAlign w:val="center"/>
                </w:tcPr>
                <w:p>
                  <w:pPr>
                    <w:spacing w:line="360" w:lineRule="auto"/>
                    <w:jc w:val="center"/>
                    <w:rPr>
                      <w:bCs/>
                      <w:szCs w:val="21"/>
                      <w:highlight w:val="none"/>
                    </w:rPr>
                  </w:pPr>
                  <w:r>
                    <w:rPr>
                      <w:bCs/>
                      <w:szCs w:val="21"/>
                      <w:highlight w:val="none"/>
                    </w:rPr>
                    <w:t>表示废气向大气环境排放</w:t>
                  </w:r>
                </w:p>
              </w:tc>
            </w:tr>
            <w:tr>
              <w:tc>
                <w:tcPr>
                  <w:tcW w:w="727" w:type="dxa"/>
                  <w:tcBorders>
                    <w:tl2br w:val="nil"/>
                    <w:tr2bl w:val="nil"/>
                  </w:tcBorders>
                  <w:vAlign w:val="center"/>
                </w:tcPr>
                <w:p>
                  <w:pPr>
                    <w:spacing w:line="360" w:lineRule="auto"/>
                    <w:jc w:val="center"/>
                    <w:rPr>
                      <w:bCs/>
                      <w:szCs w:val="21"/>
                      <w:highlight w:val="none"/>
                    </w:rPr>
                  </w:pPr>
                  <w:r>
                    <w:rPr>
                      <w:rFonts w:hint="eastAsia"/>
                      <w:bCs/>
                      <w:szCs w:val="21"/>
                      <w:highlight w:val="none"/>
                    </w:rPr>
                    <w:t>2</w:t>
                  </w:r>
                </w:p>
              </w:tc>
              <w:tc>
                <w:tcPr>
                  <w:tcW w:w="2244" w:type="dxa"/>
                  <w:tcBorders>
                    <w:tl2br w:val="nil"/>
                    <w:tr2bl w:val="nil"/>
                  </w:tcBorders>
                  <w:vAlign w:val="center"/>
                </w:tcPr>
                <w:p>
                  <w:pPr>
                    <w:spacing w:line="360" w:lineRule="auto"/>
                    <w:jc w:val="center"/>
                    <w:rPr>
                      <w:rFonts w:eastAsia="Century Gothic"/>
                      <w:szCs w:val="21"/>
                      <w:highlight w:val="none"/>
                    </w:rPr>
                  </w:pPr>
                  <w:r>
                    <w:rPr>
                      <w:rFonts w:eastAsia="Century Gothic"/>
                      <w:szCs w:val="21"/>
                      <w:highlight w:val="none"/>
                    </w:rPr>
                    <w:drawing>
                      <wp:inline distT="0" distB="0" distL="114300" distR="114300">
                        <wp:extent cx="850900" cy="698500"/>
                        <wp:effectExtent l="0" t="0" r="1" b="1"/>
                        <wp:docPr id="1050" name="图片 21" descr="13001"/>
                        <wp:cNvGraphicFramePr>
                          <a:graphicFrameLocks noChangeAspect="1"/>
                        </wp:cNvGraphicFramePr>
                        <a:graphic>
                          <a:graphicData uri="http://schemas.openxmlformats.org/drawingml/2006/picture">
                            <pic:pic>
                              <pic:nvPicPr>
                                <pic:cNvPr id="50" name="图片 21 50"/>
                                <pic:cNvPicPr/>
                              </pic:nvPicPr>
                              <pic:blipFill>
                                <a:blip r:embed="rId32"/>
                                <a:stretch>
                                  <a:fillRect/>
                                </a:stretch>
                              </pic:blipFill>
                              <pic:spPr>
                                <a:xfrm rot="0">
                                  <a:off x="0" y="0"/>
                                  <a:ext cx="850900" cy="698500"/>
                                </a:xfrm>
                                <a:prstGeom prst="rect"/>
                                <a:noFill/>
                                <a:ln cmpd="sng" cap="flat">
                                  <a:noFill/>
                                  <a:prstDash val="solid"/>
                                  <a:round/>
                                </a:ln>
                              </pic:spPr>
                            </pic:pic>
                          </a:graphicData>
                        </a:graphic>
                      </wp:inline>
                    </w:drawing>
                  </w:r>
                </w:p>
              </w:tc>
              <w:tc>
                <w:tcPr>
                  <w:tcW w:w="1686" w:type="dxa"/>
                  <w:tcBorders>
                    <w:tl2br w:val="nil"/>
                    <w:tr2bl w:val="nil"/>
                  </w:tcBorders>
                  <w:vAlign w:val="center"/>
                </w:tcPr>
                <w:p>
                  <w:pPr>
                    <w:spacing w:line="360" w:lineRule="auto"/>
                    <w:jc w:val="center"/>
                    <w:rPr>
                      <w:rFonts w:eastAsia="Century Gothic"/>
                      <w:szCs w:val="21"/>
                      <w:highlight w:val="none"/>
                    </w:rPr>
                  </w:pPr>
                  <w:r>
                    <w:rPr>
                      <w:rFonts w:eastAsia="Century Gothic"/>
                      <w:szCs w:val="21"/>
                      <w:highlight w:val="none"/>
                    </w:rPr>
                    <w:drawing>
                      <wp:inline distT="0" distB="0" distL="114300" distR="114300">
                        <wp:extent cx="876300" cy="749300"/>
                        <wp:effectExtent l="0" t="0" r="0" b="0"/>
                        <wp:docPr id="1051" name="图片 22" descr="13002"/>
                        <wp:cNvGraphicFramePr>
                          <a:graphicFrameLocks noChangeAspect="1"/>
                        </wp:cNvGraphicFramePr>
                        <a:graphic>
                          <a:graphicData uri="http://schemas.openxmlformats.org/drawingml/2006/picture">
                            <pic:pic>
                              <pic:nvPicPr>
                                <pic:cNvPr id="52" name="图片 22 52"/>
                                <pic:cNvPicPr/>
                              </pic:nvPicPr>
                              <pic:blipFill>
                                <a:blip r:embed="rId33"/>
                                <a:stretch>
                                  <a:fillRect/>
                                </a:stretch>
                              </pic:blipFill>
                              <pic:spPr>
                                <a:xfrm rot="0">
                                  <a:off x="0" y="0"/>
                                  <a:ext cx="876300" cy="749300"/>
                                </a:xfrm>
                                <a:prstGeom prst="rect"/>
                                <a:noFill/>
                                <a:ln cmpd="sng" cap="flat">
                                  <a:noFill/>
                                  <a:prstDash val="solid"/>
                                  <a:round/>
                                </a:ln>
                              </pic:spPr>
                            </pic:pic>
                          </a:graphicData>
                        </a:graphic>
                      </wp:inline>
                    </w:drawing>
                  </w:r>
                </w:p>
              </w:tc>
              <w:tc>
                <w:tcPr>
                  <w:tcW w:w="1423" w:type="dxa"/>
                  <w:tcBorders>
                    <w:tl2br w:val="nil"/>
                    <w:tr2bl w:val="nil"/>
                  </w:tcBorders>
                  <w:vAlign w:val="center"/>
                </w:tcPr>
                <w:p>
                  <w:pPr>
                    <w:spacing w:line="360" w:lineRule="auto"/>
                    <w:jc w:val="center"/>
                    <w:rPr>
                      <w:szCs w:val="21"/>
                      <w:highlight w:val="none"/>
                    </w:rPr>
                  </w:pPr>
                  <w:r>
                    <w:rPr>
                      <w:szCs w:val="21"/>
                      <w:highlight w:val="none"/>
                    </w:rPr>
                    <w:t>废水排放口</w:t>
                  </w:r>
                </w:p>
              </w:tc>
              <w:tc>
                <w:tcPr>
                  <w:tcW w:w="1445" w:type="dxa"/>
                  <w:tcBorders>
                    <w:tl2br w:val="nil"/>
                    <w:tr2bl w:val="nil"/>
                  </w:tcBorders>
                  <w:vAlign w:val="center"/>
                </w:tcPr>
                <w:p>
                  <w:pPr>
                    <w:spacing w:line="360" w:lineRule="auto"/>
                    <w:jc w:val="center"/>
                    <w:rPr>
                      <w:szCs w:val="21"/>
                      <w:highlight w:val="none"/>
                    </w:rPr>
                  </w:pPr>
                  <w:r>
                    <w:rPr>
                      <w:szCs w:val="21"/>
                      <w:highlight w:val="none"/>
                    </w:rPr>
                    <w:t>表示污水向水体排放</w:t>
                  </w:r>
                </w:p>
              </w:tc>
            </w:tr>
            <w:tr>
              <w:tc>
                <w:tcPr>
                  <w:tcW w:w="727" w:type="dxa"/>
                  <w:tcBorders>
                    <w:tl2br w:val="nil"/>
                    <w:tr2bl w:val="nil"/>
                  </w:tcBorders>
                  <w:vAlign w:val="center"/>
                </w:tcPr>
                <w:p>
                  <w:pPr>
                    <w:spacing w:line="360" w:lineRule="auto"/>
                    <w:jc w:val="center"/>
                    <w:rPr>
                      <w:bCs/>
                      <w:szCs w:val="21"/>
                      <w:highlight w:val="none"/>
                    </w:rPr>
                  </w:pPr>
                  <w:r>
                    <w:rPr>
                      <w:rFonts w:hint="eastAsia"/>
                      <w:bCs/>
                      <w:szCs w:val="21"/>
                      <w:highlight w:val="none"/>
                    </w:rPr>
                    <w:t>3</w:t>
                  </w:r>
                </w:p>
              </w:tc>
              <w:tc>
                <w:tcPr>
                  <w:tcW w:w="2244" w:type="dxa"/>
                  <w:tcBorders>
                    <w:tl2br w:val="nil"/>
                    <w:tr2bl w:val="nil"/>
                  </w:tcBorders>
                  <w:vAlign w:val="center"/>
                </w:tcPr>
                <w:p>
                  <w:pPr>
                    <w:spacing w:line="360" w:lineRule="auto"/>
                    <w:jc w:val="center"/>
                    <w:rPr>
                      <w:bCs/>
                      <w:szCs w:val="21"/>
                      <w:highlight w:val="none"/>
                    </w:rPr>
                  </w:pPr>
                  <w:r>
                    <w:rPr>
                      <w:rFonts w:eastAsia="Century Gothic"/>
                      <w:szCs w:val="21"/>
                      <w:highlight w:val="none"/>
                    </w:rPr>
                    <w:drawing>
                      <wp:inline distT="0" distB="0" distL="114300" distR="114300">
                        <wp:extent cx="847725" cy="685800"/>
                        <wp:effectExtent l="0" t="0" r="0" b="0"/>
                        <wp:docPr id="1052" name="图片 23" descr="200602201518049853"/>
                        <wp:cNvGraphicFramePr>
                          <a:graphicFrameLocks noChangeAspect="1"/>
                        </wp:cNvGraphicFramePr>
                        <a:graphic>
                          <a:graphicData uri="http://schemas.openxmlformats.org/drawingml/2006/picture">
                            <pic:pic>
                              <pic:nvPicPr>
                                <pic:cNvPr id="54" name="图片 23 54"/>
                                <pic:cNvPicPr/>
                              </pic:nvPicPr>
                              <pic:blipFill>
                                <a:blip r:embed="rId34"/>
                                <a:stretch>
                                  <a:fillRect/>
                                </a:stretch>
                              </pic:blipFill>
                              <pic:spPr>
                                <a:xfrm rot="0">
                                  <a:off x="0" y="0"/>
                                  <a:ext cx="847725" cy="685800"/>
                                </a:xfrm>
                                <a:prstGeom prst="rect"/>
                                <a:noFill/>
                                <a:ln cmpd="sng" cap="flat">
                                  <a:noFill/>
                                  <a:prstDash val="solid"/>
                                  <a:round/>
                                </a:ln>
                              </pic:spPr>
                            </pic:pic>
                          </a:graphicData>
                        </a:graphic>
                      </wp:inline>
                    </w:drawing>
                  </w:r>
                </w:p>
              </w:tc>
              <w:tc>
                <w:tcPr>
                  <w:tcW w:w="1686" w:type="dxa"/>
                  <w:tcBorders>
                    <w:tl2br w:val="nil"/>
                    <w:tr2bl w:val="nil"/>
                  </w:tcBorders>
                  <w:vAlign w:val="center"/>
                </w:tcPr>
                <w:p>
                  <w:pPr>
                    <w:spacing w:line="360" w:lineRule="auto"/>
                    <w:jc w:val="center"/>
                    <w:rPr>
                      <w:bCs/>
                      <w:szCs w:val="21"/>
                      <w:highlight w:val="none"/>
                    </w:rPr>
                  </w:pPr>
                  <w:r>
                    <w:rPr>
                      <w:rFonts w:eastAsia="Century Gothic"/>
                      <w:szCs w:val="21"/>
                      <w:highlight w:val="none"/>
                    </w:rPr>
                    <w:drawing>
                      <wp:inline distT="0" distB="0" distL="114300" distR="114300">
                        <wp:extent cx="926464" cy="711200"/>
                        <wp:effectExtent l="0" t="0" r="1" b="0"/>
                        <wp:docPr id="1053" name="图片 24" descr="200602201519018631"/>
                        <wp:cNvGraphicFramePr>
                          <a:graphicFrameLocks noChangeAspect="1"/>
                        </wp:cNvGraphicFramePr>
                        <a:graphic>
                          <a:graphicData uri="http://schemas.openxmlformats.org/drawingml/2006/picture">
                            <pic:pic>
                              <pic:nvPicPr>
                                <pic:cNvPr id="56" name="图片 24 56"/>
                                <pic:cNvPicPr/>
                              </pic:nvPicPr>
                              <pic:blipFill>
                                <a:blip r:embed="rId35"/>
                                <a:stretch>
                                  <a:fillRect/>
                                </a:stretch>
                              </pic:blipFill>
                              <pic:spPr>
                                <a:xfrm rot="0">
                                  <a:off x="0" y="0"/>
                                  <a:ext cx="926464" cy="711200"/>
                                </a:xfrm>
                                <a:prstGeom prst="rect"/>
                                <a:noFill/>
                                <a:ln cmpd="sng" cap="flat">
                                  <a:noFill/>
                                  <a:prstDash val="solid"/>
                                  <a:round/>
                                </a:ln>
                              </pic:spPr>
                            </pic:pic>
                          </a:graphicData>
                        </a:graphic>
                      </wp:inline>
                    </w:drawing>
                  </w:r>
                </w:p>
              </w:tc>
              <w:tc>
                <w:tcPr>
                  <w:tcW w:w="1423" w:type="dxa"/>
                  <w:tcBorders>
                    <w:tl2br w:val="nil"/>
                    <w:tr2bl w:val="nil"/>
                  </w:tcBorders>
                  <w:vAlign w:val="center"/>
                </w:tcPr>
                <w:p>
                  <w:pPr>
                    <w:spacing w:line="360" w:lineRule="auto"/>
                    <w:jc w:val="center"/>
                    <w:rPr>
                      <w:bCs/>
                      <w:szCs w:val="21"/>
                      <w:highlight w:val="none"/>
                    </w:rPr>
                  </w:pPr>
                  <w:r>
                    <w:rPr>
                      <w:bCs/>
                      <w:szCs w:val="21"/>
                      <w:highlight w:val="none"/>
                    </w:rPr>
                    <w:t>噪声排放源</w:t>
                  </w:r>
                </w:p>
              </w:tc>
              <w:tc>
                <w:tcPr>
                  <w:tcW w:w="1445" w:type="dxa"/>
                  <w:tcBorders>
                    <w:tl2br w:val="nil"/>
                    <w:tr2bl w:val="nil"/>
                  </w:tcBorders>
                  <w:vAlign w:val="center"/>
                </w:tcPr>
                <w:p>
                  <w:pPr>
                    <w:spacing w:line="360" w:lineRule="auto"/>
                    <w:jc w:val="center"/>
                    <w:rPr>
                      <w:bCs/>
                      <w:szCs w:val="21"/>
                      <w:highlight w:val="none"/>
                    </w:rPr>
                  </w:pPr>
                  <w:r>
                    <w:rPr>
                      <w:bCs/>
                      <w:szCs w:val="21"/>
                      <w:highlight w:val="none"/>
                    </w:rPr>
                    <w:t>表示噪声向外环境排放</w:t>
                  </w:r>
                </w:p>
              </w:tc>
            </w:tr>
            <w:tr>
              <w:tc>
                <w:tcPr>
                  <w:tcW w:w="727" w:type="dxa"/>
                  <w:tcBorders>
                    <w:tl2br w:val="nil"/>
                    <w:tr2bl w:val="nil"/>
                  </w:tcBorders>
                  <w:vAlign w:val="center"/>
                </w:tcPr>
                <w:p>
                  <w:pPr>
                    <w:spacing w:line="360" w:lineRule="auto"/>
                    <w:jc w:val="center"/>
                    <w:rPr>
                      <w:bCs/>
                      <w:szCs w:val="21"/>
                      <w:highlight w:val="none"/>
                    </w:rPr>
                  </w:pPr>
                  <w:r>
                    <w:rPr>
                      <w:rFonts w:hint="eastAsia"/>
                      <w:bCs/>
                      <w:szCs w:val="21"/>
                      <w:highlight w:val="none"/>
                    </w:rPr>
                    <w:t>4</w:t>
                  </w:r>
                </w:p>
              </w:tc>
              <w:tc>
                <w:tcPr>
                  <w:tcW w:w="2244" w:type="dxa"/>
                  <w:tcBorders>
                    <w:tl2br w:val="nil"/>
                    <w:tr2bl w:val="nil"/>
                  </w:tcBorders>
                  <w:vAlign w:val="center"/>
                </w:tcPr>
                <w:p>
                  <w:pPr>
                    <w:spacing w:line="360" w:lineRule="auto"/>
                    <w:jc w:val="center"/>
                    <w:rPr>
                      <w:bCs/>
                      <w:szCs w:val="21"/>
                      <w:highlight w:val="none"/>
                    </w:rPr>
                  </w:pPr>
                  <w:r>
                    <w:rPr>
                      <w:rFonts w:eastAsia="Century Gothic"/>
                      <w:szCs w:val="21"/>
                      <w:highlight w:val="none"/>
                    </w:rPr>
                    <w:drawing>
                      <wp:inline distT="0" distB="0" distL="114300" distR="114300">
                        <wp:extent cx="850900" cy="800100"/>
                        <wp:effectExtent l="0" t="0" r="1" b="0"/>
                        <wp:docPr id="1054" name="图片 25" descr="14001"/>
                        <wp:cNvGraphicFramePr>
                          <a:graphicFrameLocks noChangeAspect="1"/>
                        </wp:cNvGraphicFramePr>
                        <a:graphic>
                          <a:graphicData uri="http://schemas.openxmlformats.org/drawingml/2006/picture">
                            <pic:pic>
                              <pic:nvPicPr>
                                <pic:cNvPr id="58" name="图片 25 58"/>
                                <pic:cNvPicPr/>
                              </pic:nvPicPr>
                              <pic:blipFill>
                                <a:blip r:embed="rId36"/>
                                <a:stretch>
                                  <a:fillRect/>
                                </a:stretch>
                              </pic:blipFill>
                              <pic:spPr>
                                <a:xfrm rot="0">
                                  <a:off x="0" y="0"/>
                                  <a:ext cx="850900" cy="800100"/>
                                </a:xfrm>
                                <a:prstGeom prst="rect"/>
                                <a:noFill/>
                                <a:ln cmpd="sng" cap="flat">
                                  <a:noFill/>
                                  <a:prstDash val="solid"/>
                                  <a:round/>
                                </a:ln>
                              </pic:spPr>
                            </pic:pic>
                          </a:graphicData>
                        </a:graphic>
                      </wp:inline>
                    </w:drawing>
                  </w:r>
                </w:p>
              </w:tc>
              <w:tc>
                <w:tcPr>
                  <w:tcW w:w="1686" w:type="dxa"/>
                  <w:tcBorders>
                    <w:tl2br w:val="nil"/>
                    <w:tr2bl w:val="nil"/>
                  </w:tcBorders>
                  <w:vAlign w:val="center"/>
                </w:tcPr>
                <w:p>
                  <w:pPr>
                    <w:spacing w:line="360" w:lineRule="auto"/>
                    <w:jc w:val="center"/>
                    <w:rPr>
                      <w:bCs/>
                      <w:szCs w:val="21"/>
                      <w:highlight w:val="none"/>
                    </w:rPr>
                  </w:pPr>
                  <w:r>
                    <w:rPr>
                      <w:rFonts w:eastAsia="Century Gothic"/>
                      <w:szCs w:val="21"/>
                      <w:highlight w:val="none"/>
                    </w:rPr>
                    <w:drawing>
                      <wp:inline distT="0" distB="0" distL="114300" distR="114300">
                        <wp:extent cx="901700" cy="811530"/>
                        <wp:effectExtent l="0" t="0" r="0" b="0"/>
                        <wp:docPr id="1055" name="图片 26" descr="14002"/>
                        <wp:cNvGraphicFramePr>
                          <a:graphicFrameLocks noChangeAspect="1"/>
                        </wp:cNvGraphicFramePr>
                        <a:graphic>
                          <a:graphicData uri="http://schemas.openxmlformats.org/drawingml/2006/picture">
                            <pic:pic>
                              <pic:nvPicPr>
                                <pic:cNvPr id="60" name="图片 26 60"/>
                                <pic:cNvPicPr/>
                              </pic:nvPicPr>
                              <pic:blipFill>
                                <a:blip r:embed="rId37"/>
                                <a:stretch>
                                  <a:fillRect/>
                                </a:stretch>
                              </pic:blipFill>
                              <pic:spPr>
                                <a:xfrm rot="0">
                                  <a:off x="0" y="0"/>
                                  <a:ext cx="901700" cy="811530"/>
                                </a:xfrm>
                                <a:prstGeom prst="rect"/>
                                <a:noFill/>
                                <a:ln cmpd="sng" cap="flat">
                                  <a:noFill/>
                                  <a:prstDash val="solid"/>
                                  <a:round/>
                                </a:ln>
                              </pic:spPr>
                            </pic:pic>
                          </a:graphicData>
                        </a:graphic>
                      </wp:inline>
                    </w:drawing>
                  </w:r>
                </w:p>
              </w:tc>
              <w:tc>
                <w:tcPr>
                  <w:tcW w:w="1423" w:type="dxa"/>
                  <w:tcBorders>
                    <w:tl2br w:val="nil"/>
                    <w:tr2bl w:val="nil"/>
                  </w:tcBorders>
                  <w:vAlign w:val="center"/>
                </w:tcPr>
                <w:p>
                  <w:pPr>
                    <w:spacing w:line="360" w:lineRule="auto"/>
                    <w:jc w:val="center"/>
                    <w:rPr>
                      <w:bCs/>
                      <w:szCs w:val="21"/>
                      <w:highlight w:val="none"/>
                    </w:rPr>
                  </w:pPr>
                  <w:r>
                    <w:rPr>
                      <w:bCs/>
                      <w:szCs w:val="21"/>
                      <w:highlight w:val="none"/>
                    </w:rPr>
                    <w:t>一般固体废物表示</w:t>
                  </w:r>
                </w:p>
              </w:tc>
              <w:tc>
                <w:tcPr>
                  <w:tcW w:w="1445" w:type="dxa"/>
                  <w:tcBorders>
                    <w:tl2br w:val="nil"/>
                    <w:tr2bl w:val="nil"/>
                  </w:tcBorders>
                  <w:vAlign w:val="center"/>
                </w:tcPr>
                <w:p>
                  <w:pPr>
                    <w:spacing w:line="360" w:lineRule="auto"/>
                    <w:jc w:val="center"/>
                    <w:rPr>
                      <w:bCs/>
                      <w:szCs w:val="21"/>
                      <w:highlight w:val="none"/>
                    </w:rPr>
                  </w:pPr>
                  <w:r>
                    <w:rPr>
                      <w:bCs/>
                      <w:szCs w:val="21"/>
                      <w:highlight w:val="none"/>
                    </w:rPr>
                    <w:t>一般固体废物贮存、处置场</w:t>
                  </w:r>
                </w:p>
              </w:tc>
            </w:tr>
          </w:tbl>
          <w:p>
            <w:pPr>
              <w:adjustRightInd w:val="0"/>
              <w:snapToGrid w:val="0"/>
              <w:spacing w:line="360" w:lineRule="auto"/>
              <w:ind w:firstLineChars="200" w:firstLine="420"/>
              <w:rPr>
                <w:szCs w:val="21"/>
                <w:highlight w:val="none"/>
              </w:rPr>
            </w:pPr>
            <w:r>
              <w:rPr>
                <w:szCs w:val="21"/>
                <w:highlight w:val="none"/>
              </w:rPr>
              <w:t>建设单位如实填写《中华人民共和国规范化排污口登记证》的有关内容，由环保主管部门签发登记证。建设单位应把有关排污情况如排污口的性质、编号、排污口位置以及主要排放的污染物种类、数量、浓度、排放规律、排放走向及污染治理设施的运行情况建档管理，并报送环保主管部门备案。</w:t>
            </w:r>
          </w:p>
          <w:p>
            <w:pPr>
              <w:adjustRightInd w:val="0"/>
              <w:snapToGrid w:val="0"/>
              <w:spacing w:line="360" w:lineRule="auto"/>
              <w:rPr>
                <w:b/>
                <w:bCs/>
                <w:szCs w:val="21"/>
                <w:highlight w:val="none"/>
              </w:rPr>
            </w:pPr>
            <w:r>
              <w:rPr>
                <w:b/>
                <w:bCs/>
                <w:szCs w:val="21"/>
                <w:highlight w:val="none"/>
              </w:rPr>
              <w:t>3</w:t>
            </w:r>
            <w:r>
              <w:rPr>
                <w:rFonts w:hint="eastAsia"/>
                <w:b/>
                <w:bCs/>
                <w:szCs w:val="21"/>
                <w:highlight w:val="none"/>
              </w:rPr>
              <w:t>、排污许可证管理要求</w:t>
            </w:r>
          </w:p>
          <w:p>
            <w:pPr>
              <w:adjustRightInd w:val="0"/>
              <w:snapToGrid w:val="0"/>
              <w:spacing w:line="360" w:lineRule="auto"/>
              <w:ind w:firstLineChars="200" w:firstLine="420"/>
              <w:rPr>
                <w:szCs w:val="21"/>
                <w:highlight w:val="none"/>
              </w:rPr>
            </w:pPr>
            <w:r>
              <w:rPr>
                <w:rFonts w:hint="eastAsia"/>
                <w:szCs w:val="21"/>
                <w:u w:val="single"/>
                <w:highlight w:val="none"/>
              </w:rPr>
              <w:t>根据《固定污染源排污许可分类管理名录（</w:t>
            </w:r>
            <w:r>
              <w:rPr>
                <w:szCs w:val="21"/>
                <w:u w:val="single"/>
                <w:highlight w:val="none"/>
              </w:rPr>
              <w:t>2019</w:t>
            </w:r>
            <w:r>
              <w:rPr>
                <w:rFonts w:hint="eastAsia"/>
                <w:szCs w:val="21"/>
                <w:u w:val="single"/>
                <w:highlight w:val="none"/>
              </w:rPr>
              <w:t>年版）》，本项目排污许可分类为登记管理，建设单位在取得环评批复后，在启动生产设施或者发生实际排污之前须在全国排污许可证管理信息平台进行登记。</w:t>
            </w:r>
          </w:p>
          <w:p>
            <w:pPr>
              <w:adjustRightInd w:val="0"/>
              <w:snapToGrid w:val="0"/>
              <w:spacing w:line="360" w:lineRule="auto"/>
              <w:rPr>
                <w:b/>
                <w:bCs/>
                <w:szCs w:val="21"/>
                <w:highlight w:val="none"/>
              </w:rPr>
            </w:pPr>
            <w:r>
              <w:rPr>
                <w:b/>
                <w:bCs/>
                <w:szCs w:val="21"/>
                <w:highlight w:val="none"/>
              </w:rPr>
              <w:t>4</w:t>
            </w:r>
            <w:r>
              <w:rPr>
                <w:rFonts w:hint="eastAsia"/>
                <w:b/>
                <w:bCs/>
                <w:szCs w:val="21"/>
                <w:highlight w:val="none"/>
              </w:rPr>
              <w:t>、自主验收要求</w:t>
            </w:r>
          </w:p>
          <w:p>
            <w:pPr>
              <w:adjustRightInd w:val="0"/>
              <w:snapToGrid w:val="0"/>
              <w:spacing w:line="360" w:lineRule="auto"/>
              <w:ind w:firstLineChars="200" w:firstLine="420"/>
              <w:rPr>
                <w:szCs w:val="21"/>
                <w:highlight w:val="none"/>
              </w:rPr>
            </w:pPr>
            <w:r>
              <w:rPr>
                <w:rFonts w:hint="eastAsia"/>
                <w:szCs w:val="21"/>
                <w:highlight w:val="none"/>
              </w:rPr>
              <w:t>建设单位应在本项目建设完成并进行试生产后，按照《建设项目竣工环境保护验收暂行办法》（</w:t>
            </w:r>
            <w:r>
              <w:rPr>
                <w:szCs w:val="21"/>
                <w:highlight w:val="none"/>
              </w:rPr>
              <w:t>2017</w:t>
            </w:r>
            <w:r>
              <w:rPr>
                <w:rFonts w:hint="eastAsia"/>
                <w:szCs w:val="21"/>
                <w:highlight w:val="none"/>
              </w:rPr>
              <w:t>年</w:t>
            </w:r>
            <w:r>
              <w:rPr>
                <w:szCs w:val="21"/>
                <w:highlight w:val="none"/>
              </w:rPr>
              <w:t>11</w:t>
            </w:r>
            <w:r>
              <w:rPr>
                <w:rFonts w:hint="eastAsia"/>
                <w:szCs w:val="21"/>
                <w:highlight w:val="none"/>
              </w:rPr>
              <w:t>月</w:t>
            </w:r>
            <w:r>
              <w:rPr>
                <w:szCs w:val="21"/>
                <w:highlight w:val="none"/>
              </w:rPr>
              <w:t>22</w:t>
            </w:r>
            <w:r>
              <w:rPr>
                <w:rFonts w:hint="eastAsia"/>
                <w:szCs w:val="21"/>
                <w:highlight w:val="none"/>
              </w:rPr>
              <w:t>日实施）中的相关规定，进行自主验收。</w:t>
            </w:r>
          </w:p>
          <w:p>
            <w:pPr>
              <w:adjustRightInd w:val="0"/>
              <w:snapToGrid w:val="0"/>
              <w:spacing w:line="360" w:lineRule="auto"/>
              <w:rPr>
                <w:szCs w:val="21"/>
                <w:highlight w:val="none"/>
              </w:rPr>
            </w:pPr>
          </w:p>
          <w:p>
            <w:pPr>
              <w:pStyle w:val="17"/>
              <w:spacing w:line="360" w:lineRule="auto"/>
              <w:rPr>
                <w:highlight w:val="none"/>
              </w:rPr>
            </w:pPr>
          </w:p>
        </w:tc>
      </w:tr>
    </w:tbl>
    <w:p>
      <w:pPr>
        <w:pStyle w:val="34"/>
        <w:spacing w:before="0" w:beforeAutospacing="0" w:after="0" w:afterAutospacing="0" w:line="360" w:lineRule="auto"/>
        <w:jc w:val="center"/>
        <w:outlineLvl w:val="0"/>
        <w:rPr>
          <w:rFonts w:ascii="Times New Roman" w:hAnsi="Times New Roman"/>
          <w:b/>
          <w:bCs/>
          <w:snapToGrid w:val="0"/>
          <w:sz w:val="30"/>
          <w:szCs w:val="30"/>
          <w:highlight w:val="none"/>
        </w:rPr>
      </w:pPr>
      <w:r>
        <w:rPr>
          <w:rFonts w:ascii="Times New Roman" w:hAnsi="Times New Roman"/>
          <w:snapToGrid w:val="0"/>
          <w:highlight w:val="none"/>
        </w:rPr>
        <w:br w:type="page"/>
      </w:r>
      <w:bookmarkStart w:id="19" w:name="_Toc16761"/>
      <w:r>
        <w:rPr>
          <w:rFonts w:ascii="Times New Roman" w:hAnsi="Times New Roman"/>
          <w:b/>
          <w:bCs/>
          <w:snapToGrid w:val="0"/>
          <w:sz w:val="30"/>
          <w:szCs w:val="30"/>
          <w:highlight w:val="none"/>
        </w:rPr>
        <w:t>六、结论</w:t>
      </w:r>
      <w:bookmarkEnd w:id="19"/>
    </w:p>
    <w:tbl>
      <w:tblPr>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8865"/>
      </w:tblGrid>
      <w:tr>
        <w:trPr>
          <w:trHeight w:val="340"/>
        </w:trPr>
        <w:tc>
          <w:tcPr>
            <w:tcW w:w="8865" w:type="dxa"/>
            <w:vAlign w:val="center"/>
          </w:tcPr>
          <w:p>
            <w:pPr>
              <w:spacing w:line="360" w:lineRule="auto"/>
              <w:ind w:firstLineChars="200" w:firstLine="480"/>
              <w:rPr>
                <w:sz w:val="24"/>
                <w:highlight w:val="none"/>
              </w:rPr>
            </w:pPr>
            <w:r>
              <w:rPr>
                <w:sz w:val="24"/>
                <w:highlight w:val="none"/>
              </w:rPr>
              <w:t>综上所述，项目符合国家相关产业政策，选址合理，总平面布置合理可行，运营后对周围的环境影响可控制在允许的范围内，周围环境质量能满足功能区划要求。在全面落实各项污染防范措施、严格执行各种污染物排放标准，搞好“三同时”制度、保证安全生产的前提下，项目的建设整体上符合环境保护和社会可持续发展的要求，从环境保护角度分析，该项目可行。</w:t>
            </w: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p>
            <w:pPr>
              <w:spacing w:line="360" w:lineRule="auto"/>
              <w:ind w:firstLineChars="200" w:firstLine="480"/>
              <w:rPr>
                <w:sz w:val="24"/>
                <w:highlight w:val="none"/>
              </w:rPr>
            </w:pPr>
          </w:p>
        </w:tc>
      </w:tr>
    </w:tbl>
    <w:p>
      <w:pPr>
        <w:rPr>
          <w:highlight w:val="none"/>
        </w:rPr>
        <w:sectPr>
          <w:pgSz w:w="11906" w:h="16838"/>
          <w:pgMar w:top="1701" w:right="1531" w:bottom="1701" w:left="1531" w:header="851" w:footer="851" w:gutter="0"/>
          <w:pgBorders>
            <w:top w:val="none" w:sz="0" w:space="0" w:color="auto"/>
            <w:left w:val="none" w:sz="0" w:space="0" w:color="auto"/>
            <w:bottom w:val="none" w:sz="0" w:space="0" w:color="auto"/>
            <w:right w:val="none" w:sz="0" w:space="0" w:color="auto"/>
          </w:pgBorders>
          <w:cols w:num="1" w:space="720"/>
          <w:docGrid w:linePitch="312" w:charSpace="0"/>
        </w:sectPr>
      </w:pPr>
    </w:p>
    <w:p>
      <w:pPr>
        <w:pStyle w:val="34"/>
        <w:adjustRightInd w:val="0"/>
        <w:snapToGrid w:val="0"/>
        <w:spacing w:before="0" w:beforeAutospacing="0" w:after="0" w:afterAutospacing="0" w:line="360" w:lineRule="auto"/>
        <w:outlineLvl w:val="0"/>
        <w:rPr>
          <w:rFonts w:ascii="Times New Roman" w:hAnsi="Times New Roman"/>
          <w:snapToGrid w:val="0"/>
          <w:sz w:val="32"/>
          <w:szCs w:val="32"/>
          <w:highlight w:val="none"/>
        </w:rPr>
      </w:pPr>
      <w:bookmarkStart w:id="20" w:name="_Toc18935"/>
      <w:r>
        <w:rPr>
          <w:rFonts w:ascii="Times New Roman" w:hAnsi="Times New Roman"/>
          <w:snapToGrid w:val="0"/>
          <w:sz w:val="32"/>
          <w:szCs w:val="32"/>
          <w:highlight w:val="none"/>
        </w:rPr>
        <w:t>附表</w:t>
      </w:r>
      <w:bookmarkEnd w:id="20"/>
    </w:p>
    <w:p>
      <w:pPr>
        <w:spacing w:line="360" w:lineRule="auto"/>
        <w:jc w:val="center"/>
        <w:rPr>
          <w:b/>
          <w:bCs/>
          <w:sz w:val="30"/>
          <w:szCs w:val="30"/>
          <w:highlight w:val="none"/>
        </w:rPr>
      </w:pPr>
      <w:r>
        <w:rPr>
          <w:b/>
          <w:bCs/>
          <w:sz w:val="30"/>
          <w:szCs w:val="30"/>
          <w:highlight w:val="none"/>
        </w:rPr>
        <w:t>建设项目污染物排放量汇总表</w:t>
      </w:r>
      <w:r>
        <w:rPr>
          <w:b/>
          <w:bCs/>
          <w:snapToGrid w:val="0"/>
          <w:sz w:val="38"/>
          <w:szCs w:val="38"/>
          <w:highlight w:val="none"/>
        </w:rPr>
        <w:t>（t/a）</w:t>
      </w:r>
    </w:p>
    <w:tbl>
      <w:tblPr>
        <w:jc w:val="center"/>
        <w:tblW w:w="1405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588"/>
        <w:gridCol w:w="1417"/>
        <w:gridCol w:w="1701"/>
        <w:gridCol w:w="1276"/>
        <w:gridCol w:w="1701"/>
        <w:gridCol w:w="1559"/>
        <w:gridCol w:w="1761"/>
        <w:gridCol w:w="1959"/>
        <w:gridCol w:w="1089"/>
      </w:tblGrid>
      <w:tr>
        <w:trPr>
          <w:trHeight w:val="340"/>
        </w:trPr>
        <w:tc>
          <w:tcPr>
            <w:tcW w:w="1588" w:type="dxa"/>
            <w:tcBorders>
              <w:tl2br w:val="single" w:sz="4" w:space="0" w:color="auto"/>
            </w:tcBorders>
            <w:tcMar>
              <w:left w:w="28" w:type="dxa"/>
              <w:right w:w="28" w:type="dxa"/>
            </w:tcMar>
            <w:vAlign w:val="center"/>
          </w:tcPr>
          <w:p>
            <w:pPr>
              <w:pStyle w:val="47"/>
              <w:adjustRightInd/>
              <w:snapToGrid/>
              <w:spacing w:beforeLines="0" w:before="10" w:afterLines="0" w:after="10" w:line="240" w:lineRule="auto"/>
              <w:ind w:left="0" w:right="0" w:firstLine="0"/>
              <w:jc w:val="right"/>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项目</w:t>
            </w:r>
          </w:p>
          <w:p>
            <w:pPr>
              <w:pStyle w:val="47"/>
              <w:adjustRightInd/>
              <w:snapToGrid/>
              <w:spacing w:beforeLines="0" w:before="10" w:afterLines="0" w:after="10" w:line="240" w:lineRule="auto"/>
              <w:ind w:left="0" w:right="0" w:firstLine="0"/>
              <w:jc w:val="left"/>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分类</w:t>
            </w:r>
          </w:p>
        </w:tc>
        <w:tc>
          <w:tcPr>
            <w:tcW w:w="1417" w:type="dxa"/>
            <w:tcMar>
              <w:left w:w="28" w:type="dxa"/>
              <w:right w:w="28" w:type="dxa"/>
            </w:tcMar>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污染物名称</w:t>
            </w:r>
          </w:p>
        </w:tc>
        <w:tc>
          <w:tcPr>
            <w:tcW w:w="1701" w:type="dxa"/>
            <w:tcMar>
              <w:left w:w="28" w:type="dxa"/>
              <w:right w:w="28" w:type="dxa"/>
            </w:tcMar>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现有工程</w:t>
            </w:r>
          </w:p>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排放量（固体废物产生量）</w:t>
            </w:r>
            <w:r>
              <w:rPr>
                <w:rFonts w:ascii="Times New Roman" w:eastAsia="宋体" w:hAnsi="Times New Roman"/>
                <w:snapToGrid w:val="0"/>
                <w:color w:val="000000"/>
                <w:spacing w:val="-6"/>
                <w:kern w:val="21"/>
                <w:sz w:val="21"/>
                <w:szCs w:val="21"/>
                <w:highlight w:val="none"/>
              </w:rPr>
              <w:fldChar w:fldCharType="begin"/>
            </w:r>
            <w:r>
              <w:rPr>
                <w:rFonts w:ascii="Times New Roman" w:eastAsia="宋体" w:hAnsi="Times New Roman"/>
                <w:snapToGrid w:val="0"/>
                <w:color w:val="000000"/>
                <w:spacing w:val="-6"/>
                <w:kern w:val="21"/>
                <w:sz w:val="21"/>
                <w:szCs w:val="21"/>
                <w:highlight w:val="none"/>
              </w:rPr>
              <w:instrText xml:space="preserve"> = 1 \* GB3 \* MERGEFORMAT </w:instrText>
            </w:r>
            <w:r>
              <w:rPr>
                <w:rFonts w:ascii="Times New Roman" w:eastAsia="宋体" w:hAnsi="Times New Roman"/>
                <w:snapToGrid w:val="0"/>
                <w:color w:val="000000"/>
                <w:spacing w:val="-6"/>
                <w:kern w:val="21"/>
                <w:sz w:val="21"/>
                <w:szCs w:val="21"/>
                <w:highlight w:val="none"/>
              </w:rPr>
              <w:fldChar w:fldCharType="separate"/>
            </w:r>
            <w:r>
              <w:rPr>
                <w:rFonts w:eastAsia="宋体" w:cs="宋体" w:hAnsi="宋体" w:hint="eastAsia"/>
                <w:kern w:val="2"/>
                <w:sz w:val="21"/>
                <w:szCs w:val="21"/>
                <w:highlight w:val="none"/>
              </w:rPr>
              <w:t>①</w:t>
            </w:r>
            <w:r>
              <w:rPr>
                <w:rFonts w:ascii="Times New Roman" w:eastAsia="宋体" w:hAnsi="Times New Roman"/>
                <w:snapToGrid w:val="0"/>
                <w:color w:val="000000"/>
                <w:spacing w:val="-6"/>
                <w:kern w:val="21"/>
                <w:sz w:val="21"/>
                <w:szCs w:val="21"/>
                <w:highlight w:val="none"/>
              </w:rPr>
              <w:fldChar w:fldCharType="end"/>
            </w:r>
          </w:p>
        </w:tc>
        <w:tc>
          <w:tcPr>
            <w:tcW w:w="1276" w:type="dxa"/>
            <w:tcMar>
              <w:left w:w="28" w:type="dxa"/>
              <w:right w:w="28" w:type="dxa"/>
            </w:tcMar>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现有工程</w:t>
            </w:r>
          </w:p>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许可排放量</w:t>
            </w:r>
          </w:p>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fldChar w:fldCharType="begin"/>
            </w:r>
            <w:r>
              <w:rPr>
                <w:rFonts w:ascii="Times New Roman" w:eastAsia="宋体" w:hAnsi="Times New Roman"/>
                <w:snapToGrid w:val="0"/>
                <w:color w:val="000000"/>
                <w:spacing w:val="-6"/>
                <w:kern w:val="21"/>
                <w:sz w:val="21"/>
                <w:szCs w:val="21"/>
                <w:highlight w:val="none"/>
              </w:rPr>
              <w:instrText xml:space="preserve"> = 2 \* GB3 \* MERGEFORMAT </w:instrText>
            </w:r>
            <w:r>
              <w:rPr>
                <w:rFonts w:ascii="Times New Roman" w:eastAsia="宋体" w:hAnsi="Times New Roman"/>
                <w:snapToGrid w:val="0"/>
                <w:color w:val="000000"/>
                <w:spacing w:val="-6"/>
                <w:kern w:val="21"/>
                <w:sz w:val="21"/>
                <w:szCs w:val="21"/>
                <w:highlight w:val="none"/>
              </w:rPr>
              <w:fldChar w:fldCharType="separate"/>
            </w:r>
            <w:r>
              <w:rPr>
                <w:rFonts w:eastAsia="宋体" w:cs="宋体" w:hAnsi="宋体" w:hint="eastAsia"/>
                <w:snapToGrid w:val="0"/>
                <w:color w:val="000000"/>
                <w:spacing w:val="-6"/>
                <w:kern w:val="21"/>
                <w:sz w:val="21"/>
                <w:szCs w:val="21"/>
                <w:highlight w:val="none"/>
              </w:rPr>
              <w:t>②</w:t>
            </w:r>
            <w:r>
              <w:rPr>
                <w:rFonts w:ascii="Times New Roman" w:eastAsia="宋体" w:hAnsi="Times New Roman"/>
                <w:snapToGrid w:val="0"/>
                <w:color w:val="000000"/>
                <w:spacing w:val="-6"/>
                <w:kern w:val="21"/>
                <w:sz w:val="21"/>
                <w:szCs w:val="21"/>
                <w:highlight w:val="none"/>
              </w:rPr>
              <w:fldChar w:fldCharType="end"/>
            </w:r>
          </w:p>
        </w:tc>
        <w:tc>
          <w:tcPr>
            <w:tcW w:w="1701" w:type="dxa"/>
            <w:tcMar>
              <w:left w:w="28" w:type="dxa"/>
              <w:right w:w="28" w:type="dxa"/>
            </w:tcMar>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在建工程</w:t>
            </w:r>
          </w:p>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排放量（固体废物产生量）</w:t>
            </w:r>
            <w:r>
              <w:rPr>
                <w:rFonts w:ascii="Times New Roman" w:eastAsia="宋体" w:hAnsi="Times New Roman"/>
                <w:snapToGrid w:val="0"/>
                <w:color w:val="000000"/>
                <w:spacing w:val="-6"/>
                <w:kern w:val="21"/>
                <w:sz w:val="21"/>
                <w:szCs w:val="21"/>
                <w:highlight w:val="none"/>
              </w:rPr>
              <w:fldChar w:fldCharType="begin"/>
            </w:r>
            <w:r>
              <w:rPr>
                <w:rFonts w:ascii="Times New Roman" w:eastAsia="宋体" w:hAnsi="Times New Roman"/>
                <w:snapToGrid w:val="0"/>
                <w:color w:val="000000"/>
                <w:spacing w:val="-6"/>
                <w:kern w:val="21"/>
                <w:sz w:val="21"/>
                <w:szCs w:val="21"/>
                <w:highlight w:val="none"/>
              </w:rPr>
              <w:instrText xml:space="preserve"> = 3 \* GB3 \* MERGEFORMAT </w:instrText>
            </w:r>
            <w:r>
              <w:rPr>
                <w:rFonts w:ascii="Times New Roman" w:eastAsia="宋体" w:hAnsi="Times New Roman"/>
                <w:snapToGrid w:val="0"/>
                <w:color w:val="000000"/>
                <w:spacing w:val="-6"/>
                <w:kern w:val="21"/>
                <w:sz w:val="21"/>
                <w:szCs w:val="21"/>
                <w:highlight w:val="none"/>
              </w:rPr>
              <w:fldChar w:fldCharType="separate"/>
            </w:r>
            <w:r>
              <w:rPr>
                <w:rFonts w:eastAsia="宋体" w:cs="宋体" w:hAnsi="宋体" w:hint="eastAsia"/>
                <w:kern w:val="2"/>
                <w:sz w:val="21"/>
                <w:szCs w:val="21"/>
                <w:highlight w:val="none"/>
              </w:rPr>
              <w:t>③</w:t>
            </w:r>
            <w:r>
              <w:rPr>
                <w:rFonts w:ascii="Times New Roman" w:eastAsia="宋体" w:hAnsi="Times New Roman"/>
                <w:snapToGrid w:val="0"/>
                <w:color w:val="000000"/>
                <w:spacing w:val="-6"/>
                <w:kern w:val="21"/>
                <w:sz w:val="21"/>
                <w:szCs w:val="21"/>
                <w:highlight w:val="none"/>
              </w:rPr>
              <w:fldChar w:fldCharType="end"/>
            </w:r>
          </w:p>
        </w:tc>
        <w:tc>
          <w:tcPr>
            <w:tcW w:w="1559" w:type="dxa"/>
            <w:tcMar>
              <w:left w:w="28" w:type="dxa"/>
              <w:right w:w="28" w:type="dxa"/>
            </w:tcMar>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本项目</w:t>
            </w:r>
          </w:p>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排放量（固体废物产生量）</w:t>
            </w:r>
            <w:r>
              <w:rPr>
                <w:rFonts w:ascii="Times New Roman" w:eastAsia="宋体" w:hAnsi="Times New Roman"/>
                <w:snapToGrid w:val="0"/>
                <w:color w:val="000000"/>
                <w:spacing w:val="-6"/>
                <w:kern w:val="21"/>
                <w:sz w:val="21"/>
                <w:szCs w:val="21"/>
                <w:highlight w:val="none"/>
              </w:rPr>
              <w:fldChar w:fldCharType="begin"/>
            </w:r>
            <w:r>
              <w:rPr>
                <w:rFonts w:ascii="Times New Roman" w:eastAsia="宋体" w:hAnsi="Times New Roman"/>
                <w:snapToGrid w:val="0"/>
                <w:color w:val="000000"/>
                <w:spacing w:val="-6"/>
                <w:kern w:val="21"/>
                <w:sz w:val="21"/>
                <w:szCs w:val="21"/>
                <w:highlight w:val="none"/>
              </w:rPr>
              <w:instrText xml:space="preserve"> = 4 \* GB3 \* MERGEFORMAT </w:instrText>
            </w:r>
            <w:r>
              <w:rPr>
                <w:rFonts w:ascii="Times New Roman" w:eastAsia="宋体" w:hAnsi="Times New Roman"/>
                <w:snapToGrid w:val="0"/>
                <w:color w:val="000000"/>
                <w:spacing w:val="-6"/>
                <w:kern w:val="21"/>
                <w:sz w:val="21"/>
                <w:szCs w:val="21"/>
                <w:highlight w:val="none"/>
              </w:rPr>
              <w:fldChar w:fldCharType="separate"/>
            </w:r>
            <w:r>
              <w:rPr>
                <w:rFonts w:eastAsia="宋体" w:cs="宋体" w:hAnsi="宋体" w:hint="eastAsia"/>
                <w:kern w:val="2"/>
                <w:sz w:val="21"/>
                <w:szCs w:val="21"/>
                <w:highlight w:val="none"/>
              </w:rPr>
              <w:t>④</w:t>
            </w:r>
            <w:r>
              <w:rPr>
                <w:rFonts w:ascii="Times New Roman" w:eastAsia="宋体" w:hAnsi="Times New Roman"/>
                <w:snapToGrid w:val="0"/>
                <w:color w:val="000000"/>
                <w:spacing w:val="-6"/>
                <w:kern w:val="21"/>
                <w:sz w:val="21"/>
                <w:szCs w:val="21"/>
                <w:highlight w:val="none"/>
              </w:rPr>
              <w:fldChar w:fldCharType="end"/>
            </w:r>
          </w:p>
        </w:tc>
        <w:tc>
          <w:tcPr>
            <w:tcW w:w="1761" w:type="dxa"/>
            <w:tcMar>
              <w:left w:w="28" w:type="dxa"/>
              <w:right w:w="28" w:type="dxa"/>
            </w:tcMar>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16"/>
                <w:kern w:val="21"/>
                <w:sz w:val="21"/>
                <w:szCs w:val="21"/>
                <w:highlight w:val="none"/>
              </w:rPr>
            </w:pPr>
            <w:r>
              <w:rPr>
                <w:rFonts w:ascii="Times New Roman" w:eastAsia="宋体" w:hAnsi="Times New Roman"/>
                <w:snapToGrid w:val="0"/>
                <w:color w:val="000000"/>
                <w:spacing w:val="-16"/>
                <w:kern w:val="21"/>
                <w:sz w:val="21"/>
                <w:szCs w:val="21"/>
                <w:highlight w:val="none"/>
              </w:rPr>
              <w:t>以新带老削减量</w:t>
            </w:r>
          </w:p>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16"/>
                <w:kern w:val="21"/>
                <w:sz w:val="21"/>
                <w:szCs w:val="21"/>
                <w:highlight w:val="none"/>
              </w:rPr>
            </w:pPr>
            <w:r>
              <w:rPr>
                <w:rFonts w:ascii="Times New Roman" w:eastAsia="宋体" w:hAnsi="Times New Roman"/>
                <w:snapToGrid w:val="0"/>
                <w:color w:val="000000"/>
                <w:spacing w:val="-16"/>
                <w:kern w:val="21"/>
                <w:sz w:val="21"/>
                <w:szCs w:val="21"/>
                <w:highlight w:val="none"/>
              </w:rPr>
              <w:t>（新建项目不填）</w:t>
            </w:r>
            <w:r>
              <w:rPr>
                <w:rFonts w:ascii="Times New Roman" w:eastAsia="宋体" w:hAnsi="Times New Roman"/>
                <w:snapToGrid w:val="0"/>
                <w:color w:val="000000"/>
                <w:spacing w:val="-16"/>
                <w:kern w:val="21"/>
                <w:sz w:val="21"/>
                <w:szCs w:val="21"/>
                <w:highlight w:val="none"/>
              </w:rPr>
              <w:fldChar w:fldCharType="begin"/>
            </w:r>
            <w:r>
              <w:rPr>
                <w:rFonts w:ascii="Times New Roman" w:eastAsia="宋体" w:hAnsi="Times New Roman"/>
                <w:snapToGrid w:val="0"/>
                <w:color w:val="000000"/>
                <w:spacing w:val="-16"/>
                <w:kern w:val="21"/>
                <w:sz w:val="21"/>
                <w:szCs w:val="21"/>
                <w:highlight w:val="none"/>
              </w:rPr>
              <w:instrText xml:space="preserve"> = 5 \* GB3 \* MERGEFORMAT </w:instrText>
            </w:r>
            <w:r>
              <w:rPr>
                <w:rFonts w:ascii="Times New Roman" w:eastAsia="宋体" w:hAnsi="Times New Roman"/>
                <w:snapToGrid w:val="0"/>
                <w:color w:val="000000"/>
                <w:spacing w:val="-16"/>
                <w:kern w:val="21"/>
                <w:sz w:val="21"/>
                <w:szCs w:val="21"/>
                <w:highlight w:val="none"/>
              </w:rPr>
              <w:fldChar w:fldCharType="separate"/>
            </w:r>
            <w:r>
              <w:rPr>
                <w:rFonts w:eastAsia="宋体" w:cs="宋体" w:hAnsi="宋体" w:hint="eastAsia"/>
                <w:kern w:val="2"/>
                <w:sz w:val="21"/>
                <w:szCs w:val="21"/>
                <w:highlight w:val="none"/>
              </w:rPr>
              <w:t>⑤</w:t>
            </w:r>
            <w:r>
              <w:rPr>
                <w:rFonts w:ascii="Times New Roman" w:eastAsia="宋体" w:hAnsi="Times New Roman"/>
                <w:snapToGrid w:val="0"/>
                <w:color w:val="000000"/>
                <w:spacing w:val="-16"/>
                <w:kern w:val="21"/>
                <w:sz w:val="21"/>
                <w:szCs w:val="21"/>
                <w:highlight w:val="none"/>
              </w:rPr>
              <w:fldChar w:fldCharType="end"/>
            </w:r>
          </w:p>
        </w:tc>
        <w:tc>
          <w:tcPr>
            <w:tcW w:w="1959" w:type="dxa"/>
            <w:tcMar>
              <w:left w:w="28" w:type="dxa"/>
              <w:right w:w="28" w:type="dxa"/>
            </w:tcMar>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16"/>
                <w:kern w:val="21"/>
                <w:sz w:val="21"/>
                <w:szCs w:val="21"/>
                <w:highlight w:val="none"/>
              </w:rPr>
            </w:pPr>
            <w:r>
              <w:rPr>
                <w:rFonts w:ascii="Times New Roman" w:eastAsia="宋体" w:hAnsi="Times New Roman"/>
                <w:snapToGrid w:val="0"/>
                <w:color w:val="000000"/>
                <w:spacing w:val="-16"/>
                <w:kern w:val="21"/>
                <w:sz w:val="21"/>
                <w:szCs w:val="21"/>
                <w:highlight w:val="none"/>
              </w:rPr>
              <w:t>本项目建成后</w:t>
            </w:r>
          </w:p>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16"/>
                <w:kern w:val="21"/>
                <w:sz w:val="21"/>
                <w:szCs w:val="21"/>
                <w:highlight w:val="none"/>
              </w:rPr>
            </w:pPr>
            <w:r>
              <w:rPr>
                <w:rFonts w:ascii="Times New Roman" w:eastAsia="宋体" w:hAnsi="Times New Roman"/>
                <w:snapToGrid w:val="0"/>
                <w:color w:val="000000"/>
                <w:spacing w:val="-16"/>
                <w:kern w:val="21"/>
                <w:sz w:val="21"/>
                <w:szCs w:val="21"/>
                <w:highlight w:val="none"/>
              </w:rPr>
              <w:t>全厂排放量（固体废物产生量）</w:t>
            </w:r>
            <w:r>
              <w:rPr>
                <w:rFonts w:ascii="Times New Roman" w:eastAsia="宋体" w:hAnsi="Times New Roman"/>
                <w:snapToGrid w:val="0"/>
                <w:color w:val="000000"/>
                <w:spacing w:val="-16"/>
                <w:kern w:val="21"/>
                <w:sz w:val="21"/>
                <w:szCs w:val="21"/>
                <w:highlight w:val="none"/>
              </w:rPr>
              <w:fldChar w:fldCharType="begin"/>
            </w:r>
            <w:r>
              <w:rPr>
                <w:rFonts w:ascii="Times New Roman" w:eastAsia="宋体" w:hAnsi="Times New Roman"/>
                <w:snapToGrid w:val="0"/>
                <w:color w:val="000000"/>
                <w:spacing w:val="-16"/>
                <w:kern w:val="21"/>
                <w:sz w:val="21"/>
                <w:szCs w:val="21"/>
                <w:highlight w:val="none"/>
              </w:rPr>
              <w:instrText xml:space="preserve"> = 6 \* GB3 \* MERGEFORMAT </w:instrText>
            </w:r>
            <w:r>
              <w:rPr>
                <w:rFonts w:ascii="Times New Roman" w:eastAsia="宋体" w:hAnsi="Times New Roman"/>
                <w:snapToGrid w:val="0"/>
                <w:color w:val="000000"/>
                <w:spacing w:val="-16"/>
                <w:kern w:val="21"/>
                <w:sz w:val="21"/>
                <w:szCs w:val="21"/>
                <w:highlight w:val="none"/>
              </w:rPr>
              <w:fldChar w:fldCharType="separate"/>
            </w:r>
            <w:r>
              <w:rPr>
                <w:rFonts w:eastAsia="宋体" w:cs="宋体" w:hAnsi="宋体" w:hint="eastAsia"/>
                <w:kern w:val="2"/>
                <w:sz w:val="21"/>
                <w:szCs w:val="21"/>
                <w:highlight w:val="none"/>
              </w:rPr>
              <w:t>⑥</w:t>
            </w:r>
            <w:r>
              <w:rPr>
                <w:rFonts w:ascii="Times New Roman" w:eastAsia="宋体" w:hAnsi="Times New Roman"/>
                <w:snapToGrid w:val="0"/>
                <w:color w:val="000000"/>
                <w:spacing w:val="-16"/>
                <w:kern w:val="21"/>
                <w:sz w:val="21"/>
                <w:szCs w:val="21"/>
                <w:highlight w:val="none"/>
              </w:rPr>
              <w:fldChar w:fldCharType="end"/>
            </w:r>
          </w:p>
        </w:tc>
        <w:tc>
          <w:tcPr>
            <w:tcW w:w="1089" w:type="dxa"/>
            <w:tcMar>
              <w:left w:w="28" w:type="dxa"/>
              <w:right w:w="28" w:type="dxa"/>
            </w:tcMar>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t>变化量</w:t>
            </w:r>
          </w:p>
          <w:p>
            <w:pPr>
              <w:pStyle w:val="47"/>
              <w:adjustRightInd/>
              <w:snapToGrid/>
              <w:spacing w:beforeLines="0" w:before="10" w:afterLines="0" w:after="10" w:line="240" w:lineRule="auto"/>
              <w:ind w:left="0" w:right="0" w:firstLine="0"/>
              <w:rPr>
                <w:rFonts w:ascii="Times New Roman" w:eastAsia="宋体" w:hAnsi="Times New Roman"/>
                <w:snapToGrid w:val="0"/>
                <w:color w:val="000000"/>
                <w:spacing w:val="-6"/>
                <w:kern w:val="21"/>
                <w:sz w:val="21"/>
                <w:szCs w:val="21"/>
                <w:highlight w:val="none"/>
              </w:rPr>
            </w:pPr>
            <w:r>
              <w:rPr>
                <w:rFonts w:ascii="Times New Roman" w:eastAsia="宋体" w:hAnsi="Times New Roman"/>
                <w:snapToGrid w:val="0"/>
                <w:color w:val="000000"/>
                <w:spacing w:val="-6"/>
                <w:kern w:val="21"/>
                <w:sz w:val="21"/>
                <w:szCs w:val="21"/>
                <w:highlight w:val="none"/>
              </w:rPr>
              <w:fldChar w:fldCharType="begin"/>
            </w:r>
            <w:r>
              <w:rPr>
                <w:rFonts w:ascii="Times New Roman" w:eastAsia="宋体" w:hAnsi="Times New Roman"/>
                <w:snapToGrid w:val="0"/>
                <w:color w:val="000000"/>
                <w:spacing w:val="-6"/>
                <w:kern w:val="21"/>
                <w:sz w:val="21"/>
                <w:szCs w:val="21"/>
                <w:highlight w:val="none"/>
              </w:rPr>
              <w:instrText xml:space="preserve"> = 7 \* GB3 \* MERGEFORMAT </w:instrText>
            </w:r>
            <w:r>
              <w:rPr>
                <w:rFonts w:ascii="Times New Roman" w:eastAsia="宋体" w:hAnsi="Times New Roman"/>
                <w:snapToGrid w:val="0"/>
                <w:color w:val="000000"/>
                <w:spacing w:val="-6"/>
                <w:kern w:val="21"/>
                <w:sz w:val="21"/>
                <w:szCs w:val="21"/>
                <w:highlight w:val="none"/>
              </w:rPr>
              <w:fldChar w:fldCharType="separate"/>
            </w:r>
            <w:r>
              <w:rPr>
                <w:rFonts w:eastAsia="宋体" w:cs="宋体" w:hAnsi="宋体" w:hint="eastAsia"/>
                <w:kern w:val="2"/>
                <w:sz w:val="21"/>
                <w:szCs w:val="21"/>
                <w:highlight w:val="none"/>
              </w:rPr>
              <w:t>⑦</w:t>
            </w:r>
            <w:r>
              <w:rPr>
                <w:rFonts w:ascii="Times New Roman" w:eastAsia="宋体" w:hAnsi="Times New Roman"/>
                <w:snapToGrid w:val="0"/>
                <w:color w:val="000000"/>
                <w:spacing w:val="-6"/>
                <w:kern w:val="21"/>
                <w:sz w:val="21"/>
                <w:szCs w:val="21"/>
                <w:highlight w:val="none"/>
              </w:rPr>
              <w:fldChar w:fldCharType="end"/>
            </w:r>
          </w:p>
        </w:tc>
      </w:tr>
      <w:tr>
        <w:trPr>
          <w:trHeight w:val="454"/>
        </w:trPr>
        <w:tc>
          <w:tcPr>
            <w:tcW w:w="1588" w:type="dxa"/>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废气</w:t>
            </w:r>
          </w:p>
        </w:tc>
        <w:tc>
          <w:tcPr>
            <w:tcW w:w="1417" w:type="dxa"/>
            <w:vAlign w:val="center"/>
          </w:tcPr>
          <w:p>
            <w:pPr>
              <w:widowControl/>
              <w:jc w:val="center"/>
              <w:rPr>
                <w:snapToGrid w:val="0"/>
                <w:color w:val="000000"/>
                <w:kern w:val="21"/>
                <w:szCs w:val="21"/>
                <w:highlight w:val="none"/>
              </w:rPr>
            </w:pPr>
            <w:r>
              <w:rPr>
                <w:rFonts w:hint="eastAsia"/>
                <w:szCs w:val="21"/>
                <w:highlight w:val="none"/>
              </w:rPr>
              <w:t>臭气浓度</w:t>
            </w:r>
          </w:p>
        </w:tc>
        <w:tc>
          <w:tcPr>
            <w:tcW w:w="1701" w:type="dxa"/>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w:t>
            </w:r>
          </w:p>
        </w:tc>
        <w:tc>
          <w:tcPr>
            <w:tcW w:w="1276" w:type="dxa"/>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w:t>
            </w:r>
          </w:p>
        </w:tc>
        <w:tc>
          <w:tcPr>
            <w:tcW w:w="1701" w:type="dxa"/>
            <w:vAlign w:val="center"/>
          </w:tcPr>
          <w:p>
            <w:pPr>
              <w:jc w:val="center"/>
              <w:rPr>
                <w:snapToGrid w:val="0"/>
                <w:color w:val="000000"/>
                <w:kern w:val="21"/>
                <w:szCs w:val="21"/>
                <w:highlight w:val="none"/>
              </w:rPr>
            </w:pPr>
            <w:r>
              <w:rPr>
                <w:snapToGrid w:val="0"/>
                <w:color w:val="000000"/>
                <w:kern w:val="21"/>
                <w:szCs w:val="21"/>
                <w:highlight w:val="none"/>
              </w:rPr>
              <w:t>/</w:t>
            </w:r>
          </w:p>
        </w:tc>
        <w:tc>
          <w:tcPr>
            <w:tcW w:w="1559" w:type="dxa"/>
            <w:vAlign w:val="center"/>
          </w:tcPr>
          <w:p>
            <w:pPr>
              <w:jc w:val="center"/>
              <w:rPr>
                <w:snapToGrid w:val="0"/>
                <w:color w:val="000000"/>
                <w:kern w:val="21"/>
                <w:szCs w:val="21"/>
                <w:highlight w:val="none"/>
              </w:rPr>
            </w:pPr>
            <w:r>
              <w:rPr>
                <w:rFonts w:hint="eastAsia"/>
                <w:snapToGrid w:val="0"/>
                <w:color w:val="000000"/>
                <w:kern w:val="21"/>
                <w:szCs w:val="21"/>
                <w:highlight w:val="none"/>
              </w:rPr>
              <w:t>少量</w:t>
            </w:r>
          </w:p>
        </w:tc>
        <w:tc>
          <w:tcPr>
            <w:tcW w:w="1761" w:type="dxa"/>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w:t>
            </w:r>
          </w:p>
        </w:tc>
        <w:tc>
          <w:tcPr>
            <w:tcW w:w="1959" w:type="dxa"/>
            <w:vAlign w:val="center"/>
          </w:tcPr>
          <w:p>
            <w:pPr>
              <w:jc w:val="center"/>
              <w:rPr>
                <w:snapToGrid w:val="0"/>
                <w:color w:val="000000"/>
                <w:kern w:val="21"/>
                <w:szCs w:val="21"/>
                <w:highlight w:val="none"/>
              </w:rPr>
            </w:pPr>
            <w:r>
              <w:rPr>
                <w:snapToGrid w:val="0"/>
                <w:color w:val="000000"/>
                <w:kern w:val="21"/>
                <w:szCs w:val="21"/>
                <w:highlight w:val="none"/>
              </w:rPr>
              <w:t>/</w:t>
            </w:r>
          </w:p>
        </w:tc>
        <w:tc>
          <w:tcPr>
            <w:tcW w:w="1089" w:type="dxa"/>
            <w:vAlign w:val="center"/>
          </w:tcPr>
          <w:p>
            <w:pPr>
              <w:pStyle w:val="47"/>
              <w:adjustRightInd/>
              <w:snapToGrid/>
              <w:spacing w:beforeLines="0" w:before="10" w:afterLines="0" w:after="10" w:line="240" w:lineRule="auto"/>
              <w:ind w:left="0" w:right="0" w:firstLine="0"/>
              <w:rPr>
                <w:snapToGrid w:val="0"/>
                <w:color w:val="000000"/>
                <w:kern w:val="21"/>
                <w:szCs w:val="21"/>
                <w:highlight w:val="none"/>
              </w:rPr>
            </w:pPr>
            <w:r>
              <w:rPr>
                <w:rFonts w:ascii="Times New Roman" w:eastAsia="宋体" w:hAnsi="Times New Roman"/>
                <w:snapToGrid w:val="0"/>
                <w:color w:val="000000"/>
                <w:kern w:val="21"/>
                <w:sz w:val="21"/>
                <w:szCs w:val="21"/>
                <w:highlight w:val="none"/>
              </w:rPr>
              <w:t>/</w:t>
            </w:r>
          </w:p>
        </w:tc>
      </w:tr>
      <w:tr>
        <w:trPr>
          <w:trHeight w:val="454"/>
        </w:trPr>
        <w:tc>
          <w:tcPr>
            <w:tcW w:w="1588" w:type="dxa"/>
            <w:vMerge w:val="restart"/>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废水</w:t>
            </w:r>
          </w:p>
        </w:tc>
        <w:tc>
          <w:tcPr>
            <w:tcW w:w="1417" w:type="dxa"/>
            <w:vAlign w:val="center"/>
          </w:tcPr>
          <w:p>
            <w:pPr>
              <w:widowControl/>
              <w:jc w:val="center"/>
              <w:textAlignment w:val="center"/>
              <w:rPr>
                <w:bCs/>
                <w:snapToGrid w:val="0"/>
                <w:color w:val="000000"/>
                <w:kern w:val="21"/>
                <w:szCs w:val="21"/>
                <w:highlight w:val="none"/>
              </w:rPr>
            </w:pPr>
            <w:r>
              <w:rPr>
                <w:szCs w:val="21"/>
                <w:highlight w:val="none"/>
              </w:rPr>
              <w:t>COD</w:t>
            </w:r>
          </w:p>
        </w:tc>
        <w:tc>
          <w:tcPr>
            <w:tcW w:w="1701" w:type="dxa"/>
            <w:vAlign w:val="center"/>
          </w:tcPr>
          <w:p>
            <w:pPr>
              <w:jc w:val="center"/>
              <w:textAlignment w:val="baseline"/>
              <w:rPr>
                <w:rFonts w:cs="Times New Roman"/>
                <w:sz w:val="21"/>
                <w:szCs w:val="21"/>
                <w:highlight w:val="none"/>
              </w:rPr>
            </w:pPr>
            <w:r>
              <w:rPr>
                <w:snapToGrid w:val="0"/>
                <w:color w:val="000000"/>
                <w:kern w:val="21"/>
                <w:szCs w:val="21"/>
                <w:highlight w:val="none"/>
              </w:rPr>
              <w:t>/</w:t>
            </w:r>
          </w:p>
        </w:tc>
        <w:tc>
          <w:tcPr>
            <w:tcW w:w="1276"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701" w:type="dxa"/>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w:t>
            </w:r>
          </w:p>
        </w:tc>
        <w:tc>
          <w:tcPr>
            <w:tcW w:w="1559" w:type="dxa"/>
            <w:vAlign w:val="center"/>
          </w:tcPr>
          <w:p>
            <w:pPr>
              <w:pStyle w:val="47"/>
              <w:adjustRightInd/>
              <w:snapToGrid/>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color w:val="000000"/>
                <w:sz w:val="21"/>
                <w:szCs w:val="21"/>
                <w:highlight w:val="none"/>
              </w:rPr>
              <w:t>0</w:t>
            </w:r>
          </w:p>
        </w:tc>
        <w:tc>
          <w:tcPr>
            <w:tcW w:w="1761" w:type="dxa"/>
            <w:vAlign w:val="center"/>
          </w:tcPr>
          <w:p>
            <w:pPr>
              <w:jc w:val="center"/>
              <w:textAlignment w:val="baseline"/>
              <w:rPr>
                <w:kern w:val="0"/>
                <w:szCs w:val="21"/>
                <w:highlight w:val="none"/>
              </w:rPr>
            </w:pPr>
            <w:r>
              <w:rPr>
                <w:snapToGrid w:val="0"/>
                <w:color w:val="000000"/>
                <w:kern w:val="21"/>
                <w:szCs w:val="21"/>
                <w:highlight w:val="none"/>
              </w:rPr>
              <w:t>/</w:t>
            </w:r>
          </w:p>
        </w:tc>
        <w:tc>
          <w:tcPr>
            <w:tcW w:w="1959" w:type="dxa"/>
            <w:vAlign w:val="center"/>
          </w:tcPr>
          <w:p>
            <w:pPr>
              <w:pStyle w:val="47"/>
              <w:adjustRightInd/>
              <w:snapToGrid/>
              <w:spacing w:beforeLines="0" w:before="10" w:afterLines="0" w:after="10" w:line="240" w:lineRule="auto"/>
              <w:ind w:left="0" w:right="0" w:firstLine="0"/>
              <w:rPr>
                <w:rFonts w:cs="Times New Roman"/>
                <w:sz w:val="21"/>
                <w:szCs w:val="21"/>
                <w:highlight w:val="none"/>
              </w:rPr>
            </w:pPr>
            <w:r>
              <w:rPr>
                <w:rFonts w:ascii="Times New Roman" w:eastAsia="宋体" w:hAnsi="Times New Roman"/>
                <w:snapToGrid w:val="0"/>
                <w:color w:val="000000"/>
                <w:kern w:val="21"/>
                <w:sz w:val="21"/>
                <w:szCs w:val="21"/>
                <w:highlight w:val="none"/>
              </w:rPr>
              <w:t>/</w:t>
            </w:r>
          </w:p>
        </w:tc>
        <w:tc>
          <w:tcPr>
            <w:tcW w:w="1089" w:type="dxa"/>
            <w:vAlign w:val="center"/>
          </w:tcPr>
          <w:p>
            <w:pPr>
              <w:jc w:val="center"/>
              <w:textAlignment w:val="baseline"/>
              <w:rPr>
                <w:rFonts w:ascii="Times New Roman" w:eastAsia="宋体" w:hAnsi="Times New Roman"/>
                <w:snapToGrid w:val="0"/>
                <w:color w:val="000000"/>
                <w:kern w:val="21"/>
                <w:sz w:val="21"/>
                <w:szCs w:val="21"/>
                <w:highlight w:val="none"/>
              </w:rPr>
            </w:pPr>
            <w:r>
              <w:rPr>
                <w:snapToGrid w:val="0"/>
                <w:color w:val="000000"/>
                <w:kern w:val="21"/>
                <w:szCs w:val="21"/>
                <w:highlight w:val="none"/>
              </w:rPr>
              <w:t>/</w:t>
            </w:r>
          </w:p>
        </w:tc>
      </w:tr>
      <w:tr>
        <w:trPr>
          <w:trHeight w:val="454"/>
        </w:trPr>
        <w:tc>
          <w:tcPr>
            <w:tcW w:w="1588" w:type="dxa"/>
            <w:vMerge/>
            <w:vAlign w:val="center"/>
          </w:tcPr>
          <w:p/>
        </w:tc>
        <w:tc>
          <w:tcPr>
            <w:tcW w:w="1417" w:type="dxa"/>
            <w:vAlign w:val="center"/>
          </w:tcPr>
          <w:p>
            <w:pPr>
              <w:widowControl/>
              <w:jc w:val="center"/>
              <w:textAlignment w:val="center"/>
              <w:rPr>
                <w:bCs/>
                <w:color w:val="000000"/>
                <w:kern w:val="0"/>
                <w:szCs w:val="21"/>
                <w:highlight w:val="none"/>
              </w:rPr>
            </w:pPr>
            <w:r>
              <w:rPr>
                <w:szCs w:val="21"/>
                <w:highlight w:val="none"/>
              </w:rPr>
              <w:t>BOD</w:t>
            </w:r>
            <w:r>
              <w:rPr>
                <w:szCs w:val="21"/>
                <w:vertAlign w:val="subscript"/>
                <w:highlight w:val="none"/>
              </w:rPr>
              <w:t>5</w:t>
            </w:r>
          </w:p>
        </w:tc>
        <w:tc>
          <w:tcPr>
            <w:tcW w:w="1701" w:type="dxa"/>
            <w:vAlign w:val="center"/>
          </w:tcPr>
          <w:p>
            <w:pPr>
              <w:jc w:val="center"/>
              <w:textAlignment w:val="baseline"/>
              <w:rPr>
                <w:rFonts w:cs="Times New Roman"/>
                <w:color w:val="auto"/>
                <w:sz w:val="21"/>
                <w:szCs w:val="21"/>
                <w:lang w:val="en-US"/>
                <w:highlight w:val="none"/>
              </w:rPr>
            </w:pPr>
            <w:r>
              <w:rPr>
                <w:snapToGrid w:val="0"/>
                <w:color w:val="000000"/>
                <w:kern w:val="21"/>
                <w:szCs w:val="21"/>
                <w:highlight w:val="none"/>
              </w:rPr>
              <w:t>/</w:t>
            </w:r>
          </w:p>
        </w:tc>
        <w:tc>
          <w:tcPr>
            <w:tcW w:w="1276"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701" w:type="dxa"/>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w:t>
            </w:r>
          </w:p>
        </w:tc>
        <w:tc>
          <w:tcPr>
            <w:tcW w:w="1559" w:type="dxa"/>
            <w:vAlign w:val="center"/>
          </w:tcPr>
          <w:p>
            <w:pPr>
              <w:pStyle w:val="47"/>
              <w:adjustRightInd/>
              <w:snapToGrid/>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color w:val="000000"/>
                <w:sz w:val="21"/>
                <w:szCs w:val="21"/>
                <w:highlight w:val="none"/>
              </w:rPr>
              <w:t>0</w:t>
            </w:r>
          </w:p>
        </w:tc>
        <w:tc>
          <w:tcPr>
            <w:tcW w:w="1761" w:type="dxa"/>
            <w:vAlign w:val="center"/>
          </w:tcPr>
          <w:p>
            <w:pPr>
              <w:jc w:val="center"/>
              <w:textAlignment w:val="baseline"/>
              <w:rPr>
                <w:kern w:val="0"/>
                <w:szCs w:val="21"/>
                <w:highlight w:val="none"/>
              </w:rPr>
            </w:pPr>
            <w:r>
              <w:rPr>
                <w:snapToGrid w:val="0"/>
                <w:color w:val="000000"/>
                <w:kern w:val="21"/>
                <w:szCs w:val="21"/>
                <w:highlight w:val="none"/>
              </w:rPr>
              <w:t>/</w:t>
            </w:r>
          </w:p>
        </w:tc>
        <w:tc>
          <w:tcPr>
            <w:tcW w:w="1959" w:type="dxa"/>
            <w:vAlign w:val="center"/>
          </w:tcPr>
          <w:p>
            <w:pPr>
              <w:pStyle w:val="47"/>
              <w:adjustRightInd/>
              <w:snapToGrid/>
              <w:spacing w:beforeLines="0" w:before="10" w:afterLines="0" w:after="10" w:line="240" w:lineRule="auto"/>
              <w:ind w:left="0" w:right="0" w:firstLine="0"/>
              <w:rPr>
                <w:rFonts w:cs="Times New Roman"/>
                <w:color w:val="auto"/>
                <w:sz w:val="21"/>
                <w:szCs w:val="21"/>
                <w:lang w:val="en-US"/>
                <w:highlight w:val="none"/>
              </w:rPr>
            </w:pPr>
            <w:r>
              <w:rPr>
                <w:rFonts w:ascii="Times New Roman" w:eastAsia="宋体" w:hAnsi="Times New Roman"/>
                <w:snapToGrid w:val="0"/>
                <w:color w:val="000000"/>
                <w:kern w:val="21"/>
                <w:sz w:val="21"/>
                <w:szCs w:val="21"/>
                <w:highlight w:val="none"/>
              </w:rPr>
              <w:t>/</w:t>
            </w:r>
          </w:p>
        </w:tc>
        <w:tc>
          <w:tcPr>
            <w:tcW w:w="1089" w:type="dxa"/>
            <w:vAlign w:val="center"/>
          </w:tcPr>
          <w:p>
            <w:pPr>
              <w:jc w:val="center"/>
              <w:textAlignment w:val="baseline"/>
              <w:rPr>
                <w:rFonts w:ascii="Times New Roman" w:eastAsia="宋体" w:hAnsi="Times New Roman"/>
                <w:snapToGrid w:val="0"/>
                <w:color w:val="000000"/>
                <w:kern w:val="21"/>
                <w:sz w:val="21"/>
                <w:szCs w:val="21"/>
                <w:highlight w:val="none"/>
              </w:rPr>
            </w:pPr>
            <w:r>
              <w:rPr>
                <w:snapToGrid w:val="0"/>
                <w:color w:val="000000"/>
                <w:kern w:val="21"/>
                <w:szCs w:val="21"/>
                <w:highlight w:val="none"/>
              </w:rPr>
              <w:t>/</w:t>
            </w:r>
          </w:p>
        </w:tc>
      </w:tr>
      <w:tr>
        <w:trPr>
          <w:trHeight w:val="454"/>
        </w:trPr>
        <w:tc>
          <w:tcPr>
            <w:tcW w:w="1588" w:type="dxa"/>
            <w:vMerge/>
            <w:vAlign w:val="center"/>
          </w:tcPr>
          <w:p/>
        </w:tc>
        <w:tc>
          <w:tcPr>
            <w:tcW w:w="1417" w:type="dxa"/>
            <w:vAlign w:val="center"/>
          </w:tcPr>
          <w:p>
            <w:pPr>
              <w:widowControl/>
              <w:jc w:val="center"/>
              <w:textAlignment w:val="center"/>
              <w:rPr>
                <w:bCs/>
                <w:color w:val="000000"/>
                <w:kern w:val="0"/>
                <w:szCs w:val="21"/>
                <w:highlight w:val="none"/>
              </w:rPr>
            </w:pPr>
            <w:r>
              <w:rPr>
                <w:szCs w:val="21"/>
                <w:highlight w:val="none"/>
              </w:rPr>
              <w:t>SS</w:t>
            </w:r>
          </w:p>
        </w:tc>
        <w:tc>
          <w:tcPr>
            <w:tcW w:w="1701" w:type="dxa"/>
            <w:vAlign w:val="center"/>
          </w:tcPr>
          <w:p>
            <w:pPr>
              <w:jc w:val="center"/>
              <w:textAlignment w:val="baseline"/>
              <w:rPr>
                <w:rFonts w:cs="Times New Roman"/>
                <w:color w:val="auto"/>
                <w:sz w:val="21"/>
                <w:szCs w:val="21"/>
                <w:lang w:val="en-US"/>
                <w:highlight w:val="none"/>
              </w:rPr>
            </w:pPr>
            <w:r>
              <w:rPr>
                <w:snapToGrid w:val="0"/>
                <w:color w:val="000000"/>
                <w:kern w:val="21"/>
                <w:szCs w:val="21"/>
                <w:highlight w:val="none"/>
              </w:rPr>
              <w:t>/</w:t>
            </w:r>
          </w:p>
        </w:tc>
        <w:tc>
          <w:tcPr>
            <w:tcW w:w="1276"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701" w:type="dxa"/>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w:t>
            </w:r>
          </w:p>
        </w:tc>
        <w:tc>
          <w:tcPr>
            <w:tcW w:w="1559" w:type="dxa"/>
            <w:vAlign w:val="center"/>
          </w:tcPr>
          <w:p>
            <w:pPr>
              <w:pStyle w:val="47"/>
              <w:adjustRightInd/>
              <w:snapToGrid/>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color w:val="000000"/>
                <w:sz w:val="21"/>
                <w:szCs w:val="21"/>
                <w:highlight w:val="none"/>
              </w:rPr>
              <w:t>0</w:t>
            </w:r>
          </w:p>
        </w:tc>
        <w:tc>
          <w:tcPr>
            <w:tcW w:w="1761" w:type="dxa"/>
            <w:vAlign w:val="center"/>
          </w:tcPr>
          <w:p>
            <w:pPr>
              <w:jc w:val="center"/>
              <w:textAlignment w:val="baseline"/>
              <w:rPr>
                <w:kern w:val="0"/>
                <w:szCs w:val="21"/>
                <w:highlight w:val="none"/>
              </w:rPr>
            </w:pPr>
            <w:r>
              <w:rPr>
                <w:snapToGrid w:val="0"/>
                <w:color w:val="000000"/>
                <w:kern w:val="21"/>
                <w:szCs w:val="21"/>
                <w:highlight w:val="none"/>
              </w:rPr>
              <w:t>/</w:t>
            </w:r>
          </w:p>
        </w:tc>
        <w:tc>
          <w:tcPr>
            <w:tcW w:w="1959" w:type="dxa"/>
            <w:vAlign w:val="center"/>
          </w:tcPr>
          <w:p>
            <w:pPr>
              <w:pStyle w:val="47"/>
              <w:adjustRightInd/>
              <w:snapToGrid/>
              <w:spacing w:beforeLines="0" w:before="10" w:afterLines="0" w:after="10" w:line="240" w:lineRule="auto"/>
              <w:ind w:left="0" w:right="0" w:firstLine="0"/>
              <w:rPr>
                <w:rFonts w:cs="Times New Roman"/>
                <w:color w:val="auto"/>
                <w:sz w:val="21"/>
                <w:szCs w:val="21"/>
                <w:lang w:val="en-US"/>
                <w:highlight w:val="none"/>
              </w:rPr>
            </w:pPr>
            <w:r>
              <w:rPr>
                <w:rFonts w:ascii="Times New Roman" w:eastAsia="宋体" w:hAnsi="Times New Roman"/>
                <w:snapToGrid w:val="0"/>
                <w:color w:val="000000"/>
                <w:kern w:val="21"/>
                <w:sz w:val="21"/>
                <w:szCs w:val="21"/>
                <w:highlight w:val="none"/>
              </w:rPr>
              <w:t>/</w:t>
            </w:r>
          </w:p>
        </w:tc>
        <w:tc>
          <w:tcPr>
            <w:tcW w:w="1089" w:type="dxa"/>
            <w:vAlign w:val="center"/>
          </w:tcPr>
          <w:p>
            <w:pPr>
              <w:jc w:val="center"/>
              <w:textAlignment w:val="baseline"/>
              <w:rPr>
                <w:rFonts w:ascii="Times New Roman" w:eastAsia="宋体" w:hAnsi="Times New Roman"/>
                <w:snapToGrid w:val="0"/>
                <w:color w:val="000000"/>
                <w:kern w:val="21"/>
                <w:sz w:val="21"/>
                <w:szCs w:val="21"/>
                <w:highlight w:val="none"/>
              </w:rPr>
            </w:pPr>
            <w:r>
              <w:rPr>
                <w:snapToGrid w:val="0"/>
                <w:color w:val="000000"/>
                <w:kern w:val="21"/>
                <w:szCs w:val="21"/>
                <w:highlight w:val="none"/>
              </w:rPr>
              <w:t>/</w:t>
            </w:r>
          </w:p>
        </w:tc>
      </w:tr>
      <w:tr>
        <w:trPr>
          <w:trHeight w:val="454"/>
        </w:trPr>
        <w:tc>
          <w:tcPr>
            <w:tcW w:w="1588" w:type="dxa"/>
            <w:vMerge/>
            <w:vAlign w:val="center"/>
          </w:tcPr>
          <w:p/>
        </w:tc>
        <w:tc>
          <w:tcPr>
            <w:tcW w:w="1417" w:type="dxa"/>
            <w:vAlign w:val="center"/>
          </w:tcPr>
          <w:p>
            <w:pPr>
              <w:widowControl/>
              <w:jc w:val="center"/>
              <w:textAlignment w:val="center"/>
              <w:rPr>
                <w:bCs/>
                <w:snapToGrid w:val="0"/>
                <w:color w:val="000000"/>
                <w:kern w:val="21"/>
                <w:szCs w:val="21"/>
                <w:highlight w:val="none"/>
              </w:rPr>
            </w:pPr>
            <w:r>
              <w:rPr>
                <w:szCs w:val="21"/>
                <w:highlight w:val="none"/>
              </w:rPr>
              <w:t>NH</w:t>
            </w:r>
            <w:r>
              <w:rPr>
                <w:szCs w:val="21"/>
                <w:vertAlign w:val="subscript"/>
                <w:highlight w:val="none"/>
              </w:rPr>
              <w:t>3</w:t>
            </w:r>
            <w:r>
              <w:rPr>
                <w:szCs w:val="21"/>
                <w:highlight w:val="none"/>
              </w:rPr>
              <w:t>-N</w:t>
            </w:r>
          </w:p>
        </w:tc>
        <w:tc>
          <w:tcPr>
            <w:tcW w:w="1701" w:type="dxa"/>
            <w:vAlign w:val="center"/>
          </w:tcPr>
          <w:p>
            <w:pPr>
              <w:jc w:val="center"/>
              <w:textAlignment w:val="baseline"/>
              <w:rPr>
                <w:rFonts w:cs="Times New Roman"/>
                <w:color w:val="auto"/>
                <w:sz w:val="21"/>
                <w:szCs w:val="21"/>
                <w:lang w:val="en-US"/>
                <w:highlight w:val="none"/>
              </w:rPr>
            </w:pPr>
            <w:r>
              <w:rPr>
                <w:snapToGrid w:val="0"/>
                <w:color w:val="000000"/>
                <w:kern w:val="21"/>
                <w:szCs w:val="21"/>
                <w:highlight w:val="none"/>
              </w:rPr>
              <w:t>/</w:t>
            </w:r>
          </w:p>
        </w:tc>
        <w:tc>
          <w:tcPr>
            <w:tcW w:w="1276"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701" w:type="dxa"/>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w:t>
            </w:r>
          </w:p>
        </w:tc>
        <w:tc>
          <w:tcPr>
            <w:tcW w:w="1559" w:type="dxa"/>
            <w:vAlign w:val="center"/>
          </w:tcPr>
          <w:p>
            <w:pPr>
              <w:pStyle w:val="47"/>
              <w:adjustRightInd/>
              <w:snapToGrid/>
              <w:spacing w:beforeLines="0" w:before="10" w:afterLines="0" w:after="10" w:line="240" w:lineRule="auto"/>
              <w:ind w:left="0" w:right="0" w:firstLine="0"/>
              <w:rPr>
                <w:rFonts w:ascii="Times New Roman" w:eastAsia="宋体" w:hAnsi="Times New Roman"/>
                <w:sz w:val="21"/>
                <w:szCs w:val="21"/>
                <w:highlight w:val="none"/>
              </w:rPr>
            </w:pPr>
            <w:r>
              <w:rPr>
                <w:rFonts w:ascii="Times New Roman" w:eastAsia="宋体" w:hAnsi="Times New Roman" w:hint="eastAsia"/>
                <w:color w:val="000000"/>
                <w:sz w:val="21"/>
                <w:szCs w:val="21"/>
                <w:highlight w:val="none"/>
              </w:rPr>
              <w:t>0</w:t>
            </w:r>
          </w:p>
        </w:tc>
        <w:tc>
          <w:tcPr>
            <w:tcW w:w="1761" w:type="dxa"/>
            <w:vAlign w:val="center"/>
          </w:tcPr>
          <w:p>
            <w:pPr>
              <w:jc w:val="center"/>
              <w:textAlignment w:val="baseline"/>
              <w:rPr>
                <w:kern w:val="0"/>
                <w:szCs w:val="21"/>
                <w:highlight w:val="none"/>
              </w:rPr>
            </w:pPr>
            <w:r>
              <w:rPr>
                <w:snapToGrid w:val="0"/>
                <w:color w:val="000000"/>
                <w:kern w:val="21"/>
                <w:szCs w:val="21"/>
                <w:highlight w:val="none"/>
              </w:rPr>
              <w:t>/</w:t>
            </w:r>
          </w:p>
        </w:tc>
        <w:tc>
          <w:tcPr>
            <w:tcW w:w="1959" w:type="dxa"/>
            <w:vAlign w:val="center"/>
          </w:tcPr>
          <w:p>
            <w:pPr>
              <w:pStyle w:val="47"/>
              <w:adjustRightInd/>
              <w:snapToGrid/>
              <w:spacing w:beforeLines="0" w:before="10" w:afterLines="0" w:after="10" w:line="240" w:lineRule="auto"/>
              <w:ind w:left="0" w:right="0" w:firstLine="0"/>
              <w:rPr>
                <w:rFonts w:cs="Times New Roman"/>
                <w:color w:val="auto"/>
                <w:sz w:val="21"/>
                <w:szCs w:val="21"/>
                <w:lang w:val="en-US"/>
                <w:highlight w:val="none"/>
              </w:rPr>
            </w:pPr>
            <w:r>
              <w:rPr>
                <w:rFonts w:ascii="Times New Roman" w:eastAsia="宋体" w:hAnsi="Times New Roman"/>
                <w:snapToGrid w:val="0"/>
                <w:color w:val="000000"/>
                <w:kern w:val="21"/>
                <w:sz w:val="21"/>
                <w:szCs w:val="21"/>
                <w:highlight w:val="none"/>
              </w:rPr>
              <w:t>/</w:t>
            </w:r>
          </w:p>
        </w:tc>
        <w:tc>
          <w:tcPr>
            <w:tcW w:w="1089" w:type="dxa"/>
            <w:vAlign w:val="center"/>
          </w:tcPr>
          <w:p>
            <w:pPr>
              <w:jc w:val="center"/>
              <w:textAlignment w:val="baseline"/>
              <w:rPr>
                <w:rFonts w:ascii="Times New Roman" w:eastAsia="宋体" w:hAnsi="Times New Roman"/>
                <w:snapToGrid w:val="0"/>
                <w:color w:val="000000"/>
                <w:kern w:val="21"/>
                <w:sz w:val="21"/>
                <w:szCs w:val="21"/>
                <w:highlight w:val="none"/>
              </w:rPr>
            </w:pPr>
            <w:r>
              <w:rPr>
                <w:snapToGrid w:val="0"/>
                <w:color w:val="000000"/>
                <w:kern w:val="21"/>
                <w:szCs w:val="21"/>
                <w:highlight w:val="none"/>
              </w:rPr>
              <w:t>/</w:t>
            </w:r>
          </w:p>
        </w:tc>
      </w:tr>
      <w:tr>
        <w:trPr>
          <w:trHeight w:val="454"/>
        </w:trPr>
        <w:tc>
          <w:tcPr>
            <w:tcW w:w="1588" w:type="dxa"/>
            <w:vMerge w:val="restart"/>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一般工业</w:t>
            </w:r>
          </w:p>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固体废物</w:t>
            </w:r>
          </w:p>
        </w:tc>
        <w:tc>
          <w:tcPr>
            <w:tcW w:w="1417" w:type="dxa"/>
            <w:vAlign w:val="center"/>
          </w:tcPr>
          <w:p>
            <w:pPr>
              <w:jc w:val="center"/>
              <w:rPr>
                <w:snapToGrid w:val="0"/>
                <w:color w:val="000000"/>
                <w:kern w:val="21"/>
                <w:szCs w:val="21"/>
                <w:highlight w:val="none"/>
              </w:rPr>
            </w:pPr>
            <w:r>
              <w:rPr>
                <w:snapToGrid w:val="0"/>
                <w:szCs w:val="21"/>
                <w:highlight w:val="none"/>
              </w:rPr>
              <w:t>生活垃圾</w:t>
            </w:r>
          </w:p>
        </w:tc>
        <w:tc>
          <w:tcPr>
            <w:tcW w:w="1701" w:type="dxa"/>
            <w:vAlign w:val="center"/>
          </w:tcPr>
          <w:p>
            <w:pPr>
              <w:jc w:val="center"/>
              <w:textAlignment w:val="baseline"/>
              <w:rPr>
                <w:rFonts w:eastAsia="宋体"/>
                <w:snapToGrid w:val="0"/>
                <w:color w:val="000000"/>
                <w:kern w:val="21"/>
                <w:szCs w:val="21"/>
                <w:lang w:val="en-US" w:eastAsia="zh-CN"/>
                <w:highlight w:val="none"/>
              </w:rPr>
            </w:pPr>
            <w:r>
              <w:rPr>
                <w:snapToGrid w:val="0"/>
                <w:color w:val="000000"/>
                <w:kern w:val="21"/>
                <w:szCs w:val="21"/>
                <w:highlight w:val="none"/>
              </w:rPr>
              <w:t>/</w:t>
            </w:r>
          </w:p>
        </w:tc>
        <w:tc>
          <w:tcPr>
            <w:tcW w:w="1276"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701" w:type="dxa"/>
            <w:vAlign w:val="center"/>
          </w:tcPr>
          <w:p>
            <w:pPr>
              <w:jc w:val="center"/>
              <w:rPr>
                <w:snapToGrid w:val="0"/>
                <w:color w:val="000000"/>
                <w:kern w:val="21"/>
                <w:szCs w:val="21"/>
                <w:highlight w:val="none"/>
              </w:rPr>
            </w:pPr>
            <w:r>
              <w:rPr>
                <w:snapToGrid w:val="0"/>
                <w:color w:val="000000"/>
                <w:kern w:val="21"/>
                <w:szCs w:val="21"/>
                <w:highlight w:val="none"/>
              </w:rPr>
              <w:t>/</w:t>
            </w:r>
          </w:p>
        </w:tc>
        <w:tc>
          <w:tcPr>
            <w:tcW w:w="1559" w:type="dxa"/>
            <w:vAlign w:val="center"/>
          </w:tcPr>
          <w:p>
            <w:pPr>
              <w:jc w:val="center"/>
              <w:rPr>
                <w:rFonts w:eastAsia="宋体"/>
                <w:szCs w:val="21"/>
                <w:lang w:val="en-US" w:eastAsia="zh-CN"/>
                <w:highlight w:val="none"/>
              </w:rPr>
            </w:pPr>
            <w:r>
              <w:rPr>
                <w:rFonts w:hint="eastAsia"/>
                <w:szCs w:val="21"/>
                <w:lang w:val="en-US" w:eastAsia="zh-CN"/>
                <w:highlight w:val="none"/>
              </w:rPr>
              <w:t>2.74</w:t>
            </w:r>
          </w:p>
        </w:tc>
        <w:tc>
          <w:tcPr>
            <w:tcW w:w="1761" w:type="dxa"/>
            <w:vAlign w:val="center"/>
          </w:tcPr>
          <w:p>
            <w:pPr>
              <w:jc w:val="center"/>
              <w:textAlignment w:val="baseline"/>
              <w:rPr>
                <w:szCs w:val="21"/>
                <w:highlight w:val="none"/>
              </w:rPr>
            </w:pPr>
            <w:r>
              <w:rPr>
                <w:snapToGrid w:val="0"/>
                <w:color w:val="000000"/>
                <w:kern w:val="21"/>
                <w:szCs w:val="21"/>
                <w:highlight w:val="none"/>
              </w:rPr>
              <w:t>/</w:t>
            </w:r>
          </w:p>
        </w:tc>
        <w:tc>
          <w:tcPr>
            <w:tcW w:w="1959" w:type="dxa"/>
            <w:vAlign w:val="center"/>
          </w:tcPr>
          <w:p>
            <w:pPr>
              <w:jc w:val="center"/>
              <w:rPr>
                <w:szCs w:val="21"/>
                <w:highlight w:val="none"/>
              </w:rPr>
            </w:pPr>
            <w:r>
              <w:rPr>
                <w:snapToGrid w:val="0"/>
                <w:color w:val="000000"/>
                <w:kern w:val="21"/>
                <w:szCs w:val="21"/>
                <w:highlight w:val="none"/>
              </w:rPr>
              <w:t>/</w:t>
            </w:r>
          </w:p>
        </w:tc>
        <w:tc>
          <w:tcPr>
            <w:tcW w:w="1089"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r>
      <w:tr>
        <w:trPr>
          <w:trHeight w:val="454"/>
        </w:trPr>
        <w:tc>
          <w:tcPr>
            <w:tcW w:w="1588" w:type="dxa"/>
            <w:vMerge/>
            <w:vAlign w:val="center"/>
          </w:tcPr>
          <w:p/>
        </w:tc>
        <w:tc>
          <w:tcPr>
            <w:tcW w:w="1417" w:type="dxa"/>
            <w:vAlign w:val="center"/>
          </w:tcPr>
          <w:p>
            <w:pPr>
              <w:jc w:val="center"/>
              <w:rPr>
                <w:szCs w:val="21"/>
                <w:highlight w:val="none"/>
              </w:rPr>
            </w:pPr>
            <w:r>
              <w:rPr>
                <w:szCs w:val="21"/>
                <w:highlight w:val="none"/>
              </w:rPr>
              <w:t>沉淀池污泥</w:t>
            </w:r>
          </w:p>
        </w:tc>
        <w:tc>
          <w:tcPr>
            <w:tcW w:w="1701" w:type="dxa"/>
            <w:vAlign w:val="center"/>
          </w:tcPr>
          <w:p>
            <w:pPr>
              <w:pStyle w:val="47"/>
              <w:adjustRightInd/>
              <w:snapToGrid/>
              <w:spacing w:beforeLines="0" w:before="10" w:afterLines="0" w:after="10" w:line="240" w:lineRule="auto"/>
              <w:ind w:left="0" w:right="0" w:firstLine="0"/>
              <w:rPr>
                <w:snapToGrid w:val="0"/>
                <w:color w:val="000000"/>
                <w:kern w:val="21"/>
                <w:szCs w:val="21"/>
                <w:highlight w:val="none"/>
              </w:rPr>
            </w:pPr>
            <w:r>
              <w:rPr>
                <w:rFonts w:ascii="Times New Roman" w:eastAsia="宋体" w:hAnsi="Times New Roman"/>
                <w:snapToGrid w:val="0"/>
                <w:color w:val="000000"/>
                <w:kern w:val="21"/>
                <w:sz w:val="21"/>
                <w:szCs w:val="21"/>
                <w:highlight w:val="none"/>
              </w:rPr>
              <w:t>/</w:t>
            </w:r>
          </w:p>
        </w:tc>
        <w:tc>
          <w:tcPr>
            <w:tcW w:w="1276"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701" w:type="dxa"/>
            <w:vAlign w:val="center"/>
          </w:tcPr>
          <w:p>
            <w:pPr>
              <w:jc w:val="center"/>
              <w:rPr>
                <w:snapToGrid w:val="0"/>
                <w:color w:val="000000"/>
                <w:kern w:val="21"/>
                <w:szCs w:val="21"/>
                <w:highlight w:val="none"/>
              </w:rPr>
            </w:pPr>
            <w:r>
              <w:rPr>
                <w:snapToGrid w:val="0"/>
                <w:color w:val="000000"/>
                <w:kern w:val="21"/>
                <w:szCs w:val="21"/>
                <w:highlight w:val="none"/>
              </w:rPr>
              <w:t>/</w:t>
            </w:r>
          </w:p>
        </w:tc>
        <w:tc>
          <w:tcPr>
            <w:tcW w:w="1559" w:type="dxa"/>
            <w:vAlign w:val="center"/>
          </w:tcPr>
          <w:p>
            <w:pPr>
              <w:jc w:val="center"/>
              <w:rPr>
                <w:rFonts w:eastAsia="宋体"/>
                <w:szCs w:val="21"/>
                <w:lang w:val="en-US" w:eastAsia="zh-CN"/>
                <w:highlight w:val="none"/>
              </w:rPr>
            </w:pPr>
            <w:r>
              <w:rPr>
                <w:rFonts w:hint="eastAsia"/>
                <w:szCs w:val="21"/>
                <w:lang w:val="en-US" w:eastAsia="zh-CN"/>
                <w:highlight w:val="none"/>
              </w:rPr>
              <w:t>657</w:t>
            </w:r>
          </w:p>
        </w:tc>
        <w:tc>
          <w:tcPr>
            <w:tcW w:w="1761" w:type="dxa"/>
            <w:vAlign w:val="center"/>
          </w:tcPr>
          <w:p>
            <w:pPr>
              <w:pStyle w:val="47"/>
              <w:adjustRightInd/>
              <w:snapToGrid/>
              <w:spacing w:beforeLines="0" w:before="10" w:afterLines="0" w:after="10" w:line="240" w:lineRule="auto"/>
              <w:ind w:left="0" w:right="0" w:firstLine="0"/>
              <w:rPr>
                <w:szCs w:val="21"/>
                <w:highlight w:val="none"/>
              </w:rPr>
            </w:pPr>
            <w:r>
              <w:rPr>
                <w:rFonts w:ascii="Times New Roman" w:eastAsia="宋体" w:hAnsi="Times New Roman"/>
                <w:snapToGrid w:val="0"/>
                <w:color w:val="000000"/>
                <w:kern w:val="21"/>
                <w:sz w:val="21"/>
                <w:szCs w:val="21"/>
                <w:highlight w:val="none"/>
              </w:rPr>
              <w:t>/</w:t>
            </w:r>
          </w:p>
        </w:tc>
        <w:tc>
          <w:tcPr>
            <w:tcW w:w="1959" w:type="dxa"/>
            <w:vAlign w:val="center"/>
          </w:tcPr>
          <w:p>
            <w:pPr>
              <w:jc w:val="center"/>
              <w:rPr>
                <w:rFonts w:eastAsia="宋体" w:hint="eastAsia"/>
                <w:szCs w:val="21"/>
                <w:lang w:eastAsia="zh-CN"/>
                <w:highlight w:val="none"/>
              </w:rPr>
            </w:pPr>
            <w:r>
              <w:rPr>
                <w:snapToGrid w:val="0"/>
                <w:color w:val="000000"/>
                <w:kern w:val="21"/>
                <w:szCs w:val="21"/>
                <w:highlight w:val="none"/>
              </w:rPr>
              <w:t>/</w:t>
            </w:r>
          </w:p>
        </w:tc>
        <w:tc>
          <w:tcPr>
            <w:tcW w:w="1089" w:type="dxa"/>
            <w:vAlign w:val="center"/>
          </w:tcPr>
          <w:p>
            <w:pPr>
              <w:pStyle w:val="47"/>
              <w:adjustRightInd/>
              <w:snapToGrid/>
              <w:spacing w:beforeLines="0" w:before="10" w:afterLines="0" w:after="10" w:line="240" w:lineRule="auto"/>
              <w:ind w:left="0" w:right="0" w:firstLine="0"/>
              <w:rPr>
                <w:rFonts w:eastAsia="宋体" w:hint="eastAsia"/>
                <w:snapToGrid w:val="0"/>
                <w:color w:val="000000"/>
                <w:kern w:val="21"/>
                <w:szCs w:val="21"/>
                <w:lang w:eastAsia="zh-CN"/>
                <w:highlight w:val="none"/>
              </w:rPr>
            </w:pPr>
            <w:r>
              <w:rPr>
                <w:rFonts w:ascii="Times New Roman" w:eastAsia="宋体" w:hAnsi="Times New Roman"/>
                <w:snapToGrid w:val="0"/>
                <w:color w:val="000000"/>
                <w:kern w:val="21"/>
                <w:sz w:val="21"/>
                <w:szCs w:val="21"/>
                <w:highlight w:val="none"/>
              </w:rPr>
              <w:t>/</w:t>
            </w:r>
          </w:p>
        </w:tc>
      </w:tr>
      <w:tr>
        <w:trPr>
          <w:trHeight w:val="454"/>
        </w:trPr>
        <w:tc>
          <w:tcPr>
            <w:tcW w:w="1588" w:type="dxa"/>
            <w:vMerge w:val="restart"/>
            <w:vAlign w:val="center"/>
          </w:tcPr>
          <w:p>
            <w:pPr>
              <w:pStyle w:val="47"/>
              <w:adjustRightInd/>
              <w:snapToGrid/>
              <w:spacing w:beforeLines="0" w:before="10" w:afterLines="0" w:after="10" w:line="240" w:lineRule="auto"/>
              <w:ind w:left="0" w:right="0" w:firstLine="0"/>
              <w:rPr>
                <w:rFonts w:ascii="Times New Roman" w:eastAsia="宋体" w:hAnsi="Times New Roman"/>
                <w:snapToGrid w:val="0"/>
                <w:color w:val="000000"/>
                <w:kern w:val="21"/>
                <w:sz w:val="21"/>
                <w:szCs w:val="21"/>
                <w:highlight w:val="none"/>
              </w:rPr>
            </w:pPr>
            <w:r>
              <w:rPr>
                <w:rFonts w:ascii="Times New Roman" w:eastAsia="宋体" w:hAnsi="Times New Roman"/>
                <w:snapToGrid w:val="0"/>
                <w:color w:val="000000"/>
                <w:kern w:val="21"/>
                <w:sz w:val="21"/>
                <w:szCs w:val="21"/>
                <w:highlight w:val="none"/>
              </w:rPr>
              <w:t>危险废物</w:t>
            </w:r>
          </w:p>
        </w:tc>
        <w:tc>
          <w:tcPr>
            <w:tcW w:w="1417" w:type="dxa"/>
            <w:vAlign w:val="center"/>
          </w:tcPr>
          <w:p>
            <w:pPr>
              <w:jc w:val="center"/>
              <w:rPr>
                <w:snapToGrid w:val="0"/>
                <w:color w:val="000000"/>
                <w:kern w:val="21"/>
                <w:szCs w:val="21"/>
                <w:highlight w:val="none"/>
              </w:rPr>
            </w:pPr>
            <w:r>
              <w:rPr>
                <w:szCs w:val="21"/>
                <w:highlight w:val="none"/>
              </w:rPr>
              <w:t>废</w:t>
            </w:r>
            <w:r>
              <w:rPr>
                <w:rFonts w:hint="eastAsia"/>
                <w:szCs w:val="21"/>
                <w:highlight w:val="none"/>
              </w:rPr>
              <w:t>润滑</w:t>
            </w:r>
            <w:r>
              <w:rPr>
                <w:szCs w:val="21"/>
                <w:highlight w:val="none"/>
              </w:rPr>
              <w:t>油</w:t>
            </w:r>
          </w:p>
        </w:tc>
        <w:tc>
          <w:tcPr>
            <w:tcW w:w="1701"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276"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701" w:type="dxa"/>
            <w:vAlign w:val="center"/>
          </w:tcPr>
          <w:p>
            <w:pPr>
              <w:jc w:val="center"/>
              <w:rPr>
                <w:snapToGrid w:val="0"/>
                <w:color w:val="000000"/>
                <w:kern w:val="21"/>
                <w:szCs w:val="21"/>
                <w:highlight w:val="none"/>
              </w:rPr>
            </w:pPr>
            <w:r>
              <w:rPr>
                <w:snapToGrid w:val="0"/>
                <w:color w:val="000000"/>
                <w:kern w:val="21"/>
                <w:szCs w:val="21"/>
                <w:highlight w:val="none"/>
              </w:rPr>
              <w:t>/</w:t>
            </w:r>
          </w:p>
        </w:tc>
        <w:tc>
          <w:tcPr>
            <w:tcW w:w="1559" w:type="dxa"/>
            <w:vAlign w:val="center"/>
          </w:tcPr>
          <w:p>
            <w:pPr>
              <w:jc w:val="center"/>
              <w:rPr>
                <w:snapToGrid w:val="0"/>
                <w:color w:val="000000"/>
                <w:kern w:val="21"/>
                <w:szCs w:val="21"/>
                <w:highlight w:val="none"/>
              </w:rPr>
            </w:pPr>
            <w:r>
              <w:rPr>
                <w:rFonts w:hint="eastAsia"/>
                <w:szCs w:val="21"/>
                <w:highlight w:val="none"/>
              </w:rPr>
              <w:t>0.02</w:t>
            </w:r>
          </w:p>
        </w:tc>
        <w:tc>
          <w:tcPr>
            <w:tcW w:w="1761"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959" w:type="dxa"/>
            <w:vAlign w:val="center"/>
          </w:tcPr>
          <w:p>
            <w:pPr>
              <w:pStyle w:val="47"/>
              <w:adjustRightInd/>
              <w:snapToGrid/>
              <w:spacing w:beforeLines="0" w:before="10" w:afterLines="0" w:after="10" w:line="240" w:lineRule="auto"/>
              <w:ind w:left="0" w:right="0" w:firstLine="0"/>
              <w:rPr>
                <w:snapToGrid w:val="0"/>
                <w:color w:val="000000"/>
                <w:kern w:val="21"/>
                <w:szCs w:val="21"/>
                <w:highlight w:val="none"/>
              </w:rPr>
            </w:pPr>
            <w:r>
              <w:rPr>
                <w:rFonts w:ascii="Times New Roman" w:eastAsia="宋体" w:hAnsi="Times New Roman"/>
                <w:snapToGrid w:val="0"/>
                <w:color w:val="000000"/>
                <w:kern w:val="21"/>
                <w:sz w:val="21"/>
                <w:szCs w:val="21"/>
                <w:highlight w:val="none"/>
              </w:rPr>
              <w:t>/</w:t>
            </w:r>
          </w:p>
        </w:tc>
        <w:tc>
          <w:tcPr>
            <w:tcW w:w="1089"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r>
      <w:tr>
        <w:trPr>
          <w:trHeight w:val="454"/>
        </w:trPr>
        <w:tc>
          <w:tcPr>
            <w:tcW w:w="1588" w:type="dxa"/>
            <w:vMerge/>
            <w:vAlign w:val="center"/>
          </w:tcPr>
          <w:p/>
        </w:tc>
        <w:tc>
          <w:tcPr>
            <w:tcW w:w="1417" w:type="dxa"/>
            <w:vAlign w:val="center"/>
          </w:tcPr>
          <w:p>
            <w:pPr>
              <w:jc w:val="center"/>
              <w:rPr>
                <w:szCs w:val="21"/>
                <w:highlight w:val="none"/>
              </w:rPr>
            </w:pPr>
            <w:r>
              <w:rPr>
                <w:szCs w:val="21"/>
                <w:highlight w:val="none"/>
              </w:rPr>
              <w:t>废含油抹布</w:t>
            </w:r>
          </w:p>
        </w:tc>
        <w:tc>
          <w:tcPr>
            <w:tcW w:w="1701"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276"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701" w:type="dxa"/>
            <w:vAlign w:val="center"/>
          </w:tcPr>
          <w:p>
            <w:pPr>
              <w:jc w:val="center"/>
              <w:rPr>
                <w:snapToGrid w:val="0"/>
                <w:color w:val="000000"/>
                <w:kern w:val="21"/>
                <w:szCs w:val="21"/>
                <w:highlight w:val="none"/>
              </w:rPr>
            </w:pPr>
            <w:r>
              <w:rPr>
                <w:snapToGrid w:val="0"/>
                <w:color w:val="000000"/>
                <w:kern w:val="21"/>
                <w:szCs w:val="21"/>
                <w:highlight w:val="none"/>
              </w:rPr>
              <w:t>/</w:t>
            </w:r>
          </w:p>
        </w:tc>
        <w:tc>
          <w:tcPr>
            <w:tcW w:w="1559" w:type="dxa"/>
            <w:vAlign w:val="center"/>
          </w:tcPr>
          <w:p>
            <w:pPr>
              <w:jc w:val="center"/>
              <w:rPr>
                <w:szCs w:val="21"/>
                <w:highlight w:val="none"/>
              </w:rPr>
            </w:pPr>
            <w:r>
              <w:rPr>
                <w:rFonts w:hint="eastAsia"/>
                <w:szCs w:val="21"/>
                <w:highlight w:val="none"/>
              </w:rPr>
              <w:t>0.01</w:t>
            </w:r>
          </w:p>
        </w:tc>
        <w:tc>
          <w:tcPr>
            <w:tcW w:w="1761"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959" w:type="dxa"/>
            <w:vAlign w:val="center"/>
          </w:tcPr>
          <w:p>
            <w:pPr>
              <w:pStyle w:val="47"/>
              <w:adjustRightInd/>
              <w:snapToGrid/>
              <w:spacing w:beforeLines="0" w:before="10" w:afterLines="0" w:after="10" w:line="240" w:lineRule="auto"/>
              <w:ind w:left="0" w:right="0" w:firstLine="0"/>
              <w:rPr>
                <w:szCs w:val="21"/>
                <w:highlight w:val="none"/>
              </w:rPr>
            </w:pPr>
            <w:r>
              <w:rPr>
                <w:rFonts w:ascii="Times New Roman" w:eastAsia="宋体" w:hAnsi="Times New Roman"/>
                <w:snapToGrid w:val="0"/>
                <w:color w:val="000000"/>
                <w:kern w:val="21"/>
                <w:sz w:val="21"/>
                <w:szCs w:val="21"/>
                <w:highlight w:val="none"/>
              </w:rPr>
              <w:t>/</w:t>
            </w:r>
          </w:p>
        </w:tc>
        <w:tc>
          <w:tcPr>
            <w:tcW w:w="1089"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r>
      <w:tr>
        <w:trPr>
          <w:trHeight w:val="454"/>
        </w:trPr>
        <w:tc>
          <w:tcPr>
            <w:tcW w:w="1588" w:type="dxa"/>
            <w:vMerge/>
            <w:vAlign w:val="center"/>
          </w:tcPr>
          <w:p/>
        </w:tc>
        <w:tc>
          <w:tcPr>
            <w:tcW w:w="1417" w:type="dxa"/>
            <w:vAlign w:val="center"/>
          </w:tcPr>
          <w:p>
            <w:pPr>
              <w:jc w:val="center"/>
              <w:rPr>
                <w:szCs w:val="21"/>
                <w:highlight w:val="none"/>
              </w:rPr>
            </w:pPr>
            <w:r>
              <w:rPr>
                <w:rFonts w:hint="eastAsia"/>
                <w:szCs w:val="21"/>
                <w:highlight w:val="none"/>
              </w:rPr>
              <w:t>废润滑油桶</w:t>
            </w:r>
          </w:p>
        </w:tc>
        <w:tc>
          <w:tcPr>
            <w:tcW w:w="1701"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276"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701" w:type="dxa"/>
            <w:vAlign w:val="center"/>
          </w:tcPr>
          <w:p>
            <w:pPr>
              <w:jc w:val="center"/>
              <w:rPr>
                <w:snapToGrid w:val="0"/>
                <w:color w:val="000000"/>
                <w:kern w:val="21"/>
                <w:szCs w:val="21"/>
                <w:highlight w:val="none"/>
              </w:rPr>
            </w:pPr>
            <w:r>
              <w:rPr>
                <w:snapToGrid w:val="0"/>
                <w:color w:val="000000"/>
                <w:kern w:val="21"/>
                <w:szCs w:val="21"/>
                <w:highlight w:val="none"/>
              </w:rPr>
              <w:t>/</w:t>
            </w:r>
          </w:p>
        </w:tc>
        <w:tc>
          <w:tcPr>
            <w:tcW w:w="1559" w:type="dxa"/>
            <w:vAlign w:val="center"/>
          </w:tcPr>
          <w:p>
            <w:pPr>
              <w:jc w:val="center"/>
              <w:rPr>
                <w:szCs w:val="21"/>
                <w:highlight w:val="none"/>
              </w:rPr>
            </w:pPr>
            <w:r>
              <w:rPr>
                <w:rFonts w:hint="eastAsia"/>
                <w:szCs w:val="21"/>
                <w:highlight w:val="none"/>
              </w:rPr>
              <w:t>0.01</w:t>
            </w:r>
          </w:p>
        </w:tc>
        <w:tc>
          <w:tcPr>
            <w:tcW w:w="1761"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c>
          <w:tcPr>
            <w:tcW w:w="1959" w:type="dxa"/>
            <w:vAlign w:val="center"/>
          </w:tcPr>
          <w:p>
            <w:pPr>
              <w:pStyle w:val="47"/>
              <w:adjustRightInd/>
              <w:snapToGrid/>
              <w:spacing w:beforeLines="0" w:before="10" w:afterLines="0" w:after="10" w:line="240" w:lineRule="auto"/>
              <w:ind w:left="0" w:right="0" w:firstLine="0"/>
              <w:rPr>
                <w:szCs w:val="21"/>
                <w:highlight w:val="none"/>
              </w:rPr>
            </w:pPr>
            <w:r>
              <w:rPr>
                <w:rFonts w:ascii="Times New Roman" w:eastAsia="宋体" w:hAnsi="Times New Roman"/>
                <w:snapToGrid w:val="0"/>
                <w:color w:val="000000"/>
                <w:kern w:val="21"/>
                <w:sz w:val="21"/>
                <w:szCs w:val="21"/>
                <w:highlight w:val="none"/>
              </w:rPr>
              <w:t>/</w:t>
            </w:r>
          </w:p>
        </w:tc>
        <w:tc>
          <w:tcPr>
            <w:tcW w:w="1089" w:type="dxa"/>
            <w:vAlign w:val="center"/>
          </w:tcPr>
          <w:p>
            <w:pPr>
              <w:jc w:val="center"/>
              <w:textAlignment w:val="baseline"/>
              <w:rPr>
                <w:snapToGrid w:val="0"/>
                <w:color w:val="000000"/>
                <w:kern w:val="21"/>
                <w:szCs w:val="21"/>
                <w:highlight w:val="none"/>
              </w:rPr>
            </w:pPr>
            <w:r>
              <w:rPr>
                <w:snapToGrid w:val="0"/>
                <w:color w:val="000000"/>
                <w:kern w:val="21"/>
                <w:szCs w:val="21"/>
                <w:highlight w:val="none"/>
              </w:rPr>
              <w:t>/</w:t>
            </w:r>
          </w:p>
        </w:tc>
      </w:tr>
    </w:tbl>
    <w:p>
      <w:pPr>
        <w:pStyle w:val="47"/>
        <w:spacing w:beforeLines="80" w:before="192"/>
        <w:jc w:val="left"/>
        <w:rPr>
          <w:rFonts w:ascii="Times New Roman" w:eastAsia="宋体" w:hAnsi="Times New Roman"/>
          <w:snapToGrid w:val="0"/>
          <w:color w:val="000000"/>
          <w:spacing w:val="-6"/>
          <w:kern w:val="21"/>
          <w:szCs w:val="21"/>
          <w:highlight w:val="none"/>
        </w:rPr>
      </w:pPr>
      <w:r>
        <w:rPr>
          <w:rFonts w:ascii="Times New Roman" w:eastAsia="宋体" w:hAnsi="Times New Roman"/>
          <w:snapToGrid w:val="0"/>
          <w:color w:val="000000"/>
          <w:kern w:val="21"/>
          <w:szCs w:val="21"/>
          <w:highlight w:val="none"/>
        </w:rPr>
        <w:t>注：</w:t>
      </w:r>
      <w:r>
        <w:rPr>
          <w:rFonts w:ascii="Times New Roman" w:eastAsia="宋体" w:hAnsi="Times New Roman"/>
          <w:snapToGrid w:val="0"/>
          <w:color w:val="000000"/>
          <w:spacing w:val="-16"/>
          <w:kern w:val="21"/>
          <w:szCs w:val="21"/>
          <w:highlight w:val="none"/>
        </w:rPr>
        <w:fldChar w:fldCharType="begin"/>
      </w:r>
      <w:r>
        <w:rPr>
          <w:rFonts w:ascii="Times New Roman" w:eastAsia="宋体" w:hAnsi="Times New Roman"/>
          <w:snapToGrid w:val="0"/>
          <w:color w:val="000000"/>
          <w:spacing w:val="-16"/>
          <w:kern w:val="21"/>
          <w:szCs w:val="21"/>
          <w:highlight w:val="none"/>
        </w:rPr>
        <w:instrText xml:space="preserve"> = 6 \* GB3 \* MERGEFORMAT </w:instrText>
      </w:r>
      <w:r>
        <w:rPr>
          <w:rFonts w:ascii="Times New Roman" w:eastAsia="宋体" w:hAnsi="Times New Roman"/>
          <w:snapToGrid w:val="0"/>
          <w:color w:val="000000"/>
          <w:spacing w:val="-16"/>
          <w:kern w:val="21"/>
          <w:szCs w:val="21"/>
          <w:highlight w:val="none"/>
        </w:rPr>
        <w:fldChar w:fldCharType="separate"/>
      </w:r>
      <w:r>
        <w:rPr>
          <w:rFonts w:eastAsia="宋体" w:cs="宋体" w:hAnsi="宋体" w:hint="eastAsia"/>
          <w:szCs w:val="21"/>
          <w:highlight w:val="none"/>
        </w:rPr>
        <w:t>⑥</w:t>
      </w:r>
      <w:r>
        <w:rPr>
          <w:rFonts w:ascii="Times New Roman" w:eastAsia="宋体" w:hAnsi="Times New Roman"/>
          <w:snapToGrid w:val="0"/>
          <w:color w:val="000000"/>
          <w:spacing w:val="-16"/>
          <w:kern w:val="21"/>
          <w:szCs w:val="21"/>
          <w:highlight w:val="none"/>
        </w:rPr>
        <w:fldChar w:fldCharType="end"/>
      </w:r>
      <w:r>
        <w:rPr>
          <w:rFonts w:ascii="Times New Roman" w:eastAsia="宋体" w:hAnsi="Times New Roman"/>
          <w:snapToGrid w:val="0"/>
          <w:color w:val="000000"/>
          <w:spacing w:val="-16"/>
          <w:kern w:val="21"/>
          <w:szCs w:val="21"/>
          <w:highlight w:val="none"/>
        </w:rPr>
        <w:t>=</w:t>
      </w:r>
      <w:r>
        <w:rPr>
          <w:rFonts w:ascii="Times New Roman" w:eastAsia="宋体" w:hAnsi="Times New Roman"/>
          <w:snapToGrid w:val="0"/>
          <w:color w:val="000000"/>
          <w:spacing w:val="-6"/>
          <w:kern w:val="21"/>
          <w:szCs w:val="21"/>
          <w:highlight w:val="none"/>
        </w:rPr>
        <w:fldChar w:fldCharType="begin"/>
      </w:r>
      <w:r>
        <w:rPr>
          <w:rFonts w:ascii="Times New Roman" w:eastAsia="宋体" w:hAnsi="Times New Roman"/>
          <w:snapToGrid w:val="0"/>
          <w:color w:val="000000"/>
          <w:spacing w:val="-6"/>
          <w:kern w:val="21"/>
          <w:szCs w:val="21"/>
          <w:highlight w:val="none"/>
        </w:rPr>
        <w:instrText xml:space="preserve"> = 1 \* GB3 \* MERGEFORMAT </w:instrText>
      </w:r>
      <w:r>
        <w:rPr>
          <w:rFonts w:ascii="Times New Roman" w:eastAsia="宋体" w:hAnsi="Times New Roman"/>
          <w:snapToGrid w:val="0"/>
          <w:color w:val="000000"/>
          <w:spacing w:val="-6"/>
          <w:kern w:val="21"/>
          <w:szCs w:val="21"/>
          <w:highlight w:val="none"/>
        </w:rPr>
        <w:fldChar w:fldCharType="separate"/>
      </w:r>
      <w:r>
        <w:rPr>
          <w:rFonts w:eastAsia="宋体" w:cs="宋体" w:hAnsi="宋体" w:hint="eastAsia"/>
          <w:szCs w:val="21"/>
          <w:highlight w:val="none"/>
        </w:rPr>
        <w:t>①</w:t>
      </w:r>
      <w:r>
        <w:rPr>
          <w:rFonts w:ascii="Times New Roman" w:eastAsia="宋体" w:hAnsi="Times New Roman"/>
          <w:snapToGrid w:val="0"/>
          <w:color w:val="000000"/>
          <w:spacing w:val="-6"/>
          <w:kern w:val="21"/>
          <w:szCs w:val="21"/>
          <w:highlight w:val="none"/>
        </w:rPr>
        <w:fldChar w:fldCharType="end"/>
      </w:r>
      <w:r>
        <w:rPr>
          <w:rFonts w:ascii="Times New Roman" w:eastAsia="宋体" w:hAnsi="Times New Roman"/>
          <w:snapToGrid w:val="0"/>
          <w:color w:val="000000"/>
          <w:spacing w:val="-6"/>
          <w:kern w:val="21"/>
          <w:szCs w:val="21"/>
          <w:highlight w:val="none"/>
        </w:rPr>
        <w:t>+</w:t>
      </w:r>
      <w:r>
        <w:rPr>
          <w:rFonts w:ascii="Times New Roman" w:eastAsia="宋体" w:hAnsi="Times New Roman"/>
          <w:snapToGrid w:val="0"/>
          <w:color w:val="000000"/>
          <w:spacing w:val="-6"/>
          <w:kern w:val="21"/>
          <w:szCs w:val="21"/>
          <w:highlight w:val="none"/>
        </w:rPr>
        <w:fldChar w:fldCharType="begin"/>
      </w:r>
      <w:r>
        <w:rPr>
          <w:rFonts w:ascii="Times New Roman" w:eastAsia="宋体" w:hAnsi="Times New Roman"/>
          <w:snapToGrid w:val="0"/>
          <w:color w:val="000000"/>
          <w:spacing w:val="-6"/>
          <w:kern w:val="21"/>
          <w:szCs w:val="21"/>
          <w:highlight w:val="none"/>
        </w:rPr>
        <w:instrText xml:space="preserve"> = 3 \* GB3 \* MERGEFORMAT </w:instrText>
      </w:r>
      <w:r>
        <w:rPr>
          <w:rFonts w:ascii="Times New Roman" w:eastAsia="宋体" w:hAnsi="Times New Roman"/>
          <w:snapToGrid w:val="0"/>
          <w:color w:val="000000"/>
          <w:spacing w:val="-6"/>
          <w:kern w:val="21"/>
          <w:szCs w:val="21"/>
          <w:highlight w:val="none"/>
        </w:rPr>
        <w:fldChar w:fldCharType="separate"/>
      </w:r>
      <w:r>
        <w:rPr>
          <w:rFonts w:eastAsia="宋体" w:cs="宋体" w:hAnsi="宋体" w:hint="eastAsia"/>
          <w:szCs w:val="21"/>
          <w:highlight w:val="none"/>
        </w:rPr>
        <w:t>③</w:t>
      </w:r>
      <w:r>
        <w:rPr>
          <w:rFonts w:ascii="Times New Roman" w:eastAsia="宋体" w:hAnsi="Times New Roman"/>
          <w:snapToGrid w:val="0"/>
          <w:color w:val="000000"/>
          <w:spacing w:val="-6"/>
          <w:kern w:val="21"/>
          <w:szCs w:val="21"/>
          <w:highlight w:val="none"/>
        </w:rPr>
        <w:fldChar w:fldCharType="end"/>
      </w:r>
      <w:r>
        <w:rPr>
          <w:rFonts w:ascii="Times New Roman" w:eastAsia="宋体" w:hAnsi="Times New Roman"/>
          <w:snapToGrid w:val="0"/>
          <w:color w:val="000000"/>
          <w:spacing w:val="-6"/>
          <w:kern w:val="21"/>
          <w:szCs w:val="21"/>
          <w:highlight w:val="none"/>
        </w:rPr>
        <w:t>+</w:t>
      </w:r>
      <w:r>
        <w:rPr>
          <w:rFonts w:ascii="Times New Roman" w:eastAsia="宋体" w:hAnsi="Times New Roman"/>
          <w:snapToGrid w:val="0"/>
          <w:color w:val="000000"/>
          <w:spacing w:val="-6"/>
          <w:kern w:val="21"/>
          <w:szCs w:val="21"/>
          <w:highlight w:val="none"/>
        </w:rPr>
        <w:fldChar w:fldCharType="begin"/>
      </w:r>
      <w:r>
        <w:rPr>
          <w:rFonts w:ascii="Times New Roman" w:eastAsia="宋体" w:hAnsi="Times New Roman"/>
          <w:snapToGrid w:val="0"/>
          <w:color w:val="000000"/>
          <w:spacing w:val="-6"/>
          <w:kern w:val="21"/>
          <w:szCs w:val="21"/>
          <w:highlight w:val="none"/>
        </w:rPr>
        <w:instrText xml:space="preserve"> = 4 \* GB3 \* MERGEFORMAT </w:instrText>
      </w:r>
      <w:r>
        <w:rPr>
          <w:rFonts w:ascii="Times New Roman" w:eastAsia="宋体" w:hAnsi="Times New Roman"/>
          <w:snapToGrid w:val="0"/>
          <w:color w:val="000000"/>
          <w:spacing w:val="-6"/>
          <w:kern w:val="21"/>
          <w:szCs w:val="21"/>
          <w:highlight w:val="none"/>
        </w:rPr>
        <w:fldChar w:fldCharType="separate"/>
      </w:r>
      <w:r>
        <w:rPr>
          <w:rFonts w:eastAsia="宋体" w:cs="宋体" w:hAnsi="宋体" w:hint="eastAsia"/>
          <w:szCs w:val="21"/>
          <w:highlight w:val="none"/>
        </w:rPr>
        <w:t>④</w:t>
      </w:r>
      <w:r>
        <w:rPr>
          <w:rFonts w:ascii="Times New Roman" w:eastAsia="宋体" w:hAnsi="Times New Roman"/>
          <w:snapToGrid w:val="0"/>
          <w:color w:val="000000"/>
          <w:spacing w:val="-6"/>
          <w:kern w:val="21"/>
          <w:szCs w:val="21"/>
          <w:highlight w:val="none"/>
        </w:rPr>
        <w:fldChar w:fldCharType="end"/>
      </w:r>
      <w:r>
        <w:rPr>
          <w:rFonts w:ascii="Times New Roman" w:eastAsia="宋体" w:hAnsi="Times New Roman"/>
          <w:snapToGrid w:val="0"/>
          <w:color w:val="000000"/>
          <w:spacing w:val="-6"/>
          <w:kern w:val="21"/>
          <w:szCs w:val="21"/>
          <w:highlight w:val="none"/>
        </w:rPr>
        <w:t>-</w:t>
      </w:r>
      <w:r>
        <w:rPr>
          <w:rFonts w:ascii="Times New Roman" w:eastAsia="宋体" w:hAnsi="Times New Roman"/>
          <w:snapToGrid w:val="0"/>
          <w:color w:val="000000"/>
          <w:spacing w:val="-16"/>
          <w:kern w:val="21"/>
          <w:szCs w:val="21"/>
          <w:highlight w:val="none"/>
        </w:rPr>
        <w:fldChar w:fldCharType="begin"/>
      </w:r>
      <w:r>
        <w:rPr>
          <w:rFonts w:ascii="Times New Roman" w:eastAsia="宋体" w:hAnsi="Times New Roman"/>
          <w:snapToGrid w:val="0"/>
          <w:color w:val="000000"/>
          <w:spacing w:val="-16"/>
          <w:kern w:val="21"/>
          <w:szCs w:val="21"/>
          <w:highlight w:val="none"/>
        </w:rPr>
        <w:instrText xml:space="preserve"> = 5 \* GB3 \* MERGEFORMAT </w:instrText>
      </w:r>
      <w:r>
        <w:rPr>
          <w:rFonts w:ascii="Times New Roman" w:eastAsia="宋体" w:hAnsi="Times New Roman"/>
          <w:snapToGrid w:val="0"/>
          <w:color w:val="000000"/>
          <w:spacing w:val="-16"/>
          <w:kern w:val="21"/>
          <w:szCs w:val="21"/>
          <w:highlight w:val="none"/>
        </w:rPr>
        <w:fldChar w:fldCharType="separate"/>
      </w:r>
      <w:r>
        <w:rPr>
          <w:rFonts w:eastAsia="宋体" w:cs="宋体" w:hAnsi="宋体" w:hint="eastAsia"/>
          <w:szCs w:val="21"/>
          <w:highlight w:val="none"/>
        </w:rPr>
        <w:t>⑤</w:t>
      </w:r>
      <w:r>
        <w:rPr>
          <w:rFonts w:ascii="Times New Roman" w:eastAsia="宋体" w:hAnsi="Times New Roman"/>
          <w:snapToGrid w:val="0"/>
          <w:color w:val="000000"/>
          <w:spacing w:val="-16"/>
          <w:kern w:val="21"/>
          <w:szCs w:val="21"/>
          <w:highlight w:val="none"/>
        </w:rPr>
        <w:fldChar w:fldCharType="end"/>
      </w:r>
      <w:r>
        <w:rPr>
          <w:rFonts w:ascii="Times New Roman" w:eastAsia="宋体" w:hAnsi="Times New Roman"/>
          <w:snapToGrid w:val="0"/>
          <w:color w:val="000000"/>
          <w:spacing w:val="-16"/>
          <w:kern w:val="21"/>
          <w:szCs w:val="21"/>
          <w:highlight w:val="none"/>
        </w:rPr>
        <w:t>；</w:t>
      </w:r>
      <w:r>
        <w:rPr>
          <w:rFonts w:ascii="Times New Roman" w:eastAsia="宋体" w:hAnsi="Times New Roman"/>
          <w:snapToGrid w:val="0"/>
          <w:color w:val="000000"/>
          <w:spacing w:val="-6"/>
          <w:kern w:val="21"/>
          <w:szCs w:val="21"/>
          <w:highlight w:val="none"/>
        </w:rPr>
        <w:fldChar w:fldCharType="begin"/>
      </w:r>
      <w:r>
        <w:rPr>
          <w:rFonts w:ascii="Times New Roman" w:eastAsia="宋体" w:hAnsi="Times New Roman"/>
          <w:snapToGrid w:val="0"/>
          <w:color w:val="000000"/>
          <w:spacing w:val="-6"/>
          <w:kern w:val="21"/>
          <w:szCs w:val="21"/>
          <w:highlight w:val="none"/>
        </w:rPr>
        <w:instrText xml:space="preserve"> = 7 \* GB3 \* MERGEFORMAT </w:instrText>
      </w:r>
      <w:r>
        <w:rPr>
          <w:rFonts w:ascii="Times New Roman" w:eastAsia="宋体" w:hAnsi="Times New Roman"/>
          <w:snapToGrid w:val="0"/>
          <w:color w:val="000000"/>
          <w:spacing w:val="-6"/>
          <w:kern w:val="21"/>
          <w:szCs w:val="21"/>
          <w:highlight w:val="none"/>
        </w:rPr>
        <w:fldChar w:fldCharType="separate"/>
      </w:r>
      <w:r>
        <w:rPr>
          <w:rFonts w:eastAsia="宋体" w:cs="宋体" w:hAnsi="宋体" w:hint="eastAsia"/>
          <w:szCs w:val="21"/>
          <w:highlight w:val="none"/>
        </w:rPr>
        <w:t>⑦</w:t>
      </w:r>
      <w:r>
        <w:rPr>
          <w:rFonts w:ascii="Times New Roman" w:eastAsia="宋体" w:hAnsi="Times New Roman"/>
          <w:snapToGrid w:val="0"/>
          <w:color w:val="000000"/>
          <w:spacing w:val="-6"/>
          <w:kern w:val="21"/>
          <w:szCs w:val="21"/>
          <w:highlight w:val="none"/>
        </w:rPr>
        <w:fldChar w:fldCharType="end"/>
      </w:r>
      <w:r>
        <w:rPr>
          <w:rFonts w:ascii="Times New Roman" w:eastAsia="宋体" w:hAnsi="Times New Roman"/>
          <w:snapToGrid w:val="0"/>
          <w:color w:val="000000"/>
          <w:spacing w:val="-6"/>
          <w:kern w:val="21"/>
          <w:szCs w:val="21"/>
          <w:highlight w:val="none"/>
        </w:rPr>
        <w:t>=</w:t>
      </w:r>
      <w:r>
        <w:rPr>
          <w:rFonts w:ascii="Times New Roman" w:eastAsia="宋体" w:hAnsi="Times New Roman"/>
          <w:snapToGrid w:val="0"/>
          <w:color w:val="000000"/>
          <w:spacing w:val="-16"/>
          <w:kern w:val="21"/>
          <w:szCs w:val="21"/>
          <w:highlight w:val="none"/>
        </w:rPr>
        <w:fldChar w:fldCharType="begin"/>
      </w:r>
      <w:r>
        <w:rPr>
          <w:rFonts w:ascii="Times New Roman" w:eastAsia="宋体" w:hAnsi="Times New Roman"/>
          <w:snapToGrid w:val="0"/>
          <w:color w:val="000000"/>
          <w:spacing w:val="-16"/>
          <w:kern w:val="21"/>
          <w:szCs w:val="21"/>
          <w:highlight w:val="none"/>
        </w:rPr>
        <w:instrText xml:space="preserve"> = 6 \* GB3 \* MERGEFORMAT </w:instrText>
      </w:r>
      <w:r>
        <w:rPr>
          <w:rFonts w:ascii="Times New Roman" w:eastAsia="宋体" w:hAnsi="Times New Roman"/>
          <w:snapToGrid w:val="0"/>
          <w:color w:val="000000"/>
          <w:spacing w:val="-16"/>
          <w:kern w:val="21"/>
          <w:szCs w:val="21"/>
          <w:highlight w:val="none"/>
        </w:rPr>
        <w:fldChar w:fldCharType="separate"/>
      </w:r>
      <w:r>
        <w:rPr>
          <w:rFonts w:eastAsia="宋体" w:cs="宋体" w:hAnsi="宋体" w:hint="eastAsia"/>
          <w:szCs w:val="21"/>
          <w:highlight w:val="none"/>
        </w:rPr>
        <w:t>⑥</w:t>
      </w:r>
      <w:r>
        <w:rPr>
          <w:rFonts w:ascii="Times New Roman" w:eastAsia="宋体" w:hAnsi="Times New Roman"/>
          <w:snapToGrid w:val="0"/>
          <w:color w:val="000000"/>
          <w:spacing w:val="-16"/>
          <w:kern w:val="21"/>
          <w:szCs w:val="21"/>
          <w:highlight w:val="none"/>
        </w:rPr>
        <w:fldChar w:fldCharType="end"/>
      </w:r>
      <w:r>
        <w:rPr>
          <w:rFonts w:ascii="Times New Roman" w:eastAsia="宋体" w:hAnsi="Times New Roman"/>
          <w:snapToGrid w:val="0"/>
          <w:color w:val="000000"/>
          <w:spacing w:val="-16"/>
          <w:kern w:val="21"/>
          <w:szCs w:val="21"/>
          <w:highlight w:val="none"/>
        </w:rPr>
        <w:t>-</w:t>
      </w:r>
      <w:r>
        <w:rPr>
          <w:rFonts w:ascii="Times New Roman" w:eastAsia="宋体" w:hAnsi="Times New Roman"/>
          <w:snapToGrid w:val="0"/>
          <w:color w:val="000000"/>
          <w:spacing w:val="-6"/>
          <w:kern w:val="21"/>
          <w:szCs w:val="21"/>
          <w:highlight w:val="none"/>
        </w:rPr>
        <w:fldChar w:fldCharType="begin"/>
      </w:r>
      <w:r>
        <w:rPr>
          <w:rFonts w:ascii="Times New Roman" w:eastAsia="宋体" w:hAnsi="Times New Roman"/>
          <w:snapToGrid w:val="0"/>
          <w:color w:val="000000"/>
          <w:spacing w:val="-6"/>
          <w:kern w:val="21"/>
          <w:szCs w:val="21"/>
          <w:highlight w:val="none"/>
        </w:rPr>
        <w:instrText xml:space="preserve"> = 1 \* GB3 \* MERGEFORMAT </w:instrText>
      </w:r>
      <w:r>
        <w:rPr>
          <w:rFonts w:ascii="Times New Roman" w:eastAsia="宋体" w:hAnsi="Times New Roman"/>
          <w:snapToGrid w:val="0"/>
          <w:color w:val="000000"/>
          <w:spacing w:val="-6"/>
          <w:kern w:val="21"/>
          <w:szCs w:val="21"/>
          <w:highlight w:val="none"/>
        </w:rPr>
        <w:fldChar w:fldCharType="separate"/>
      </w:r>
      <w:r>
        <w:rPr>
          <w:rFonts w:eastAsia="宋体" w:cs="宋体" w:hAnsi="宋体" w:hint="eastAsia"/>
          <w:szCs w:val="21"/>
          <w:highlight w:val="none"/>
        </w:rPr>
        <w:t>①</w:t>
      </w:r>
      <w:r>
        <w:rPr>
          <w:rFonts w:ascii="Times New Roman" w:eastAsia="宋体" w:hAnsi="Times New Roman"/>
          <w:snapToGrid w:val="0"/>
          <w:color w:val="000000"/>
          <w:spacing w:val="-6"/>
          <w:kern w:val="21"/>
          <w:szCs w:val="21"/>
          <w:highlight w:val="none"/>
        </w:rPr>
        <w:fldChar w:fldCharType="end"/>
      </w:r>
    </w:p>
    <w:p>
      <w:pPr>
        <w:pStyle w:val="76"/>
        <w:adjustRightInd/>
        <w:outlineLvl w:val="1"/>
        <w:rPr>
          <w:highlight w:val="none"/>
        </w:rPr>
      </w:pPr>
    </w:p>
    <w:sectPr>
      <w:footerReference w:type="default" r:id="rId38"/>
      <w:pgSz w:w="16838" w:h="11906" w:orient="landscape"/>
      <w:pgMar w:top="1418" w:right="1418" w:bottom="1418" w:left="1418" w:header="851" w:footer="992" w:gutter="0"/>
      <w:pgBorders>
        <w:top w:val="none" w:sz="0" w:space="0" w:color="auto"/>
        <w:left w:val="none" w:sz="0" w:space="0" w:color="auto"/>
        <w:bottom w:val="none" w:sz="0" w:space="0" w:color="auto"/>
        <w:right w:val="none" w:sz="0" w:space="0" w:color="auto"/>
      </w:pgBorders>
      <w:cols w:num="1" w:space="425"/>
      <w:docGrid w:linePitch="312" w:charSpace="0"/>
    </w:sectPr>
  </w:body>
</w:document>
</file>

<file path=word/fontTable.xml><?xml version="1.0" encoding="utf-8"?>
<w:fonts xmlns:w="http://schemas.openxmlformats.org/wordprocessingml/2006/main" xmlns:r="http://schemas.openxmlformats.org/officeDocument/2006/relationships">
  <w:font w:name="宋体">
    <w:panose1 w:val="02010600030101010101"/>
    <w:charset w:val="34"/>
    <w:family w:val="auto"/>
    <w:pitch w:val="variable"/>
    <w:sig w:usb0="00000203" w:usb1="288F0000" w:usb2="00000006" w:usb3="00000000" w:csb0="00040001" w:csb1="00000000"/>
  </w:font>
  <w:font w:name="Times New Roman">
    <w:panose1 w:val="02020603050405020304"/>
    <w:charset w:val="80"/>
    <w:family w:val="auto"/>
    <w:pitch w:val="variable"/>
    <w:sig w:usb0="E0002EFF" w:usb1="C000785B" w:usb2="00000009" w:usb3="00000000" w:csb0="400001FF" w:csb1="FFFF0000"/>
  </w:font>
  <w:font w:name="Wingdings 2">
    <w:altName w:val="DejaVu Sans"/>
    <w:panose1 w:val="05020102010507070707"/>
    <w:charset w:val="02"/>
    <w:family w:val="roman"/>
    <w:pitch w:val="variable"/>
    <w:sig w:usb0="00000000" w:usb1="00000000" w:usb2="00000000" w:usb3="00000000" w:csb0="80000000" w:csb1="00000000"/>
  </w:font>
  <w:font w:name="等线">
    <w:altName w:val="黑体"/>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variable"/>
    <w:sig w:usb0="00000001" w:usb1="080E0000" w:usb2="00000000" w:usb3="00000000" w:csb0="00040000" w:csb1="00000000"/>
  </w:font>
  <w:font w:name="Cambria Math">
    <w:altName w:val="DejaVu Sans"/>
    <w:panose1 w:val="02040503050406030204"/>
    <w:charset w:val="00"/>
    <w:family w:val="roman"/>
    <w:pitch w:val="variable"/>
    <w:sig w:usb0="E00006FF" w:usb1="420024FF" w:usb2="02000000" w:usb3="00000000" w:csb0="2000019F" w:csb1="00000000"/>
  </w:font>
  <w:font w:name="微软雅黑">
    <w:altName w:val="方正黑体_GBK"/>
    <w:panose1 w:val="020B0503020204020204"/>
    <w:charset w:val="86"/>
    <w:family w:val="auto"/>
    <w:pitch w:val="variable"/>
    <w:sig w:usb0="80000287" w:usb1="2ACF3C50" w:usb2="00000016" w:usb3="00000000" w:csb0="0004001F" w:csb1="00000000"/>
  </w:font>
  <w:font w:name="Century Gothic">
    <w:altName w:val="DejaVu Sans"/>
    <w:panose1 w:val="020B0502020202020204"/>
    <w:charset w:val="00"/>
    <w:family w:val="swiss"/>
    <w:pitch w:val="variable"/>
    <w:sig w:usb0="00000000" w:usb1="00000000" w:usb2="00000000" w:usb3="00000000" w:csb0="2000009F" w:csb1="DFD70000"/>
  </w:font>
  <w:font w:name="Lucida Sans">
    <w:altName w:val="DejaVu Sans"/>
    <w:panose1 w:val="020B0602030504020204"/>
    <w:charset w:val="00"/>
    <w:family w:val="auto"/>
    <w:pitch w:val="variable"/>
    <w:sig w:usb0="00000003" w:usb1="00000000" w:usb2="00000000" w:usb3="00000000" w:csb0="20000001" w:csb1="00000000"/>
  </w:font>
  <w:font w:name="黑体">
    <w:panose1 w:val="02010609060101010101"/>
    <w:charset w:val="86"/>
    <w:family w:val="auto"/>
    <w:pitch w:val="variable"/>
    <w:sig w:usb0="800002BF" w:usb1="38CF7CFA" w:usb2="00000016" w:usb3="00000000" w:csb0="00040001" w:csb1="00000000"/>
  </w:font>
  <w:font w:name="等线 Light">
    <w:altName w:val="黑体"/>
    <w:panose1 w:val="02010600030101010101"/>
    <w:charset w:val="86"/>
    <w:family w:val="auto"/>
    <w:pitch w:val="variable"/>
    <w:sig w:usb0="A00002BF" w:usb1="38CF7CFA" w:usb2="00000016" w:usb3="00000000" w:csb0="0004000F" w:csb1="00000000"/>
  </w:font>
  <w:font w:name="Arial">
    <w:altName w:val="DejaVu Sans"/>
    <w:panose1 w:val="020B0604020202020204"/>
    <w:charset w:val="01"/>
    <w:family w:val="swiss"/>
    <w:pitch w:val="variable"/>
    <w:sig w:usb0="E0002EFF" w:usb1="C000785B" w:usb2="00000009" w:usb3="00000000" w:csb0="400001FF" w:csb1="FFFF0000"/>
  </w:font>
  <w:font w:name="Courier New">
    <w:altName w:val="DejaVu Sans"/>
    <w:panose1 w:val="02070309020205020404"/>
    <w:charset w:val="01"/>
    <w:family w:val="modern"/>
    <w:pitch w:val="variable"/>
    <w:sig w:usb0="E0002EFF" w:usb1="C0007843" w:usb2="00000009" w:usb3="00000000" w:csb0="400001FF" w:csb1="FFFF0000"/>
  </w:font>
  <w:font w:name="Arial Unicode MS">
    <w:altName w:val="黑体"/>
    <w:panose1 w:val="020B0604020202020204"/>
    <w:charset w:val="86"/>
    <w:family w:val="swiss"/>
    <w:pitch w:val="variable"/>
    <w:sig w:usb0="F7FFAEFF" w:usb1="F9DFFFFF" w:usb2="0000007F" w:usb3="00000000" w:csb0="203F01FF" w:csb1="DFFF0000"/>
  </w:font>
  <w:font w:name="Calibri">
    <w:altName w:val="Times New Roman"/>
    <w:panose1 w:val="020F0502020204030204"/>
    <w:charset w:val="00"/>
    <w:family w:val="swiss"/>
    <w:pitch w:val="variable"/>
    <w:sig w:usb0="E4002EFF" w:usb1="C000247B" w:usb2="00000009" w:usb3="00000000" w:csb0="200001F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8"/>
      <w:tabs>
        <w:tab w:val="center" w:pos="4153"/>
        <w:tab w:val="right" w:pos="8306"/>
      </w:tabs>
      <w:ind w:right="360" w:firstLine="360"/>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8"/>
      <w:framePr w:w="0" w:hRule="auto" w:wrap="around" w:vAnchor="text" w:hAnchor="margin" w:xAlign="center" w:y="1" w:anchorLock="0"/>
      <w:tabs>
        <w:tab w:val="center" w:pos="4153"/>
        <w:tab w:val="right" w:pos="8306"/>
      </w:tabs>
      <w:rPr>
        <w:rStyle w:val="38"/>
      </w:rPr>
    </w:pPr>
    <w:r>
      <w:fldChar w:fldCharType="begin"/>
    </w:r>
    <w:r>
      <w:rPr>
        <w:rStyle w:val="38"/>
      </w:rPr>
      <w:instrText xml:space="preserve">PAGE  </w:instrText>
    </w:r>
    <w:r>
      <w:fldChar w:fldCharType="separate"/>
    </w:r>
    <w:r>
      <w:rPr>
        <w:rStyle w:val="38"/>
      </w:rPr>
      <w:t>13</w:t>
    </w:r>
    <w:r>
      <w:fldChar w:fldCharType="end"/>
    </w:r>
  </w:p>
  <w:p>
    <w:pPr>
      <w:pStyle w:val="28"/>
      <w:tabs>
        <w:tab w:val="center" w:pos="4153"/>
        <w:tab w:val="right" w:pos="8306"/>
      </w:tabs>
      <w:ind w:right="360" w:firstLine="360"/>
    </w:pP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8"/>
      <w:tabs>
        <w:tab w:val="center" w:pos="4153"/>
        <w:tab w:val="right" w:pos="8306"/>
      </w:tabs>
      <w:adjustRightInd w:val="0"/>
      <w:snapToGrid w:val="0"/>
      <w:jc w:val="center"/>
    </w:pPr>
    <w:r>
      <w:fldChar w:fldCharType="begin"/>
    </w:r>
    <w:r>
      <w:instrText>PAGE   \* MERGEFORMAT</w:instrText>
    </w:r>
    <w:r>
      <w:fldChar w:fldCharType="separate"/>
    </w:r>
    <w:r>
      <w:rPr>
        <w:lang w:val="zh-CN"/>
      </w:rPr>
      <w:t>19</w:t>
    </w:r>
    <w:r>
      <w:fldChar w:fldCharType="end"/>
    </w: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sdt>
    <w:sdtPr>
      <w:id w:val="-1458905210"/>
    </w:sdtPr>
    <w:sdtContent>
      <w:p>
        <w:pPr>
          <w:pStyle w:val="28"/>
          <w:tabs>
            <w:tab w:val="center" w:pos="4153"/>
            <w:tab w:val="right" w:pos="8306"/>
          </w:tabs>
          <w:jc w:val="center"/>
        </w:pPr>
        <w:r>
          <w:fldChar w:fldCharType="begin"/>
        </w:r>
        <w:r>
          <w:instrText>PAGE   \* MERGEFORMAT</w:instrText>
        </w:r>
        <w:r>
          <w:fldChar w:fldCharType="separate"/>
        </w:r>
        <w:r>
          <w:rPr>
            <w:lang w:val="zh-CN"/>
          </w:rPr>
          <w:t>60</w:t>
        </w:r>
        <w:r>
          <w:fldChar w:fldCharType="end"/>
        </w:r>
      </w:p>
    </w:sdtContent>
  </w:sdt>
  <w:p>
    <w:pPr>
      <w:pStyle w:val="28"/>
      <w:tabs>
        <w:tab w:val="center" w:pos="4153"/>
        <w:tab w:val="right" w:pos="8306"/>
      </w:tabs>
      <w:jc w:val="center"/>
    </w:pPr>
  </w:p>
</w:ft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4A49CB0D"/>
    <w:multiLevelType w:val="singleLevel"/>
    <w:tmpl w:val="4A49CB0D"/>
    <w:lvl w:ilvl="0">
      <w:start w:val="1"/>
      <w:numFmt w:val="decimal"/>
      <w:lvlRestart w:val="0"/>
      <w:lvlText w:val="%1)"/>
      <w:lvlJc w:val="left"/>
      <w:pPr>
        <w:tabs>
          <w:tab w:val="num" w:pos="312"/>
        </w:tabs>
      </w:pPr>
    </w:lvl>
  </w:abstractNum>
  <w:abstractNum w:abstractNumId="1">
    <w:nsid w:val="E3419C67"/>
    <w:multiLevelType w:val="singleLevel"/>
    <w:tmpl w:val="E3419C67"/>
    <w:lvl w:ilvl="0">
      <w:start w:val="3"/>
      <w:numFmt w:val="decimal"/>
      <w:lvlRestart w:val="0"/>
      <w:suff w:val="nothing"/>
      <w:lvlText w:val="%1、"/>
      <w:lvlJc w:val="left"/>
      <w:pPr/>
    </w:lvl>
  </w:abstractNum>
  <w:num w:numId="1">
    <w:abstractNumId w:val="0"/>
  </w:num>
  <w:num w:numId="2">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20"/>
  <w:bordersDoNotSurroundHeader w:val="0"/>
  <w:bordersDoNotSurroundFooter w:val="0"/>
  <w:documentProtection w:edit="trackedChanges" w:enforcement="0"/>
  <w:defaultTabStop w:val="420"/>
  <w:drawingGridHorizontalSpacing w:val="105"/>
  <w:drawingGridVerticalSpacing w:val="156"/>
  <w:displayHorizontalDrawingGridEvery w:val="1"/>
  <w:displayVerticalDrawingGridEvery w:val="1"/>
  <w:noPunctuationKerning/>
  <w:compat>
    <w:doNotExpandShiftReturn/>
    <w:compatSetting w:name="compatibilityMode" w:uri="http://schemas.microsoft.com/office/word" w:val="15"/>
  </w:compat>
  <m:mathPr>
    <m:mathFont m:val="Cambria Math"/>
    <m:brkBin m:val="before"/>
    <m:brkBinSub m:val="--"/>
    <m:smallFrac m:val="0"/>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Lucida Sans"/>
        <w:lang w:val="en-US" w:eastAsia="zh-CN" w:bidi="ar-SA"/>
      </w:rPr>
    </w:rPrDefault>
    <w:pPrDefault/>
  </w:docDefaults>
  <w:latentStyles w:count="93">
    <w:lsdException w:name="heading 1" w:locked="1"/>
    <w:lsdException w:name="heading 2" w:locked="1"/>
    <w:lsdException w:name="heading 3" w:locked="1"/>
    <w:lsdException w:name="heading 4" w:locked="1"/>
    <w:lsdException w:name="Note Heading" w:locked="1"/>
    <w:lsdException w:name="Normal Indent" w:locked="1"/>
    <w:lsdException w:name="caption" w:locked="1"/>
    <w:lsdException w:name="Body Text First Indent" w:locked="1"/>
    <w:lsdException w:name="Block Text" w:locked="1"/>
    <w:lsdException w:name="Plain Text" w:locked="1"/>
    <w:lsdException w:name="toc 1" w:locked="1"/>
    <w:lsdException w:name="Body Text Indent 2" w:locked="1"/>
    <w:lsdException w:name="Subtitle" w:locked="1"/>
    <w:lsdException w:name="Body Text Indent 3" w:locked="1"/>
    <w:lsdException w:name="table of figures" w:locked="1"/>
    <w:lsdException w:name="Body Text 2" w:locked="1"/>
    <w:lsdException w:name="Title" w:locked="1"/>
    <w:lsdException w:name="Body Text First Indent 2" w:locked="1"/>
    <w:lsdException w:name="page number" w:locked="1"/>
    <w:lsdException w:name="Emphasis" w:locked="1"/>
    <w:lsdException w:name="Hyperlink" w:locked="1"/>
    <w:lsdException w:name="heading 5" w:locked="1"/>
    <w:lsdException w:name="heading 6" w:locked="1"/>
    <w:lsdException w:name="heading 7" w:locked="1"/>
    <w:lsdException w:name="heading 8" w:locked="1"/>
    <w:lsdException w:name="heading 9" w:locked="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index heading" w:locked="1"/>
    <w:lsdException w:name="envelope address" w:locked="1"/>
    <w:lsdException w:name="envelope return" w:locked="1"/>
    <w:lsdException w:name="footnote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Closing" w:locked="1"/>
    <w:lsdException w:name="Signature"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alutation" w:locked="1"/>
    <w:lsdException w:name="Body Text 3" w:locked="1"/>
    <w:lsdException w:name="FollowedHyperlink" w:locked="1"/>
    <w:lsdException w:name="Strong" w:locked="1"/>
    <w:lsdException w:name="Document Map" w:locked="1"/>
    <w:lsdException w:name="E-mail Signature"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atentStyles>
  <w:style w:type="paragraph" w:default="1" w:styleId="0">
    <w:name w:val="Normal"/>
    <w:qFormat/>
    <w:next w:val="15"/>
    <w:pPr>
      <w:widowControl w:val="0"/>
      <w:jc w:val="both"/>
    </w:pPr>
    <w:rPr>
      <w:rFonts w:ascii="Times New Roman" w:eastAsia="宋体" w:cs="Times New Roman" w:hAnsi="Times New Roman"/>
      <w:kern w:val="2"/>
      <w:sz w:val="21"/>
      <w:szCs w:val="24"/>
      <w:lang w:val="en-US" w:eastAsia="zh-CN" w:bidi="ar-SA"/>
    </w:rPr>
  </w:style>
  <w:style w:type="paragraph" w:styleId="1">
    <w:name w:val="heading 1"/>
    <w:qFormat/>
    <w:basedOn w:val="0"/>
    <w:locked/>
    <w:next w:val="0"/>
    <w:link w:val="1Char"/>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customStyle="1" w:styleId="1Char">
    <w:name w:val="heading 1 Char"/>
    <w:basedOn w:val="10"/>
    <w:link w:val="1"/>
    <w:rPr>
      <w:rFonts w:ascii="Times New Roman" w:eastAsia="黑体" w:cs="Times New Roman" w:hAnsi="Times New Roman"/>
      <w:b/>
      <w:bCs/>
      <w:color w:val="000000"/>
      <w:kern w:val="44"/>
      <w:sz w:val="30"/>
      <w:szCs w:val="30"/>
      <w:lang w:val="en-US" w:eastAsia="zh-CN" w:bidi="ar-SA"/>
    </w:rPr>
  </w:style>
  <w:style w:type="paragraph" w:styleId="2">
    <w:name w:val="heading 2"/>
    <w:qFormat/>
    <w:basedOn w:val="0"/>
    <w:locked/>
    <w:next w:val="0"/>
    <w:link w:val="2Char"/>
    <w:pPr>
      <w:keepNext/>
      <w:keepLines/>
      <w:spacing w:before="260" w:after="260" w:line="415" w:lineRule="auto"/>
      <w:outlineLvl w:val="1"/>
    </w:pPr>
    <w:rPr>
      <w:rFonts w:ascii="等线 Light" w:eastAsia="等线 Light" w:cs="Times New Roman" w:hAnsi="等线 Light"/>
      <w:b/>
      <w:bCs/>
      <w:sz w:val="32"/>
      <w:szCs w:val="32"/>
    </w:rPr>
  </w:style>
  <w:style w:type="character" w:customStyle="1" w:styleId="2Char">
    <w:name w:val="heading 2 Char"/>
    <w:basedOn w:val="10"/>
    <w:link w:val="2"/>
    <w:rPr>
      <w:rFonts w:ascii="等线 Light" w:eastAsia="等线 Light" w:cs="Times New Roman" w:hAnsi="等线 Light"/>
      <w:b/>
      <w:bCs/>
      <w:kern w:val="2"/>
      <w:sz w:val="32"/>
      <w:szCs w:val="32"/>
      <w:lang w:val="en-US" w:eastAsia="zh-CN" w:bidi="ar-SA"/>
    </w:rPr>
  </w:style>
  <w:style w:type="paragraph" w:styleId="3">
    <w:name w:val="heading 3"/>
    <w:qFormat/>
    <w:basedOn w:val="0"/>
    <w:locked/>
    <w:next w:val="0"/>
    <w:link w:val="3Char"/>
    <w:pPr>
      <w:keepNext/>
      <w:keepLines/>
      <w:spacing w:before="260" w:after="260" w:line="415" w:lineRule="auto"/>
      <w:outlineLvl w:val="2"/>
    </w:pPr>
    <w:rPr>
      <w:b/>
      <w:bCs/>
      <w:sz w:val="32"/>
      <w:szCs w:val="32"/>
    </w:rPr>
  </w:style>
  <w:style w:type="character" w:customStyle="1" w:styleId="3Char">
    <w:name w:val="heading 3 Char"/>
    <w:basedOn w:val="10"/>
    <w:link w:val="3"/>
    <w:rPr>
      <w:rFonts w:ascii="Times New Roman" w:eastAsia="宋体" w:cs="Times New Roman" w:hAnsi="Times New Roman"/>
      <w:b/>
      <w:bCs/>
      <w:kern w:val="2"/>
      <w:sz w:val="32"/>
      <w:szCs w:val="32"/>
      <w:lang w:val="en-US" w:eastAsia="zh-CN" w:bidi="ar-SA"/>
    </w:rPr>
  </w:style>
  <w:style w:type="paragraph" w:styleId="4">
    <w:name w:val="heading 4"/>
    <w:qFormat/>
    <w:basedOn w:val="0"/>
    <w:locked/>
    <w:next w:val="0"/>
    <w:link w:val="4Char"/>
    <w:pPr>
      <w:keepLines/>
      <w:widowControl w:val="0"/>
      <w:overflowPunct w:val="0"/>
      <w:adjustRightInd w:val="0"/>
      <w:spacing w:before="120" w:line="360" w:lineRule="auto"/>
      <w:textAlignment w:val="baseline"/>
      <w:outlineLvl w:val="3"/>
    </w:pPr>
    <w:rPr>
      <w:rFonts w:ascii="Arial" w:hAnsi="Arial"/>
      <w:b/>
      <w:kern w:val="0"/>
      <w:sz w:val="28"/>
    </w:rPr>
  </w:style>
  <w:style w:type="character" w:customStyle="1" w:styleId="4Char">
    <w:name w:val="heading 4 Char"/>
    <w:basedOn w:val="10"/>
    <w:link w:val="4"/>
    <w:rPr>
      <w:rFonts w:ascii="Arial" w:eastAsia="宋体" w:cs="Times New Roman" w:hAnsi="Arial"/>
      <w:b/>
      <w:kern w:val="0"/>
      <w:sz w:val="28"/>
      <w:szCs w:val="24"/>
      <w:lang w:val="en-US" w:eastAsia="zh-CN" w:bidi="ar-SA"/>
    </w:rPr>
  </w:style>
  <w:style w:type="character" w:default="1" w:styleId="10">
    <w:name w:val="Default Paragraph Font"/>
    <w:qFormat/>
  </w:style>
  <w:style w:type="paragraph" w:styleId="15">
    <w:name w:val="Body Text"/>
    <w:qFormat/>
    <w:basedOn w:val="0"/>
    <w:next w:val="0"/>
    <w:pPr>
      <w:widowControl/>
      <w:snapToGrid w:val="0"/>
      <w:spacing w:before="60" w:after="160" w:line="259" w:lineRule="auto"/>
      <w:ind w:right="113"/>
    </w:pPr>
    <w:rPr>
      <w:kern w:val="0"/>
      <w:sz w:val="18"/>
      <w:szCs w:val="20"/>
    </w:rPr>
  </w:style>
  <w:style w:type="paragraph" w:styleId="16">
    <w:name w:val="Note Heading"/>
    <w:qFormat/>
    <w:basedOn w:val="0"/>
    <w:locked/>
    <w:next w:val="0"/>
    <w:pPr>
      <w:jc w:val="center"/>
    </w:pPr>
  </w:style>
  <w:style w:type="paragraph" w:styleId="17">
    <w:name w:val="Normal Indent"/>
    <w:qFormat/>
    <w:basedOn w:val="0"/>
    <w:locked/>
    <w:pPr>
      <w:jc w:val="center"/>
    </w:pPr>
    <w:rPr>
      <w:rFonts w:eastAsia="黑体"/>
      <w:szCs w:val="21"/>
    </w:rPr>
  </w:style>
  <w:style w:type="paragraph" w:styleId="18">
    <w:name w:val="caption"/>
    <w:qFormat/>
    <w:basedOn w:val="0"/>
    <w:locked/>
    <w:next w:val="0"/>
    <w:pPr>
      <w:jc w:val="center"/>
    </w:pPr>
    <w:rPr>
      <w:b/>
      <w:color w:val="000000"/>
      <w:kern w:val="0"/>
      <w:szCs w:val="20"/>
      <w:lang w:val="zh-CN"/>
    </w:rPr>
  </w:style>
  <w:style w:type="paragraph" w:styleId="19">
    <w:name w:val="annotation text"/>
    <w:qFormat/>
    <w:basedOn w:val="0"/>
    <w:pPr>
      <w:jc w:val="left"/>
    </w:pPr>
    <w:rPr>
      <w:kern w:val="0"/>
      <w:sz w:val="24"/>
      <w:szCs w:val="20"/>
    </w:rPr>
  </w:style>
  <w:style w:type="paragraph" w:styleId="20">
    <w:name w:val="Body Text Indent"/>
    <w:qFormat/>
    <w:basedOn w:val="0"/>
    <w:next w:val="21"/>
    <w:pPr>
      <w:spacing w:after="120"/>
      <w:ind w:leftChars="200" w:left="200"/>
    </w:pPr>
    <w:rPr>
      <w:kern w:val="0"/>
      <w:sz w:val="24"/>
      <w:szCs w:val="20"/>
    </w:rPr>
  </w:style>
  <w:style w:type="paragraph" w:styleId="21">
    <w:name w:val="Body Text First Indent"/>
    <w:qFormat/>
    <w:basedOn w:val="15"/>
    <w:locked/>
    <w:next w:val="0"/>
    <w:pPr>
      <w:adjustRightInd w:val="0"/>
      <w:snapToGrid w:val="0"/>
      <w:spacing w:beforeLines="50" w:before="50" w:after="0" w:line="360" w:lineRule="auto"/>
      <w:ind w:firstLineChars="200" w:firstLine="200"/>
    </w:pPr>
    <w:rPr>
      <w:sz w:val="24"/>
    </w:rPr>
  </w:style>
  <w:style w:type="paragraph" w:styleId="22">
    <w:name w:val="Block Text"/>
    <w:qFormat/>
    <w:basedOn w:val="0"/>
    <w:locked/>
    <w:pPr>
      <w:widowControl/>
      <w:spacing w:line="440" w:lineRule="exact"/>
      <w:ind w:left="113" w:right="113" w:firstLine="567"/>
    </w:pPr>
    <w:rPr>
      <w:rFonts w:ascii="仿宋_GB2312" w:eastAsia="仿宋_GB2312"/>
      <w:kern w:val="0"/>
      <w:sz w:val="28"/>
      <w:szCs w:val="20"/>
    </w:rPr>
  </w:style>
  <w:style w:type="paragraph" w:styleId="23">
    <w:name w:val="Plain Text"/>
    <w:qFormat/>
    <w:basedOn w:val="0"/>
    <w:locked/>
    <w:next w:val="24"/>
    <w:rPr>
      <w:rFonts w:ascii="宋体" w:hAnsi="Courier New"/>
    </w:rPr>
  </w:style>
  <w:style w:type="paragraph" w:styleId="24">
    <w:name w:val="toc 1"/>
    <w:qFormat/>
    <w:basedOn w:val="0"/>
    <w:locked/>
    <w:next w:val="0"/>
  </w:style>
  <w:style w:type="paragraph" w:styleId="25">
    <w:name w:val="Date"/>
    <w:qFormat/>
    <w:basedOn w:val="0"/>
    <w:next w:val="0"/>
    <w:pPr>
      <w:ind w:leftChars="2500" w:left="2500"/>
    </w:pPr>
    <w:rPr>
      <w:kern w:val="0"/>
      <w:sz w:val="24"/>
      <w:szCs w:val="20"/>
    </w:rPr>
  </w:style>
  <w:style w:type="paragraph" w:styleId="26">
    <w:name w:val="Body Text Indent 2"/>
    <w:qFormat/>
    <w:basedOn w:val="0"/>
    <w:locked/>
    <w:next w:val="0"/>
    <w:pPr>
      <w:spacing w:after="120" w:line="480" w:lineRule="auto"/>
      <w:ind w:leftChars="200" w:left="200"/>
    </w:pPr>
  </w:style>
  <w:style w:type="paragraph" w:styleId="27">
    <w:name w:val="Balloon Text"/>
    <w:qFormat/>
    <w:basedOn w:val="0"/>
    <w:rPr>
      <w:kern w:val="0"/>
      <w:sz w:val="18"/>
      <w:szCs w:val="20"/>
    </w:rPr>
  </w:style>
  <w:style w:type="paragraph" w:styleId="28">
    <w:name w:val="footer"/>
    <w:qFormat/>
    <w:basedOn w:val="0"/>
    <w:pPr>
      <w:tabs>
        <w:tab w:val="center" w:pos="4153"/>
        <w:tab w:val="right" w:pos="8306"/>
      </w:tabs>
      <w:snapToGrid w:val="0"/>
      <w:jc w:val="left"/>
    </w:pPr>
    <w:rPr>
      <w:kern w:val="0"/>
      <w:sz w:val="18"/>
      <w:szCs w:val="20"/>
    </w:rPr>
  </w:style>
  <w:style w:type="paragraph" w:styleId="29">
    <w:name w:val="header"/>
    <w:qFormat/>
    <w:basedOn w:val="0"/>
    <w:pPr>
      <w:pBdr>
        <w:bottom w:val="single" w:sz="6" w:space="1" w:color="auto"/>
      </w:pBdr>
      <w:tabs>
        <w:tab w:val="center" w:pos="4153"/>
        <w:tab w:val="right" w:pos="8306"/>
      </w:tabs>
      <w:snapToGrid w:val="0"/>
      <w:jc w:val="center"/>
    </w:pPr>
    <w:rPr>
      <w:kern w:val="0"/>
      <w:sz w:val="18"/>
      <w:szCs w:val="20"/>
    </w:rPr>
  </w:style>
  <w:style w:type="paragraph" w:styleId="30">
    <w:name w:val="Subtitle"/>
    <w:qFormat/>
    <w:basedOn w:val="0"/>
    <w:locked/>
    <w:pPr>
      <w:widowControl/>
      <w:spacing w:line="440" w:lineRule="exact"/>
      <w:jc w:val="center"/>
    </w:pPr>
    <w:rPr>
      <w:b/>
      <w:bCs/>
      <w:kern w:val="28"/>
      <w:sz w:val="24"/>
    </w:rPr>
  </w:style>
  <w:style w:type="paragraph" w:styleId="31">
    <w:name w:val="Body Text Indent 3"/>
    <w:qFormat/>
    <w:basedOn w:val="0"/>
    <w:locked/>
    <w:pPr>
      <w:spacing w:after="120"/>
      <w:ind w:leftChars="200" w:left="200"/>
    </w:pPr>
    <w:rPr>
      <w:sz w:val="16"/>
      <w:szCs w:val="16"/>
    </w:rPr>
  </w:style>
  <w:style w:type="paragraph" w:styleId="32">
    <w:name w:val="table of figures"/>
    <w:qFormat/>
    <w:basedOn w:val="0"/>
    <w:locked/>
    <w:next w:val="0"/>
    <w:pPr>
      <w:ind w:leftChars="200" w:left="400" w:hangingChars="200" w:hanging="200"/>
    </w:pPr>
  </w:style>
  <w:style w:type="paragraph" w:styleId="33">
    <w:name w:val="Body Text 2"/>
    <w:qFormat/>
    <w:basedOn w:val="0"/>
    <w:locked/>
    <w:pPr>
      <w:spacing w:after="120" w:line="480" w:lineRule="auto"/>
    </w:pPr>
  </w:style>
  <w:style w:type="paragraph" w:styleId="34">
    <w:name w:val="Normal (Web)"/>
    <w:qFormat/>
    <w:basedOn w:val="0"/>
    <w:pPr>
      <w:widowControl/>
      <w:spacing w:before="100" w:beforeAutospacing="1" w:after="100" w:afterAutospacing="1"/>
      <w:jc w:val="left"/>
    </w:pPr>
    <w:rPr>
      <w:rFonts w:ascii="宋体" w:hAnsi="宋体"/>
      <w:kern w:val="0"/>
      <w:sz w:val="24"/>
      <w:szCs w:val="20"/>
    </w:rPr>
  </w:style>
  <w:style w:type="paragraph" w:styleId="35">
    <w:name w:val="Title"/>
    <w:qFormat/>
    <w:basedOn w:val="0"/>
    <w:locked/>
    <w:next w:val="0"/>
    <w:pPr>
      <w:adjustRightInd w:val="0"/>
      <w:snapToGrid w:val="0"/>
      <w:spacing w:line="360" w:lineRule="auto"/>
      <w:jc w:val="center"/>
    </w:pPr>
    <w:rPr>
      <w:rFonts w:eastAsia="黑体"/>
      <w:bCs/>
      <w:kern w:val="0"/>
      <w:sz w:val="36"/>
      <w:szCs w:val="32"/>
    </w:rPr>
  </w:style>
  <w:style w:type="paragraph" w:styleId="36">
    <w:name w:val="annotation subject"/>
    <w:qFormat/>
    <w:basedOn w:val="19"/>
    <w:next w:val="19"/>
    <w:rPr>
      <w:b/>
    </w:rPr>
  </w:style>
  <w:style w:type="paragraph" w:styleId="37">
    <w:name w:val="Body Text First Indent 2"/>
    <w:qFormat/>
    <w:basedOn w:val="20"/>
    <w:locked/>
    <w:next w:val="21"/>
    <w:pPr>
      <w:ind w:firstLineChars="200" w:firstLine="200"/>
    </w:pPr>
  </w:style>
  <w:style w:type="character" w:styleId="38">
    <w:name w:val="page number"/>
    <w:qFormat/>
    <w:basedOn w:val="10"/>
    <w:locked/>
  </w:style>
  <w:style w:type="character" w:styleId="39">
    <w:name w:val="Emphasis"/>
    <w:qFormat/>
    <w:locked/>
    <w:rPr>
      <w:i/>
    </w:rPr>
  </w:style>
  <w:style w:type="character" w:styleId="40">
    <w:name w:val="Hyperlink"/>
    <w:qFormat/>
    <w:locked/>
    <w:rPr>
      <w:color w:val="0000FF"/>
      <w:u w:val="single"/>
    </w:rPr>
  </w:style>
  <w:style w:type="character" w:styleId="41">
    <w:name w:val="annotation reference"/>
    <w:qFormat/>
    <w:rPr>
      <w:sz w:val="21"/>
    </w:rPr>
  </w:style>
  <w:style w:type="paragraph" w:customStyle="1" w:yozoId="4094" w:styleId="42">
    <w:name w:val="列出段落1"/>
    <w:qFormat/>
    <w:basedOn w:val="0"/>
    <w:pPr>
      <w:ind w:firstLineChars="200" w:firstLine="200"/>
    </w:pPr>
    <w:rPr>
      <w:szCs w:val="22"/>
    </w:rPr>
  </w:style>
  <w:style w:type="paragraph" w:customStyle="1" w:yozoId="4094" w:styleId="43">
    <w:name w:val="xl27"/>
    <w:qFormat/>
    <w:basedOn w:val="0"/>
    <w:next w:val="2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cs="Arial Unicode MS" w:hAnsi="Arial Unicode MS"/>
      <w:kern w:val="0"/>
      <w:sz w:val="24"/>
    </w:rPr>
  </w:style>
  <w:style w:type="character" w:customStyle="1" w:yozoId="4094" w:styleId="44">
    <w:name w:val="日期 字符"/>
    <w:qFormat/>
    <w:rPr>
      <w:rFonts w:ascii="Times New Roman" w:eastAsia="宋体" w:hAnsi="Times New Roman"/>
      <w:sz w:val="24"/>
    </w:rPr>
  </w:style>
  <w:style w:type="paragraph" w:customStyle="1" w:yozoId="4094" w:styleId="45">
    <w:name w:val="报告表正文"/>
    <w:qFormat/>
    <w:basedOn w:val="0"/>
    <w:pPr>
      <w:adjustRightInd w:val="0"/>
      <w:spacing w:line="312" w:lineRule="auto"/>
      <w:ind w:left="113" w:right="113" w:firstLine="482"/>
      <w:jc w:val="left"/>
      <w:textAlignment w:val="baseline"/>
    </w:pPr>
    <w:rPr>
      <w:kern w:val="0"/>
      <w:sz w:val="24"/>
    </w:rPr>
  </w:style>
  <w:style w:type="paragraph" w:customStyle="1" w:yozoId="4094" w:styleId="46">
    <w:name w:val="表头"/>
    <w:qFormat/>
    <w:basedOn w:val="45"/>
    <w:next w:val="31"/>
    <w:pPr>
      <w:jc w:val="center"/>
    </w:pPr>
    <w:rPr>
      <w:rFonts w:ascii="黑体" w:eastAsia="黑体"/>
    </w:rPr>
  </w:style>
  <w:style w:type="paragraph" w:customStyle="1" w:yozoId="4094" w:styleId="47">
    <w:name w:val="表格"/>
    <w:qFormat/>
    <w:basedOn w:val="46"/>
    <w:next w:val="0"/>
    <w:pPr>
      <w:adjustRightInd w:val="0"/>
      <w:snapToGrid w:val="0"/>
      <w:spacing w:beforeLines="10" w:before="10" w:afterLines="10" w:after="10" w:line="259" w:lineRule="auto"/>
    </w:pPr>
    <w:rPr>
      <w:rFonts w:ascii="宋体" w:hAnsi="宋体"/>
      <w:szCs w:val="20"/>
    </w:rPr>
  </w:style>
  <w:style w:type="character" w:customStyle="1" w:yozoId="4094" w:styleId="48">
    <w:name w:val="font31"/>
    <w:qFormat/>
    <w:rPr>
      <w:rFonts w:ascii="Times New Roman" w:cs="Times New Roman" w:hAnsi="Times New Roman"/>
      <w:b/>
      <w:color w:val="000000"/>
      <w:sz w:val="18"/>
      <w:szCs w:val="18"/>
      <w:u w:val="none"/>
    </w:rPr>
  </w:style>
  <w:style w:type="character" w:customStyle="1" w:yozoId="4094" w:styleId="49">
    <w:name w:val="font21"/>
    <w:qFormat/>
    <w:rPr>
      <w:rFonts w:ascii="宋体" w:eastAsia="宋体" w:cs="宋体" w:hAnsi="宋体"/>
      <w:b/>
      <w:color w:val="000000"/>
      <w:sz w:val="18"/>
      <w:szCs w:val="18"/>
      <w:u w:val="none"/>
    </w:rPr>
  </w:style>
  <w:style w:type="character" w:customStyle="1" w:yozoId="4094" w:styleId="50">
    <w:name w:val="批注文字 字符1"/>
    <w:qFormat/>
    <w:rPr>
      <w:rFonts w:ascii="Times New Roman" w:eastAsia="宋体" w:hAnsi="Times New Roman"/>
      <w:sz w:val="24"/>
    </w:rPr>
  </w:style>
  <w:style w:type="character" w:customStyle="1" w:yozoId="4094" w:styleId="51">
    <w:name w:val="正文文本 字符1"/>
    <w:qFormat/>
    <w:rPr>
      <w:rFonts w:ascii="Times New Roman" w:eastAsia="宋体" w:hAnsi="Times New Roman"/>
      <w:sz w:val="24"/>
    </w:rPr>
  </w:style>
  <w:style w:type="character" w:customStyle="1" w:yozoId="4094" w:styleId="52">
    <w:name w:val="页脚 字符"/>
    <w:qFormat/>
    <w:basedOn w:val="10"/>
  </w:style>
  <w:style w:type="paragraph" w:customStyle="1" w:yozoId="4094" w:styleId="53">
    <w:name w:val="说明书正文"/>
    <w:qFormat/>
    <w:basedOn w:val="0"/>
    <w:pPr>
      <w:spacing w:line="480" w:lineRule="exact"/>
      <w:ind w:firstLineChars="200" w:firstLine="200"/>
    </w:pPr>
    <w:rPr>
      <w:rFonts w:eastAsia="仿宋_GB2312"/>
      <w:color w:val="000000"/>
      <w:sz w:val="30"/>
    </w:rPr>
  </w:style>
  <w:style w:type="paragraph" w:customStyle="1" w:yozoId="4094" w:styleId="54">
    <w:name w:val="报告书正文 Char Char Char"/>
    <w:qFormat/>
    <w:basedOn w:val="0"/>
    <w:pPr>
      <w:spacing w:line="300" w:lineRule="auto"/>
      <w:ind w:firstLineChars="200" w:firstLine="200"/>
    </w:pPr>
    <w:rPr>
      <w:rFonts w:ascii="宋体" w:hAnsi="宋体"/>
      <w:sz w:val="24"/>
      <w:szCs w:val="20"/>
    </w:rPr>
  </w:style>
  <w:style w:type="paragraph" w:customStyle="1" w:yozoId="4094" w:styleId="55">
    <w:name w:val="表格文字"/>
    <w:qFormat/>
    <w:basedOn w:val="47"/>
    <w:next w:val="0"/>
    <w:pPr>
      <w:adjustRightInd w:val="0"/>
      <w:snapToGrid w:val="0"/>
      <w:jc w:val="center"/>
      <w:textAlignment w:val="center"/>
    </w:pPr>
  </w:style>
  <w:style w:type="paragraph" w:customStyle="1" w:yozoId="4094" w:styleId="56">
    <w:name w:val="xl22"/>
    <w:qFormat/>
    <w:basedOn w:val="0"/>
    <w:pPr>
      <w:widowControl/>
      <w:spacing w:before="100" w:after="100"/>
      <w:jc w:val="center"/>
    </w:pPr>
    <w:rPr>
      <w:kern w:val="0"/>
      <w:sz w:val="24"/>
      <w:szCs w:val="20"/>
    </w:rPr>
  </w:style>
  <w:style w:type="paragraph" w:customStyle="1" w:yozoId="4094" w:styleId="57">
    <w:name w:val="sheet"/>
    <w:qFormat/>
    <w:basedOn w:val="0"/>
    <w:pPr>
      <w:widowControl w:val="0"/>
      <w:suppressAutoHyphens/>
      <w:topLinePunct/>
      <w:jc w:val="center"/>
    </w:pPr>
    <w:rPr>
      <w:kern w:val="0"/>
    </w:rPr>
  </w:style>
  <w:style w:type="paragraph" w:customStyle="1" w:yozoId="4094" w:styleId="58">
    <w:name w:val="报告书：表格表头"/>
    <w:qFormat/>
    <w:basedOn w:val="0"/>
    <w:next w:val="0"/>
    <w:pPr>
      <w:jc w:val="center"/>
    </w:pPr>
    <w:rPr>
      <w:rFonts w:eastAsia="仿宋_GB2312"/>
      <w:b/>
    </w:rPr>
  </w:style>
  <w:style w:type="paragraph" w:customStyle="1" w:yozoId="4094" w:styleId="59">
    <w:name w:val="表 图 内容"/>
    <w:qFormat/>
    <w:basedOn w:val="0"/>
    <w:pPr>
      <w:jc w:val="center"/>
    </w:pPr>
    <w:rPr>
      <w:color w:val="000000"/>
    </w:rPr>
  </w:style>
  <w:style w:type="paragraph" w:customStyle="1" w:yozoId="4094" w:styleId="60">
    <w:name w:val="样式1"/>
    <w:qFormat/>
    <w:basedOn w:val="0"/>
    <w:pPr>
      <w:spacing w:line="360" w:lineRule="auto"/>
      <w:ind w:firstLineChars="200" w:firstLine="200"/>
    </w:pPr>
    <w:rPr>
      <w:rFonts w:ascii="宋体" w:hAnsi="宋体"/>
      <w:sz w:val="28"/>
      <w:szCs w:val="20"/>
    </w:rPr>
  </w:style>
  <w:style w:type="paragraph" w:customStyle="1" w:yozoId="4094" w:styleId="61">
    <w:name w:val="报告正文"/>
    <w:qFormat/>
    <w:basedOn w:val="0"/>
    <w:pPr>
      <w:adjustRightInd w:val="0"/>
      <w:snapToGrid w:val="0"/>
      <w:spacing w:line="360" w:lineRule="auto"/>
      <w:ind w:firstLineChars="200" w:firstLine="200"/>
    </w:pPr>
    <w:rPr>
      <w:rFonts w:ascii="宋体"/>
      <w:sz w:val="24"/>
      <w:szCs w:val="20"/>
    </w:rPr>
  </w:style>
  <w:style w:type="paragraph" w:customStyle="1" w:yozoId="4094" w:styleId="62">
    <w:name w:val="普通(网站)2"/>
    <w:qFormat/>
    <w:basedOn w:val="0"/>
    <w:pPr>
      <w:widowControl/>
      <w:spacing w:before="100" w:beforeAutospacing="1" w:after="100" w:afterAutospacing="1"/>
      <w:jc w:val="left"/>
    </w:pPr>
    <w:rPr>
      <w:rFonts w:ascii="宋体" w:hAnsi="宋体"/>
      <w:sz w:val="24"/>
      <w:szCs w:val="20"/>
    </w:rPr>
  </w:style>
  <w:style w:type="paragraph" w:customStyle="1" w:yozoId="4094" w:styleId="63">
    <w:name w:val="Body Text 22"/>
    <w:qFormat/>
    <w:basedOn w:val="0"/>
    <w:pPr>
      <w:adjustRightInd w:val="0"/>
      <w:spacing w:line="440" w:lineRule="atLeast"/>
      <w:ind w:firstLine="480"/>
      <w:textAlignment w:val="baseline"/>
    </w:pPr>
    <w:rPr>
      <w:rFonts w:eastAsia="仿宋_GB2312"/>
      <w:sz w:val="24"/>
      <w:szCs w:val="20"/>
    </w:rPr>
  </w:style>
  <w:style w:type="paragraph" w:customStyle="1" w:yozoId="4094" w:styleId="64">
    <w:name w:val="Other|1"/>
    <w:qFormat/>
    <w:basedOn w:val="0"/>
    <w:pPr>
      <w:spacing w:line="473" w:lineRule="auto"/>
      <w:ind w:firstLine="360"/>
    </w:pPr>
    <w:rPr>
      <w:rFonts w:ascii="宋体" w:cs="宋体" w:hAnsi="宋体"/>
      <w:sz w:val="15"/>
      <w:szCs w:val="15"/>
      <w:lang w:val="zh-TW" w:eastAsia="zh-TW" w:bidi="zh-TW"/>
    </w:rPr>
  </w:style>
  <w:style w:type="paragraph" w:customStyle="1" w:yozoId="4094" w:styleId="65">
    <w:name w:val="Body text|1"/>
    <w:qFormat/>
    <w:basedOn w:val="0"/>
    <w:pPr>
      <w:spacing w:line="290" w:lineRule="auto"/>
      <w:ind w:firstLine="400"/>
    </w:pPr>
    <w:rPr>
      <w:rFonts w:ascii="宋体" w:cs="宋体" w:hAnsi="宋体"/>
      <w:lang w:val="zh-TW" w:eastAsia="zh-TW" w:bidi="zh-TW"/>
    </w:rPr>
  </w:style>
  <w:style w:type="paragraph" w:customStyle="1" w:yozoId="4094" w:styleId="66">
    <w:name w:val="表格正文"/>
    <w:qFormat/>
    <w:basedOn w:val="0"/>
    <w:next w:val="0"/>
    <w:pPr>
      <w:snapToGrid w:val="0"/>
      <w:jc w:val="center"/>
    </w:pPr>
    <w:rPr>
      <w:color w:val="000000"/>
      <w:szCs w:val="21"/>
    </w:rPr>
  </w:style>
  <w:style w:type="paragraph" w:customStyle="1" w:yozoId="4094" w:styleId="67">
    <w:name w:val="段落"/>
    <w:qFormat/>
    <w:basedOn w:val="0"/>
    <w:pPr>
      <w:tabs>
        <w:tab w:val="left" w:pos="1021"/>
      </w:tabs>
      <w:snapToGrid w:val="0"/>
      <w:spacing w:line="360" w:lineRule="auto"/>
      <w:ind w:firstLineChars="200" w:firstLine="200"/>
    </w:pPr>
    <w:rPr>
      <w:rFonts w:ascii="宋体" w:hAnsi="宋体"/>
      <w:sz w:val="24"/>
    </w:rPr>
  </w:style>
  <w:style w:type="paragraph" w:customStyle="1" w:yozoId="4094" w:styleId="68">
    <w:name w:val="表标题"/>
    <w:qFormat/>
    <w:pPr>
      <w:tabs>
        <w:tab w:val="left" w:pos="0"/>
      </w:tabs>
      <w:jc w:val="center"/>
    </w:pPr>
    <w:rPr>
      <w:rFonts w:ascii="Times New Roman" w:eastAsia="宋体" w:cs="Times New Roman" w:hAnsi="Times New Roman"/>
      <w:b/>
      <w:sz w:val="24"/>
      <w:szCs w:val="20"/>
      <w:lang w:val="en-US" w:eastAsia="zh-CN" w:bidi="ar-SA"/>
    </w:rPr>
  </w:style>
  <w:style w:type="paragraph" w:customStyle="1" w:yozoId="4094" w:styleId="69">
    <w:name w:val="正本"/>
    <w:qFormat/>
    <w:basedOn w:val="0"/>
    <w:pPr>
      <w:adjustRightInd w:val="0"/>
      <w:snapToGrid w:val="0"/>
      <w:spacing w:line="360" w:lineRule="auto"/>
      <w:ind w:firstLineChars="200" w:firstLine="200"/>
    </w:pPr>
    <w:rPr>
      <w:rFonts w:ascii="宋体"/>
      <w:sz w:val="24"/>
    </w:rPr>
  </w:style>
  <w:style w:type="paragraph" w:customStyle="1" w:yozoId="4094" w:styleId="70">
    <w:name w:val="spook报告正文"/>
    <w:qFormat/>
    <w:basedOn w:val="0"/>
    <w:pPr>
      <w:adjustRightInd w:val="0"/>
      <w:snapToGrid w:val="0"/>
      <w:spacing w:line="360" w:lineRule="auto"/>
      <w:ind w:firstLine="510"/>
    </w:pPr>
    <w:rPr>
      <w:sz w:val="24"/>
      <w:szCs w:val="20"/>
    </w:rPr>
  </w:style>
  <w:style w:type="paragraph" w:customStyle="1" w:yozoId="4094" w:styleId="71">
    <w:name w:val="Table Paragraph"/>
    <w:qFormat/>
    <w:basedOn w:val="0"/>
    <w:pPr>
      <w:jc w:val="center"/>
    </w:pPr>
    <w:rPr>
      <w:rFonts w:ascii="宋体" w:cs="宋体" w:hAnsi="宋体"/>
      <w:lang w:val="zh-CN" w:bidi="zh-CN"/>
    </w:rPr>
  </w:style>
  <w:style w:type="paragraph" w:customStyle="1" w:yozoId="4094" w:styleId="72">
    <w:name w:val="正文_10"/>
    <w:qFormat/>
    <w:pPr>
      <w:widowControl w:val="0"/>
      <w:jc w:val="both"/>
    </w:pPr>
    <w:rPr>
      <w:rFonts w:ascii="Times New Roman" w:eastAsia="宋体" w:cs="Times New Roman" w:hAnsi="Times New Roman"/>
      <w:kern w:val="2"/>
      <w:sz w:val="21"/>
      <w:szCs w:val="22"/>
      <w:lang w:val="en-US" w:eastAsia="zh-CN" w:bidi="ar-SA"/>
    </w:rPr>
  </w:style>
  <w:style w:type="paragraph" w:customStyle="1" w:yozoId="4094" w:styleId="73">
    <w:name w:val="列出段落3"/>
    <w:qFormat/>
    <w:basedOn w:val="0"/>
    <w:pPr>
      <w:ind w:firstLineChars="200" w:firstLine="200"/>
    </w:pPr>
  </w:style>
  <w:style w:type="paragraph" w:styleId="74">
    <w:name w:val="List Paragraph"/>
    <w:qFormat/>
    <w:basedOn w:val="0"/>
    <w:pPr>
      <w:ind w:firstLineChars="200" w:firstLine="200"/>
    </w:pPr>
  </w:style>
  <w:style w:type="paragraph" w:customStyle="1" w:yozoId="4094" w:styleId="75">
    <w:name w:val="正文文字"/>
    <w:qFormat/>
    <w:basedOn w:val="17"/>
    <w:pPr>
      <w:adjustRightInd w:val="0"/>
      <w:snapToGrid w:val="0"/>
      <w:spacing w:line="480" w:lineRule="exact"/>
      <w:ind w:firstLine="200"/>
    </w:pPr>
    <w:rPr>
      <w:kern w:val="0"/>
      <w:sz w:val="24"/>
      <w:szCs w:val="20"/>
    </w:rPr>
  </w:style>
  <w:style w:type="paragraph" w:customStyle="1" w:yozoId="4094" w:styleId="76">
    <w:name w:val="Default"/>
    <w:qFormat/>
    <w:pPr>
      <w:widowControl w:val="0"/>
      <w:autoSpaceDE w:val="0"/>
      <w:autoSpaceDN w:val="0"/>
      <w:adjustRightInd w:val="0"/>
    </w:pPr>
    <w:rPr>
      <w:rFonts w:ascii="宋体" w:eastAsia="宋体" w:cs="Times New Roman" w:hAnsi="Times New Roman"/>
      <w:color w:val="000000"/>
      <w:sz w:val="24"/>
      <w:szCs w:val="24"/>
      <w:lang w:val="en-US" w:eastAsia="zh-CN" w:bidi="ar-SA"/>
    </w:rPr>
  </w:style>
  <w:style w:type="paragraph" w:customStyle="1" w:yozoId="4094" w:styleId="77">
    <w:name w:val="样式 左侧:  0.85 厘米"/>
    <w:qFormat/>
    <w:basedOn w:val="0"/>
    <w:pPr>
      <w:adjustRightInd w:val="0"/>
      <w:spacing w:line="360" w:lineRule="auto"/>
      <w:ind w:firstLineChars="200" w:firstLine="200"/>
    </w:pPr>
    <w:rPr>
      <w:rFonts w:cs="宋体"/>
      <w:kern w:val="0"/>
      <w:sz w:val="24"/>
    </w:rPr>
  </w:style>
  <w:style w:type="paragraph" w:customStyle="1" w:yozoId="4094" w:styleId="78">
    <w:name w:val="Char Char Char Char"/>
    <w:qFormat/>
    <w:basedOn w:val="0"/>
    <w:pPr>
      <w:spacing w:line="360" w:lineRule="auto"/>
      <w:ind w:firstLineChars="200" w:firstLine="200"/>
    </w:pPr>
    <w:rPr>
      <w:rFonts w:ascii="宋体" w:cs="宋体" w:hAnsi="宋体"/>
      <w:sz w:val="24"/>
    </w:rPr>
  </w:style>
  <w:style w:type="paragraph" w:customStyle="1" w:yozoId="4094" w:styleId="79">
    <w:name w:val="reader-word-layer"/>
    <w:qFormat/>
    <w:basedOn w:val="0"/>
    <w:pPr>
      <w:widowControl/>
      <w:spacing w:before="100" w:beforeAutospacing="1" w:after="100" w:afterAutospacing="1"/>
      <w:jc w:val="left"/>
    </w:pPr>
    <w:rPr>
      <w:rFonts w:ascii="宋体" w:cs="宋体" w:hAnsi="宋体"/>
      <w:kern w:val="0"/>
      <w:sz w:val="24"/>
    </w:rPr>
  </w:style>
  <w:style w:type="paragraph" w:customStyle="1" w:yozoId="4094" w:styleId="80">
    <w:name w:val="表格第一行"/>
    <w:qFormat/>
    <w:next w:val="0"/>
    <w:pPr>
      <w:adjustRightInd w:val="0"/>
      <w:snapToGrid w:val="0"/>
      <w:spacing w:line="320" w:lineRule="exact"/>
      <w:jc w:val="center"/>
      <w:textAlignment w:val="baseline"/>
    </w:pPr>
    <w:rPr>
      <w:rFonts w:ascii="Times New Roman" w:eastAsia="宋体" w:cs="Times New Roman" w:hAnsi="Times New Roman"/>
      <w:b/>
      <w:sz w:val="21"/>
      <w:szCs w:val="21"/>
      <w:lang w:val="en-US" w:eastAsia="zh-CN" w:bidi="ar-SA"/>
    </w:rPr>
  </w:style>
  <w:style w:type="paragraph" w:customStyle="1" w:yozoId="4094" w:styleId="81">
    <w:name w:val="图表标题"/>
    <w:qFormat/>
    <w:next w:val="0"/>
    <w:pPr>
      <w:spacing w:line="360" w:lineRule="auto"/>
      <w:jc w:val="center"/>
    </w:pPr>
    <w:rPr>
      <w:rFonts w:ascii="黑体" w:eastAsia="黑体" w:cs="Times New Roman" w:hAnsi="黑体"/>
      <w:kern w:val="2"/>
      <w:sz w:val="24"/>
      <w:szCs w:val="22"/>
      <w:lang w:val="en-US" w:eastAsia="zh-CN" w:bidi="ar-SA"/>
    </w:rPr>
  </w:style>
  <w:style w:type="paragraph" w:customStyle="1" w:yozoId="4094" w:styleId="82">
    <w:name w:val="表格标题"/>
    <w:qFormat/>
    <w:basedOn w:val="55"/>
    <w:pPr>
      <w:widowControl/>
      <w:spacing w:line="360" w:lineRule="auto"/>
      <w:textAlignment w:val="auto"/>
    </w:pPr>
    <w:rPr>
      <w:rFonts w:ascii="宋体" w:cs="宋体" w:hAnsi="宋体"/>
      <w:b/>
      <w:color w:val="000000"/>
      <w:kern w:val="0"/>
      <w:szCs w:val="21"/>
    </w:rPr>
  </w:style>
  <w:style w:type="paragraph" w:customStyle="1" w:yozoId="4094" w:styleId="83">
    <w:name w:val="表格内容"/>
    <w:qFormat/>
    <w:basedOn w:val="82"/>
    <w:pPr>
      <w:overflowPunct w:val="0"/>
      <w:spacing w:line="240" w:lineRule="auto"/>
      <w:textAlignment w:val="baseline"/>
    </w:pPr>
    <w:rPr>
      <w:rFonts w:ascii="Times New Roman" w:hAnsi="Times New Roman"/>
      <w:b w:val="0"/>
    </w:rPr>
  </w:style>
  <w:style w:type="paragraph" w:customStyle="1" w:yozoId="4094" w:styleId="84">
    <w:name w:val="正文古"/>
    <w:qFormat/>
    <w:basedOn w:val="0"/>
    <w:pPr>
      <w:snapToGrid w:val="0"/>
      <w:spacing w:line="480" w:lineRule="exact"/>
      <w:ind w:firstLineChars="200" w:firstLine="200"/>
    </w:pPr>
    <w:rPr>
      <w:kern w:val="0"/>
      <w:sz w:val="24"/>
    </w:rPr>
  </w:style>
  <w:style w:type="paragraph" w:customStyle="1" w:yozoId="4094" w:styleId="85">
    <w:name w:val="表图标题"/>
    <w:qFormat/>
    <w:basedOn w:val="0"/>
    <w:pPr>
      <w:widowControl/>
      <w:tabs>
        <w:tab w:val="left" w:pos="3240"/>
      </w:tabs>
      <w:autoSpaceDE w:val="0"/>
      <w:autoSpaceDN w:val="0"/>
      <w:adjustRightInd w:val="0"/>
      <w:snapToGrid w:val="0"/>
      <w:spacing w:line="360" w:lineRule="auto"/>
      <w:ind w:firstLineChars="200" w:firstLine="200"/>
      <w:jc w:val="center"/>
    </w:pPr>
    <w:rPr>
      <w:b/>
      <w:bCs/>
      <w:kern w:val="0"/>
      <w:sz w:val="24"/>
      <w:szCs w:val="20"/>
    </w:rPr>
  </w:style>
  <w:style w:type="paragraph" w:customStyle="1" w:yozoId="4094" w:styleId="86">
    <w:name w:val="S报告正文"/>
    <w:qFormat/>
    <w:basedOn w:val="0"/>
    <w:pPr>
      <w:adjustRightInd w:val="0"/>
      <w:snapToGrid w:val="0"/>
      <w:spacing w:line="480" w:lineRule="exact"/>
      <w:ind w:firstLine="510"/>
      <w:jc w:val="left"/>
    </w:pPr>
    <w:rPr>
      <w:sz w:val="24"/>
    </w:rPr>
  </w:style>
  <w:style w:type="paragraph" w:customStyle="1" w:yozoId="4094" w:styleId="87">
    <w:name w:val="A正文1"/>
    <w:qFormat/>
    <w:basedOn w:val="0"/>
    <w:pPr>
      <w:spacing w:line="360" w:lineRule="auto"/>
      <w:ind w:firstLineChars="200" w:firstLine="200"/>
    </w:pPr>
    <w:rPr>
      <w:sz w:val="24"/>
      <w:szCs w:val="28"/>
    </w:rPr>
  </w:style>
  <w:style w:type="paragraph" w:customStyle="1" w:yozoId="4094" w:styleId="88">
    <w:name w:val="正文（用）"/>
    <w:qFormat/>
    <w:basedOn w:val="0"/>
    <w:pPr>
      <w:ind w:firstLineChars="200" w:firstLine="200"/>
      <w:jc w:val="left"/>
    </w:pPr>
    <w:rPr>
      <w:rFonts w:ascii="宋体" w:cs="宋体" w:hAnsi="宋体"/>
    </w:rPr>
  </w:style>
  <w:style w:type="character" w:customStyle="1" w:yozoId="4094" w:styleId="89">
    <w:name w:val="NormalCharacter"/>
    <w:qFormat/>
  </w:style>
  <w:style w:type="paragraph" w:customStyle="1" w:yozoId="4094" w:styleId="90">
    <w:name w:val="Char"/>
    <w:qFormat/>
    <w:basedOn w:val="0"/>
    <w:pPr>
      <w:spacing w:line="360" w:lineRule="auto"/>
      <w:ind w:firstLineChars="200" w:firstLine="200"/>
    </w:pPr>
    <w:rPr>
      <w:rFonts w:ascii="宋体" w:cs="宋体" w:hAnsi="宋体"/>
      <w:sz w:val="24"/>
    </w:rPr>
  </w:style>
  <w:style w:type="paragraph" w:customStyle="1" w:yozoId="4094" w:styleId="91">
    <w:name w:val="中气表头"/>
    <w:qFormat/>
    <w:basedOn w:val="0"/>
    <w:pPr>
      <w:jc w:val="center"/>
    </w:pPr>
    <w:rPr>
      <w:rFonts w:eastAsia="黑体"/>
      <w:b/>
      <w:szCs w:val="21"/>
    </w:rPr>
  </w:style>
  <w:style w:type="paragraph" w:customStyle="1" w:yozoId="4094" w:styleId="92">
    <w:name w:val="样式 小四 左 首行缩进:  2 字符"/>
    <w:qFormat/>
    <w:basedOn w:val="0"/>
    <w:pPr>
      <w:adjustRightInd w:val="0"/>
      <w:spacing w:line="360" w:lineRule="auto"/>
      <w:ind w:rightChars="-20" w:right="-20" w:firstLineChars="200" w:firstLine="200"/>
      <w:jc w:val="left"/>
      <w:textAlignment w:val="baseline"/>
    </w:pPr>
    <w:rPr>
      <w:sz w:val="24"/>
      <w:szCs w:val="20"/>
    </w:rPr>
  </w:style>
  <w:style w:type="character" w:customStyle="1" w:yozoId="4094" w:styleId="93">
    <w:name w:val="title14"/>
    <w:qFormat/>
    <w:rPr>
      <w:rFonts w:ascii="Times New Roman" w:eastAsia="宋体" w:cs="Times New Roman" w:hAnsi="Times New Roman"/>
    </w:rPr>
  </w:style>
  <w:style w:type="paragraph" w:customStyle="1" w:yozoId="4094" w:styleId="94">
    <w:name w:val="报告书正文"/>
    <w:qFormat/>
    <w:basedOn w:val="0"/>
    <w:pPr>
      <w:widowControl/>
      <w:spacing w:line="300" w:lineRule="auto"/>
      <w:ind w:firstLineChars="200" w:firstLine="200"/>
      <w:jc w:val="left"/>
    </w:pPr>
    <w:rPr>
      <w:color w:val="000000"/>
      <w:sz w:val="24"/>
      <w:szCs w:val="20"/>
    </w:rPr>
  </w:style>
  <w:style w:type="paragraph" w:customStyle="1" w:yozoId="4094" w:styleId="95">
    <w:name w:val="君邦正文"/>
    <w:qFormat/>
    <w:basedOn w:val="0"/>
    <w:pPr>
      <w:spacing w:after="60" w:line="360" w:lineRule="auto"/>
      <w:ind w:firstLineChars="200" w:firstLine="200"/>
    </w:pPr>
    <w:rPr>
      <w:sz w:val="24"/>
      <w:szCs w:val="20"/>
    </w:rPr>
  </w:style>
  <w:style w:type="character" w:customStyle="1" w:yozoId="4094" w:styleId="96">
    <w:name w:val="font01"/>
    <w:qFormat/>
    <w:rPr>
      <w:rFonts w:ascii="Arial" w:cs="Arial" w:hAnsi="Arial"/>
      <w:color w:val="000000"/>
      <w:sz w:val="20"/>
      <w:szCs w:val="20"/>
      <w:u w:val="none"/>
    </w:rPr>
  </w:style>
  <w:style w:type="character" w:customStyle="1" w:yozoId="4094" w:styleId="97">
    <w:name w:val="正文首行缩进 字符"/>
    <w:qFormat/>
    <w:rPr>
      <w:sz w:val="24"/>
    </w:rPr>
  </w:style>
  <w:style w:type="character" w:customStyle="1" w:yozoId="4094" w:styleId="98">
    <w:name w:val="symbol"/>
    <w:qFormat/>
    <w:basedOn w:val="10"/>
  </w:style>
  <w:style w:type="paragraph" w:customStyle="1" w:yozoId="4094" w:styleId="99">
    <w:name w:val="正文_1"/>
    <w:qFormat/>
    <w:pPr>
      <w:widowControl w:val="0"/>
      <w:jc w:val="both"/>
    </w:pPr>
    <w:rPr>
      <w:rFonts w:ascii="Calibri" w:eastAsia="宋体" w:cs="Times New Roman" w:hAnsi="Calibri"/>
      <w:kern w:val="2"/>
      <w:sz w:val="21"/>
      <w:szCs w:val="20"/>
      <w:lang w:val="en-US" w:eastAsia="zh-CN" w:bidi="ar-SA"/>
    </w:rPr>
  </w:style>
  <w:style w:type="paragraph" w:customStyle="1" w:yozoId="4094" w:styleId="100">
    <w:name w:val="HJ-表格"/>
    <w:qFormat/>
    <w:basedOn w:val="0"/>
    <w:pPr>
      <w:jc w:val="center"/>
    </w:pPr>
    <w:rPr>
      <w:b/>
      <w:kern w:val="0"/>
      <w:sz w:val="18"/>
      <w:szCs w:val="20"/>
    </w:rPr>
  </w:style>
  <w:style w:type="paragraph" w:customStyle="1" w:yozoId="4094" w:styleId="101">
    <w:name w:val="Default1"/>
    <w:qFormat/>
    <w:basedOn w:val="0"/>
    <w:next w:val="0"/>
    <w:pPr>
      <w:autoSpaceDE w:val="0"/>
      <w:autoSpaceDN w:val="0"/>
      <w:adjustRightInd w:val="0"/>
      <w:spacing w:before="120" w:after="240"/>
    </w:pPr>
    <w:rPr>
      <w:rFonts w:ascii="宋体" w:cs="宋体"/>
      <w:color w:val="000000"/>
      <w:kern w:val="0"/>
      <w:sz w:val="24"/>
    </w:rPr>
  </w:style>
  <w:style w:type="character" w:customStyle="1" w:yozoId="4094" w:styleId="102">
    <w:name w:val="font112"/>
    <w:qFormat/>
    <w:rPr>
      <w:rFonts w:ascii="Times New Roman" w:cs="Times New Roman" w:hAnsi="Times New Roman"/>
      <w:color w:val="000000"/>
      <w:sz w:val="21"/>
      <w:szCs w:val="21"/>
      <w:u w:val="none"/>
      <w:vertAlign w:val="subscript"/>
    </w:rPr>
  </w:style>
  <w:style w:type="paragraph" w:customStyle="1" w:yozoId="4094" w:styleId="103">
    <w:name w:val="表头样式1"/>
    <w:qFormat/>
    <w:basedOn w:val="0"/>
    <w:pPr>
      <w:jc w:val="center"/>
    </w:pPr>
    <w:rPr>
      <w:rFonts w:eastAsia="黑体"/>
      <w:b/>
      <w:szCs w:val="20"/>
    </w:rPr>
  </w:style>
  <w:style w:type="character" w:customStyle="1" w:yozoId="4094" w:styleId="104">
    <w:name w:val="font61"/>
    <w:qFormat/>
    <w:basedOn w:val="10"/>
    <w:rPr>
      <w:rFonts w:ascii="宋体" w:eastAsia="宋体" w:cs="宋体" w:hAnsi="宋体"/>
      <w:color w:val="000000"/>
      <w:sz w:val="20"/>
      <w:szCs w:val="20"/>
      <w:u w:val="none"/>
    </w:rPr>
  </w:style>
  <w:style w:type="paragraph" w:customStyle="1" w:yozoId="4094" w:styleId="105">
    <w:name w:val="正文，文本"/>
    <w:qFormat/>
    <w:basedOn w:val="0"/>
    <w:pPr>
      <w:spacing w:line="360" w:lineRule="auto"/>
      <w:ind w:firstLineChars="200" w:firstLine="200"/>
      <w:jc w:val="left"/>
    </w:pPr>
    <w:rPr>
      <w:rFonts w:cs="宋体"/>
      <w:color w:val="000000"/>
      <w:kern w:val="0"/>
      <w:sz w:val="24"/>
      <w:szCs w:val="20"/>
      <w:lang w:val="zh-CN"/>
    </w:rPr>
  </w:style>
  <w:style w:type="paragraph" w:customStyle="1" w:yozoId="4094" w:styleId="106">
    <w:name w:val="正文样式"/>
    <w:qFormat/>
    <w:basedOn w:val="0"/>
    <w:pPr>
      <w:spacing w:line="360" w:lineRule="auto"/>
      <w:ind w:right="170" w:firstLineChars="200" w:firstLine="200"/>
    </w:pPr>
    <w:rPr>
      <w:rFonts w:hAnsi="宋体"/>
      <w:sz w:val="24"/>
    </w:rPr>
  </w:style>
  <w:style w:type="character" w:customStyle="1" w:yozoId="4094" w:styleId="107">
    <w:name w:val="font131"/>
    <w:qFormat/>
    <w:basedOn w:val="10"/>
    <w:rPr>
      <w:rFonts w:ascii="宋体" w:eastAsia="宋体" w:cs="宋体" w:hAnsi="宋体"/>
      <w:b/>
      <w:bCs/>
      <w:color w:val="000000"/>
      <w:sz w:val="20"/>
      <w:szCs w:val="20"/>
      <w:u w:val="none"/>
    </w:rPr>
  </w:style>
  <w:style w:type="paragraph" w:customStyle="1" w:yozoId="4094" w:styleId="108">
    <w:name w:val="表头宜春飞灰"/>
    <w:qFormat/>
    <w:basedOn w:val="0"/>
    <w:pPr>
      <w:jc w:val="center"/>
    </w:pPr>
    <w:rPr>
      <w:b/>
      <w:szCs w:val="21"/>
    </w:rPr>
  </w:style>
  <w:style w:type="paragraph" w:customStyle="1" w:yozoId="4094" w:styleId="109">
    <w:name w:val="（正文）"/>
    <w:qFormat/>
    <w:basedOn w:val="0"/>
    <w:autoRedefine/>
    <w:pPr>
      <w:ind w:firstLineChars="200" w:firstLine="200"/>
    </w:pPr>
    <w:rPr>
      <w:szCs w:val="20"/>
    </w:rPr>
  </w:style>
  <w:style w:type="paragraph" w:customStyle="1" w:yozoId="4094" w:styleId="110">
    <w:name w:val="正文1"/>
    <w:qFormat/>
    <w:basedOn w:val="0"/>
    <w:pPr>
      <w:spacing w:line="560" w:lineRule="exact"/>
      <w:ind w:firstLineChars="200" w:firstLine="200"/>
    </w:pPr>
    <w:rPr>
      <w:rFonts w:cs="宋体"/>
      <w:color w:val="000000"/>
      <w:sz w:val="24"/>
      <w:szCs w:val="20"/>
    </w:rPr>
  </w:style>
  <w:style w:type="paragraph" w:customStyle="1" w:yozoId="4094" w:styleId="111">
    <w:name w:val="文本"/>
    <w:qFormat/>
    <w:pPr>
      <w:spacing w:line="360" w:lineRule="auto"/>
      <w:ind w:firstLineChars="200" w:firstLine="200"/>
    </w:pPr>
    <w:rPr>
      <w:rFonts w:ascii="仿宋_GB2312" w:eastAsia="仿宋_GB2312" w:cs="Times New Roman" w:hAnsi="仿宋_GB2312"/>
      <w:kern w:val="2"/>
      <w:sz w:val="24"/>
      <w:szCs w:val="20"/>
      <w:lang w:val="en-US" w:eastAsia="zh-CN" w:bidi="ar-SA"/>
    </w:rPr>
  </w:style>
  <w:style w:type="paragraph" w:customStyle="1" w:yozoId="4094" w:styleId="112">
    <w:name w:val="1正文"/>
    <w:qFormat/>
    <w:pPr>
      <w:snapToGrid w:val="0"/>
      <w:spacing w:line="360" w:lineRule="auto"/>
      <w:ind w:firstLineChars="200" w:firstLine="200"/>
      <w:jc w:val="both"/>
    </w:pPr>
    <w:rPr>
      <w:rFonts w:ascii="Times New Roman" w:eastAsia="宋体" w:cs="Times New Roman" w:hAnsi="Times New Roman"/>
      <w:kern w:val="2"/>
      <w:sz w:val="24"/>
      <w:szCs w:val="24"/>
      <w:lang w:val="en-US" w:eastAsia="zh-CN" w:bidi="ar-SA"/>
    </w:rPr>
  </w:style>
  <w:style w:type="paragraph" w:customStyle="1" w:yozoId="4094" w:styleId="113">
    <w:name w:val="标--文本正文"/>
    <w:qFormat/>
    <w:basedOn w:val="0"/>
    <w:pPr>
      <w:widowControl w:val="0"/>
      <w:autoSpaceDE w:val="0"/>
      <w:autoSpaceDN w:val="0"/>
      <w:adjustRightInd w:val="0"/>
      <w:spacing w:line="360" w:lineRule="auto"/>
      <w:ind w:firstLineChars="200" w:firstLine="200"/>
    </w:pPr>
    <w:rPr>
      <w:rFonts w:ascii="Times New Roman" w:eastAsia="仿宋_GB2312" w:hAnsi="Times New Roman"/>
      <w:color w:val="000000"/>
      <w:sz w:val="24"/>
      <w:szCs w:val="24"/>
    </w:rPr>
  </w:style>
  <w:style w:type="paragraph" w:customStyle="1" w:yozoId="4094" w:styleId="114">
    <w:name w:val="水资源文本"/>
    <w:qFormat/>
    <w:basedOn w:val="0"/>
    <w:pPr>
      <w:spacing w:line="480" w:lineRule="exact"/>
      <w:ind w:firstLine="482"/>
    </w:pPr>
    <w:rPr>
      <w:rFonts w:cs="宋体"/>
      <w:sz w:val="24"/>
      <w:szCs w:val="2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1.jpeg"/><Relationship Id="rId5" Type="http://schemas.openxmlformats.org/officeDocument/2006/relationships/image" Target="media/3.jpeg"/><Relationship Id="rId6" Type="http://schemas.openxmlformats.org/officeDocument/2006/relationships/footer" Target="footer3.xml"/><Relationship Id="rId7" Type="http://schemas.openxmlformats.org/officeDocument/2006/relationships/image" Target="media/8.emf"/><Relationship Id="rId8" Type="http://schemas.openxmlformats.org/officeDocument/2006/relationships/oleObject" Target="embeddings/oleObject1.bin"/><Relationship Id="rId9" Type="http://schemas.openxmlformats.org/officeDocument/2006/relationships/image" Target="media/9.jpeg"/><Relationship Id="rId10" Type="http://schemas.openxmlformats.org/officeDocument/2006/relationships/image" Target="media/11.jpeg"/><Relationship Id="rId11" Type="http://schemas.openxmlformats.org/officeDocument/2006/relationships/image" Target="media/13.png"/><Relationship Id="rId12" Type="http://schemas.openxmlformats.org/officeDocument/2006/relationships/image" Target="media/15.png"/><Relationship Id="rId13" Type="http://schemas.openxmlformats.org/officeDocument/2006/relationships/image" Target="media/17.png"/><Relationship Id="rId14" Type="http://schemas.openxmlformats.org/officeDocument/2006/relationships/image" Target="media/22.emf"/><Relationship Id="rId15" Type="http://schemas.openxmlformats.org/officeDocument/2006/relationships/oleObject" Target="embeddings/oleObject2.bin"/><Relationship Id="rId16" Type="http://schemas.openxmlformats.org/officeDocument/2006/relationships/image" Target="media/32.wmf"/><Relationship Id="rId17" Type="http://schemas.openxmlformats.org/officeDocument/2006/relationships/oleObject" Target="embeddings/oleObject3.bin"/><Relationship Id="rId18" Type="http://schemas.openxmlformats.org/officeDocument/2006/relationships/image" Target="media/34.wmf"/><Relationship Id="rId19" Type="http://schemas.openxmlformats.org/officeDocument/2006/relationships/oleObject" Target="embeddings/oleObject4.bin"/><Relationship Id="rId20" Type="http://schemas.openxmlformats.org/officeDocument/2006/relationships/image" Target="media/36.wmf"/><Relationship Id="rId21" Type="http://schemas.openxmlformats.org/officeDocument/2006/relationships/oleObject" Target="embeddings/oleObject5.bin"/><Relationship Id="rId22" Type="http://schemas.openxmlformats.org/officeDocument/2006/relationships/image" Target="media/38.wmf"/><Relationship Id="rId23" Type="http://schemas.openxmlformats.org/officeDocument/2006/relationships/oleObject" Target="embeddings/oleObject6.bin"/><Relationship Id="rId24" Type="http://schemas.openxmlformats.org/officeDocument/2006/relationships/image" Target="media/40.wmf"/><Relationship Id="rId25" Type="http://schemas.openxmlformats.org/officeDocument/2006/relationships/oleObject" Target="embeddings/oleObject7.bin"/><Relationship Id="rId26" Type="http://schemas.openxmlformats.org/officeDocument/2006/relationships/image" Target="media/42.wmf"/><Relationship Id="rId27" Type="http://schemas.openxmlformats.org/officeDocument/2006/relationships/oleObject" Target="embeddings/oleObject8.bin"/><Relationship Id="rId28" Type="http://schemas.openxmlformats.org/officeDocument/2006/relationships/image" Target="media/44.wmf"/><Relationship Id="rId29" Type="http://schemas.openxmlformats.org/officeDocument/2006/relationships/oleObject" Target="embeddings/oleObject9.bin"/><Relationship Id="rId30" Type="http://schemas.openxmlformats.org/officeDocument/2006/relationships/image" Target="media/45.png"/><Relationship Id="rId31" Type="http://schemas.openxmlformats.org/officeDocument/2006/relationships/image" Target="media/47.png"/><Relationship Id="rId32" Type="http://schemas.openxmlformats.org/officeDocument/2006/relationships/image" Target="media/49.png"/><Relationship Id="rId33" Type="http://schemas.openxmlformats.org/officeDocument/2006/relationships/image" Target="media/51.png"/><Relationship Id="rId34" Type="http://schemas.openxmlformats.org/officeDocument/2006/relationships/image" Target="media/53.png"/><Relationship Id="rId35" Type="http://schemas.openxmlformats.org/officeDocument/2006/relationships/image" Target="media/55.png"/><Relationship Id="rId36" Type="http://schemas.openxmlformats.org/officeDocument/2006/relationships/image" Target="media/57.png"/><Relationship Id="rId37" Type="http://schemas.openxmlformats.org/officeDocument/2006/relationships/image" Target="media/59.png"/><Relationship Id="rId38" Type="http://schemas.openxmlformats.org/officeDocument/2006/relationships/footer" Target="footer4.xml"/><Relationship Id="rId39" Type="http://schemas.openxmlformats.org/officeDocument/2006/relationships/styles" Target="styles.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customXml" Target="../customXml/item1.xml"/><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主题">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mpd="sng" cap="flat">
          <a:solidFill>
            <a:schemeClr val="phClr"/>
          </a:solidFill>
          <a:prstDash val="solid"/>
          <a:miter/>
        </a:ln>
        <a:ln w="12700" cmpd="sng" cap="flat">
          <a:solidFill>
            <a:schemeClr val="phClr"/>
          </a:solidFill>
          <a:prstDash val="solid"/>
          <a:miter/>
        </a:ln>
        <a:ln w="19050" cmpd="sng" cap="flat">
          <a:solidFill>
            <a:schemeClr val="phClr"/>
          </a:solidFill>
          <a:prstDash val="solid"/>
          <a:miter/>
        </a:ln>
      </a:lnStyleLst>
      <a:effectStyleLst>
        <a:effectStyle>
          <a:effectLst/>
        </a:effectStyle>
        <a:effectStyle>
          <a:effectLst/>
        </a:effectStyle>
        <a:effectStyle>
          <a:effectLst>
            <a:outerShdw sx="100000" sy="100000" algn="ctr" rotWithShape="0" blurRad="57150" dist="19050" dir="540000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26650 1 1 1 1 1"/>
    <sectPr/>
    <sectPr/>
    <sectPr/>
    <sectPr/>
    <sectPr/>
    <sectPr/>
    <sectPr/>
    <sectPr/>
  </customProps>
</customData>
</file>

<file path=customXml/itemProps1.xml><?xml version="1.0" encoding="utf-8"?>
<ds:datastoreItem xmlns:ds="http://schemas.openxmlformats.org/officeDocument/2006/customXml" ds:itemID="{6A821B8D-C35C-4316-A31D-93DDA0C12BBD}">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9</TotalTime>
  <Application>WPS_Yozo_Office9.0.6115.191ZH</Application>
  <Pages>93</Pages>
  <Words>0</Words>
  <Characters>48198</Characters>
  <Lines>0</Lines>
  <Paragraphs>95</Paragraphs>
  <CharactersWithSpaces>64265</CharactersWithSpaces>
  <Company>微软中国</Company>
</Properties>
</file>

<file path=docProps/core.xml><?xml version="1.0" encoding="utf-8"?>
<cp:coreProperties xmlns:cp="http://schemas.openxmlformats.org/package/2006/metadata/core-properties" xmlns:dc="http://purl.org/dc/elements/1.1/" xmlns:dcterms="http://purl.org/dc/terms/" xmlns:xsi="http://www.w3.org/2001/XMLSchema-instance">
  <dc:title>附件2</dc:title>
  <dc:creator>lhj</dc:creator>
  <cp:lastModifiedBy>lenovo</cp:lastModifiedBy>
  <cp:revision>185</cp:revision>
  <cp:lastPrinted>2026-03-07T02:35:00Z</cp:lastPrinted>
  <dcterms:created xsi:type="dcterms:W3CDTF">2023-06-20T08:20:00Z</dcterms:created>
  <dcterms:modified xsi:type="dcterms:W3CDTF">2026-04-03T02:59:35Z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2052-12.1.0.25225</vt:lpwstr>
  </property>
  <property fmtid="{D5CDD505-2E9C-101B-9397-08002B2CF9AE}" pid="3" name="ICV">
    <vt:lpwstr>8331C9F354DB43238E383D0DA0D058AC_12</vt:lpwstr>
  </property>
  <property fmtid="{D5CDD505-2E9C-101B-9397-08002B2CF9AE}" pid="4" name="KSOTemplateDocerSaveRecord">
    <vt:lpwstr>eyJoZGlkIjoiNzQzNjdkZWE5MmZjZGZjMzI3YWQ5ZDAzM2ZjY2ViM2QiLCJ1c2VySWQiOiIyOTE2MjYxMzkifQ==</vt:lpwstr>
  </property>
</Properties>
</file>