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right"/>
        <w:rPr>
          <w:rFonts w:ascii="仿宋" w:eastAsia="仿宋" w:hAnsi="仿宋" w:hint="eastAsia"/>
          <w:color w:val="000000"/>
          <w:sz w:val="44"/>
          <w:szCs w:val="44"/>
        </w:rPr>
      </w:pPr>
    </w:p>
    <w:p>
      <w:pPr>
        <w:jc w:val="right"/>
        <w:rPr>
          <w:rFonts w:ascii="仿宋" w:eastAsia="仿宋" w:hAnsi="仿宋" w:hint="eastAsia"/>
          <w:color w:val="000000"/>
          <w:sz w:val="44"/>
          <w:szCs w:val="44"/>
        </w:rPr>
      </w:pPr>
    </w:p>
    <w:p>
      <w:pPr>
        <w:jc w:val="center"/>
        <w:rPr>
          <w:rFonts w:ascii="仿宋" w:eastAsia="仿宋" w:hAnsi="仿宋" w:hint="eastAsia"/>
          <w:color w:val="000000"/>
          <w:sz w:val="44"/>
          <w:szCs w:val="44"/>
        </w:rPr>
      </w:pPr>
    </w:p>
    <w:p>
      <w:pPr>
        <w:jc w:val="right"/>
        <w:rPr>
          <w:rFonts w:ascii="仿宋" w:eastAsia="仿宋" w:hAnsi="仿宋"/>
          <w:color w:val="000000"/>
          <w:sz w:val="32"/>
          <w:szCs w:val="32"/>
        </w:rPr>
      </w:pPr>
      <w:r>
        <w:rPr>
          <w:rFonts w:ascii="仿宋" w:eastAsia="仿宋" w:hAnsi="仿宋" w:hint="eastAsia"/>
          <w:color w:val="000000"/>
          <w:sz w:val="32"/>
          <w:szCs w:val="32"/>
        </w:rPr>
        <w:t>常环澧建（6）〔2026〕2号</w:t>
      </w:r>
    </w:p>
    <w:p>
      <w:pPr>
        <w:jc w:val="right"/>
        <w:rPr>
          <w:rFonts w:ascii="仿宋" w:eastAsia="仿宋" w:hAnsi="仿宋"/>
          <w:color w:val="000000"/>
          <w:sz w:val="32"/>
          <w:szCs w:val="32"/>
        </w:rPr>
      </w:pPr>
    </w:p>
    <w:p>
      <w:pPr>
        <w:jc w:val="center"/>
        <w:rPr>
          <w:sz w:val="44"/>
          <w:szCs w:val="44"/>
        </w:rPr>
      </w:pPr>
      <w:r>
        <w:rPr>
          <w:rFonts w:hint="eastAsia"/>
          <w:sz w:val="44"/>
          <w:szCs w:val="44"/>
        </w:rPr>
        <w:t>关于湖南悦鑫钓具生产及销售项目</w:t>
      </w:r>
    </w:p>
    <w:p>
      <w:pPr>
        <w:jc w:val="center"/>
        <w:rPr>
          <w:sz w:val="44"/>
          <w:szCs w:val="44"/>
        </w:rPr>
      </w:pPr>
      <w:r>
        <w:rPr>
          <w:rFonts w:hint="eastAsia"/>
          <w:sz w:val="44"/>
          <w:szCs w:val="44"/>
        </w:rPr>
        <w:t>环境影响报告表的批复</w:t>
      </w:r>
    </w:p>
    <w:p>
      <w:pPr>
        <w:rPr>
          <w:rFonts w:ascii="仿宋" w:eastAsia="仿宋" w:hAnsi="仿宋" w:hint="eastAsia"/>
          <w:color w:val="000000"/>
          <w:sz w:val="32"/>
          <w:szCs w:val="32"/>
        </w:rPr>
      </w:pPr>
    </w:p>
    <w:p>
      <w:pPr>
        <w:rPr>
          <w:rFonts w:ascii="仿宋" w:eastAsia="仿宋" w:hAnsi="仿宋"/>
          <w:color w:val="000000"/>
          <w:sz w:val="32"/>
          <w:szCs w:val="32"/>
        </w:rPr>
      </w:pPr>
      <w:r>
        <w:rPr>
          <w:rFonts w:ascii="仿宋" w:eastAsia="仿宋" w:hAnsi="仿宋" w:hint="eastAsia"/>
          <w:color w:val="000000"/>
          <w:sz w:val="32"/>
          <w:szCs w:val="32"/>
        </w:rPr>
        <w:t>湖南悦鑫钓具有限公司：</w:t>
      </w:r>
    </w:p>
    <w:p>
      <w:pPr>
        <w:ind w:firstLineChars="200" w:firstLine="640"/>
        <w:rPr>
          <w:rFonts w:ascii="仿宋" w:eastAsia="仿宋" w:hAnsi="仿宋"/>
          <w:color w:val="FF0000"/>
          <w:sz w:val="32"/>
          <w:szCs w:val="32"/>
        </w:rPr>
      </w:pPr>
      <w:r>
        <w:rPr>
          <w:rFonts w:ascii="仿宋" w:eastAsia="仿宋" w:hAnsi="仿宋" w:hint="eastAsia"/>
          <w:color w:val="000000"/>
          <w:sz w:val="32"/>
          <w:szCs w:val="32"/>
        </w:rPr>
        <w:t>你单位报送的《湖南悦鑫钓具生产及销售项目环境影响报告表》以及《关于申请环境影响报告表审批的请示》已收悉，公示期间无反对意见。根据该项目环评报告表结论和专家审查意见，经研究，现批复如下：</w:t>
      </w:r>
    </w:p>
    <w:p>
      <w:pPr>
        <w:ind w:firstLineChars="200" w:firstLine="640"/>
        <w:rPr>
          <w:rFonts w:ascii="仿宋" w:eastAsia="仿宋" w:cs="仿宋" w:hAnsi="仿宋"/>
          <w:bCs/>
          <w:color w:val="000000"/>
          <w:sz w:val="32"/>
          <w:szCs w:val="32"/>
        </w:rPr>
      </w:pPr>
      <w:r>
        <w:rPr>
          <w:rFonts w:ascii="仿宋" w:eastAsia="仿宋" w:cs="仿宋" w:hAnsi="仿宋"/>
          <w:bCs/>
          <w:sz w:val="32"/>
          <w:szCs w:val="32"/>
        </w:rPr>
        <w:t>一、</w:t>
      </w:r>
      <w:r>
        <w:rPr>
          <w:rFonts w:ascii="仿宋" w:eastAsia="仿宋" w:cs="仿宋" w:hAnsi="仿宋" w:hint="eastAsia"/>
          <w:bCs/>
          <w:sz w:val="32"/>
          <w:szCs w:val="32"/>
        </w:rPr>
        <w:t>湖南悦鑫钓具有限公司</w:t>
      </w:r>
      <w:r>
        <w:rPr>
          <w:rFonts w:ascii="仿宋" w:eastAsia="仿宋" w:cs="仿宋" w:hAnsi="仿宋" w:hint="eastAsia"/>
          <w:bCs/>
          <w:color w:val="000000"/>
          <w:sz w:val="32"/>
          <w:szCs w:val="32"/>
        </w:rPr>
        <w:t>位于澧县澧澹街道上福居委会澧县创新创业园A4栋二楼201室，租赁园区标准化厂房建设，新建5条路亚软饵生产线，年产</w:t>
      </w:r>
      <w:bookmarkStart w:id="0" w:name="OLE_LINK3"/>
      <w:bookmarkStart w:id="1" w:name="OLE_LINK4"/>
      <w:r>
        <w:rPr>
          <w:rFonts w:ascii="仿宋" w:eastAsia="仿宋" w:cs="仿宋" w:hAnsi="仿宋" w:hint="eastAsia"/>
          <w:bCs/>
          <w:color w:val="000000"/>
          <w:sz w:val="32"/>
          <w:szCs w:val="32"/>
        </w:rPr>
        <w:t>路亚软饵</w:t>
      </w:r>
      <w:bookmarkEnd w:id="0"/>
      <w:bookmarkEnd w:id="1"/>
      <w:r>
        <w:rPr>
          <w:rFonts w:ascii="仿宋" w:eastAsia="仿宋" w:cs="仿宋" w:hAnsi="仿宋" w:hint="eastAsia"/>
          <w:bCs/>
          <w:color w:val="000000"/>
          <w:sz w:val="32"/>
          <w:szCs w:val="32"/>
        </w:rPr>
        <w:t>1500万件。该项目占用厂房面积2600m</w:t>
      </w:r>
      <w:r>
        <w:rPr>
          <w:rFonts w:ascii="仿宋" w:eastAsia="仿宋" w:cs="仿宋" w:hAnsi="仿宋" w:hint="eastAsia"/>
          <w:bCs/>
          <w:color w:val="000000"/>
          <w:sz w:val="32"/>
          <w:szCs w:val="32"/>
          <w:vertAlign w:val="superscript"/>
        </w:rPr>
        <w:t>2</w:t>
      </w:r>
      <w:r>
        <w:rPr>
          <w:rFonts w:ascii="仿宋" w:eastAsia="仿宋" w:cs="仿宋" w:hAnsi="仿宋" w:hint="eastAsia"/>
          <w:bCs/>
          <w:color w:val="000000"/>
          <w:sz w:val="32"/>
          <w:szCs w:val="32"/>
        </w:rPr>
        <w:t>，总投资5000万元。项目已于2025年6月底建成投产，澧县生态环境保护综合行政执法局已就其违法行为作出了检查意见。经审查该项目符合《湖南省生态环境分区管控总体管控要求暨省级以上产业园区生态环境准入清单》</w:t>
      </w:r>
      <w:r>
        <w:rPr>
          <w:rFonts w:ascii="仿宋" w:eastAsia="仿宋" w:cs="仿宋" w:hAnsi="仿宋"/>
          <w:bCs/>
          <w:color w:val="000000"/>
          <w:sz w:val="32"/>
          <w:szCs w:val="32"/>
        </w:rPr>
        <w:t>及</w:t>
      </w:r>
      <w:r>
        <w:rPr>
          <w:rFonts w:ascii="仿宋" w:eastAsia="仿宋" w:cs="仿宋" w:hAnsi="仿宋" w:hint="eastAsia"/>
          <w:bCs/>
          <w:color w:val="000000"/>
          <w:sz w:val="32"/>
          <w:szCs w:val="32"/>
        </w:rPr>
        <w:t>《湖南省空气质量持续改善行动计划实施方案》（湘政办发〔2024〕33号）要求。建设单位在认真落实各项污染防治措施的前提下，我局同意补办环评手续。</w:t>
      </w:r>
    </w:p>
    <w:p>
      <w:pPr>
        <w:ind w:firstLineChars="200" w:firstLine="640"/>
        <w:rPr>
          <w:rFonts w:ascii="宋体" w:cs="宋体" w:hAnsi="宋体"/>
          <w:color w:val="FF0000"/>
          <w:sz w:val="32"/>
          <w:szCs w:val="32"/>
        </w:rPr>
      </w:pPr>
      <w:r>
        <w:rPr>
          <w:rFonts w:ascii="仿宋" w:eastAsia="仿宋" w:cs="仿宋_GB2312" w:hAnsi="仿宋" w:hint="eastAsia"/>
          <w:bCs/>
          <w:sz w:val="32"/>
          <w:szCs w:val="32"/>
        </w:rPr>
        <w:t>二、</w:t>
      </w:r>
      <w:r>
        <w:rPr>
          <w:rFonts w:ascii="仿宋" w:eastAsia="仿宋" w:cs="仿宋" w:hAnsi="仿宋" w:hint="eastAsia"/>
          <w:bCs/>
          <w:color w:val="000000"/>
          <w:sz w:val="32"/>
          <w:szCs w:val="32"/>
        </w:rPr>
        <w:t>你单位必须认真落实《报告表》提出的各项污染防治、生态保护措施和下列要求</w:t>
      </w:r>
      <w:r>
        <w:rPr>
          <w:rFonts w:ascii="仿宋" w:eastAsia="仿宋" w:cs="仿宋_GB2312" w:hAnsi="仿宋" w:hint="eastAsia"/>
          <w:bCs/>
          <w:sz w:val="32"/>
          <w:szCs w:val="32"/>
        </w:rPr>
        <w:t>：</w:t>
      </w:r>
    </w:p>
    <w:p>
      <w:pPr>
        <w:ind w:firstLineChars="200" w:firstLine="640"/>
        <w:rPr>
          <w:rFonts w:ascii="仿宋" w:eastAsia="仿宋" w:cs="仿宋_GB2312" w:hAnsi="仿宋"/>
          <w:bCs/>
          <w:sz w:val="32"/>
          <w:szCs w:val="32"/>
        </w:rPr>
      </w:pPr>
      <w:r>
        <w:rPr>
          <w:rFonts w:ascii="仿宋" w:eastAsia="仿宋" w:cs="仿宋_GB2312" w:hAnsi="仿宋" w:hint="eastAsia"/>
          <w:bCs/>
          <w:sz w:val="32"/>
          <w:szCs w:val="32"/>
        </w:rPr>
        <w:t>1.项目应加强水污染控制：</w:t>
      </w:r>
      <w:r>
        <w:rPr>
          <w:rFonts w:ascii="仿宋" w:eastAsia="仿宋" w:cs="仿宋_GB2312" w:hAnsi="仿宋"/>
          <w:bCs/>
          <w:sz w:val="32"/>
          <w:szCs w:val="32"/>
        </w:rPr>
        <w:t>严格落实污污</w:t>
      </w:r>
      <w:r>
        <w:rPr>
          <w:rFonts w:ascii="仿宋" w:eastAsia="仿宋" w:cs="仿宋_GB2312" w:hAnsi="仿宋" w:hint="eastAsia"/>
          <w:bCs/>
          <w:sz w:val="32"/>
          <w:szCs w:val="32"/>
        </w:rPr>
        <w:t>分流。生活污水依托园区化粪池预处理后经市政污水管网进入澧县东部污水处理厂处理；冷却水循环使用后定期排放，外排废水满足《污水综合排放标准》（GB8978-1996）中表4三级标准及澧县东部污水处理厂进水水质要求。</w:t>
      </w:r>
    </w:p>
    <w:p>
      <w:pPr>
        <w:spacing w:line="360" w:lineRule="auto"/>
        <w:ind w:firstLineChars="200" w:firstLine="640"/>
        <w:rPr>
          <w:rFonts w:ascii="仿宋" w:cs="仿宋" w:hAnsi="仿宋"/>
          <w:bCs/>
          <w:color w:val="000000"/>
          <w:sz w:val="32"/>
          <w:szCs w:val="32"/>
        </w:rPr>
      </w:pPr>
      <w:r>
        <w:rPr>
          <w:rFonts w:ascii="仿宋" w:eastAsia="仿宋" w:cs="仿宋_GB2312" w:hAnsi="仿宋" w:hint="eastAsia"/>
          <w:bCs/>
          <w:color w:val="000000"/>
          <w:sz w:val="32"/>
          <w:szCs w:val="32"/>
        </w:rPr>
        <w:t>2.项目应加强大气污染控制：注塑废气经集气罩收集后通过管道引至15米高排气筒高空排放，非甲烷总烃执行《合成树脂工业污染物排放标准》（GB31572-2015）表4中标准限值；氯化氢执行《大气污染物综合排放标准》（GB16297-1996）表2标准；配料、搅拌、煮料、点胶工序密闭作业，无组织非甲烷总烃执行《挥发性有机物无组织排放控制标准》（GB37822-2019）限值要求；无组织颗粒物、甲苯执行厂界《合成树脂工业污染物排放标准》表 9 标准。</w:t>
      </w:r>
    </w:p>
    <w:p>
      <w:pPr>
        <w:ind w:firstLineChars="200" w:firstLine="640"/>
        <w:rPr>
          <w:rFonts w:ascii="仿宋" w:eastAsia="仿宋" w:cs="仿宋_GB2312" w:hAnsi="仿宋"/>
          <w:bCs/>
          <w:sz w:val="32"/>
          <w:szCs w:val="32"/>
        </w:rPr>
      </w:pPr>
      <w:r>
        <w:rPr>
          <w:rFonts w:ascii="仿宋" w:eastAsia="仿宋" w:cs="仿宋_GB2312" w:hAnsi="仿宋" w:hint="eastAsia"/>
          <w:bCs/>
          <w:sz w:val="32"/>
          <w:szCs w:val="32"/>
        </w:rPr>
        <w:t>3.项目应加强噪声污染控制：合理布设噪声源，并采取减震、隔声等措施。厂界噪声满足《工业企业厂界环境噪声排放标准》（GB12348-2008）3类标准限值要求。</w:t>
      </w:r>
    </w:p>
    <w:p>
      <w:pPr>
        <w:spacing w:line="360" w:lineRule="auto"/>
        <w:ind w:firstLineChars="200" w:firstLine="640"/>
        <w:rPr>
          <w:rFonts w:ascii="仿宋" w:eastAsia="仿宋" w:cs="仿宋_GB2312" w:hAnsi="仿宋"/>
          <w:bCs/>
          <w:sz w:val="32"/>
          <w:szCs w:val="32"/>
        </w:rPr>
      </w:pPr>
      <w:r>
        <w:rPr>
          <w:rFonts w:ascii="仿宋" w:eastAsia="仿宋" w:cs="仿宋_GB2312" w:hAnsi="仿宋" w:hint="eastAsia"/>
          <w:bCs/>
          <w:sz w:val="32"/>
          <w:szCs w:val="32"/>
        </w:rPr>
        <w:t>4.项目应加强固体废弃物分类管理和利用。设置危废暂存间，</w:t>
      </w:r>
      <w:r>
        <w:rPr>
          <w:rFonts w:ascii="仿宋" w:eastAsia="仿宋" w:cs="仿宋_GB2312" w:hAnsi="仿宋"/>
          <w:bCs/>
          <w:sz w:val="32"/>
          <w:szCs w:val="32"/>
        </w:rPr>
        <w:t>废矿物油、</w:t>
      </w:r>
      <w:r>
        <w:rPr>
          <w:rFonts w:ascii="仿宋" w:eastAsia="仿宋" w:cs="仿宋_GB2312" w:hAnsi="仿宋" w:hint="eastAsia"/>
          <w:bCs/>
          <w:sz w:val="32"/>
          <w:szCs w:val="32"/>
        </w:rPr>
        <w:t>含油手套及抹布分类收集</w:t>
      </w:r>
      <w:r>
        <w:rPr>
          <w:rFonts w:ascii="仿宋" w:eastAsia="仿宋" w:cs="仿宋_GB2312" w:hAnsi="仿宋"/>
          <w:bCs/>
          <w:sz w:val="32"/>
          <w:szCs w:val="32"/>
        </w:rPr>
        <w:t>，</w:t>
      </w:r>
      <w:r>
        <w:rPr>
          <w:rFonts w:ascii="仿宋" w:eastAsia="仿宋" w:cs="仿宋_GB2312" w:hAnsi="仿宋" w:hint="eastAsia"/>
          <w:bCs/>
          <w:sz w:val="32"/>
          <w:szCs w:val="32"/>
          <w:lang w:val="en-GB"/>
        </w:rPr>
        <w:t>定期委托有危废资质</w:t>
      </w:r>
      <w:r>
        <w:rPr>
          <w:rFonts w:ascii="仿宋" w:eastAsia="仿宋" w:cs="仿宋_GB2312" w:hAnsi="仿宋" w:hint="eastAsia"/>
          <w:bCs/>
          <w:sz w:val="32"/>
          <w:szCs w:val="32"/>
        </w:rPr>
        <w:t>的</w:t>
      </w:r>
      <w:r>
        <w:rPr>
          <w:rFonts w:ascii="仿宋" w:eastAsia="仿宋" w:cs="仿宋_GB2312" w:hAnsi="仿宋" w:hint="eastAsia"/>
          <w:bCs/>
          <w:sz w:val="32"/>
          <w:szCs w:val="32"/>
          <w:lang w:val="en-GB"/>
        </w:rPr>
        <w:t>单位处理</w:t>
      </w:r>
      <w:r>
        <w:rPr>
          <w:rFonts w:ascii="仿宋" w:eastAsia="仿宋" w:cs="仿宋_GB2312" w:hAnsi="仿宋"/>
          <w:bCs/>
          <w:sz w:val="32"/>
          <w:szCs w:val="32"/>
          <w:lang w:val="en-GB"/>
        </w:rPr>
        <w:t>，</w:t>
      </w:r>
      <w:r>
        <w:rPr>
          <w:rFonts w:ascii="仿宋" w:eastAsia="仿宋" w:cs="仿宋_GB2312" w:hAnsi="仿宋" w:hint="eastAsia"/>
          <w:bCs/>
          <w:sz w:val="32"/>
          <w:szCs w:val="32"/>
        </w:rPr>
        <w:t>并执行转移联单制度</w:t>
      </w:r>
      <w:r>
        <w:rPr>
          <w:rFonts w:ascii="仿宋" w:eastAsia="仿宋" w:cs="仿宋_GB2312" w:hAnsi="仿宋"/>
          <w:bCs/>
          <w:sz w:val="32"/>
          <w:szCs w:val="32"/>
        </w:rPr>
        <w:t>；</w:t>
      </w:r>
      <w:r>
        <w:rPr>
          <w:rFonts w:ascii="仿宋" w:eastAsia="仿宋" w:cs="仿宋_GB2312" w:hAnsi="仿宋" w:hint="eastAsia"/>
          <w:bCs/>
          <w:sz w:val="32"/>
          <w:szCs w:val="32"/>
        </w:rPr>
        <w:t>边角料、不合格品、废包装材料、废豆油桶分类</w:t>
      </w:r>
      <w:r>
        <w:rPr>
          <w:rFonts w:ascii="仿宋" w:eastAsia="仿宋" w:cs="仿宋_GB2312" w:hAnsi="仿宋" w:hint="eastAsia"/>
          <w:bCs/>
          <w:sz w:val="32"/>
          <w:szCs w:val="32"/>
          <w:lang w:val="en-GB"/>
        </w:rPr>
        <w:t>收集后外售</w:t>
      </w:r>
      <w:r>
        <w:rPr>
          <w:rFonts w:ascii="仿宋" w:eastAsia="仿宋" w:cs="仿宋_GB2312" w:hAnsi="仿宋" w:hint="eastAsia"/>
          <w:bCs/>
          <w:sz w:val="32"/>
          <w:szCs w:val="32"/>
        </w:rPr>
        <w:t>综合利用</w:t>
      </w:r>
      <w:r>
        <w:rPr>
          <w:rFonts w:ascii="仿宋" w:eastAsia="仿宋" w:cs="仿宋_GB2312" w:hAnsi="仿宋" w:hint="eastAsia"/>
          <w:bCs/>
          <w:sz w:val="32"/>
          <w:szCs w:val="32"/>
          <w:lang w:val="en-GB"/>
        </w:rPr>
        <w:t>；</w:t>
      </w:r>
      <w:r>
        <w:rPr>
          <w:rFonts w:ascii="仿宋" w:eastAsia="仿宋" w:cs="仿宋_GB2312" w:hAnsi="仿宋" w:hint="eastAsia"/>
          <w:bCs/>
          <w:sz w:val="32"/>
          <w:szCs w:val="32"/>
        </w:rPr>
        <w:t>生活垃圾集中收集后交由环卫部门统一清运处置。</w:t>
      </w:r>
    </w:p>
    <w:p>
      <w:pPr>
        <w:spacing w:line="360" w:lineRule="auto"/>
        <w:ind w:firstLineChars="200" w:firstLine="640"/>
        <w:rPr>
          <w:rFonts w:ascii="仿宋" w:eastAsia="仿宋" w:cs="仿宋_GB2312" w:hAnsi="仿宋"/>
          <w:bCs/>
          <w:sz w:val="32"/>
          <w:szCs w:val="32"/>
        </w:rPr>
      </w:pPr>
      <w:r>
        <w:rPr>
          <w:rFonts w:ascii="仿宋" w:eastAsia="仿宋" w:cs="仿宋_GB2312" w:hAnsi="仿宋" w:hint="eastAsia"/>
          <w:bCs/>
          <w:sz w:val="32"/>
          <w:szCs w:val="32"/>
        </w:rPr>
        <w:t>5.</w:t>
      </w:r>
      <w:r>
        <w:rPr>
          <w:rFonts w:ascii="仿宋" w:eastAsia="仿宋" w:cs="仿宋_GB2312" w:hAnsi="仿宋" w:hint="eastAsia"/>
          <w:bCs/>
          <w:sz w:val="32"/>
          <w:szCs w:val="32"/>
          <w:lang w:val="en-GB"/>
        </w:rPr>
        <w:t>建立严格的环境保护管理制度，做到防治污染设施有专人管理，加强环保设施的维护和管理，切实做到所有外排污染物持续稳定达标排放。</w:t>
      </w:r>
    </w:p>
    <w:p>
      <w:pPr>
        <w:ind w:firstLineChars="200" w:firstLine="640"/>
        <w:rPr>
          <w:rFonts w:ascii="仿宋" w:eastAsia="仿宋" w:cs="仿宋" w:hAnsi="仿宋"/>
          <w:bCs/>
          <w:color w:val="000000"/>
          <w:sz w:val="32"/>
          <w:szCs w:val="32"/>
        </w:rPr>
      </w:pPr>
      <w:r>
        <w:rPr>
          <w:rFonts w:ascii="仿宋" w:eastAsia="仿宋" w:cs="仿宋" w:hAnsi="仿宋" w:hint="eastAsia"/>
          <w:color w:val="000000"/>
          <w:sz w:val="32"/>
          <w:szCs w:val="32"/>
        </w:rPr>
        <w:t>三、</w:t>
      </w:r>
      <w:r>
        <w:rPr>
          <w:rFonts w:ascii="仿宋" w:eastAsia="仿宋" w:cs="仿宋" w:hAnsi="仿宋" w:hint="eastAsia"/>
          <w:bCs/>
          <w:color w:val="000000"/>
          <w:sz w:val="32"/>
          <w:szCs w:val="32"/>
        </w:rPr>
        <w:t>加强运营期的环境及安全管理，建立、健全相应的环境管理机构和制度，做好风险防范措施，减少环境风险事故对周围环境的影响。</w:t>
      </w:r>
    </w:p>
    <w:p>
      <w:pPr>
        <w:ind w:firstLineChars="200" w:firstLine="640"/>
        <w:rPr>
          <w:rFonts w:ascii="仿宋" w:eastAsia="仿宋" w:cs="仿宋" w:hAnsi="仿宋"/>
          <w:color w:val="000000"/>
          <w:sz w:val="32"/>
          <w:szCs w:val="32"/>
        </w:rPr>
      </w:pPr>
      <w:r>
        <w:rPr>
          <w:rFonts w:ascii="仿宋" w:eastAsia="仿宋" w:cs="仿宋" w:hAnsi="仿宋" w:hint="eastAsia"/>
          <w:bCs/>
          <w:color w:val="000000"/>
          <w:sz w:val="32"/>
          <w:szCs w:val="32"/>
        </w:rPr>
        <w:t>四、污染物排放总量控制。本项目建议总量控制指标</w:t>
      </w:r>
      <w:r>
        <w:rPr>
          <w:rFonts w:ascii="仿宋" w:eastAsia="仿宋" w:cs="仿宋" w:hAnsi="仿宋" w:hint="eastAsia"/>
          <w:color w:val="000000"/>
          <w:sz w:val="32"/>
          <w:szCs w:val="32"/>
        </w:rPr>
        <w:t>为:CODcr≤0.012t/a，NH</w:t>
      </w:r>
      <w:r>
        <w:rPr>
          <w:rFonts w:ascii="仿宋" w:eastAsia="仿宋" w:cs="仿宋" w:hAnsi="仿宋" w:hint="eastAsia"/>
          <w:color w:val="000000"/>
          <w:sz w:val="32"/>
          <w:szCs w:val="32"/>
          <w:vertAlign w:val="subscript"/>
        </w:rPr>
        <w:t>3</w:t>
      </w:r>
      <w:r>
        <w:rPr>
          <w:rFonts w:ascii="仿宋" w:eastAsia="仿宋" w:cs="仿宋" w:hAnsi="仿宋" w:hint="eastAsia"/>
          <w:color w:val="000000"/>
          <w:sz w:val="32"/>
          <w:szCs w:val="32"/>
        </w:rPr>
        <w:t>-N≤0.002t/a，VOCs≤0.24t/a。</w:t>
      </w:r>
    </w:p>
    <w:p>
      <w:pPr>
        <w:ind w:firstLineChars="200" w:firstLine="640"/>
        <w:rPr>
          <w:rFonts w:ascii="仿宋" w:eastAsia="仿宋" w:cs="仿宋" w:hAnsi="仿宋"/>
          <w:color w:val="000000"/>
          <w:sz w:val="32"/>
          <w:szCs w:val="32"/>
        </w:rPr>
      </w:pPr>
      <w:r>
        <w:rPr>
          <w:rFonts w:ascii="仿宋" w:eastAsia="仿宋" w:cs="仿宋" w:hAnsi="仿宋" w:hint="eastAsia"/>
          <w:color w:val="000000"/>
          <w:sz w:val="32"/>
          <w:szCs w:val="32"/>
        </w:rPr>
        <w:t>五、建设单位需按</w:t>
      </w:r>
      <w:r>
        <w:rPr>
          <w:rFonts w:ascii="仿宋" w:eastAsia="仿宋" w:cs="仿宋" w:hAnsi="仿宋" w:hint="eastAsia"/>
          <w:bCs/>
          <w:color w:val="000000"/>
          <w:sz w:val="32"/>
          <w:szCs w:val="32"/>
        </w:rPr>
        <w:t>《排污许可管理条例》规定及时办理排污许可手续，并按照《建设项目环境保护管理条例》《建设项目竣工环境保护验收暂行办法》等有关规定自行组织竣工环境保护验收,并通过全国建设项目竣工环境保护验收信息平台向社会公开验收报告。</w:t>
      </w:r>
    </w:p>
    <w:p>
      <w:pPr>
        <w:spacing w:line="360" w:lineRule="auto"/>
        <w:ind w:firstLineChars="233" w:firstLine="746"/>
        <w:rPr>
          <w:rFonts w:ascii="仿宋" w:eastAsia="仿宋" w:cs="仿宋" w:hAnsi="仿宋" w:hint="eastAsia"/>
          <w:color w:val="000000"/>
          <w:sz w:val="32"/>
          <w:szCs w:val="32"/>
        </w:rPr>
      </w:pPr>
      <w:r>
        <w:rPr>
          <w:rFonts w:ascii="仿宋" w:eastAsia="仿宋" w:cs="仿宋" w:hAnsi="仿宋" w:hint="eastAsia"/>
          <w:bCs/>
          <w:color w:val="000000"/>
          <w:sz w:val="32"/>
          <w:szCs w:val="32"/>
        </w:rPr>
        <w:t>六、如该项目在报批环保手续过程中存在瞒报、假报等欺骗行为，依据《中华人民共和国行政许可法》第六十九条的规定，我局有权撤销本批复，所造成的一切后果由你单位承担。澧县生态环境保护综合行政执法局负责日常监管。</w:t>
      </w:r>
    </w:p>
    <w:p>
      <w:pPr>
        <w:spacing w:line="360" w:lineRule="auto"/>
        <w:ind w:firstLineChars="233" w:firstLine="746"/>
        <w:jc w:val="right"/>
        <w:rPr>
          <w:rFonts w:ascii="仿宋" w:eastAsia="仿宋" w:cs="仿宋" w:hAnsi="仿宋"/>
          <w:bCs/>
          <w:color w:val="000000"/>
          <w:sz w:val="32"/>
          <w:szCs w:val="32"/>
        </w:rPr>
      </w:pPr>
      <w:r>
        <w:rPr>
          <w:rFonts w:ascii="仿宋" w:eastAsia="仿宋" w:cs="仿宋" w:hAnsi="仿宋" w:hint="eastAsia"/>
          <w:bCs/>
          <w:color w:val="000000"/>
          <w:sz w:val="32"/>
          <w:szCs w:val="32"/>
        </w:rPr>
        <w:t>常德市生态环境局</w:t>
      </w:r>
    </w:p>
    <w:p>
      <w:pPr>
        <w:spacing w:line="560" w:lineRule="atLeast"/>
        <w:ind w:firstLineChars="233" w:firstLine="746"/>
        <w:jc w:val="right"/>
        <w:rPr>
          <w:rFonts w:ascii="仿宋" w:eastAsia="仿宋" w:cs="仿宋" w:hAnsi="仿宋" w:hint="eastAsia"/>
          <w:color w:val="000000"/>
          <w:sz w:val="32"/>
          <w:szCs w:val="32"/>
        </w:rPr>
      </w:pPr>
      <w:r>
        <w:rPr>
          <w:rFonts w:ascii="仿宋" w:eastAsia="仿宋" w:cs="仿宋" w:hAnsi="仿宋" w:hint="eastAsia"/>
          <w:bCs/>
          <w:color w:val="000000"/>
          <w:sz w:val="32"/>
          <w:szCs w:val="32"/>
        </w:rPr>
        <w:t>2026年4月</w:t>
      </w:r>
      <w:r>
        <w:rPr>
          <w:rFonts w:ascii="仿宋" w:eastAsia="仿宋" w:cs="仿宋" w:hAnsi="仿宋"/>
          <w:bCs/>
          <w:color w:val="000000"/>
          <w:sz w:val="32"/>
          <w:szCs w:val="32"/>
        </w:rPr>
        <w:t>7</w:t>
      </w:r>
      <w:bookmarkStart w:id="2" w:name="_GoBack"/>
      <w:bookmarkEnd w:id="2"/>
      <w:r>
        <w:rPr>
          <w:rFonts w:ascii="仿宋" w:eastAsia="仿宋" w:cs="仿宋" w:hAnsi="仿宋" w:hint="eastAsia"/>
          <w:bCs/>
          <w:color w:val="000000"/>
          <w:sz w:val="32"/>
          <w:szCs w:val="32"/>
        </w:rPr>
        <w:t>日</w:t>
      </w:r>
    </w:p>
    <w:p>
      <w:pPr>
        <w:spacing w:line="560" w:lineRule="atLeast"/>
        <w:ind w:right="160" w:firstLineChars="233" w:firstLine="746"/>
        <w:jc w:val="left"/>
        <w:rPr>
          <w:rFonts w:ascii="仿宋" w:eastAsia="仿宋" w:cs="仿宋" w:hAnsi="仿宋"/>
          <w:color w:val="000000"/>
          <w:sz w:val="32"/>
          <w:szCs w:val="32"/>
        </w:rPr>
      </w:pPr>
      <w:r>
        <w:rPr>
          <w:rFonts w:ascii="仿宋" w:eastAsia="仿宋" w:cs="仿宋" w:hAnsi="仿宋" w:hint="eastAsia"/>
          <w:color w:val="000000"/>
          <w:sz w:val="32"/>
          <w:szCs w:val="32"/>
        </w:rPr>
        <w:t>抄送：澧县生态环境保护综合行政执法局</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仿宋_GB2312">
    <w:altName w:val="Arial Unicode MS"/>
    <w:panose1 w:val="00000000000000000000"/>
    <w:charset w:val="86"/>
    <w:family w:val="modern"/>
    <w:pitch w:val="variable"/>
    <w:sig w:usb0="00000000"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cida Sans">
    <w:altName w:val="DejaVu Sans"/>
    <w:panose1 w:val="020B0602030504020204"/>
    <w:charset w:val="00"/>
    <w:family w:val="swiss"/>
    <w:pitch w:val="variable"/>
    <w:sig w:usb0="00000003" w:usb1="00000000" w:usb2="00000000" w:usb3="00000000" w:csb0="00000001"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savePreviewPicture/>
  <w:compat>
    <w:spaceForUL/>
    <w:balanceSingleByteDoubleByteWidth/>
    <w:ulTrailSpace/>
    <w:doNotExpandShiftReturn/>
    <w:adjustLineHeightInTable/>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3" w:lineRule="auto"/>
      <w:outlineLvl w:val="2"/>
    </w:pPr>
    <w:rPr>
      <w:rFonts w:ascii="仿宋_GB2312" w:eastAsia="仿宋_GB2312" w:cs="仿宋_GB2312"/>
      <w:spacing w:val="-22"/>
      <w:sz w:val="30"/>
    </w:rPr>
  </w:style>
  <w:style w:type="character" w:customStyle="1" w:styleId="3Char">
    <w:name w:val="heading 3 Char"/>
    <w:basedOn w:val="10"/>
    <w:link w:val="3"/>
    <w:rPr>
      <w:rFonts w:ascii="仿宋_GB2312" w:eastAsia="仿宋_GB2312" w:cs="仿宋_GB2312" w:hAnsi="Calibri"/>
      <w:spacing w:val="-22"/>
      <w:kern w:val="2"/>
      <w:sz w:val="30"/>
      <w:szCs w:val="24"/>
      <w:lang w:val="en-US" w:eastAsia="zh-CN" w:bidi="ar-SA"/>
    </w:rPr>
  </w:style>
  <w:style w:type="character" w:default="1" w:styleId="10">
    <w:name w:val="Default Paragraph Font"/>
    <w:qFormat/>
  </w:style>
  <w:style w:type="character" w:styleId="15">
    <w:name w:val="Strong"/>
    <w:qFormat/>
    <w:basedOn w:val="10"/>
    <w:rPr>
      <w:b/>
    </w:rPr>
  </w:style>
  <w:style w:type="paragraph" w:customStyle="1" w:yozoId="4094" w:styleId="16">
    <w:name w:val="卓龙正文"/>
    <w:qFormat/>
    <w:basedOn w:val="0"/>
    <w:pPr>
      <w:spacing w:line="360" w:lineRule="auto"/>
      <w:ind w:firstLineChars="200" w:firstLine="200"/>
    </w:pPr>
    <w:rPr>
      <w:sz w:val="24"/>
    </w:rPr>
  </w:style>
  <w:style w:type="character" w:customStyle="1" w:yozoId="4094" w:styleId="17">
    <w:name w:val="UserStyle_0"/>
    <w:qFormat/>
  </w:style>
  <w:style w:type="paragraph" w:styleId="18">
    <w:name w:val="header"/>
    <w:qFormat/>
    <w:basedOn w:val="0"/>
    <w:pPr>
      <w:pBdr>
        <w:bottom w:val="single" w:sz="6" w:space="1" w:color="auto"/>
      </w:pBdr>
      <w:tabs>
        <w:tab w:val="center" w:pos="4153"/>
        <w:tab w:val="right" w:pos="8306"/>
      </w:tabs>
      <w:snapToGrid w:val="0"/>
      <w:jc w:val="center"/>
    </w:pPr>
    <w:rPr>
      <w:sz w:val="18"/>
      <w:szCs w:val="18"/>
    </w:rPr>
  </w:style>
  <w:style w:type="paragraph" w:styleId="19">
    <w:name w:val="footer"/>
    <w:qFormat/>
    <w:basedOn w:val="0"/>
    <w:pPr>
      <w:tabs>
        <w:tab w:val="center" w:pos="4153"/>
        <w:tab w:val="right" w:pos="8306"/>
      </w:tabs>
      <w:snapToGrid w:val="0"/>
      <w:jc w:val="left"/>
    </w:pPr>
    <w:rPr>
      <w:sz w:val="18"/>
      <w:szCs w:val="18"/>
    </w:rPr>
  </w:style>
  <w:style w:type="paragraph" w:styleId="20">
    <w:name w:val="Date"/>
    <w:qFormat/>
    <w:basedOn w:val="0"/>
    <w:next w:val="0"/>
    <w:pPr>
      <w:ind w:leftChars="2500" w:left="25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0F3919FA-68B0-4FAA-8DF7-92778CD0505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33</TotalTime>
  <Application>Yozo_Office9.0.6115.191ZH</Application>
  <Pages>3</Pages>
  <Words>0</Words>
  <Characters>1098</Characters>
  <Lines>0</Lines>
  <Paragraphs>24</Paragraphs>
  <CharactersWithSpaces>1465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lx</dc:creator>
  <cp:lastModifiedBy>lenovo</cp:lastModifiedBy>
  <cp:revision>8</cp:revision>
  <cp:lastPrinted>2026-04-08T02:29:00Z</cp:lastPrinted>
  <dcterms:created xsi:type="dcterms:W3CDTF">2026-03-24T12:03:00Z</dcterms:created>
  <dcterms:modified xsi:type="dcterms:W3CDTF">2026-04-08T07:43:53Z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ICV">
    <vt:lpwstr>94858B32936F42C9A99F32B906F14937_11</vt:lpwstr>
  </property>
  <property fmtid="{D5CDD505-2E9C-101B-9397-08002B2CF9AE}" pid="4" name="KSOTemplateDocerSaveRecord">
    <vt:lpwstr>eyJoZGlkIjoiMDg4MTFhZDNiZTJlYTRhOTZkZmNhMDAyODEwOGVhODgifQ==</vt:lpwstr>
  </property>
</Properties>
</file>