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ind w:firstLineChars="2000" w:firstLine="4800"/>
        <w:rPr>
          <w:rFonts w:hint="eastAsia"/>
          <w:sz w:val="24"/>
        </w:rPr>
      </w:pPr>
    </w:p>
    <w:p>
      <w:pPr>
        <w:ind w:firstLineChars="2000" w:firstLine="4800"/>
        <w:rPr>
          <w:rFonts w:hint="eastAsia"/>
          <w:sz w:val="24"/>
        </w:rPr>
      </w:pPr>
    </w:p>
    <w:p>
      <w:pPr>
        <w:wordWrap w:val="0"/>
        <w:jc w:val="right"/>
        <w:rPr>
          <w:rFonts w:ascii="仿宋" w:eastAsia="仿宋" w:cs="仿宋_GB2312" w:hAnsi="仿宋" w:hint="eastAsia"/>
          <w:color w:val="auto"/>
          <w:sz w:val="32"/>
          <w:szCs w:val="32"/>
          <w:lang w:eastAsia="zh-CN"/>
        </w:rPr>
      </w:pPr>
    </w:p>
    <w:p>
      <w:pPr>
        <w:wordWrap w:val="0"/>
        <w:jc w:val="right"/>
        <w:rPr>
          <w:rFonts w:ascii="仿宋_GB2312" w:eastAsia="仿宋_GB2312" w:cs="仿宋_GB2312" w:hAnsi="仿宋" w:hint="eastAsia"/>
          <w:color w:val="0000FF"/>
          <w:sz w:val="32"/>
          <w:szCs w:val="32"/>
        </w:rPr>
      </w:pPr>
      <w:r>
        <w:rPr>
          <w:rFonts w:ascii="仿宋" w:eastAsia="仿宋" w:cs="Times New Roman" w:hAnsi="仿宋" w:hint="eastAsia"/>
          <w:color w:val="auto"/>
          <w:sz w:val="32"/>
          <w:szCs w:val="32"/>
          <w:lang w:eastAsia="zh-CN"/>
        </w:rPr>
        <w:t>常环</w:t>
      </w:r>
      <w:r>
        <w:rPr>
          <w:rFonts w:ascii="仿宋" w:eastAsia="仿宋" w:cs="Times New Roman" w:hAnsi="仿宋"/>
          <w:color w:val="auto"/>
          <w:sz w:val="32"/>
          <w:szCs w:val="32"/>
          <w:lang w:eastAsia="zh-CN"/>
        </w:rPr>
        <w:t>澧</w:t>
      </w:r>
      <w:r>
        <w:rPr>
          <w:rFonts w:ascii="仿宋" w:eastAsia="仿宋" w:cs="Times New Roman" w:hAnsi="仿宋" w:hint="eastAsia"/>
          <w:color w:val="auto"/>
          <w:sz w:val="32"/>
          <w:szCs w:val="32"/>
          <w:lang w:eastAsia="zh-CN"/>
        </w:rPr>
        <w:t>建（</w:t>
      </w:r>
      <w:r>
        <w:rPr>
          <w:rFonts w:ascii="仿宋" w:eastAsia="仿宋" w:cs="Times New Roman" w:hAnsi="仿宋" w:hint="eastAsia"/>
          <w:color w:val="auto"/>
          <w:sz w:val="32"/>
          <w:szCs w:val="32"/>
          <w:lang w:val="en-US" w:eastAsia="zh-CN"/>
        </w:rPr>
        <w:t>6</w:t>
      </w:r>
      <w:r>
        <w:rPr>
          <w:rFonts w:ascii="仿宋" w:eastAsia="仿宋" w:cs="Times New Roman" w:hAnsi="仿宋" w:hint="eastAsia"/>
          <w:color w:val="auto"/>
          <w:sz w:val="32"/>
          <w:szCs w:val="32"/>
          <w:lang w:eastAsia="zh-CN"/>
        </w:rPr>
        <w:t>）〔202</w:t>
      </w:r>
      <w:r>
        <w:rPr>
          <w:rFonts w:ascii="仿宋" w:eastAsia="仿宋" w:cs="Times New Roman" w:hAnsi="仿宋"/>
          <w:color w:val="auto"/>
          <w:sz w:val="32"/>
          <w:szCs w:val="32"/>
          <w:lang w:val="en-US" w:eastAsia="zh-CN"/>
        </w:rPr>
        <w:t>6</w:t>
      </w:r>
      <w:r>
        <w:rPr>
          <w:rFonts w:ascii="仿宋" w:eastAsia="仿宋" w:cs="Times New Roman" w:hAnsi="仿宋" w:hint="eastAsia"/>
          <w:color w:val="auto"/>
          <w:sz w:val="32"/>
          <w:szCs w:val="32"/>
          <w:lang w:eastAsia="zh-CN"/>
        </w:rPr>
        <w:t>〕</w:t>
      </w:r>
      <w:r>
        <w:rPr>
          <w:rFonts w:ascii="仿宋" w:eastAsia="仿宋" w:cs="Times New Roman" w:hAnsi="仿宋"/>
          <w:color w:val="auto"/>
          <w:sz w:val="32"/>
          <w:szCs w:val="32"/>
          <w:lang w:val="en-US" w:eastAsia="zh-CN"/>
        </w:rPr>
        <w:t>3</w:t>
      </w:r>
      <w:r>
        <w:rPr>
          <w:rFonts w:ascii="仿宋" w:eastAsia="仿宋" w:cs="Times New Roman" w:hAnsi="仿宋" w:hint="eastAsia"/>
          <w:color w:val="auto"/>
          <w:sz w:val="32"/>
          <w:szCs w:val="32"/>
          <w:lang w:eastAsia="zh-CN"/>
        </w:rPr>
        <w:t>号</w:t>
      </w:r>
    </w:p>
    <w:p>
      <w:pPr>
        <w:tabs>
          <w:tab w:val="center" w:pos="4393"/>
          <w:tab w:val="right" w:pos="8907"/>
        </w:tabs>
        <w:jc w:val="center"/>
        <w:rPr>
          <w:rFonts w:ascii="宋体" w:eastAsia="宋体" w:cs="宋体" w:hAnsi="宋体" w:hint="eastAsia"/>
          <w:b/>
          <w:bCs/>
          <w:color w:val="000000"/>
          <w:sz w:val="44"/>
          <w:szCs w:val="44"/>
        </w:rPr>
      </w:pPr>
    </w:p>
    <w:p>
      <w:pPr>
        <w:keepNext w:val="0"/>
        <w:keepLines w:val="0"/>
        <w:pageBreakBefore w:val="0"/>
        <w:widowControl w:val="0"/>
        <w:tabs>
          <w:tab w:val="center" w:pos="4393"/>
          <w:tab w:val="right" w:pos="8907"/>
        </w:tabs>
        <w:kinsoku/>
        <w:wordWrap/>
        <w:overflowPunct/>
        <w:topLinePunct w:val="0"/>
        <w:autoSpaceDE/>
        <w:autoSpaceDN/>
        <w:adjustRightInd/>
        <w:snapToGrid/>
        <w:spacing w:line="640" w:lineRule="exact"/>
        <w:jc w:val="center"/>
        <w:rPr>
          <w:rFonts w:ascii="宋体" w:eastAsia="宋体" w:cs="宋体" w:hAnsi="宋体" w:hint="eastAsia"/>
          <w:b/>
          <w:bCs/>
          <w:color w:val="000000"/>
          <w:sz w:val="44"/>
          <w:szCs w:val="44"/>
        </w:rPr>
      </w:pPr>
      <w:r>
        <w:rPr>
          <w:rFonts w:ascii="宋体" w:eastAsia="宋体" w:cs="宋体" w:hAnsi="宋体" w:hint="eastAsia"/>
          <w:b/>
          <w:bCs/>
          <w:color w:val="000000"/>
          <w:sz w:val="44"/>
          <w:szCs w:val="44"/>
        </w:rPr>
        <w:t>关于</w:t>
      </w:r>
      <w:r>
        <w:rPr>
          <w:rFonts w:ascii="宋体" w:cs="宋体" w:hAnsi="宋体" w:hint="eastAsia"/>
          <w:b/>
          <w:bCs/>
          <w:color w:val="000000"/>
          <w:sz w:val="44"/>
          <w:szCs w:val="44"/>
          <w:lang w:eastAsia="zh-CN"/>
        </w:rPr>
        <w:t>澧县甘溪滩片区农村供水建设项目（一期）</w:t>
      </w:r>
      <w:r>
        <w:rPr>
          <w:rFonts w:ascii="宋体" w:eastAsia="宋体" w:cs="宋体" w:hAnsi="宋体" w:hint="eastAsia"/>
          <w:b/>
          <w:bCs/>
          <w:color w:val="000000"/>
          <w:sz w:val="44"/>
          <w:szCs w:val="44"/>
        </w:rPr>
        <w:t>环境影响报告表的批复</w:t>
      </w:r>
    </w:p>
    <w:p>
      <w:pPr>
        <w:tabs>
          <w:tab w:val="center" w:pos="4393"/>
          <w:tab w:val="right" w:pos="8907"/>
        </w:tabs>
        <w:jc w:val="center"/>
        <w:rPr>
          <w:rFonts w:ascii="宋体" w:cs="宋体" w:hAnsi="宋体" w:hint="eastAsia"/>
          <w:b/>
          <w:bCs/>
          <w:color w:val="0000FF"/>
          <w:sz w:val="44"/>
          <w:szCs w:val="44"/>
        </w:rPr>
      </w:pPr>
      <w:r>
        <w:rPr>
          <w:rFonts w:ascii="宋体" w:cs="宋体" w:hAnsi="宋体" w:hint="eastAsia"/>
          <w:b/>
          <w:bCs/>
          <w:color w:val="0000FF"/>
          <w:sz w:val="44"/>
          <w:szCs w:val="44"/>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 w:eastAsia="仿宋" w:cs="Times New Roman" w:hAnsi="仿宋" w:hint="eastAsia"/>
          <w:color w:val="auto"/>
          <w:sz w:val="32"/>
          <w:szCs w:val="32"/>
        </w:rPr>
      </w:pPr>
      <w:r>
        <w:rPr>
          <w:rFonts w:ascii="仿宋" w:eastAsia="仿宋" w:cs="Times New Roman" w:hAnsi="仿宋" w:hint="eastAsia"/>
          <w:color w:val="auto"/>
          <w:sz w:val="32"/>
          <w:szCs w:val="32"/>
          <w:lang w:eastAsia="zh-CN"/>
        </w:rPr>
        <w:t>澧县</w:t>
      </w:r>
      <w:r>
        <w:rPr>
          <w:rFonts w:ascii="仿宋" w:eastAsia="仿宋" w:cs="Times New Roman" w:hAnsi="仿宋"/>
          <w:color w:val="auto"/>
          <w:sz w:val="32"/>
          <w:szCs w:val="32"/>
          <w:lang w:eastAsia="zh-CN"/>
        </w:rPr>
        <w:t>惠民村镇供水</w:t>
      </w:r>
      <w:r>
        <w:rPr>
          <w:rFonts w:ascii="仿宋" w:eastAsia="仿宋" w:cs="Times New Roman" w:hAnsi="仿宋" w:hint="eastAsia"/>
          <w:color w:val="auto"/>
          <w:sz w:val="32"/>
          <w:szCs w:val="32"/>
          <w:lang w:eastAsia="zh-CN"/>
        </w:rPr>
        <w:t>有限公司</w:t>
      </w:r>
      <w:r>
        <w:rPr>
          <w:rFonts w:ascii="仿宋" w:eastAsia="仿宋" w:cs="Times New Roman" w:hAnsi="仿宋" w:hint="eastAsia"/>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cs="Times New Roman" w:hAnsi="仿宋" w:hint="eastAsia"/>
          <w:color w:val="auto"/>
          <w:sz w:val="32"/>
          <w:szCs w:val="32"/>
        </w:rPr>
      </w:pPr>
      <w:r>
        <w:rPr>
          <w:rFonts w:ascii="仿宋" w:eastAsia="仿宋" w:cs="Times New Roman" w:hAnsi="仿宋" w:hint="eastAsia"/>
          <w:color w:val="auto"/>
          <w:sz w:val="32"/>
          <w:szCs w:val="32"/>
        </w:rPr>
        <w:t>你单位报送的《</w:t>
      </w:r>
      <w:r>
        <w:rPr>
          <w:rFonts w:ascii="仿宋" w:eastAsia="仿宋" w:hAnsi="仿宋" w:hint="eastAsia"/>
          <w:bCs/>
          <w:sz w:val="32"/>
          <w:szCs w:val="32"/>
          <w:lang w:eastAsia="zh-CN"/>
        </w:rPr>
        <w:t>澧县甘溪滩片区农村供水建设项目（一期）</w:t>
      </w:r>
      <w:r>
        <w:rPr>
          <w:rFonts w:ascii="仿宋" w:eastAsia="仿宋" w:cs="Times New Roman" w:hAnsi="仿宋" w:hint="eastAsia"/>
          <w:color w:val="auto"/>
          <w:sz w:val="32"/>
          <w:szCs w:val="32"/>
        </w:rPr>
        <w:t>环境影响报告表》和《关于申请环境影响报告表审批的请示》已收悉，公示期间无反对意见。根据该项目环评报告表结论和专家审查意见，经研究，现批复如下：</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cs="Times New Roman" w:hAnsi="仿宋" w:hint="eastAsia"/>
          <w:color w:val="auto"/>
          <w:sz w:val="32"/>
          <w:szCs w:val="32"/>
          <w:lang w:val="en-US" w:eastAsia="zh-CN"/>
        </w:rPr>
      </w:pPr>
      <w:r>
        <w:rPr>
          <w:rFonts w:ascii="仿宋" w:eastAsia="仿宋" w:cs="Times New Roman" w:hAnsi="仿宋" w:hint="eastAsia"/>
          <w:color w:val="auto"/>
          <w:sz w:val="32"/>
          <w:szCs w:val="32"/>
          <w:lang w:eastAsia="zh-CN"/>
        </w:rPr>
        <w:t>一、原则上同意《报告表》主要内容和结论。</w:t>
      </w:r>
      <w:r>
        <w:rPr>
          <w:rFonts w:ascii="仿宋" w:eastAsia="仿宋" w:cs="Times New Roman" w:hAnsi="仿宋"/>
          <w:color w:val="auto"/>
          <w:sz w:val="32"/>
          <w:szCs w:val="32"/>
          <w:lang w:eastAsia="zh-CN"/>
        </w:rPr>
        <w:t>澧县甘溪滩片区农村供水建设项目（一期）</w:t>
      </w:r>
      <w:r>
        <w:rPr>
          <w:rFonts w:ascii="仿宋" w:eastAsia="仿宋" w:hAnsi="仿宋" w:hint="eastAsia"/>
          <w:sz w:val="32"/>
          <w:szCs w:val="32"/>
        </w:rPr>
        <w:t>主要涉及澧县甘溪滩镇全域以及火连坡镇的金山村、澧淞村、楠木村等6个行政村，共2个乡镇，22个行政村，总户数12656户，总人口50996人。</w:t>
      </w:r>
      <w:r>
        <w:rPr>
          <w:rFonts w:ascii="仿宋" w:eastAsia="仿宋" w:hAnsi="仿宋"/>
          <w:sz w:val="32"/>
          <w:szCs w:val="32"/>
        </w:rPr>
        <w:t>项目主要建设内容包括：在太青水库大坝北岸新建一座10000</w:t>
      </w:r>
      <w:r>
        <w:rPr>
          <w:rFonts w:ascii="仿宋" w:eastAsia="仿宋" w:hAnsi="仿宋" w:hint="eastAsia"/>
          <w:sz w:val="32"/>
          <w:szCs w:val="32"/>
        </w:rPr>
        <w:t>m³</w:t>
      </w:r>
      <w:r>
        <w:rPr>
          <w:rFonts w:ascii="仿宋" w:eastAsia="仿宋" w:hAnsi="仿宋"/>
          <w:sz w:val="32"/>
          <w:szCs w:val="32"/>
        </w:rPr>
        <w:t>/d的水库，</w:t>
      </w:r>
      <w:r>
        <w:rPr>
          <w:rFonts w:ascii="仿宋" w:eastAsia="仿宋" w:hAnsi="仿宋" w:hint="eastAsia"/>
          <w:sz w:val="32"/>
          <w:szCs w:val="32"/>
          <w:lang w:val="en-US" w:eastAsia="zh-CN" w:bidi="ar-SA"/>
        </w:rPr>
        <w:t>新建、改建管网长度189.43</w:t>
      </w:r>
      <w:r>
        <w:rPr>
          <w:rFonts w:ascii="仿宋" w:eastAsia="仿宋" w:hAnsi="仿宋"/>
          <w:sz w:val="32"/>
          <w:szCs w:val="32"/>
          <w:lang w:val="en-US" w:eastAsia="zh-CN" w:bidi="ar-SA"/>
        </w:rPr>
        <w:t>㎞</w:t>
      </w:r>
      <w:r>
        <w:rPr>
          <w:rFonts w:ascii="仿宋" w:eastAsia="仿宋" w:hAnsi="仿宋" w:hint="eastAsia"/>
          <w:sz w:val="32"/>
          <w:szCs w:val="32"/>
          <w:lang w:val="en-US" w:eastAsia="zh-CN" w:bidi="ar-SA"/>
        </w:rPr>
        <w:t>。</w:t>
      </w:r>
      <w:r>
        <w:rPr>
          <w:rFonts w:ascii="仿宋" w:eastAsia="仿宋" w:hAnsi="仿宋" w:hint="eastAsia"/>
          <w:sz w:val="32"/>
          <w:szCs w:val="32"/>
          <w:lang w:bidi="ar-SA"/>
        </w:rPr>
        <w:t>配套建设取水浮船泵站1座</w:t>
      </w:r>
      <w:r>
        <w:rPr>
          <w:rFonts w:ascii="仿宋" w:eastAsia="仿宋" w:hAnsi="仿宋" w:hint="eastAsia"/>
          <w:sz w:val="32"/>
          <w:szCs w:val="32"/>
          <w:lang w:eastAsia="zh-CN" w:bidi="ar-SA"/>
        </w:rPr>
        <w:t>，</w:t>
      </w:r>
      <w:r>
        <w:rPr>
          <w:rFonts w:ascii="仿宋" w:eastAsia="仿宋" w:hAnsi="仿宋" w:hint="eastAsia"/>
          <w:sz w:val="32"/>
          <w:szCs w:val="32"/>
          <w:lang w:bidi="ar-SA"/>
        </w:rPr>
        <w:t>新建200</w:t>
      </w:r>
      <w:r>
        <w:rPr>
          <w:rFonts w:ascii="仿宋" w:eastAsia="仿宋" w:hAnsi="仿宋" w:hint="eastAsia"/>
          <w:sz w:val="32"/>
          <w:szCs w:val="32"/>
        </w:rPr>
        <w:t>m³</w:t>
      </w:r>
      <w:r>
        <w:rPr>
          <w:rFonts w:ascii="仿宋" w:eastAsia="仿宋" w:hAnsi="仿宋" w:hint="eastAsia"/>
          <w:sz w:val="32"/>
          <w:szCs w:val="32"/>
          <w:lang w:bidi="ar-SA"/>
        </w:rPr>
        <w:t>蓄水池1座；新建400</w:t>
      </w:r>
      <w:r>
        <w:rPr>
          <w:rFonts w:ascii="仿宋" w:eastAsia="仿宋" w:hAnsi="仿宋" w:hint="eastAsia"/>
          <w:sz w:val="32"/>
          <w:szCs w:val="32"/>
        </w:rPr>
        <w:t>m³</w:t>
      </w:r>
      <w:r>
        <w:rPr>
          <w:rFonts w:ascii="仿宋" w:eastAsia="仿宋" w:hAnsi="仿宋" w:hint="eastAsia"/>
          <w:sz w:val="32"/>
          <w:szCs w:val="32"/>
          <w:lang w:bidi="ar-SA"/>
        </w:rPr>
        <w:t>蓄水池1座，新建中途加压泵站6座，新建管道泵2套。配套建设各类闸阀井等附属建筑物若干，配套跨河管道措施工程，配套镇墩、支墩、消防栓、里程碑、界桩等各类措施工程。</w:t>
      </w:r>
      <w:r>
        <w:rPr>
          <w:rFonts w:ascii="仿宋" w:eastAsia="仿宋" w:hAnsi="仿宋"/>
          <w:sz w:val="32"/>
          <w:szCs w:val="32"/>
          <w:lang w:bidi="ar-SA"/>
        </w:rPr>
        <w:t>项目建成后太青水库现有取水口将取消</w:t>
      </w:r>
      <w:r>
        <w:rPr>
          <w:rFonts w:ascii="仿宋" w:eastAsia="仿宋" w:hAnsi="仿宋"/>
          <w:sz w:val="32"/>
          <w:szCs w:val="32"/>
        </w:rPr>
        <w:t>，</w:t>
      </w:r>
      <w:r>
        <w:rPr>
          <w:rFonts w:ascii="仿宋" w:eastAsia="仿宋" w:hAnsi="仿宋"/>
          <w:sz w:val="32"/>
          <w:szCs w:val="32"/>
          <w:lang w:val="en-US" w:eastAsia="zh-CN"/>
        </w:rPr>
        <w:t>并</w:t>
      </w:r>
      <w:r>
        <w:rPr>
          <w:rFonts w:ascii="仿宋" w:eastAsia="仿宋" w:hAnsi="仿宋" w:hint="eastAsia"/>
          <w:sz w:val="32"/>
          <w:szCs w:val="32"/>
          <w:lang w:val="en-US" w:eastAsia="zh-CN"/>
        </w:rPr>
        <w:t>按照《</w:t>
      </w:r>
      <w:r>
        <w:rPr>
          <w:rFonts w:ascii="仿宋" w:eastAsia="仿宋" w:hAnsi="仿宋" w:hint="eastAsia"/>
          <w:sz w:val="32"/>
          <w:szCs w:val="32"/>
        </w:rPr>
        <w:t>饮用水水源保护区划分技术规范》（H</w:t>
      </w:r>
      <w:r>
        <w:rPr>
          <w:rFonts w:ascii="仿宋" w:eastAsia="仿宋" w:hAnsi="仿宋"/>
          <w:sz w:val="32"/>
          <w:szCs w:val="32"/>
        </w:rPr>
        <w:t>J338</w:t>
      </w:r>
      <w:r>
        <w:rPr>
          <w:rFonts w:ascii="仿宋" w:eastAsia="仿宋" w:hAnsi="仿宋" w:hint="eastAsia"/>
          <w:sz w:val="32"/>
          <w:szCs w:val="32"/>
        </w:rPr>
        <w:t>-</w:t>
      </w:r>
      <w:r>
        <w:rPr>
          <w:rFonts w:ascii="仿宋" w:eastAsia="仿宋" w:hAnsi="仿宋"/>
          <w:sz w:val="32"/>
          <w:szCs w:val="32"/>
        </w:rPr>
        <w:t>2018</w:t>
      </w:r>
      <w:r>
        <w:rPr>
          <w:rFonts w:ascii="仿宋" w:eastAsia="仿宋" w:hAnsi="仿宋" w:hint="eastAsia"/>
          <w:sz w:val="32"/>
          <w:szCs w:val="32"/>
        </w:rPr>
        <w:t>）</w:t>
      </w:r>
      <w:r>
        <w:rPr>
          <w:rFonts w:ascii="仿宋" w:eastAsia="仿宋" w:hAnsi="仿宋" w:hint="eastAsia"/>
          <w:sz w:val="32"/>
          <w:szCs w:val="32"/>
          <w:lang w:val="en-US" w:eastAsia="zh-CN"/>
        </w:rPr>
        <w:t>重新进行饮用水源保护区划分方案</w:t>
      </w:r>
      <w:r>
        <w:rPr>
          <w:rFonts w:ascii="仿宋" w:eastAsia="仿宋" w:hAnsi="仿宋" w:hint="eastAsia"/>
          <w:sz w:val="32"/>
          <w:szCs w:val="32"/>
          <w:lang w:eastAsia="zh-CN"/>
        </w:rPr>
        <w:t>。</w:t>
      </w:r>
      <w:r>
        <w:rPr>
          <w:rFonts w:ascii="仿宋" w:eastAsia="仿宋" w:hAnsi="仿宋"/>
          <w:sz w:val="32"/>
          <w:szCs w:val="32"/>
          <w:lang w:bidi="ar-SA"/>
        </w:rPr>
        <w:t>该项目于2025年10月动工建设，澧县生态环境保护综合行政执法局已就其</w:t>
      </w:r>
      <w:r>
        <w:rPr>
          <w:rFonts w:ascii="仿宋" w:eastAsia="仿宋" w:hAnsi="仿宋" w:hint="eastAsia"/>
          <w:sz w:val="32"/>
          <w:szCs w:val="32"/>
          <w:lang w:bidi="ar-SA"/>
        </w:rPr>
        <w:t>“</w:t>
      </w:r>
      <w:r>
        <w:rPr>
          <w:rFonts w:ascii="仿宋" w:eastAsia="仿宋" w:hAnsi="仿宋"/>
          <w:sz w:val="32"/>
          <w:szCs w:val="32"/>
          <w:lang w:bidi="ar-SA"/>
        </w:rPr>
        <w:t>未批先建</w:t>
      </w:r>
      <w:r>
        <w:rPr>
          <w:rFonts w:ascii="仿宋" w:eastAsia="仿宋" w:hAnsi="仿宋" w:hint="eastAsia"/>
          <w:sz w:val="32"/>
          <w:szCs w:val="32"/>
          <w:lang w:bidi="ar-SA"/>
        </w:rPr>
        <w:t>”</w:t>
      </w:r>
      <w:r>
        <w:rPr>
          <w:rFonts w:ascii="仿宋" w:eastAsia="仿宋" w:hAnsi="仿宋"/>
          <w:sz w:val="32"/>
          <w:szCs w:val="32"/>
          <w:lang w:bidi="ar-SA"/>
        </w:rPr>
        <w:t>问题作出了说明。</w:t>
      </w:r>
      <w:r>
        <w:rPr>
          <w:rFonts w:ascii="仿宋" w:eastAsia="仿宋" w:hAnsi="仿宋"/>
          <w:sz w:val="32"/>
          <w:szCs w:val="32"/>
        </w:rPr>
        <w:t>项目总投资</w:t>
      </w:r>
      <w:r>
        <w:rPr>
          <w:rFonts w:ascii="仿宋" w:eastAsia="仿宋" w:hAnsi="仿宋" w:hint="eastAsia"/>
          <w:sz w:val="32"/>
          <w:szCs w:val="32"/>
          <w:lang w:val="en-US" w:eastAsia="zh-CN"/>
        </w:rPr>
        <w:t>9238.82</w:t>
      </w:r>
      <w:r>
        <w:rPr>
          <w:rFonts w:ascii="仿宋" w:eastAsia="仿宋" w:hAnsi="仿宋"/>
          <w:sz w:val="32"/>
          <w:szCs w:val="32"/>
          <w:lang w:val="en-US" w:eastAsia="zh-CN"/>
        </w:rPr>
        <w:t>万元，</w:t>
      </w:r>
      <w:r>
        <w:rPr>
          <w:rFonts w:ascii="仿宋" w:eastAsia="仿宋" w:cs="Times New Roman" w:hAnsi="仿宋" w:hint="eastAsia"/>
          <w:color w:val="auto"/>
          <w:sz w:val="32"/>
          <w:szCs w:val="32"/>
          <w:lang w:val="en-US" w:eastAsia="zh-CN"/>
        </w:rPr>
        <w:t>符合国家产业政策，符合《常德市“三线一单”生态环境管控基本要求暨环境管控单元生态环境准入清单》要求，我局同意</w:t>
      </w:r>
      <w:r>
        <w:rPr>
          <w:rFonts w:ascii="仿宋" w:eastAsia="仿宋" w:cs="Times New Roman" w:hAnsi="仿宋"/>
          <w:color w:val="auto"/>
          <w:sz w:val="32"/>
          <w:szCs w:val="32"/>
          <w:lang w:val="en-US" w:eastAsia="zh-CN"/>
        </w:rPr>
        <w:t>补办</w:t>
      </w:r>
      <w:r>
        <w:rPr>
          <w:rFonts w:ascii="仿宋" w:eastAsia="仿宋" w:cs="Times New Roman" w:hAnsi="仿宋" w:hint="eastAsia"/>
          <w:color w:val="auto"/>
          <w:sz w:val="32"/>
          <w:szCs w:val="32"/>
          <w:lang w:val="en-US" w:eastAsia="zh-CN"/>
        </w:rPr>
        <w:t>环评手续。</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cs="Times New Roman" w:hAnsi="仿宋" w:hint="eastAsia"/>
          <w:color w:val="auto"/>
          <w:sz w:val="32"/>
          <w:szCs w:val="32"/>
          <w:lang w:val="en-US" w:eastAsia="zh-CN"/>
        </w:rPr>
      </w:pPr>
      <w:r>
        <w:rPr>
          <w:rFonts w:ascii="仿宋" w:eastAsia="仿宋" w:cs="Times New Roman" w:hAnsi="仿宋" w:hint="eastAsia"/>
          <w:color w:val="auto"/>
          <w:sz w:val="32"/>
          <w:szCs w:val="32"/>
          <w:lang w:val="en-US" w:eastAsia="zh-CN"/>
        </w:rPr>
        <w:t>二、建设单位在项目施工期和运营期间要强化管理，认真落实“三同时”制度，确保污染物达标排放，严格按照环评批复要求落实各项污染防治措施，并着重做好如下工作：</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cs="Times New Roman" w:hAnsi="仿宋"/>
          <w:color w:val="auto"/>
          <w:sz w:val="32"/>
          <w:szCs w:val="32"/>
        </w:rPr>
      </w:pPr>
      <w:r>
        <w:rPr>
          <w:rFonts w:ascii="仿宋" w:eastAsia="仿宋" w:cs="Times New Roman" w:hAnsi="仿宋" w:hint="eastAsia"/>
          <w:color w:val="auto"/>
          <w:sz w:val="32"/>
          <w:szCs w:val="32"/>
          <w:lang w:val="en-US" w:eastAsia="zh-CN"/>
        </w:rPr>
        <w:t>1.加强</w:t>
      </w:r>
      <w:r>
        <w:rPr>
          <w:rFonts w:ascii="仿宋" w:eastAsia="仿宋" w:cs="Times New Roman" w:hAnsi="仿宋" w:hint="eastAsia"/>
          <w:color w:val="auto"/>
          <w:sz w:val="32"/>
          <w:szCs w:val="32"/>
        </w:rPr>
        <w:t>施工期环境管理，文明施工，施工</w:t>
      </w:r>
      <w:r>
        <w:rPr>
          <w:rFonts w:ascii="仿宋" w:eastAsia="仿宋" w:cs="Times New Roman" w:hAnsi="仿宋"/>
          <w:color w:val="auto"/>
          <w:sz w:val="32"/>
          <w:szCs w:val="32"/>
        </w:rPr>
        <w:t>期间人员生活废水经化粪池处理后用于农肥，废泥浆及试压水经沉淀后清液用于工地洒水降尘</w:t>
      </w:r>
      <w:r>
        <w:rPr>
          <w:rFonts w:ascii="仿宋" w:eastAsia="仿宋" w:hAnsi="仿宋"/>
          <w:sz w:val="32"/>
          <w:szCs w:val="32"/>
        </w:rPr>
        <w:t>，</w:t>
      </w:r>
      <w:r>
        <w:rPr>
          <w:rFonts w:ascii="仿宋" w:eastAsia="仿宋" w:hAnsi="仿宋" w:hint="eastAsia"/>
          <w:sz w:val="32"/>
          <w:szCs w:val="32"/>
          <w:lang w:val="en-US" w:eastAsia="zh-CN"/>
        </w:rPr>
        <w:t>基坑废水经絮凝+沉淀处理达标后外排至泄洪沟</w:t>
      </w:r>
      <w:r>
        <w:rPr>
          <w:rFonts w:ascii="仿宋" w:eastAsia="仿宋" w:hAnsi="仿宋"/>
          <w:sz w:val="32"/>
          <w:szCs w:val="32"/>
          <w:lang w:val="en-US" w:eastAsia="zh-CN"/>
        </w:rPr>
        <w:t>，</w:t>
      </w:r>
      <w:r>
        <w:rPr>
          <w:rFonts w:ascii="仿宋" w:eastAsia="仿宋" w:cs="Times New Roman" w:hAnsi="仿宋" w:hint="eastAsia"/>
          <w:color w:val="auto"/>
          <w:sz w:val="32"/>
          <w:szCs w:val="32"/>
          <w:lang w:val="en-US" w:eastAsia="zh-CN"/>
        </w:rPr>
        <w:t>外排废水满足《污水综合排放标准》（GB8978-1996）表4中一级标准</w:t>
      </w:r>
      <w:r>
        <w:rPr>
          <w:rFonts w:ascii="仿宋" w:eastAsia="仿宋" w:cs="Times New Roman" w:hAnsi="仿宋"/>
          <w:color w:val="auto"/>
          <w:sz w:val="32"/>
          <w:szCs w:val="32"/>
          <w:lang w:val="en-US" w:eastAsia="zh-CN"/>
        </w:rPr>
        <w:t>，</w:t>
      </w:r>
      <w:r>
        <w:rPr>
          <w:rFonts w:ascii="仿宋" w:eastAsia="仿宋" w:cs="Times New Roman" w:hAnsi="仿宋" w:hint="eastAsia"/>
          <w:color w:val="auto"/>
          <w:sz w:val="32"/>
          <w:szCs w:val="32"/>
          <w:lang w:val="en-US" w:eastAsia="zh-CN"/>
        </w:rPr>
        <w:t>严禁</w:t>
      </w:r>
      <w:r>
        <w:rPr>
          <w:rFonts w:ascii="仿宋" w:eastAsia="仿宋" w:cs="Times New Roman" w:hAnsi="仿宋"/>
          <w:color w:val="auto"/>
          <w:sz w:val="32"/>
          <w:szCs w:val="32"/>
          <w:lang w:val="en-US" w:eastAsia="zh-CN"/>
        </w:rPr>
        <w:t>将各类废水</w:t>
      </w:r>
      <w:r>
        <w:rPr>
          <w:rFonts w:ascii="仿宋" w:eastAsia="仿宋" w:cs="Times New Roman" w:hAnsi="仿宋" w:hint="eastAsia"/>
          <w:color w:val="auto"/>
          <w:sz w:val="32"/>
          <w:szCs w:val="32"/>
          <w:lang w:val="en-US" w:eastAsia="zh-CN"/>
        </w:rPr>
        <w:t>直接排入</w:t>
      </w:r>
      <w:r>
        <w:rPr>
          <w:rFonts w:ascii="仿宋" w:eastAsia="仿宋" w:cs="Times New Roman" w:hAnsi="仿宋"/>
          <w:color w:val="auto"/>
          <w:sz w:val="32"/>
          <w:szCs w:val="32"/>
        </w:rPr>
        <w:t>水库。</w:t>
      </w:r>
      <w:r>
        <w:rPr>
          <w:rFonts w:ascii="仿宋" w:eastAsia="仿宋" w:cs="Times New Roman" w:hAnsi="仿宋" w:hint="eastAsia"/>
          <w:color w:val="auto"/>
          <w:sz w:val="32"/>
          <w:szCs w:val="32"/>
        </w:rPr>
        <w:t>严格控制施工范围，落实各项降尘措施，施工物料堆放及运输须做好蓬布遮盖、</w:t>
      </w:r>
      <w:r>
        <w:rPr>
          <w:rFonts w:ascii="仿宋" w:eastAsia="仿宋" w:cs="Times New Roman" w:hAnsi="仿宋" w:hint="eastAsia"/>
          <w:color w:val="auto"/>
          <w:sz w:val="32"/>
          <w:szCs w:val="32"/>
          <w:lang w:eastAsia="zh-CN"/>
        </w:rPr>
        <w:t>洒</w:t>
      </w:r>
      <w:r>
        <w:rPr>
          <w:rFonts w:ascii="仿宋" w:eastAsia="仿宋" w:cs="Times New Roman" w:hAnsi="仿宋" w:hint="eastAsia"/>
          <w:color w:val="auto"/>
          <w:sz w:val="32"/>
          <w:szCs w:val="32"/>
        </w:rPr>
        <w:t>水等工作，避免二次扬尘污染。施工后期须彻底清除临时建筑与生产生活设施，各类施工迹地进行清理平整和生态恢复。禁止夜间22:00～06:00进行高噪声作业。工程弃土、建筑垃圾合理处置，生活垃圾及时</w:t>
      </w:r>
      <w:r>
        <w:rPr>
          <w:rFonts w:ascii="仿宋" w:eastAsia="仿宋" w:cs="Times New Roman" w:hAnsi="仿宋" w:hint="eastAsia"/>
          <w:color w:val="auto"/>
          <w:sz w:val="32"/>
          <w:szCs w:val="32"/>
          <w:lang w:eastAsia="zh-CN"/>
        </w:rPr>
        <w:t>交环卫部门</w:t>
      </w:r>
      <w:r>
        <w:rPr>
          <w:rFonts w:ascii="仿宋" w:eastAsia="仿宋" w:cs="Times New Roman" w:hAnsi="仿宋" w:hint="eastAsia"/>
          <w:color w:val="auto"/>
          <w:sz w:val="32"/>
          <w:szCs w:val="32"/>
        </w:rPr>
        <w:t>收集处理。</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hAnsi="仿宋" w:hint="eastAsia"/>
          <w:sz w:val="32"/>
          <w:szCs w:val="32"/>
        </w:rPr>
      </w:pPr>
      <w:r>
        <w:rPr>
          <w:rFonts w:ascii="仿宋" w:eastAsia="仿宋" w:cs="Times New Roman" w:hAnsi="仿宋" w:hint="eastAsia"/>
          <w:color w:val="auto"/>
          <w:sz w:val="32"/>
          <w:szCs w:val="32"/>
          <w:lang w:val="en-US" w:eastAsia="zh-CN"/>
        </w:rPr>
        <w:t>2.做好营运期废水污染防治。</w:t>
      </w:r>
      <w:r>
        <w:rPr>
          <w:rFonts w:ascii="仿宋" w:eastAsia="仿宋" w:hAnsi="仿宋" w:hint="eastAsia"/>
          <w:sz w:val="32"/>
          <w:szCs w:val="32"/>
        </w:rPr>
        <w:t>滤池反冲洗水收集至回用水池后回用于原水利用，沉淀池排泥污水排入回用水池及排泥调节池后回用，不外排；生活废水经化粪池处理后用作周边农肥，不外排。</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hAnsi="仿宋" w:hint="eastAsia"/>
          <w:sz w:val="32"/>
          <w:szCs w:val="32"/>
        </w:rPr>
      </w:pPr>
      <w:r>
        <w:rPr>
          <w:rFonts w:ascii="仿宋" w:eastAsia="仿宋" w:cs="Times New Roman" w:hAnsi="仿宋" w:hint="eastAsia"/>
          <w:color w:val="auto"/>
          <w:sz w:val="32"/>
          <w:szCs w:val="32"/>
          <w:lang w:val="en-US" w:eastAsia="zh-CN"/>
        </w:rPr>
        <w:t>3.</w:t>
      </w:r>
      <w:r>
        <w:rPr>
          <w:rFonts w:ascii="仿宋" w:eastAsia="仿宋" w:cs="Times New Roman" w:hAnsi="仿宋"/>
          <w:color w:val="auto"/>
          <w:sz w:val="32"/>
          <w:szCs w:val="32"/>
          <w:lang w:val="en-US" w:eastAsia="zh-CN"/>
        </w:rPr>
        <w:t>切实加强</w:t>
      </w:r>
      <w:r>
        <w:rPr>
          <w:rFonts w:ascii="仿宋" w:eastAsia="仿宋" w:cs="Times New Roman" w:hAnsi="仿宋" w:hint="eastAsia"/>
          <w:color w:val="auto"/>
          <w:sz w:val="32"/>
          <w:szCs w:val="32"/>
          <w:lang w:val="en-US" w:eastAsia="zh-CN"/>
        </w:rPr>
        <w:t>运营期</w:t>
      </w:r>
      <w:r>
        <w:rPr>
          <w:rFonts w:ascii="仿宋" w:eastAsia="仿宋" w:cs="Times New Roman" w:hAnsi="仿宋"/>
          <w:color w:val="auto"/>
          <w:sz w:val="32"/>
          <w:szCs w:val="32"/>
          <w:lang w:val="en-US" w:eastAsia="zh-CN"/>
        </w:rPr>
        <w:t>全厂废气管控。减少污泥在厂区堆放时长，定时喷洒除臭剂，加强厂区绿化，厂界臭气浓度</w:t>
      </w:r>
      <w:r>
        <w:rPr>
          <w:rFonts w:ascii="仿宋" w:eastAsia="仿宋" w:hAnsi="仿宋"/>
          <w:sz w:val="32"/>
          <w:szCs w:val="32"/>
        </w:rPr>
        <w:t>满足</w:t>
      </w:r>
      <w:r>
        <w:rPr>
          <w:rFonts w:ascii="仿宋" w:eastAsia="仿宋" w:hAnsi="仿宋" w:hint="eastAsia"/>
          <w:sz w:val="32"/>
          <w:szCs w:val="32"/>
        </w:rPr>
        <w:t>《恶臭污染物排放标准》（GB14554-93）二级标准</w:t>
      </w:r>
      <w:r>
        <w:rPr>
          <w:rFonts w:ascii="仿宋" w:eastAsia="仿宋" w:hAnsi="仿宋"/>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cs="Times New Roman" w:hAnsi="仿宋" w:hint="eastAsia"/>
          <w:color w:val="auto"/>
          <w:sz w:val="32"/>
          <w:szCs w:val="32"/>
          <w:lang w:val="en-US" w:eastAsia="zh-CN"/>
        </w:rPr>
      </w:pPr>
      <w:r>
        <w:rPr>
          <w:rFonts w:ascii="仿宋" w:eastAsia="仿宋" w:cs="Times New Roman" w:hAnsi="仿宋" w:hint="eastAsia"/>
          <w:color w:val="auto"/>
          <w:sz w:val="32"/>
          <w:szCs w:val="32"/>
          <w:lang w:val="en-US" w:eastAsia="zh-CN"/>
        </w:rPr>
        <w:t>4.优化厂区平面布局，选用低噪声设备。对</w:t>
      </w:r>
      <w:r>
        <w:rPr>
          <w:rFonts w:ascii="仿宋" w:eastAsia="仿宋" w:hAnsi="仿宋" w:hint="eastAsia"/>
          <w:sz w:val="32"/>
          <w:szCs w:val="32"/>
        </w:rPr>
        <w:t>于反冲洗水泵、风机、空压机、离水泵、加压泵等高噪声设备采取减震</w:t>
      </w:r>
      <w:r>
        <w:rPr>
          <w:rFonts w:ascii="仿宋" w:eastAsia="仿宋" w:cs="Times New Roman" w:hAnsi="仿宋" w:hint="eastAsia"/>
          <w:color w:val="auto"/>
          <w:sz w:val="32"/>
          <w:szCs w:val="32"/>
          <w:lang w:val="en-US" w:eastAsia="zh-CN"/>
        </w:rPr>
        <w:t>措施，设备机房采取密闭隔声措施，厂界噪声满足《工业企业厂界环境噪声排放标准》（GB12348-2008）2类标准限值。</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cs="Times New Roman" w:hAnsi="仿宋" w:hint="eastAsia"/>
          <w:color w:val="auto"/>
          <w:sz w:val="32"/>
          <w:szCs w:val="32"/>
          <w:lang w:eastAsia="zh-CN"/>
        </w:rPr>
      </w:pPr>
      <w:r>
        <w:rPr>
          <w:rFonts w:ascii="仿宋" w:eastAsia="仿宋" w:cs="Times New Roman" w:hAnsi="仿宋" w:hint="eastAsia"/>
          <w:color w:val="auto"/>
          <w:sz w:val="32"/>
          <w:szCs w:val="32"/>
          <w:lang w:val="en-US" w:eastAsia="zh-CN"/>
        </w:rPr>
        <w:t>5.</w:t>
      </w:r>
      <w:r>
        <w:rPr>
          <w:rFonts w:ascii="仿宋" w:eastAsia="仿宋" w:cs="Times New Roman" w:hAnsi="仿宋" w:hint="eastAsia"/>
          <w:color w:val="auto"/>
          <w:sz w:val="32"/>
          <w:szCs w:val="32"/>
        </w:rPr>
        <w:t>按照“减量化、资源化、无害化”的原则，对固体废物实施分类管理、综合利用和安全处置。</w:t>
      </w:r>
      <w:r>
        <w:rPr>
          <w:rFonts w:ascii="仿宋" w:eastAsia="仿宋" w:cs="Times New Roman" w:hAnsi="仿宋"/>
          <w:color w:val="auto"/>
          <w:sz w:val="32"/>
          <w:szCs w:val="32"/>
        </w:rPr>
        <w:t>规范</w:t>
      </w:r>
      <w:r>
        <w:rPr>
          <w:rFonts w:ascii="仿宋" w:eastAsia="仿宋" w:cs="Times New Roman" w:hAnsi="仿宋" w:hint="eastAsia"/>
          <w:color w:val="auto"/>
          <w:sz w:val="32"/>
          <w:szCs w:val="32"/>
          <w:lang w:eastAsia="zh-CN"/>
        </w:rPr>
        <w:t>设置危废暂存间，</w:t>
      </w:r>
      <w:r>
        <w:rPr>
          <w:rFonts w:ascii="仿宋" w:eastAsia="仿宋" w:cs="Times New Roman" w:hAnsi="仿宋"/>
          <w:color w:val="auto"/>
          <w:sz w:val="32"/>
          <w:szCs w:val="32"/>
          <w:lang w:eastAsia="zh-CN"/>
        </w:rPr>
        <w:t>设备维修</w:t>
      </w:r>
      <w:r>
        <w:rPr>
          <w:rFonts w:ascii="仿宋" w:eastAsia="仿宋" w:cs="Times New Roman" w:hAnsi="仿宋" w:hint="eastAsia"/>
          <w:color w:val="auto"/>
          <w:sz w:val="32"/>
          <w:szCs w:val="32"/>
          <w:lang w:eastAsia="zh-CN"/>
        </w:rPr>
        <w:t>产生的</w:t>
      </w:r>
      <w:r>
        <w:rPr>
          <w:rFonts w:ascii="仿宋" w:eastAsia="仿宋" w:cs="Times New Roman" w:hAnsi="仿宋" w:hint="eastAsia"/>
          <w:color w:val="auto"/>
          <w:sz w:val="32"/>
          <w:szCs w:val="32"/>
        </w:rPr>
        <w:t>废机油</w:t>
      </w:r>
      <w:r>
        <w:rPr>
          <w:rFonts w:ascii="仿宋" w:eastAsia="仿宋" w:cs="Times New Roman" w:hAnsi="仿宋" w:hint="eastAsia"/>
          <w:color w:val="auto"/>
          <w:sz w:val="32"/>
          <w:szCs w:val="32"/>
          <w:lang w:eastAsia="zh-CN"/>
        </w:rPr>
        <w:t>、含油废抹布</w:t>
      </w:r>
      <w:r>
        <w:rPr>
          <w:rFonts w:ascii="仿宋" w:eastAsia="仿宋" w:cs="Times New Roman" w:hAnsi="仿宋"/>
          <w:color w:val="auto"/>
          <w:sz w:val="32"/>
          <w:szCs w:val="32"/>
          <w:lang w:eastAsia="zh-CN"/>
        </w:rPr>
        <w:t>、废润滑油桶</w:t>
      </w:r>
      <w:r>
        <w:rPr>
          <w:rFonts w:ascii="仿宋" w:eastAsia="仿宋" w:cs="Times New Roman" w:hAnsi="仿宋" w:hint="eastAsia"/>
          <w:color w:val="auto"/>
          <w:sz w:val="32"/>
          <w:szCs w:val="32"/>
        </w:rPr>
        <w:t>按危险废物有关规定进行管理，委托有资质的单位处置；</w:t>
      </w:r>
      <w:r>
        <w:rPr>
          <w:rFonts w:ascii="仿宋" w:eastAsia="仿宋" w:cs="Times New Roman" w:hAnsi="仿宋" w:hint="eastAsia"/>
          <w:color w:val="auto"/>
          <w:sz w:val="32"/>
          <w:szCs w:val="32"/>
          <w:lang w:eastAsia="zh-CN"/>
        </w:rPr>
        <w:t>沉淀池污泥经</w:t>
      </w:r>
      <w:r>
        <w:rPr>
          <w:rFonts w:ascii="仿宋" w:eastAsia="仿宋" w:cs="Times New Roman" w:hAnsi="仿宋" w:hint="eastAsia"/>
          <w:color w:val="auto"/>
          <w:sz w:val="32"/>
          <w:szCs w:val="32"/>
        </w:rPr>
        <w:t>脱水</w:t>
      </w:r>
      <w:r>
        <w:rPr>
          <w:rFonts w:ascii="仿宋" w:eastAsia="仿宋" w:cs="Times New Roman" w:hAnsi="仿宋" w:hint="eastAsia"/>
          <w:color w:val="auto"/>
          <w:sz w:val="32"/>
          <w:szCs w:val="32"/>
          <w:lang w:val="en-US" w:eastAsia="zh-CN"/>
        </w:rPr>
        <w:t>后</w:t>
      </w:r>
      <w:r>
        <w:rPr>
          <w:rFonts w:ascii="仿宋" w:eastAsia="仿宋" w:cs="Times New Roman" w:hAnsi="仿宋" w:hint="eastAsia"/>
          <w:color w:val="auto"/>
          <w:sz w:val="32"/>
          <w:szCs w:val="32"/>
        </w:rPr>
        <w:t>外运至</w:t>
      </w:r>
      <w:r>
        <w:rPr>
          <w:rFonts w:ascii="仿宋" w:eastAsia="仿宋" w:cs="Times New Roman" w:hAnsi="仿宋"/>
          <w:color w:val="auto"/>
          <w:sz w:val="32"/>
          <w:szCs w:val="32"/>
        </w:rPr>
        <w:t>周边砖厂利用</w:t>
      </w:r>
      <w:r>
        <w:rPr>
          <w:rFonts w:ascii="仿宋" w:eastAsia="仿宋" w:cs="Times New Roman" w:hAnsi="仿宋" w:hint="eastAsia"/>
          <w:color w:val="auto"/>
          <w:sz w:val="32"/>
          <w:szCs w:val="32"/>
          <w:lang w:eastAsia="zh-CN"/>
        </w:rPr>
        <w:t>，不外排；</w:t>
      </w:r>
      <w:r>
        <w:rPr>
          <w:rFonts w:ascii="仿宋" w:eastAsia="仿宋" w:cs="Times New Roman" w:hAnsi="仿宋" w:hint="eastAsia"/>
          <w:color w:val="auto"/>
          <w:sz w:val="32"/>
          <w:szCs w:val="32"/>
        </w:rPr>
        <w:t>生活垃圾交</w:t>
      </w:r>
      <w:r>
        <w:rPr>
          <w:rFonts w:ascii="仿宋" w:eastAsia="仿宋" w:cs="Times New Roman" w:hAnsi="仿宋" w:hint="eastAsia"/>
          <w:color w:val="auto"/>
          <w:sz w:val="32"/>
          <w:szCs w:val="32"/>
          <w:lang w:eastAsia="zh-CN"/>
        </w:rPr>
        <w:t>由</w:t>
      </w:r>
      <w:r>
        <w:rPr>
          <w:rFonts w:ascii="仿宋" w:eastAsia="仿宋" w:cs="Times New Roman" w:hAnsi="仿宋" w:hint="eastAsia"/>
          <w:color w:val="auto"/>
          <w:sz w:val="32"/>
          <w:szCs w:val="32"/>
        </w:rPr>
        <w:t>环卫部门统一处置</w:t>
      </w:r>
      <w:r>
        <w:rPr>
          <w:rFonts w:ascii="仿宋" w:eastAsia="仿宋" w:cs="Times New Roman" w:hAnsi="仿宋" w:hint="eastAsia"/>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cs="Times New Roman" w:hAnsi="仿宋" w:hint="eastAsia"/>
          <w:color w:val="auto"/>
          <w:sz w:val="32"/>
          <w:szCs w:val="32"/>
          <w:lang w:val="en-US" w:eastAsia="zh-CN"/>
        </w:rPr>
      </w:pPr>
      <w:r>
        <w:rPr>
          <w:rFonts w:ascii="仿宋" w:eastAsia="仿宋" w:cs="Times New Roman" w:hAnsi="仿宋" w:hint="eastAsia"/>
          <w:color w:val="auto"/>
          <w:sz w:val="32"/>
          <w:szCs w:val="32"/>
          <w:lang w:val="en-US" w:eastAsia="zh-CN"/>
        </w:rPr>
        <w:t>三、加强环境风险防范和应急措施管理，要配备专职环保管理人员，建立健全环境管理制度，制定突发环境事件应急预案。</w:t>
      </w:r>
    </w:p>
    <w:p>
      <w:pPr>
        <w:keepNext w:val="0"/>
        <w:keepLines w:val="0"/>
        <w:pageBreakBefore w:val="0"/>
        <w:widowControl w:val="0"/>
        <w:kinsoku/>
        <w:wordWrap/>
        <w:overflowPunct/>
        <w:topLinePunct w:val="0"/>
        <w:autoSpaceDE/>
        <w:autoSpaceDN/>
        <w:adjustRightInd/>
        <w:snapToGrid/>
        <w:spacing w:line="640" w:lineRule="exact"/>
        <w:ind w:firstLineChars="200" w:firstLine="640"/>
        <w:rPr>
          <w:rFonts w:ascii="仿宋" w:eastAsia="仿宋" w:cs="Times New Roman" w:hAnsi="仿宋" w:hint="eastAsia"/>
          <w:color w:val="auto"/>
          <w:sz w:val="32"/>
          <w:szCs w:val="32"/>
        </w:rPr>
      </w:pPr>
      <w:r>
        <w:rPr>
          <w:rFonts w:ascii="仿宋" w:eastAsia="仿宋" w:cs="Times New Roman" w:hAnsi="仿宋" w:hint="eastAsia"/>
          <w:color w:val="auto"/>
          <w:sz w:val="32"/>
          <w:szCs w:val="32"/>
          <w:lang w:val="en-US" w:eastAsia="zh-CN"/>
        </w:rPr>
        <w:t>四、</w:t>
      </w:r>
      <w:r>
        <w:rPr>
          <w:rFonts w:ascii="仿宋" w:eastAsia="仿宋" w:cs="Times New Roman" w:hAnsi="仿宋" w:hint="eastAsia"/>
          <w:color w:val="auto"/>
          <w:sz w:val="32"/>
          <w:szCs w:val="32"/>
        </w:rPr>
        <w:t>项目建设完成后</w:t>
      </w:r>
      <w:r>
        <w:rPr>
          <w:rFonts w:ascii="仿宋" w:eastAsia="仿宋" w:cs="仿宋" w:hAnsi="仿宋" w:hint="eastAsia"/>
          <w:color w:val="000000"/>
          <w:sz w:val="32"/>
          <w:szCs w:val="32"/>
        </w:rPr>
        <w:t>按</w:t>
      </w:r>
      <w:r>
        <w:rPr>
          <w:rFonts w:ascii="仿宋" w:eastAsia="仿宋" w:cs="仿宋" w:hAnsi="仿宋" w:hint="eastAsia"/>
          <w:bCs/>
          <w:color w:val="000000"/>
          <w:sz w:val="32"/>
          <w:szCs w:val="32"/>
        </w:rPr>
        <w:t>《排污许可管理条例》规定及时办理排污许可手续，并按照《建设项目环境保护管理条例》《建设项目竣工环境保护验收暂行办法》等有关规定自行组织竣工环境保护验收,并通过全国建设项目竣工环境保护验收信息平台向社会公开验收报告</w:t>
      </w:r>
      <w:r>
        <w:rPr>
          <w:rFonts w:ascii="仿宋" w:eastAsia="仿宋" w:cs="仿宋" w:hAnsi="仿宋"/>
          <w:bCs/>
          <w:color w:val="000000"/>
          <w:sz w:val="32"/>
          <w:szCs w:val="32"/>
        </w:rPr>
        <w:t>，</w:t>
      </w:r>
      <w:r>
        <w:rPr>
          <w:rFonts w:ascii="仿宋" w:eastAsia="仿宋" w:cs="Times New Roman" w:hAnsi="仿宋" w:hint="eastAsia"/>
          <w:color w:val="auto"/>
          <w:sz w:val="32"/>
          <w:szCs w:val="32"/>
        </w:rPr>
        <w:t>合格后方可投入生产或使用。</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cs="Times New Roman" w:hAnsi="仿宋"/>
          <w:color w:val="auto"/>
          <w:sz w:val="32"/>
          <w:szCs w:val="32"/>
          <w:lang w:eastAsia="zh-CN"/>
        </w:rPr>
      </w:pPr>
      <w:r>
        <w:rPr>
          <w:rFonts w:ascii="仿宋" w:eastAsia="仿宋" w:cs="Times New Roman" w:hAnsi="仿宋"/>
          <w:color w:val="auto"/>
          <w:sz w:val="32"/>
          <w:szCs w:val="32"/>
          <w:lang w:eastAsia="zh-CN"/>
        </w:rPr>
        <w:t>五、</w:t>
      </w:r>
      <w:r>
        <w:rPr>
          <w:rFonts w:ascii="仿宋" w:eastAsia="仿宋" w:hAnsi="仿宋" w:hint="eastAsia"/>
          <w:sz w:val="32"/>
          <w:szCs w:val="32"/>
        </w:rPr>
        <w:t>该项目若涉及土地、规划、</w:t>
      </w:r>
      <w:r>
        <w:rPr>
          <w:rFonts w:ascii="仿宋" w:eastAsia="仿宋" w:hAnsi="仿宋"/>
          <w:sz w:val="32"/>
          <w:szCs w:val="32"/>
        </w:rPr>
        <w:t>林业及</w:t>
      </w:r>
      <w:r>
        <w:rPr>
          <w:rFonts w:ascii="仿宋" w:eastAsia="仿宋" w:hAnsi="仿宋" w:hint="eastAsia"/>
          <w:sz w:val="32"/>
          <w:szCs w:val="32"/>
        </w:rPr>
        <w:t>水保等相关事项，以相关行政主管部门审批意见为准。</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cs="Times New Roman" w:hAnsi="仿宋"/>
          <w:color w:val="auto"/>
          <w:sz w:val="32"/>
          <w:szCs w:val="32"/>
          <w:lang w:eastAsia="zh-CN"/>
        </w:rPr>
      </w:pPr>
      <w:r>
        <w:rPr>
          <w:rFonts w:ascii="仿宋" w:eastAsia="仿宋" w:cs="Times New Roman" w:hAnsi="仿宋" w:hint="eastAsia"/>
          <w:color w:val="auto"/>
          <w:sz w:val="32"/>
          <w:szCs w:val="32"/>
          <w:lang w:eastAsia="zh-CN"/>
        </w:rPr>
        <w:t>六、</w:t>
      </w:r>
      <w:r>
        <w:rPr>
          <w:rFonts w:ascii="仿宋" w:eastAsia="仿宋" w:cs="仿宋" w:hAnsi="仿宋" w:hint="eastAsia"/>
          <w:bCs/>
          <w:color w:val="000000"/>
          <w:sz w:val="32"/>
          <w:szCs w:val="32"/>
        </w:rPr>
        <w:t>如该项目在报批环保手续过程中存在瞒报、假报等欺骗行为，依据《中华人民共和国行政许可法》第六十九条的规定，我局有权撤销本批复，所造成的一切后果由你单位承担。澧县生态环境保护综合行政执法局负责日常监管。</w:t>
      </w:r>
    </w:p>
    <w:p>
      <w:pPr>
        <w:keepNext w:val="0"/>
        <w:keepLines w:val="0"/>
        <w:pageBreakBefore w:val="0"/>
        <w:widowControl w:val="0"/>
        <w:kinsoku/>
        <w:wordWrap/>
        <w:overflowPunct/>
        <w:topLinePunct w:val="0"/>
        <w:autoSpaceDE/>
        <w:autoSpaceDN/>
        <w:bidi w:val="0"/>
        <w:adjustRightInd/>
        <w:snapToGrid/>
        <w:spacing w:line="640" w:lineRule="exact"/>
        <w:ind w:firstLineChars="200" w:firstLine="640"/>
        <w:textAlignment w:val="auto"/>
        <w:rPr>
          <w:rFonts w:ascii="仿宋" w:eastAsia="仿宋" w:cs="仿宋" w:hAnsi="仿宋" w:hint="eastAsia"/>
          <w:color w:val="000000"/>
          <w:sz w:val="32"/>
          <w:szCs w:val="32"/>
        </w:rPr>
      </w:pPr>
    </w:p>
    <w:p>
      <w:pPr>
        <w:keepNext w:val="0"/>
        <w:keepLines w:val="0"/>
        <w:pageBreakBefore w:val="0"/>
        <w:kinsoku/>
        <w:wordWrap/>
        <w:overflowPunct/>
        <w:topLinePunct w:val="0"/>
        <w:autoSpaceDE/>
        <w:autoSpaceDN/>
        <w:bidi w:val="0"/>
        <w:adjustRightInd w:val="0"/>
        <w:snapToGrid w:val="0"/>
        <w:spacing w:line="640" w:lineRule="exact"/>
        <w:ind w:firstLineChars="200" w:firstLine="420"/>
        <w:jc w:val="left"/>
        <w:textAlignment w:val="auto"/>
        <w:rPr>
          <w:rFonts w:hint="eastAsia"/>
          <w:lang w:val="en-US" w:eastAsia="zh-CN"/>
        </w:rPr>
      </w:pPr>
    </w:p>
    <w:p>
      <w:pPr>
        <w:pStyle w:val="16"/>
        <w:rPr>
          <w:rFonts w:hint="eastAsia"/>
          <w:color w:val="0000FF"/>
        </w:rPr>
      </w:pPr>
    </w:p>
    <w:p>
      <w:pPr>
        <w:rPr>
          <w:color w:val="0000FF"/>
        </w:rPr>
      </w:pPr>
    </w:p>
    <w:p>
      <w:pPr>
        <w:spacing w:line="640" w:lineRule="exact"/>
        <w:jc w:val="right"/>
        <w:rPr>
          <w:rFonts w:ascii="仿宋" w:eastAsia="仿宋" w:cs="仿宋" w:hAnsi="仿宋" w:hint="eastAsia"/>
          <w:color w:val="auto"/>
          <w:sz w:val="32"/>
          <w:szCs w:val="32"/>
        </w:rPr>
      </w:pPr>
      <w:r>
        <w:rPr>
          <w:rFonts w:ascii="仿宋" w:eastAsia="仿宋" w:hAnsi="仿宋" w:hint="eastAsia"/>
          <w:color w:val="0000FF"/>
          <w:sz w:val="32"/>
          <w:szCs w:val="32"/>
        </w:rPr>
        <w:t xml:space="preserve">          </w:t>
      </w:r>
      <w:r>
        <w:rPr>
          <w:rFonts w:ascii="仿宋" w:eastAsia="仿宋" w:hAnsi="仿宋" w:hint="eastAsia"/>
          <w:color w:val="auto"/>
          <w:sz w:val="32"/>
          <w:szCs w:val="32"/>
        </w:rPr>
        <w:t xml:space="preserve"> </w:t>
      </w:r>
      <w:r>
        <w:rPr>
          <w:rFonts w:ascii="仿宋" w:eastAsia="仿宋" w:cs="仿宋" w:hAnsi="仿宋" w:hint="eastAsia"/>
          <w:bCs/>
          <w:color w:val="auto"/>
          <w:sz w:val="32"/>
          <w:szCs w:val="32"/>
        </w:rPr>
        <w:t>常德市生态环境局</w:t>
      </w:r>
    </w:p>
    <w:p>
      <w:pPr>
        <w:spacing w:line="480" w:lineRule="exact"/>
        <w:ind w:firstLineChars="1650" w:firstLine="5280"/>
        <w:rPr>
          <w:rFonts w:ascii="仿宋" w:eastAsia="仿宋" w:cs="仿宋" w:hAnsi="仿宋" w:hint="eastAsia"/>
          <w:color w:val="auto"/>
          <w:sz w:val="32"/>
          <w:szCs w:val="32"/>
          <w:lang w:eastAsia="zh-CN"/>
        </w:rPr>
      </w:pPr>
      <w:r>
        <w:rPr>
          <w:rFonts w:ascii="仿宋" w:eastAsia="仿宋" w:cs="仿宋" w:hAnsi="仿宋" w:hint="eastAsia"/>
          <w:color w:val="auto"/>
          <w:sz w:val="32"/>
          <w:szCs w:val="32"/>
        </w:rPr>
        <w:t xml:space="preserve">      </w:t>
      </w:r>
      <w:r>
        <w:rPr>
          <w:rFonts w:ascii="仿宋" w:eastAsia="仿宋" w:cs="仿宋" w:hAnsi="仿宋" w:hint="eastAsia"/>
          <w:color w:val="auto"/>
          <w:sz w:val="32"/>
          <w:szCs w:val="32"/>
          <w:lang w:val="en-US" w:eastAsia="zh-CN"/>
        </w:rPr>
        <w:t xml:space="preserve"> </w:t>
      </w:r>
      <w:r>
        <w:rPr>
          <w:rFonts w:ascii="仿宋" w:eastAsia="仿宋" w:cs="仿宋" w:hAnsi="仿宋" w:hint="eastAsia"/>
          <w:color w:val="auto"/>
          <w:sz w:val="32"/>
          <w:szCs w:val="32"/>
        </w:rPr>
        <w:t>20</w:t>
      </w:r>
      <w:r>
        <w:rPr>
          <w:rFonts w:ascii="仿宋" w:eastAsia="仿宋" w:cs="仿宋" w:hAnsi="仿宋"/>
          <w:color w:val="auto"/>
          <w:sz w:val="32"/>
          <w:szCs w:val="32"/>
        </w:rPr>
        <w:t>26</w:t>
      </w:r>
      <w:r>
        <w:rPr>
          <w:rFonts w:ascii="仿宋" w:eastAsia="仿宋" w:cs="仿宋" w:hAnsi="仿宋" w:hint="eastAsia"/>
          <w:color w:val="auto"/>
          <w:sz w:val="32"/>
          <w:szCs w:val="32"/>
        </w:rPr>
        <w:t>年</w:t>
      </w:r>
      <w:r>
        <w:rPr>
          <w:rFonts w:ascii="仿宋" w:eastAsia="仿宋" w:cs="仿宋" w:hAnsi="仿宋" w:hint="eastAsia"/>
          <w:color w:val="auto"/>
          <w:sz w:val="32"/>
          <w:szCs w:val="32"/>
          <w:lang w:val="en-US" w:eastAsia="zh-CN"/>
        </w:rPr>
        <w:t>4</w:t>
      </w:r>
      <w:r>
        <w:rPr>
          <w:rFonts w:ascii="仿宋" w:eastAsia="仿宋" w:cs="仿宋" w:hAnsi="仿宋" w:hint="eastAsia"/>
          <w:color w:val="auto"/>
          <w:sz w:val="32"/>
          <w:szCs w:val="32"/>
        </w:rPr>
        <w:t>月</w:t>
      </w:r>
      <w:r>
        <w:rPr>
          <w:rFonts w:ascii="仿宋" w:eastAsia="仿宋" w:cs="仿宋" w:hAnsi="仿宋"/>
          <w:color w:val="auto"/>
          <w:sz w:val="32"/>
          <w:szCs w:val="32"/>
          <w:lang w:val="en-US" w:eastAsia="zh-CN"/>
        </w:rPr>
        <w:t>17</w:t>
      </w:r>
      <w:r>
        <w:rPr>
          <w:rFonts w:ascii="仿宋" w:eastAsia="仿宋" w:cs="仿宋" w:hAnsi="仿宋" w:hint="eastAsia"/>
          <w:color w:val="auto"/>
          <w:sz w:val="32"/>
          <w:szCs w:val="32"/>
          <w:lang w:eastAsia="zh-CN"/>
        </w:rPr>
        <w:t>日</w:t>
      </w:r>
    </w:p>
    <w:p>
      <w:pPr>
        <w:spacing w:line="480" w:lineRule="exact"/>
        <w:ind w:firstLineChars="1650" w:firstLine="5280"/>
        <w:jc w:val="left"/>
        <w:rPr>
          <w:rFonts w:ascii="仿宋" w:eastAsia="仿宋" w:cs="仿宋" w:hAnsi="仿宋" w:hint="eastAsia"/>
          <w:color w:val="auto"/>
          <w:sz w:val="32"/>
          <w:szCs w:val="32"/>
          <w:lang w:eastAsia="zh-CN"/>
        </w:rPr>
      </w:pPr>
    </w:p>
    <w:p>
      <w:pPr>
        <w:pStyle w:val="16"/>
        <w:rPr>
          <w:rFonts w:hint="eastAsia"/>
          <w:color w:val="auto"/>
          <w:lang w:eastAsia="zh-CN"/>
        </w:rPr>
      </w:pPr>
    </w:p>
    <w:p>
      <w:pPr>
        <w:spacing w:line="480" w:lineRule="exact"/>
        <w:rPr>
          <w:rFonts w:ascii="仿宋" w:eastAsia="仿宋" w:cs="宋体" w:hAnsi="仿宋" w:hint="eastAsia"/>
          <w:color w:val="auto"/>
          <w:kern w:val="0"/>
          <w:sz w:val="32"/>
          <w:szCs w:val="32"/>
        </w:rPr>
      </w:pPr>
    </w:p>
    <w:p>
      <w:pPr>
        <w:spacing w:line="480" w:lineRule="exact"/>
        <w:rPr>
          <w:rFonts w:ascii="仿宋" w:eastAsia="仿宋" w:cs="宋体" w:hAnsi="仿宋" w:hint="eastAsia"/>
          <w:color w:val="auto"/>
          <w:kern w:val="0"/>
          <w:sz w:val="32"/>
          <w:szCs w:val="32"/>
        </w:rPr>
      </w:pPr>
    </w:p>
    <w:p>
      <w:pPr>
        <w:tabs>
          <w:tab w:val="left" w:pos="5647"/>
        </w:tabs>
        <w:spacing w:after="0" w:line="560" w:lineRule="exact"/>
        <w:ind w:firstLineChars="1700" w:firstLine="5440"/>
      </w:pPr>
      <w:r>
        <w:rPr>
          <w:rFonts w:ascii="仿宋_GB2312" w:eastAsia="仿宋_GB2312" w:hint="eastAsia"/>
          <w:sz w:val="32"/>
          <w:szCs w:val="32"/>
        </w:rPr>
        <w:t xml:space="preserve">   </w:t>
      </w:r>
    </w:p>
    <w:p>
      <w:pPr>
        <w:pBdr>
          <w:top w:val="single" w:sz="4" w:space="1" w:color="auto"/>
          <w:bottom w:val="single" w:sz="4" w:space="1" w:color="auto"/>
        </w:pBdr>
        <w:autoSpaceDE w:val="0"/>
        <w:autoSpaceDN w:val="0"/>
        <w:adjustRightInd w:val="0"/>
        <w:snapToGrid/>
        <w:spacing w:after="0" w:line="520" w:lineRule="exact"/>
        <w:rPr>
          <w:rFonts w:ascii="仿宋_GB2312" w:eastAsia="仿宋_GB2312" w:hAnsi="仿宋" w:hint="eastAsia"/>
          <w:spacing w:val="28"/>
          <w:w w:val="90"/>
          <w:sz w:val="28"/>
          <w:szCs w:val="28"/>
        </w:rPr>
      </w:pPr>
      <w:bookmarkStart w:id="0" w:name="_GoBack"/>
      <w:r>
        <w:rPr>
          <w:rFonts w:ascii="仿宋_GB2312" w:eastAsia="仿宋_GB2312" w:cs="黑体" w:hAnsi="Times New Roman" w:hint="eastAsia"/>
          <w:spacing w:val="28"/>
          <w:w w:val="90"/>
          <w:sz w:val="28"/>
          <w:szCs w:val="28"/>
        </w:rPr>
        <w:t>抄送：</w:t>
      </w:r>
      <w:r>
        <w:rPr>
          <w:rFonts w:ascii="仿宋_GB2312" w:eastAsia="仿宋_GB2312" w:cs="黑体" w:hint="eastAsia"/>
          <w:bCs/>
          <w:spacing w:val="28"/>
          <w:w w:val="90"/>
          <w:sz w:val="28"/>
          <w:szCs w:val="28"/>
        </w:rPr>
        <w:t>澧县生态环境保护综合行政执法局</w:t>
      </w:r>
    </w:p>
    <w:p>
      <w:pPr>
        <w:ind w:firstLineChars="100" w:firstLine="320"/>
        <w:jc w:val="left"/>
        <w:rPr>
          <w:rFonts w:ascii="仿宋" w:eastAsia="仿宋" w:hAnsi="仿宋" w:hint="eastAsia"/>
          <w:color w:val="0000FF"/>
          <w:sz w:val="32"/>
          <w:szCs w:val="32"/>
        </w:rPr>
      </w:pPr>
      <w:bookmarkEnd w:id="0"/>
    </w:p>
    <w:p>
      <w:pPr>
        <w:ind w:firstLineChars="100" w:firstLine="320"/>
        <w:jc w:val="center"/>
        <w:rPr>
          <w:rFonts w:hint="eastAsia"/>
        </w:rPr>
      </w:pPr>
      <w:r>
        <w:rPr>
          <w:rFonts w:ascii="仿宋" w:eastAsia="仿宋" w:hAnsi="仿宋" w:hint="eastAsia"/>
          <w:color w:val="0000FF"/>
          <w:sz w:val="32"/>
          <w:szCs w:val="32"/>
        </w:rPr>
        <w:t xml:space="preserve">                     </w:t>
      </w:r>
      <w:r>
        <w:rPr>
          <w:rFonts w:ascii="仿宋" w:eastAsia="仿宋" w:hAnsi="仿宋" w:hint="eastAsia"/>
          <w:color w:val="000000"/>
          <w:sz w:val="32"/>
          <w:szCs w:val="32"/>
        </w:rPr>
        <w:t xml:space="preserve"> </w:t>
      </w:r>
    </w:p>
    <w:sectPr>
      <w:pgSz w:w="11906" w:h="16838"/>
      <w:pgMar w:top="1588" w:right="1418" w:bottom="1588" w:left="1701"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Times New Roman">
    <w:panose1 w:val="02020603050405020304"/>
    <w:charset w:val="00"/>
    <w:family w:val="auto"/>
    <w:pitch w:val="variable"/>
    <w:sig w:usb0="E0002AFF" w:usb1="C0007841" w:usb2="00000009" w:usb3="00000000" w:csb0="400001FF" w:csb1="FFFF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新宋体-18030">
    <w:altName w:val="新宋体"/>
    <w:panose1 w:val="00000000000000000000"/>
    <w:charset w:val="00"/>
    <w:family w:val="auto"/>
    <w:pitch w:val="variable"/>
    <w:sig w:usb0="00000000" w:usb1="00000000" w:usb2="00000000" w:usb3="00000000" w:csb0="00040001" w:csb1="00000000"/>
  </w:font>
  <w:font w:name="Courier New">
    <w:altName w:val="DejaVu Sans"/>
    <w:panose1 w:val="02070309020205020404"/>
    <w:charset w:val="00"/>
    <w:family w:val="modern"/>
    <w:pitch w:val="variable"/>
    <w:sig w:usb0="E0002AFF" w:usb1="C0007843" w:usb2="00000009" w:usb3="00000000" w:csb0="400001FF" w:csb1="FFFF0000"/>
  </w:font>
  <w:font w:name="微软雅黑">
    <w:altName w:val="方正黑体_GBK"/>
    <w:panose1 w:val="020B0503020204020204"/>
    <w:charset w:val="86"/>
    <w:family w:val="swiss"/>
    <w:pitch w:val="variable"/>
    <w:sig w:usb0="80000287" w:usb1="280F3C52" w:usb2="00000016" w:usb3="00000000" w:csb0="0004001F" w:csb1="00000000"/>
  </w:font>
  <w:font w:name="TimesNewRomanPSMT">
    <w:altName w:val="Times New Roman"/>
    <w:panose1 w:val="00000000000000000000"/>
    <w:charset w:val="00"/>
    <w:family w:val="auto"/>
    <w:pitch w:val="variable"/>
    <w:sig w:usb0="00000000" w:usb1="00000000" w:usb2="00000000"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drawingGridHorizontalSpacing w:val="18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w:docVars>
    <w:docVar w:name="commondata" w:val="eyJoZGlkIjoiZjE0OTAwMDJhODY5YzEzYzljZTY2OWY1ZmYxODc5MjMifQ=="/>
  </w:docVars>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3" w:lineRule="auto"/>
      <w:outlineLvl w:val="2"/>
    </w:pPr>
    <w:rPr>
      <w:rFonts w:ascii="仿宋_GB2312" w:eastAsia="仿宋_GB2312" w:cs="仿宋_GB2312"/>
      <w:spacing w:val="-22"/>
      <w:sz w:val="30"/>
      <w:szCs w:val="24"/>
    </w:rPr>
  </w:style>
  <w:style w:type="character" w:customStyle="1" w:styleId="3Char">
    <w:name w:val="heading 3 Char"/>
    <w:basedOn w:val="10"/>
    <w:link w:val="3"/>
    <w:rPr>
      <w:rFonts w:ascii="仿宋_GB2312" w:eastAsia="仿宋_GB2312" w:cs="仿宋_GB2312" w:hAnsi="Times New Roman"/>
      <w:spacing w:val="-22"/>
      <w:kern w:val="2"/>
      <w:sz w:val="30"/>
      <w:szCs w:val="24"/>
      <w:lang w:val="en-US" w:eastAsia="zh-CN" w:bidi="ar-SA"/>
    </w:rPr>
  </w:style>
  <w:style w:type="character" w:default="1" w:styleId="10">
    <w:name w:val="Default Paragraph Font"/>
    <w:qFormat/>
  </w:style>
  <w:style w:type="paragraph" w:customStyle="1" w:yozoId="4094" w:styleId="15">
    <w:name w:val="_Style 5"/>
    <w:qFormat/>
    <w:basedOn w:val="0"/>
    <w:pPr>
      <w:spacing w:line="360" w:lineRule="auto"/>
    </w:pPr>
    <w:rPr>
      <w:sz w:val="21"/>
    </w:rPr>
  </w:style>
  <w:style w:type="paragraph" w:styleId="16">
    <w:name w:val="Body Text"/>
    <w:qFormat/>
    <w:basedOn w:val="0"/>
    <w:next w:val="17"/>
    <w:pPr>
      <w:spacing w:after="120"/>
    </w:pPr>
    <w:rPr>
      <w:rFonts w:cs="Times New Roman"/>
    </w:rPr>
  </w:style>
  <w:style w:type="paragraph" w:customStyle="1" w:yozoId="4094" w:styleId="17">
    <w:name w:val="xl27"/>
    <w:qFormat/>
    <w:basedOn w:val="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cs="新宋体-18030" w:hAnsi="新宋体-18030"/>
      <w:kern w:val="0"/>
    </w:rPr>
  </w:style>
  <w:style w:type="paragraph" w:styleId="18">
    <w:name w:val="Plain Text"/>
    <w:qFormat/>
    <w:basedOn w:val="0"/>
    <w:rPr>
      <w:rFonts w:ascii="宋体" w:hAnsi="Courier New"/>
      <w:sz w:val="20"/>
      <w:szCs w:val="20"/>
    </w:rPr>
  </w:style>
  <w:style w:type="paragraph" w:styleId="19">
    <w:name w:val="footer"/>
    <w:qFormat/>
    <w:basedOn w:val="0"/>
    <w:pPr>
      <w:tabs>
        <w:tab w:val="center" w:pos="4153"/>
        <w:tab w:val="right" w:pos="8306"/>
      </w:tabs>
      <w:snapToGrid w:val="0"/>
      <w:jc w:val="left"/>
    </w:pPr>
    <w:rPr>
      <w:sz w:val="18"/>
      <w:szCs w:val="18"/>
    </w:rPr>
  </w:style>
  <w:style w:type="paragraph" w:styleId="20">
    <w:name w:val="header"/>
    <w:qFormat/>
    <w:basedOn w:val="0"/>
    <w:pPr>
      <w:pBdr>
        <w:bottom w:val="single" w:sz="6" w:space="1" w:color="auto"/>
      </w:pBdr>
      <w:tabs>
        <w:tab w:val="center" w:pos="4153"/>
        <w:tab w:val="right" w:pos="8306"/>
      </w:tabs>
      <w:snapToGrid w:val="0"/>
      <w:jc w:val="center"/>
    </w:pPr>
    <w:rPr>
      <w:sz w:val="18"/>
      <w:szCs w:val="18"/>
    </w:rPr>
  </w:style>
  <w:style w:type="paragraph" w:styleId="21">
    <w:name w:val="Normal (Web)"/>
    <w:qFormat/>
    <w:basedOn w:val="0"/>
    <w:pPr>
      <w:pBdr>
        <w:top w:val="none" w:sz="0" w:space="0" w:color="auto"/>
        <w:left w:val="none" w:sz="0" w:space="0" w:color="auto"/>
        <w:bottom w:val="none" w:sz="0" w:space="0" w:color="auto"/>
        <w:right w:val="none" w:sz="0" w:space="0" w:color="auto"/>
      </w:pBdr>
      <w:spacing w:before="0" w:beforeAutospacing="0" w:after="0" w:afterAutospacing="0"/>
      <w:ind w:left="0" w:right="0"/>
      <w:jc w:val="left"/>
    </w:pPr>
    <w:rPr>
      <w:kern w:val="0"/>
      <w:sz w:val="24"/>
      <w:lang w:val="en-US" w:eastAsia="zh-CN" w:bidi="ar-SA"/>
    </w:rPr>
  </w:style>
  <w:style w:type="paragraph" w:styleId="22">
    <w:name w:val="Body Text First Indent 2"/>
    <w:qFormat/>
    <w:basedOn w:val="0"/>
    <w:next w:val="0"/>
    <w:pPr>
      <w:ind w:firstLineChars="200" w:firstLine="200"/>
    </w:pPr>
    <w:rPr>
      <w:rFonts w:ascii="Times New Roman" w:hAnsi="Times New Roman"/>
      <w:szCs w:val="24"/>
    </w:rPr>
  </w:style>
  <w:style w:type="character" w:styleId="23">
    <w:name w:val="FollowedHyperlink"/>
    <w:qFormat/>
    <w:basedOn w:val="10"/>
    <w:rPr>
      <w:rFonts w:ascii="微软雅黑" w:eastAsia="微软雅黑" w:cs="微软雅黑" w:hAnsi="微软雅黑"/>
      <w:color w:val="000000"/>
      <w:sz w:val="18"/>
      <w:szCs w:val="18"/>
      <w:u w:val="none"/>
    </w:rPr>
  </w:style>
  <w:style w:type="character" w:styleId="24">
    <w:name w:val="Emphasis"/>
    <w:qFormat/>
    <w:basedOn w:val="10"/>
    <w:rPr>
      <w:b w:val="0"/>
      <w:i w:val="0"/>
    </w:rPr>
  </w:style>
  <w:style w:type="character" w:styleId="25">
    <w:name w:val="HTML Definition"/>
    <w:qFormat/>
    <w:basedOn w:val="10"/>
    <w:rPr>
      <w:b w:val="0"/>
      <w:i w:val="0"/>
    </w:rPr>
  </w:style>
  <w:style w:type="character" w:styleId="26">
    <w:name w:val="HTML Acronym"/>
    <w:qFormat/>
    <w:basedOn w:val="10"/>
  </w:style>
  <w:style w:type="character" w:styleId="27">
    <w:name w:val="HTML Variable"/>
    <w:qFormat/>
    <w:basedOn w:val="10"/>
    <w:rPr>
      <w:b w:val="0"/>
      <w:i w:val="0"/>
    </w:rPr>
  </w:style>
  <w:style w:type="character" w:styleId="28">
    <w:name w:val="Hyperlink"/>
    <w:qFormat/>
    <w:basedOn w:val="10"/>
    <w:rPr>
      <w:rFonts w:ascii="微软雅黑" w:eastAsia="微软雅黑" w:cs="微软雅黑" w:hAnsi="微软雅黑"/>
      <w:color w:val="000000"/>
      <w:sz w:val="18"/>
      <w:szCs w:val="18"/>
      <w:u w:val="none"/>
    </w:rPr>
  </w:style>
  <w:style w:type="character" w:styleId="29">
    <w:name w:val="HTML Code"/>
    <w:qFormat/>
    <w:basedOn w:val="10"/>
    <w:rPr>
      <w:rFonts w:ascii="Courier New" w:hAnsi="Courier New"/>
      <w:b w:val="0"/>
      <w:i w:val="0"/>
      <w:sz w:val="20"/>
    </w:rPr>
  </w:style>
  <w:style w:type="character" w:styleId="30">
    <w:name w:val="annotation reference"/>
    <w:qFormat/>
    <w:rPr>
      <w:sz w:val="21"/>
      <w:szCs w:val="21"/>
    </w:rPr>
  </w:style>
  <w:style w:type="character" w:styleId="31">
    <w:name w:val="HTML Cite"/>
    <w:qFormat/>
    <w:basedOn w:val="10"/>
    <w:rPr>
      <w:b w:val="0"/>
      <w:i w:val="0"/>
    </w:rPr>
  </w:style>
  <w:style w:type="character" w:customStyle="1" w:yozoId="4094" w:styleId="32">
    <w:name w:val="UserStyle_0"/>
    <w:qFormat/>
  </w:style>
  <w:style w:type="character" w:customStyle="1" w:yozoId="4094" w:styleId="33">
    <w:name w:val="fontstyle21"/>
    <w:qFormat/>
    <w:rPr>
      <w:rFonts w:ascii="TimesNewRomanPSMT" w:eastAsia="TimesNewRomanPSMT" w:cs="TimesNewRomanPSMT" w:hAnsi="TimesNewRomanPSMT"/>
      <w:color w:val="000000"/>
      <w:sz w:val="24"/>
      <w:szCs w:val="24"/>
    </w:rPr>
  </w:style>
  <w:style w:type="character" w:customStyle="1" w:yozoId="4094" w:styleId="34">
    <w:name w:val="pass"/>
    <w:qFormat/>
    <w:basedOn w:val="10"/>
    <w:rPr>
      <w:color w:val="D50512"/>
    </w:rPr>
  </w:style>
  <w:style w:type="character" w:customStyle="1" w:yozoId="4094" w:styleId="35">
    <w:name w:val="clear2"/>
    <w:qFormat/>
    <w:basedOn w:val="10"/>
    <w:rPr>
      <w:sz w:val="16"/>
      <w:szCs w:val="2"/>
    </w:rPr>
  </w:style>
  <w:style w:type="paragraph" w:customStyle="1" w:yozoId="4094" w:styleId="36">
    <w:name w:val="报告表表格文字"/>
    <w:qFormat/>
    <w:basedOn w:val="0"/>
    <w:pPr>
      <w:jc w:val="center"/>
    </w:pPr>
    <w:rPr>
      <w:rFonts w:ascii="宋体" w:hAnsi="宋体"/>
      <w:color w:val="FF0000"/>
      <w:kern w:val="0"/>
      <w:sz w:val="24"/>
      <w:lang w:val="zh-CN"/>
    </w:rPr>
  </w:style>
  <w:style w:type="paragraph" w:customStyle="1" w:yozoId="4094" w:styleId="37">
    <w:name w:val="Default"/>
    <w:qFormat/>
    <w:basedOn w:val="0"/>
    <w:pPr>
      <w:autoSpaceDE w:val="0"/>
      <w:autoSpaceDN w:val="0"/>
      <w:adjustRightInd w:val="0"/>
      <w:jc w:val="left"/>
    </w:pPr>
    <w:rPr>
      <w:color w:val="000000"/>
      <w:kern w:val="0"/>
      <w:sz w:val="24"/>
    </w:rPr>
  </w:style>
  <w:style w:type="paragraph" w:customStyle="1" w:yozoId="4094" w:styleId="38">
    <w:name w:val="列出段落1"/>
    <w:qFormat/>
    <w:basedOn w:val="0"/>
    <w:pPr>
      <w:ind w:firstLineChars="200" w:firstLine="200"/>
    </w:pPr>
    <w:rPr>
      <w:szCs w:val="22"/>
    </w:rPr>
  </w:style>
  <w:style w:type="paragraph" w:customStyle="1" w:yozoId="4094" w:styleId="39">
    <w:name w:val="表格"/>
    <w:qFormat/>
    <w:basedOn w:val="0"/>
    <w:pPr>
      <w:adjustRightInd w:val="0"/>
      <w:snapToGrid w:val="0"/>
      <w:spacing w:beforeLines="10" w:before="10" w:afterLines="10" w:after="10" w:line="259" w:lineRule="auto"/>
      <w:ind w:left="113" w:right="113" w:firstLine="482"/>
      <w:jc w:val="center"/>
      <w:textAlignment w:val="baseline"/>
    </w:pPr>
    <w:rPr>
      <w:rFonts w:ascii="宋体" w:eastAsia="黑体" w:hAnsi="宋体"/>
      <w:kern w:val="0"/>
      <w:sz w:val="24"/>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527D4666-42D7-40D5-A5D9-A9BB29190F8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14114664</TotalTime>
  <Application>Yozo_Office9.0.6115.191ZH</Application>
  <Pages>4</Pages>
  <Words>0</Words>
  <Characters>1393</Characters>
  <Lines>0</Lines>
  <Paragraphs>34</Paragraphs>
  <CharactersWithSpaces>1858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澧环项[2015]11号</dc:title>
  <dc:creator>Administrator</dc:creator>
  <cp:lastModifiedBy>lenovo</cp:lastModifiedBy>
  <cp:revision>14</cp:revision>
  <cp:lastPrinted>2026-04-14T02:08:43Z</cp:lastPrinted>
  <dcterms:created xsi:type="dcterms:W3CDTF">2020-03-14T22:03:00Z</dcterms:created>
  <dcterms:modified xsi:type="dcterms:W3CDTF">2026-04-27T03:24:00Z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2052-11.1.0.14036</vt:lpwstr>
  </property>
  <property fmtid="{D5CDD505-2E9C-101B-9397-08002B2CF9AE}" pid="3" name="ICV">
    <vt:lpwstr>3A613690F33942C0B94CFE5C54581A68</vt:lpwstr>
  </property>
</Properties>
</file>