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EA87BD">
      <w:pPr>
        <w:ind w:firstLine="720"/>
        <w:rPr>
          <w:rFonts w:hint="eastAsia" w:ascii="Times New Roman" w:hAnsi="Times New Roman" w:eastAsia="仿宋_GB2312" w:cs="Times New Roman"/>
          <w:color w:val="auto"/>
          <w:sz w:val="36"/>
          <w:szCs w:val="36"/>
          <w:highlight w:val="none"/>
          <w:lang w:eastAsia="zh-CN"/>
        </w:rPr>
      </w:pPr>
    </w:p>
    <w:p w14:paraId="1DF6A50A">
      <w:pPr>
        <w:spacing w:line="240" w:lineRule="auto"/>
        <w:ind w:firstLine="0" w:firstLineChars="0"/>
        <w:jc w:val="center"/>
        <w:rPr>
          <w:rFonts w:hint="default" w:ascii="Times New Roman" w:hAnsi="Times New Roman" w:eastAsia="仿宋_GB2312" w:cs="Times New Roman"/>
          <w:color w:val="auto"/>
          <w:sz w:val="36"/>
          <w:szCs w:val="36"/>
          <w:highlight w:val="none"/>
        </w:rPr>
      </w:pPr>
    </w:p>
    <w:p w14:paraId="637BD1BD">
      <w:pPr>
        <w:spacing w:line="240" w:lineRule="auto"/>
        <w:ind w:firstLine="0" w:firstLineChars="0"/>
        <w:jc w:val="center"/>
        <w:rPr>
          <w:rFonts w:hint="default" w:ascii="Times New Roman" w:hAnsi="Times New Roman" w:eastAsia="仿宋_GB2312" w:cs="Times New Roman"/>
          <w:color w:val="auto"/>
          <w:sz w:val="36"/>
          <w:szCs w:val="36"/>
          <w:highlight w:val="none"/>
        </w:rPr>
      </w:pPr>
    </w:p>
    <w:p w14:paraId="71511B0C">
      <w:pPr>
        <w:ind w:firstLine="0" w:firstLineChars="0"/>
        <w:jc w:val="center"/>
        <w:outlineLvl w:val="0"/>
        <w:rPr>
          <w:rFonts w:hint="default" w:ascii="Times New Roman" w:hAnsi="Times New Roman" w:eastAsia="方正小标宋_GBK" w:cs="Times New Roman"/>
          <w:color w:val="auto"/>
          <w:sz w:val="72"/>
          <w:szCs w:val="72"/>
          <w:highlight w:val="none"/>
        </w:rPr>
      </w:pPr>
      <w:bookmarkStart w:id="0" w:name="_Toc31077"/>
      <w:r>
        <w:rPr>
          <w:rFonts w:hint="default" w:ascii="Times New Roman" w:hAnsi="Times New Roman" w:eastAsia="方正小标宋_GBK" w:cs="Times New Roman"/>
          <w:color w:val="auto"/>
          <w:sz w:val="72"/>
          <w:szCs w:val="72"/>
          <w:highlight w:val="none"/>
        </w:rPr>
        <w:t>建设项目环境影响报告表</w:t>
      </w:r>
      <w:bookmarkEnd w:id="0"/>
    </w:p>
    <w:p w14:paraId="64C32C46">
      <w:pPr>
        <w:ind w:firstLine="0" w:firstLineChars="0"/>
        <w:jc w:val="center"/>
        <w:rPr>
          <w:rFonts w:hint="default" w:ascii="Times New Roman" w:hAnsi="Times New Roman" w:eastAsia="楷体_GB2312" w:cs="Times New Roman"/>
          <w:color w:val="auto"/>
          <w:sz w:val="48"/>
          <w:szCs w:val="48"/>
          <w:highlight w:val="none"/>
        </w:rPr>
      </w:pPr>
      <w:r>
        <w:rPr>
          <w:rFonts w:hint="default" w:ascii="Times New Roman" w:hAnsi="Times New Roman" w:eastAsia="楷体_GB2312" w:cs="Times New Roman"/>
          <w:color w:val="auto"/>
          <w:sz w:val="48"/>
          <w:szCs w:val="48"/>
          <w:highlight w:val="none"/>
        </w:rPr>
        <w:t>（生态影响类）</w:t>
      </w:r>
    </w:p>
    <w:p w14:paraId="443181F1">
      <w:pPr>
        <w:ind w:firstLine="1040"/>
        <w:jc w:val="center"/>
        <w:rPr>
          <w:rFonts w:hint="default" w:ascii="Times New Roman" w:hAnsi="Times New Roman" w:eastAsia="仿宋" w:cs="Times New Roman"/>
          <w:color w:val="auto"/>
          <w:sz w:val="52"/>
          <w:szCs w:val="52"/>
          <w:highlight w:val="none"/>
        </w:rPr>
      </w:pPr>
    </w:p>
    <w:p w14:paraId="53A27049">
      <w:pPr>
        <w:ind w:firstLine="880"/>
        <w:rPr>
          <w:rFonts w:hint="default" w:ascii="Times New Roman" w:hAnsi="Times New Roman" w:eastAsia="仿宋" w:cs="Times New Roman"/>
          <w:color w:val="auto"/>
          <w:sz w:val="44"/>
          <w:szCs w:val="44"/>
          <w:highlight w:val="none"/>
        </w:rPr>
      </w:pPr>
    </w:p>
    <w:p w14:paraId="6FE65557">
      <w:pPr>
        <w:ind w:firstLine="880"/>
        <w:rPr>
          <w:rFonts w:hint="default" w:ascii="Times New Roman" w:hAnsi="Times New Roman" w:eastAsia="仿宋" w:cs="Times New Roman"/>
          <w:color w:val="auto"/>
          <w:sz w:val="44"/>
          <w:szCs w:val="44"/>
          <w:highlight w:val="none"/>
        </w:rPr>
      </w:pPr>
    </w:p>
    <w:p w14:paraId="05A9243C">
      <w:pPr>
        <w:ind w:firstLine="880"/>
        <w:rPr>
          <w:rFonts w:hint="default" w:ascii="Times New Roman" w:hAnsi="Times New Roman" w:eastAsia="仿宋" w:cs="Times New Roman"/>
          <w:color w:val="auto"/>
          <w:sz w:val="44"/>
          <w:szCs w:val="44"/>
          <w:highlight w:val="none"/>
        </w:rPr>
      </w:pPr>
    </w:p>
    <w:p w14:paraId="5EF1EDF8">
      <w:pPr>
        <w:ind w:firstLine="880"/>
        <w:rPr>
          <w:rFonts w:hint="default" w:ascii="Times New Roman" w:hAnsi="Times New Roman" w:eastAsia="仿宋" w:cs="Times New Roman"/>
          <w:color w:val="auto"/>
          <w:sz w:val="44"/>
          <w:szCs w:val="44"/>
          <w:highlight w:val="none"/>
        </w:rPr>
      </w:pPr>
    </w:p>
    <w:p w14:paraId="60E3BD48">
      <w:pPr>
        <w:ind w:left="480" w:leftChars="200" w:firstLine="0" w:firstLineChars="0"/>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t>项目名称：</w:t>
      </w:r>
      <w:r>
        <w:rPr>
          <w:rFonts w:hint="eastAsia" w:eastAsia="仿宋_GB2312" w:cs="Times New Roman"/>
          <w:color w:val="auto"/>
          <w:sz w:val="36"/>
          <w:szCs w:val="36"/>
          <w:highlight w:val="none"/>
          <w:u w:val="single"/>
          <w:lang w:eastAsia="zh-CN"/>
        </w:rPr>
        <w:t>湖南省澧县屠夫垭矿区建筑石料用灰岩矿项目</w:t>
      </w:r>
      <w:r>
        <w:rPr>
          <w:rFonts w:hint="eastAsia"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rPr>
        <w:t xml:space="preserve">  </w:t>
      </w:r>
    </w:p>
    <w:p w14:paraId="3C552A1D">
      <w:pPr>
        <w:ind w:firstLine="540" w:firstLineChars="150"/>
        <w:jc w:val="left"/>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建设单位（盖章）：</w:t>
      </w:r>
      <w:r>
        <w:rPr>
          <w:rFonts w:hint="eastAsia" w:eastAsia="仿宋_GB2312" w:cs="Times New Roman"/>
          <w:color w:val="auto"/>
          <w:sz w:val="36"/>
          <w:szCs w:val="36"/>
          <w:highlight w:val="none"/>
          <w:u w:val="single"/>
          <w:lang w:val="en-US" w:eastAsia="zh-CN"/>
        </w:rPr>
        <w:t xml:space="preserve">  </w:t>
      </w:r>
      <w:r>
        <w:rPr>
          <w:rFonts w:hint="eastAsia" w:eastAsia="仿宋_GB2312" w:cs="Times New Roman"/>
          <w:color w:val="auto"/>
          <w:spacing w:val="-16"/>
          <w:sz w:val="36"/>
          <w:szCs w:val="36"/>
          <w:highlight w:val="none"/>
          <w:u w:val="single"/>
          <w:lang w:eastAsia="zh-CN"/>
        </w:rPr>
        <w:t>澧县锦锋砂石有限公司</w:t>
      </w:r>
      <w:r>
        <w:rPr>
          <w:rFonts w:hint="eastAsia" w:eastAsia="仿宋_GB2312" w:cs="Times New Roman"/>
          <w:color w:val="auto"/>
          <w:spacing w:val="-16"/>
          <w:sz w:val="36"/>
          <w:szCs w:val="36"/>
          <w:highlight w:val="none"/>
          <w:u w:val="single"/>
          <w:lang w:val="en-US" w:eastAsia="zh-CN"/>
        </w:rPr>
        <w:t xml:space="preserve">              </w:t>
      </w:r>
    </w:p>
    <w:p w14:paraId="30348DC2">
      <w:pPr>
        <w:ind w:firstLine="540" w:firstLineChars="150"/>
        <w:jc w:val="left"/>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 xml:space="preserve">             </w:t>
      </w:r>
      <w:r>
        <w:rPr>
          <w:rFonts w:hint="eastAsia"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202</w:t>
      </w:r>
      <w:r>
        <w:rPr>
          <w:rFonts w:hint="eastAsia" w:eastAsia="仿宋_GB2312" w:cs="Times New Roman"/>
          <w:color w:val="auto"/>
          <w:sz w:val="36"/>
          <w:szCs w:val="36"/>
          <w:highlight w:val="none"/>
          <w:u w:val="single"/>
          <w:lang w:val="en-US" w:eastAsia="zh-CN"/>
        </w:rPr>
        <w:t>6</w:t>
      </w:r>
      <w:r>
        <w:rPr>
          <w:rFonts w:hint="default" w:ascii="Times New Roman" w:hAnsi="Times New Roman" w:eastAsia="仿宋_GB2312" w:cs="Times New Roman"/>
          <w:color w:val="auto"/>
          <w:sz w:val="36"/>
          <w:szCs w:val="36"/>
          <w:highlight w:val="none"/>
          <w:u w:val="single"/>
        </w:rPr>
        <w:t>年</w:t>
      </w:r>
      <w:r>
        <w:rPr>
          <w:rFonts w:hint="eastAsia" w:eastAsia="仿宋_GB2312" w:cs="Times New Roman"/>
          <w:color w:val="auto"/>
          <w:sz w:val="36"/>
          <w:szCs w:val="36"/>
          <w:highlight w:val="none"/>
          <w:u w:val="single"/>
          <w:lang w:val="en-US" w:eastAsia="zh-CN"/>
        </w:rPr>
        <w:t>4</w:t>
      </w:r>
      <w:r>
        <w:rPr>
          <w:rFonts w:hint="default" w:ascii="Times New Roman" w:hAnsi="Times New Roman" w:eastAsia="仿宋_GB2312" w:cs="Times New Roman"/>
          <w:color w:val="auto"/>
          <w:sz w:val="36"/>
          <w:szCs w:val="36"/>
          <w:highlight w:val="none"/>
          <w:u w:val="single"/>
        </w:rPr>
        <w:t xml:space="preserve">月           </w:t>
      </w:r>
      <w:r>
        <w:rPr>
          <w:rFonts w:hint="eastAsia"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rPr>
        <w:t xml:space="preserve"> </w:t>
      </w:r>
    </w:p>
    <w:p w14:paraId="27B9C2DB">
      <w:pPr>
        <w:ind w:firstLine="540" w:firstLineChars="150"/>
        <w:jc w:val="center"/>
        <w:rPr>
          <w:rFonts w:hint="default" w:ascii="Times New Roman" w:hAnsi="Times New Roman" w:eastAsia="楷体_GB2312" w:cs="Times New Roman"/>
          <w:color w:val="auto"/>
          <w:sz w:val="36"/>
          <w:szCs w:val="36"/>
          <w:highlight w:val="none"/>
        </w:rPr>
      </w:pPr>
    </w:p>
    <w:p w14:paraId="3F0697B8">
      <w:pPr>
        <w:ind w:firstLine="540" w:firstLineChars="150"/>
        <w:jc w:val="center"/>
        <w:rPr>
          <w:rFonts w:hint="default" w:ascii="Times New Roman" w:hAnsi="Times New Roman" w:eastAsia="楷体_GB2312" w:cs="Times New Roman"/>
          <w:color w:val="auto"/>
          <w:sz w:val="36"/>
          <w:szCs w:val="36"/>
          <w:highlight w:val="none"/>
        </w:rPr>
      </w:pPr>
    </w:p>
    <w:p w14:paraId="58E2AD71">
      <w:pPr>
        <w:ind w:firstLine="540" w:firstLineChars="150"/>
        <w:jc w:val="center"/>
        <w:rPr>
          <w:rFonts w:hint="default" w:ascii="Times New Roman" w:hAnsi="Times New Roman" w:eastAsia="楷体_GB2312" w:cs="Times New Roman"/>
          <w:color w:val="auto"/>
          <w:sz w:val="36"/>
          <w:szCs w:val="36"/>
          <w:highlight w:val="none"/>
        </w:rPr>
      </w:pPr>
    </w:p>
    <w:p w14:paraId="74EF47E6">
      <w:pPr>
        <w:ind w:firstLine="540" w:firstLineChars="150"/>
        <w:jc w:val="center"/>
        <w:rPr>
          <w:rFonts w:hint="eastAsia" w:ascii="Times New Roman" w:hAnsi="Times New Roman" w:eastAsia="楷体_GB2312" w:cs="Times New Roman"/>
          <w:color w:val="auto"/>
          <w:sz w:val="36"/>
          <w:szCs w:val="36"/>
          <w:highlight w:val="none"/>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18" w:right="1247" w:bottom="1418" w:left="1247" w:header="851" w:footer="992" w:gutter="0"/>
          <w:pgBorders>
            <w:top w:val="none" w:sz="0" w:space="0"/>
            <w:left w:val="none" w:sz="0" w:space="0"/>
            <w:bottom w:val="none" w:sz="0" w:space="0"/>
            <w:right w:val="none" w:sz="0" w:space="0"/>
          </w:pgBorders>
          <w:cols w:space="425" w:num="1"/>
          <w:docGrid w:type="lines" w:linePitch="326" w:charSpace="0"/>
        </w:sectPr>
      </w:pPr>
      <w:r>
        <w:rPr>
          <w:rFonts w:hint="default" w:ascii="Times New Roman" w:hAnsi="Times New Roman" w:eastAsia="楷体_GB2312" w:cs="Times New Roman"/>
          <w:color w:val="auto"/>
          <w:sz w:val="36"/>
          <w:szCs w:val="36"/>
          <w:highlight w:val="none"/>
        </w:rPr>
        <w:t>中华人民共和国生态环境</w:t>
      </w:r>
      <w:r>
        <w:rPr>
          <w:rFonts w:hint="eastAsia" w:eastAsia="楷体_GB2312" w:cs="Times New Roman"/>
          <w:color w:val="auto"/>
          <w:sz w:val="36"/>
          <w:szCs w:val="36"/>
          <w:highlight w:val="none"/>
          <w:lang w:val="en-US" w:eastAsia="zh-CN"/>
        </w:rPr>
        <w:t>部</w:t>
      </w:r>
    </w:p>
    <w:p w14:paraId="0A91E914">
      <w:pPr>
        <w:pStyle w:val="20"/>
        <w:ind w:left="0" w:leftChars="0" w:firstLine="0" w:firstLineChars="0"/>
        <w:rPr>
          <w:rFonts w:hint="default" w:ascii="Times New Roman" w:hAnsi="Times New Roman" w:cs="Times New Roman"/>
          <w:color w:val="auto"/>
          <w:szCs w:val="24"/>
          <w:highlight w:val="none"/>
        </w:rPr>
      </w:pPr>
    </w:p>
    <w:sdt>
      <w:sdtPr>
        <w:rPr>
          <w:rFonts w:ascii="宋体" w:hAnsi="宋体" w:eastAsia="宋体" w:cs="Times New Roman"/>
          <w:color w:val="auto"/>
          <w:kern w:val="2"/>
          <w:sz w:val="21"/>
          <w:szCs w:val="22"/>
          <w:highlight w:val="none"/>
          <w:lang w:val="en-US" w:eastAsia="zh-CN" w:bidi="ar-SA"/>
        </w:rPr>
        <w:id w:val="147463181"/>
        <w15:color w:val="DBDBDB"/>
        <w:docPartObj>
          <w:docPartGallery w:val="Table of Contents"/>
          <w:docPartUnique/>
        </w:docPartObj>
      </w:sdtPr>
      <w:sdtEndPr>
        <w:rPr>
          <w:rFonts w:hint="default" w:ascii="Times New Roman" w:hAnsi="Times New Roman" w:eastAsia="宋体" w:cs="Times New Roman"/>
          <w:color w:val="auto"/>
          <w:kern w:val="0"/>
          <w:sz w:val="24"/>
          <w:szCs w:val="24"/>
          <w:highlight w:val="none"/>
          <w:lang w:val="en-US" w:eastAsia="zh-CN" w:bidi="ar-SA"/>
        </w:rPr>
      </w:sdtEndPr>
      <w:sdtContent>
        <w:p w14:paraId="021E10C6">
          <w:pPr>
            <w:spacing w:before="0" w:beforeLines="0" w:after="0" w:afterLines="0" w:line="240" w:lineRule="auto"/>
            <w:ind w:left="0" w:leftChars="0" w:right="0" w:rightChars="0" w:firstLine="0" w:firstLineChars="0"/>
            <w:jc w:val="center"/>
            <w:rPr>
              <w:color w:val="auto"/>
              <w:sz w:val="30"/>
              <w:szCs w:val="30"/>
              <w:highlight w:val="none"/>
            </w:rPr>
          </w:pPr>
          <w:r>
            <w:rPr>
              <w:rFonts w:ascii="宋体" w:hAnsi="宋体" w:eastAsia="宋体"/>
              <w:color w:val="auto"/>
              <w:sz w:val="30"/>
              <w:szCs w:val="30"/>
              <w:highlight w:val="none"/>
            </w:rPr>
            <w:t>目</w:t>
          </w:r>
          <w:r>
            <w:rPr>
              <w:rFonts w:hint="eastAsia" w:ascii="宋体" w:hAnsi="宋体" w:eastAsia="宋体"/>
              <w:color w:val="auto"/>
              <w:sz w:val="30"/>
              <w:szCs w:val="30"/>
              <w:highlight w:val="none"/>
              <w:lang w:val="en-US" w:eastAsia="zh-CN"/>
            </w:rPr>
            <w:t xml:space="preserve">  </w:t>
          </w:r>
          <w:r>
            <w:rPr>
              <w:rFonts w:ascii="宋体" w:hAnsi="宋体" w:eastAsia="宋体"/>
              <w:color w:val="auto"/>
              <w:sz w:val="30"/>
              <w:szCs w:val="30"/>
              <w:highlight w:val="none"/>
            </w:rPr>
            <w:t>录</w:t>
          </w:r>
        </w:p>
        <w:p w14:paraId="529C6381">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TOC \o "1-1" \h \u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_Toc25734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一、建设项目基本情况</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_Toc25734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- 1 -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55075C0B">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_Toc29952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二、建设内容</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_Toc29952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- 24 -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4A92EF1F">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_Toc21568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三、生态环境现状、保护目标及评价标准</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_Toc21568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- 40 -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5BA693B0">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_Toc16107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四、生态环境影响分析</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_Toc16107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- 53 -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441FE675">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_Toc30293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五、主要生态环境保护措施</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_Toc30293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- 74 -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2AF05CB2">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_Toc30663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六、生态环境保护措施监督检查清单</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_Toc30663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- 98 -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6A2E36EE">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_Toc4752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七、结论</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_Toc4752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- 101 -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648C7E9D">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p>
        <w:p w14:paraId="2EDBC026">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附件：</w:t>
          </w:r>
        </w:p>
        <w:p w14:paraId="1C163339">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  环评委托书</w:t>
          </w:r>
        </w:p>
        <w:p w14:paraId="5782999F">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附件2  建设单位营业执照</w:t>
          </w:r>
        </w:p>
        <w:p w14:paraId="1DCA3D38">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附件3  湖南省生态环境厅关于《湖南省普通建筑材料用砂石土矿专项规划（2021-2025年）环境影响报告书》的审查意见</w:t>
          </w:r>
        </w:p>
        <w:p w14:paraId="32B47420">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附件4  常德市生态环境局关于《常德市矿产资源总体规划（2021-2025年）拟设开采区块的审查意见说明》</w:t>
          </w:r>
        </w:p>
        <w:p w14:paraId="2A61904B">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附件5  采矿许可证</w:t>
          </w:r>
        </w:p>
        <w:p w14:paraId="20E3DF45">
          <w:pPr>
            <w:keepNext w:val="0"/>
            <w:keepLines w:val="0"/>
            <w:widowControl/>
            <w:suppressLineNumbers w:val="0"/>
            <w:ind w:left="0" w:leftChars="0" w:firstLine="0" w:firstLineChars="0"/>
            <w:jc w:val="left"/>
            <w:rPr>
              <w:color w:val="auto"/>
              <w:highlight w:val="none"/>
            </w:rPr>
          </w:pPr>
          <w:r>
            <w:rPr>
              <w:rFonts w:hint="eastAsia" w:cs="Times New Roman" w:eastAsiaTheme="majorEastAsia"/>
              <w:color w:val="auto"/>
              <w:sz w:val="24"/>
              <w:szCs w:val="24"/>
              <w:highlight w:val="none"/>
              <w:lang w:val="en-US" w:eastAsia="zh-CN"/>
            </w:rPr>
            <w:t xml:space="preserve">附件6  </w:t>
          </w:r>
          <w:r>
            <w:rPr>
              <w:rFonts w:hint="eastAsia" w:ascii="宋体" w:hAnsi="宋体" w:eastAsia="宋体" w:cs="宋体"/>
              <w:color w:val="auto"/>
              <w:kern w:val="0"/>
              <w:sz w:val="24"/>
              <w:szCs w:val="24"/>
              <w:highlight w:val="none"/>
              <w:lang w:val="en-US" w:eastAsia="zh-CN" w:bidi="ar"/>
            </w:rPr>
            <w:t>《湖南省澧县屠夫垭矿区建筑石料用灰岩矿采矿权申请范围核查报告》评审意见书（ 湘采矿权核查评字</w:t>
          </w:r>
          <w:r>
            <w:rPr>
              <w:rFonts w:hint="default" w:ascii="Times New Roman" w:hAnsi="Times New Roman" w:eastAsia="宋体" w:cs="Times New Roman"/>
              <w:color w:val="auto"/>
              <w:kern w:val="0"/>
              <w:sz w:val="24"/>
              <w:szCs w:val="24"/>
              <w:highlight w:val="none"/>
              <w:lang w:val="en-US" w:eastAsia="zh-CN" w:bidi="ar"/>
            </w:rPr>
            <w:t>[2023]025</w:t>
          </w:r>
          <w:r>
            <w:rPr>
              <w:rFonts w:hint="eastAsia" w:ascii="宋体" w:hAnsi="宋体" w:eastAsia="宋体" w:cs="宋体"/>
              <w:color w:val="auto"/>
              <w:kern w:val="0"/>
              <w:sz w:val="24"/>
              <w:szCs w:val="24"/>
              <w:highlight w:val="none"/>
              <w:lang w:val="en-US" w:eastAsia="zh-CN" w:bidi="ar"/>
            </w:rPr>
            <w:t>号）</w:t>
          </w:r>
        </w:p>
        <w:p w14:paraId="7A791F34">
          <w:pPr>
            <w:keepNext w:val="0"/>
            <w:keepLines w:val="0"/>
            <w:widowControl/>
            <w:suppressLineNumbers w:val="0"/>
            <w:ind w:left="0" w:leftChars="0" w:firstLine="0" w:firstLineChars="0"/>
            <w:jc w:val="left"/>
            <w:rPr>
              <w:color w:val="auto"/>
              <w:highlight w:val="none"/>
            </w:rPr>
          </w:pPr>
          <w:r>
            <w:rPr>
              <w:rFonts w:hint="eastAsia" w:cs="Times New Roman" w:eastAsiaTheme="majorEastAsia"/>
              <w:color w:val="auto"/>
              <w:sz w:val="24"/>
              <w:szCs w:val="24"/>
              <w:highlight w:val="none"/>
              <w:lang w:val="en-US" w:eastAsia="zh-CN"/>
            </w:rPr>
            <w:t xml:space="preserve">附件7  </w:t>
          </w:r>
          <w:r>
            <w:rPr>
              <w:rFonts w:hint="default" w:ascii="Times New Roman" w:hAnsi="Times New Roman" w:eastAsia="宋体" w:cs="Times New Roman"/>
              <w:color w:val="auto"/>
              <w:kern w:val="0"/>
              <w:sz w:val="24"/>
              <w:szCs w:val="24"/>
              <w:highlight w:val="none"/>
              <w:lang w:val="en-US" w:eastAsia="zh-CN" w:bidi="ar"/>
            </w:rPr>
            <w:t>《湖南省澧县屠夫垭矿区建筑石料用灰岩矿勘查报告》备案书（湘自资储备字﹝2023﹞057 号）及评审意见书（湘评审[2023]067号）</w:t>
          </w:r>
        </w:p>
        <w:p w14:paraId="5D416C57">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附件8  澧县芦桥采石场停产证明</w:t>
          </w:r>
        </w:p>
        <w:p w14:paraId="405E325C">
          <w:pPr>
            <w:keepNext w:val="0"/>
            <w:keepLines w:val="0"/>
            <w:widowControl/>
            <w:suppressLineNumbers w:val="0"/>
            <w:ind w:left="0" w:leftChars="0" w:firstLine="0" w:firstLineChars="0"/>
            <w:jc w:val="left"/>
            <w:rPr>
              <w:color w:val="auto"/>
              <w:highlight w:val="none"/>
            </w:rPr>
          </w:pPr>
          <w:r>
            <w:rPr>
              <w:rFonts w:hint="eastAsia" w:cs="Times New Roman" w:eastAsiaTheme="majorEastAsia"/>
              <w:color w:val="auto"/>
              <w:sz w:val="24"/>
              <w:szCs w:val="24"/>
              <w:highlight w:val="none"/>
              <w:lang w:val="en-US" w:eastAsia="zh-CN"/>
            </w:rPr>
            <w:t xml:space="preserve">附件9  </w:t>
          </w:r>
          <w:r>
            <w:rPr>
              <w:rFonts w:hint="eastAsia" w:ascii="宋体" w:hAnsi="宋体" w:eastAsia="宋体" w:cs="宋体"/>
              <w:color w:val="auto"/>
              <w:kern w:val="0"/>
              <w:sz w:val="24"/>
              <w:szCs w:val="24"/>
              <w:highlight w:val="none"/>
              <w:lang w:val="en-US" w:eastAsia="zh-CN" w:bidi="ar"/>
            </w:rPr>
            <w:t xml:space="preserve">澧县屠夫垭矿区拟设加工厂、排土场和办公生活区范围相关信息分析结果简报 </w:t>
          </w:r>
        </w:p>
        <w:p w14:paraId="10265BB0">
          <w:pPr>
            <w:keepNext w:val="0"/>
            <w:keepLines w:val="0"/>
            <w:widowControl/>
            <w:suppressLineNumbers w:val="0"/>
            <w:ind w:left="0" w:leftChars="0" w:firstLine="0" w:firstLineChars="0"/>
            <w:jc w:val="left"/>
            <w:rPr>
              <w:color w:val="auto"/>
              <w:highlight w:val="none"/>
            </w:rPr>
          </w:pPr>
          <w:r>
            <w:rPr>
              <w:rFonts w:hint="eastAsia" w:cs="Times New Roman" w:eastAsiaTheme="majorEastAsia"/>
              <w:color w:val="auto"/>
              <w:sz w:val="24"/>
              <w:szCs w:val="24"/>
              <w:highlight w:val="none"/>
              <w:lang w:val="en-US" w:eastAsia="zh-CN"/>
            </w:rPr>
            <w:t xml:space="preserve">附件10  </w:t>
          </w:r>
          <w:r>
            <w:rPr>
              <w:rFonts w:hint="eastAsia" w:ascii="宋体" w:hAnsi="宋体" w:eastAsia="宋体" w:cs="宋体"/>
              <w:color w:val="auto"/>
              <w:kern w:val="0"/>
              <w:sz w:val="24"/>
              <w:szCs w:val="24"/>
              <w:highlight w:val="none"/>
              <w:lang w:val="en-US" w:eastAsia="zh-CN" w:bidi="ar"/>
            </w:rPr>
            <w:t xml:space="preserve">矿业权设置范围相关信息分析结果简报 </w:t>
          </w:r>
        </w:p>
        <w:p w14:paraId="0100B0D4">
          <w:pPr>
            <w:keepNext w:val="0"/>
            <w:keepLines w:val="0"/>
            <w:widowControl/>
            <w:suppressLineNumbers w:val="0"/>
            <w:ind w:left="0" w:leftChars="0" w:firstLine="0" w:firstLineChars="0"/>
            <w:jc w:val="left"/>
            <w:rPr>
              <w:color w:val="auto"/>
              <w:highlight w:val="none"/>
            </w:rPr>
          </w:pPr>
          <w:r>
            <w:rPr>
              <w:rFonts w:hint="eastAsia" w:cs="Times New Roman" w:eastAsiaTheme="majorEastAsia"/>
              <w:color w:val="auto"/>
              <w:sz w:val="24"/>
              <w:szCs w:val="24"/>
              <w:highlight w:val="none"/>
              <w:lang w:val="en-US" w:eastAsia="zh-CN"/>
            </w:rPr>
            <w:t xml:space="preserve">附件11  </w:t>
          </w:r>
          <w:r>
            <w:rPr>
              <w:rFonts w:hint="eastAsia" w:ascii="宋体" w:hAnsi="宋体" w:eastAsia="宋体" w:cs="宋体"/>
              <w:color w:val="auto"/>
              <w:kern w:val="0"/>
              <w:sz w:val="24"/>
              <w:szCs w:val="24"/>
              <w:highlight w:val="none"/>
              <w:lang w:val="en-US" w:eastAsia="zh-CN" w:bidi="ar"/>
            </w:rPr>
            <w:t>澧县应急局关于湖南省澧县屠夫垭拟设矿区范围安全距离内</w:t>
          </w:r>
          <w:r>
            <w:rPr>
              <w:rFonts w:hint="eastAsia" w:ascii="宋体" w:hAnsi="宋体" w:cs="宋体"/>
              <w:color w:val="auto"/>
              <w:kern w:val="0"/>
              <w:sz w:val="24"/>
              <w:szCs w:val="24"/>
              <w:highlight w:val="none"/>
              <w:lang w:val="en-US" w:eastAsia="zh-CN" w:bidi="ar"/>
            </w:rPr>
            <w:t>工业场地</w:t>
          </w:r>
          <w:r>
            <w:rPr>
              <w:rFonts w:hint="eastAsia" w:ascii="宋体" w:hAnsi="宋体" w:eastAsia="宋体" w:cs="宋体"/>
              <w:color w:val="auto"/>
              <w:kern w:val="0"/>
              <w:sz w:val="24"/>
              <w:szCs w:val="24"/>
              <w:highlight w:val="none"/>
              <w:lang w:val="en-US" w:eastAsia="zh-CN" w:bidi="ar"/>
            </w:rPr>
            <w:t>的处置意见</w:t>
          </w:r>
        </w:p>
        <w:p w14:paraId="67904EB0">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附件12  开发利用方案评审意见书</w:t>
          </w:r>
        </w:p>
        <w:p w14:paraId="41F1FAE1">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附件13  生态修复方案评审意见书</w:t>
          </w:r>
        </w:p>
        <w:p w14:paraId="277ECC87">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附件14  环境质量现状监测报告</w:t>
          </w:r>
        </w:p>
        <w:p w14:paraId="32121329">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附件15  安全距离内房屋搬迁的承诺</w:t>
          </w:r>
        </w:p>
        <w:p w14:paraId="53138082">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附件16  高压线杆迁移承诺及说明</w:t>
          </w:r>
        </w:p>
        <w:p w14:paraId="3FA5EAC0">
          <w:pPr>
            <w:pStyle w:val="47"/>
            <w:tabs>
              <w:tab w:val="right" w:leader="dot" w:pos="8730"/>
            </w:tabs>
            <w:spacing w:line="360" w:lineRule="auto"/>
            <w:rPr>
              <w:rFonts w:hint="default" w:cs="Times New Roman" w:eastAsiaTheme="majorEastAsia"/>
              <w:color w:val="auto"/>
              <w:sz w:val="24"/>
              <w:szCs w:val="24"/>
              <w:highlight w:val="none"/>
              <w:u w:val="single"/>
              <w:lang w:val="en-US" w:eastAsia="zh-CN"/>
            </w:rPr>
          </w:pPr>
          <w:r>
            <w:rPr>
              <w:rFonts w:hint="eastAsia" w:cs="Times New Roman" w:eastAsiaTheme="majorEastAsia"/>
              <w:color w:val="auto"/>
              <w:sz w:val="24"/>
              <w:szCs w:val="24"/>
              <w:highlight w:val="none"/>
              <w:u w:val="single"/>
              <w:lang w:val="en-US" w:eastAsia="zh-CN"/>
            </w:rPr>
            <w:t>附件17  发改备案文件</w:t>
          </w:r>
        </w:p>
        <w:p w14:paraId="6415B02D">
          <w:pPr>
            <w:pStyle w:val="47"/>
            <w:tabs>
              <w:tab w:val="right" w:leader="dot" w:pos="8730"/>
            </w:tabs>
            <w:spacing w:line="360" w:lineRule="auto"/>
            <w:rPr>
              <w:rFonts w:hint="default" w:cs="Times New Roman" w:eastAsiaTheme="majorEastAsia"/>
              <w:color w:val="auto"/>
              <w:sz w:val="24"/>
              <w:szCs w:val="24"/>
              <w:highlight w:val="none"/>
              <w:u w:val="single"/>
              <w:lang w:val="en-US" w:eastAsia="zh-CN"/>
            </w:rPr>
          </w:pPr>
          <w:r>
            <w:rPr>
              <w:rFonts w:hint="eastAsia" w:cs="Times New Roman" w:eastAsiaTheme="majorEastAsia"/>
              <w:color w:val="auto"/>
              <w:sz w:val="24"/>
              <w:szCs w:val="24"/>
              <w:highlight w:val="none"/>
              <w:u w:val="single"/>
              <w:lang w:val="en-US" w:eastAsia="zh-CN"/>
            </w:rPr>
            <w:t>附件18  工业场地租赁协议</w:t>
          </w:r>
        </w:p>
        <w:p w14:paraId="507788E5">
          <w:pPr>
            <w:pStyle w:val="47"/>
            <w:tabs>
              <w:tab w:val="right" w:leader="dot" w:pos="8730"/>
            </w:tabs>
            <w:spacing w:line="360" w:lineRule="auto"/>
            <w:rPr>
              <w:rFonts w:hint="default" w:cs="Times New Roman" w:eastAsiaTheme="majorEastAsia"/>
              <w:color w:val="auto"/>
              <w:sz w:val="24"/>
              <w:szCs w:val="24"/>
              <w:highlight w:val="none"/>
              <w:u w:val="single"/>
              <w:lang w:val="en-US" w:eastAsia="zh-CN"/>
            </w:rPr>
          </w:pPr>
          <w:r>
            <w:rPr>
              <w:rFonts w:hint="eastAsia" w:cs="Times New Roman" w:eastAsiaTheme="majorEastAsia"/>
              <w:color w:val="auto"/>
              <w:sz w:val="24"/>
              <w:szCs w:val="24"/>
              <w:highlight w:val="none"/>
              <w:u w:val="single"/>
              <w:lang w:val="en-US" w:eastAsia="zh-CN"/>
            </w:rPr>
            <w:t>附件19  专家评审意见及签到表</w:t>
          </w:r>
        </w:p>
        <w:p w14:paraId="79015EC9">
          <w:pPr>
            <w:pStyle w:val="47"/>
            <w:tabs>
              <w:tab w:val="right" w:leader="dot" w:pos="8730"/>
            </w:tabs>
            <w:spacing w:line="360" w:lineRule="auto"/>
            <w:rPr>
              <w:rFonts w:hint="eastAsia" w:cs="Times New Roman" w:eastAsiaTheme="majorEastAsia"/>
              <w:color w:val="auto"/>
              <w:sz w:val="24"/>
              <w:szCs w:val="24"/>
              <w:highlight w:val="none"/>
              <w:lang w:val="en-US" w:eastAsia="zh-CN"/>
            </w:rPr>
          </w:pPr>
        </w:p>
        <w:p w14:paraId="4FDC53D3">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w:t>
          </w:r>
        </w:p>
        <w:p w14:paraId="480F967E">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附图1  项目地理位置图</w:t>
          </w:r>
        </w:p>
        <w:p w14:paraId="0E96D87C">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附图2  监测点位图</w:t>
          </w:r>
        </w:p>
        <w:p w14:paraId="4FAE47AA">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附图3  环境敏感目标分布图</w:t>
          </w:r>
        </w:p>
        <w:p w14:paraId="27671EBE">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附图4  厂区及矿区现状图</w:t>
          </w:r>
        </w:p>
        <w:p w14:paraId="68ED6801">
          <w:pPr>
            <w:pStyle w:val="47"/>
            <w:tabs>
              <w:tab w:val="right" w:leader="dot" w:pos="8730"/>
            </w:tabs>
            <w:spacing w:line="360" w:lineRule="auto"/>
            <w:rPr>
              <w:rFonts w:hint="default" w:ascii="Times New Roman" w:hAnsi="Times New Roman"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 xml:space="preserve">附图5  </w:t>
          </w:r>
          <w:r>
            <w:rPr>
              <w:rFonts w:hint="eastAsia" w:ascii="Times New Roman" w:hAnsi="Times New Roman" w:cs="Times New Roman" w:eastAsiaTheme="majorEastAsia"/>
              <w:color w:val="auto"/>
              <w:sz w:val="24"/>
              <w:szCs w:val="24"/>
              <w:highlight w:val="none"/>
              <w:lang w:val="en-US" w:eastAsia="zh-CN"/>
            </w:rPr>
            <w:t>项目与澧县生态红线位置关系图</w:t>
          </w:r>
        </w:p>
        <w:p w14:paraId="7E518E09">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附图6  区域水系图</w:t>
          </w:r>
        </w:p>
        <w:p w14:paraId="5268B9CD">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附图7  运输路线图</w:t>
          </w:r>
        </w:p>
        <w:p w14:paraId="7F9DA6F8">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附图8  矿区与周边自然保护区相对位置关系图</w:t>
          </w:r>
        </w:p>
        <w:p w14:paraId="3FF695D9">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附图9  项目遥感影像图</w:t>
          </w:r>
        </w:p>
        <w:p w14:paraId="634803DA">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附图10  矿山地形地质及矿区平面图</w:t>
          </w:r>
        </w:p>
        <w:p w14:paraId="16EE74F5">
          <w:pPr>
            <w:pStyle w:val="47"/>
            <w:tabs>
              <w:tab w:val="right" w:leader="dot" w:pos="8730"/>
            </w:tabs>
            <w:spacing w:line="360" w:lineRule="auto"/>
            <w:rPr>
              <w:rFonts w:hint="default"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附图11  工业场地平面布置图</w:t>
          </w:r>
        </w:p>
        <w:p w14:paraId="41742840">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附图1</w:t>
          </w:r>
          <w:r>
            <w:rPr>
              <w:rFonts w:hint="eastAsia" w:cs="Times New Roman" w:eastAsiaTheme="majorEastAsia"/>
              <w:color w:val="auto"/>
              <w:sz w:val="24"/>
              <w:szCs w:val="24"/>
              <w:highlight w:val="none"/>
              <w:lang w:val="en-US" w:eastAsia="zh-CN"/>
            </w:rPr>
            <w:t>2</w:t>
          </w:r>
          <w:r>
            <w:rPr>
              <w:rFonts w:hint="eastAsia" w:ascii="Times New Roman" w:hAnsi="Times New Roman" w:cs="Times New Roman" w:eastAsiaTheme="majorEastAsia"/>
              <w:color w:val="auto"/>
              <w:sz w:val="24"/>
              <w:szCs w:val="24"/>
              <w:highlight w:val="none"/>
              <w:lang w:val="en-US" w:eastAsia="zh-CN"/>
            </w:rPr>
            <w:t xml:space="preserve">  矿山最终开采境界图</w:t>
          </w:r>
        </w:p>
        <w:p w14:paraId="7BBDE8BB">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附图13  资源储量分布平面图</w:t>
          </w:r>
        </w:p>
        <w:p w14:paraId="284804A6">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附图14  采剥方法示意图</w:t>
          </w:r>
        </w:p>
        <w:p w14:paraId="70889B5E">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 xml:space="preserve">附图15  矿山生态问题分布图 </w:t>
          </w:r>
        </w:p>
        <w:p w14:paraId="23F53CB5">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附图16  矿山生态修复工程部署图</w:t>
          </w:r>
        </w:p>
        <w:p w14:paraId="17A70541">
          <w:pPr>
            <w:pStyle w:val="19"/>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fldChar w:fldCharType="end"/>
          </w:r>
        </w:p>
      </w:sdtContent>
    </w:sdt>
    <w:p w14:paraId="0EB2E6B8">
      <w:pPr>
        <w:pStyle w:val="20"/>
        <w:rPr>
          <w:rFonts w:hint="default"/>
          <w:color w:val="auto"/>
          <w:highlight w:val="none"/>
        </w:rPr>
        <w:sectPr>
          <w:pgSz w:w="11906" w:h="16838"/>
          <w:pgMar w:top="1418" w:right="1588" w:bottom="1418" w:left="1588" w:header="851" w:footer="992" w:gutter="0"/>
          <w:pgBorders>
            <w:top w:val="none" w:sz="0" w:space="0"/>
            <w:left w:val="none" w:sz="0" w:space="0"/>
            <w:bottom w:val="none" w:sz="0" w:space="0"/>
            <w:right w:val="none" w:sz="0" w:space="0"/>
          </w:pgBorders>
          <w:cols w:space="425" w:num="1"/>
          <w:docGrid w:type="lines" w:linePitch="326" w:charSpace="0"/>
        </w:sectPr>
      </w:pPr>
    </w:p>
    <w:p w14:paraId="22380BD4">
      <w:pPr>
        <w:pStyle w:val="2"/>
        <w:jc w:val="center"/>
        <w:rPr>
          <w:rFonts w:hint="default" w:ascii="Times New Roman" w:hAnsi="Times New Roman" w:eastAsia="黑体" w:cs="Times New Roman"/>
          <w:b w:val="0"/>
          <w:bCs w:val="0"/>
          <w:color w:val="auto"/>
          <w:sz w:val="30"/>
          <w:szCs w:val="30"/>
          <w:highlight w:val="none"/>
        </w:rPr>
      </w:pPr>
      <w:bookmarkStart w:id="1" w:name="_Toc25734"/>
      <w:r>
        <w:rPr>
          <w:rFonts w:hint="default" w:ascii="Times New Roman" w:hAnsi="Times New Roman" w:eastAsia="黑体" w:cs="Times New Roman"/>
          <w:b w:val="0"/>
          <w:bCs w:val="0"/>
          <w:color w:val="auto"/>
          <w:sz w:val="30"/>
          <w:szCs w:val="30"/>
          <w:highlight w:val="none"/>
        </w:rPr>
        <w:t>一、建设项目基本情况</w:t>
      </w:r>
      <w:bookmarkEnd w:id="1"/>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2370"/>
        <w:gridCol w:w="1871"/>
        <w:gridCol w:w="3031"/>
      </w:tblGrid>
      <w:tr w14:paraId="666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48C56F1B">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建设项目名称</w:t>
            </w:r>
          </w:p>
        </w:tc>
        <w:tc>
          <w:tcPr>
            <w:tcW w:w="7097" w:type="dxa"/>
            <w:gridSpan w:val="3"/>
            <w:vAlign w:val="center"/>
          </w:tcPr>
          <w:p w14:paraId="6774BBD5">
            <w:pPr>
              <w:spacing w:line="240" w:lineRule="auto"/>
              <w:ind w:firstLine="0" w:firstLineChars="0"/>
              <w:jc w:val="center"/>
              <w:rPr>
                <w:rFonts w:hint="default" w:ascii="Times New Roman" w:hAnsi="Times New Roman" w:eastAsia="宋体" w:cs="Times New Roman"/>
                <w:color w:val="auto"/>
                <w:szCs w:val="24"/>
                <w:highlight w:val="none"/>
                <w:lang w:eastAsia="zh-CN"/>
              </w:rPr>
            </w:pPr>
            <w:r>
              <w:rPr>
                <w:rFonts w:hint="eastAsia" w:cs="Times New Roman"/>
                <w:color w:val="auto"/>
                <w:szCs w:val="24"/>
                <w:highlight w:val="none"/>
                <w:lang w:eastAsia="zh-CN"/>
              </w:rPr>
              <w:t>湖南省澧县屠夫垭矿区建筑石料用灰岩矿项目</w:t>
            </w:r>
          </w:p>
        </w:tc>
      </w:tr>
      <w:tr w14:paraId="5473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5A2B01D0">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项目代码</w:t>
            </w:r>
          </w:p>
        </w:tc>
        <w:tc>
          <w:tcPr>
            <w:tcW w:w="7097" w:type="dxa"/>
            <w:gridSpan w:val="3"/>
            <w:vAlign w:val="center"/>
          </w:tcPr>
          <w:p w14:paraId="72FCC78C">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u w:val="single"/>
                <w:lang w:val="en-US" w:eastAsia="zh-CN"/>
              </w:rPr>
              <w:t>2508430723-04-01-975622</w:t>
            </w:r>
          </w:p>
        </w:tc>
      </w:tr>
      <w:tr w14:paraId="6A80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2ABBEFBB">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建设单位联系人</w:t>
            </w:r>
          </w:p>
        </w:tc>
        <w:tc>
          <w:tcPr>
            <w:tcW w:w="2313" w:type="dxa"/>
            <w:vAlign w:val="center"/>
          </w:tcPr>
          <w:p w14:paraId="68A7B0FA">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戴作银</w:t>
            </w:r>
          </w:p>
        </w:tc>
        <w:tc>
          <w:tcPr>
            <w:tcW w:w="1826" w:type="dxa"/>
            <w:vAlign w:val="center"/>
          </w:tcPr>
          <w:p w14:paraId="78B08F88">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联系方式</w:t>
            </w:r>
          </w:p>
        </w:tc>
        <w:tc>
          <w:tcPr>
            <w:tcW w:w="2958" w:type="dxa"/>
            <w:vAlign w:val="center"/>
          </w:tcPr>
          <w:p w14:paraId="4189853A">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13974204545</w:t>
            </w:r>
          </w:p>
        </w:tc>
      </w:tr>
      <w:tr w14:paraId="44B2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046C65DD">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建设地点</w:t>
            </w:r>
          </w:p>
        </w:tc>
        <w:tc>
          <w:tcPr>
            <w:tcW w:w="7097" w:type="dxa"/>
            <w:gridSpan w:val="3"/>
            <w:vAlign w:val="center"/>
          </w:tcPr>
          <w:p w14:paraId="42CD2086">
            <w:pPr>
              <w:spacing w:line="240" w:lineRule="auto"/>
              <w:ind w:firstLine="0" w:firstLineChars="0"/>
              <w:jc w:val="center"/>
              <w:rPr>
                <w:rFonts w:hint="eastAsia"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u w:val="single"/>
              </w:rPr>
              <w:t>湖南省</w:t>
            </w:r>
            <w:r>
              <w:rPr>
                <w:rFonts w:hint="eastAsia" w:cs="Times New Roman"/>
                <w:color w:val="auto"/>
                <w:szCs w:val="24"/>
                <w:highlight w:val="none"/>
                <w:u w:val="single"/>
                <w:lang w:eastAsia="zh-CN"/>
              </w:rPr>
              <w:t>常德市澧县火连坡镇芦桥村九组及水氽洞村十组、十三组</w:t>
            </w:r>
          </w:p>
        </w:tc>
      </w:tr>
      <w:tr w14:paraId="67D3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45D1CFDC">
            <w:pPr>
              <w:spacing w:line="240" w:lineRule="auto"/>
              <w:ind w:firstLine="0" w:firstLineChars="0"/>
              <w:jc w:val="center"/>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地理坐标</w:t>
            </w:r>
          </w:p>
        </w:tc>
        <w:tc>
          <w:tcPr>
            <w:tcW w:w="7097" w:type="dxa"/>
            <w:gridSpan w:val="3"/>
            <w:vAlign w:val="center"/>
          </w:tcPr>
          <w:p w14:paraId="17B97A17">
            <w:pPr>
              <w:spacing w:line="240" w:lineRule="auto"/>
              <w:ind w:firstLine="0" w:firstLineChars="0"/>
              <w:jc w:val="center"/>
              <w:rPr>
                <w:rFonts w:hint="default" w:ascii="Times New Roman" w:hAnsi="Times New Roman" w:cs="Times New Roman"/>
                <w:color w:val="auto"/>
                <w:szCs w:val="24"/>
                <w:highlight w:val="none"/>
                <w:u w:val="none"/>
                <w:lang w:eastAsia="zh-CN"/>
              </w:rPr>
            </w:pPr>
            <w:r>
              <w:rPr>
                <w:rFonts w:hint="default" w:ascii="Times New Roman" w:hAnsi="Times New Roman" w:cs="Times New Roman"/>
                <w:color w:val="auto"/>
                <w:szCs w:val="24"/>
                <w:highlight w:val="none"/>
                <w:u w:val="none"/>
              </w:rPr>
              <w:t>（</w:t>
            </w:r>
            <w:r>
              <w:rPr>
                <w:rFonts w:hint="default" w:ascii="Times New Roman" w:hAnsi="Times New Roman" w:cs="Times New Roman"/>
                <w:color w:val="auto"/>
                <w:szCs w:val="24"/>
                <w:highlight w:val="none"/>
                <w:u w:val="none"/>
                <w:lang w:val="en-US" w:eastAsia="zh-CN"/>
              </w:rPr>
              <w:t>矿区中心地理坐标为</w:t>
            </w:r>
            <w:r>
              <w:rPr>
                <w:rFonts w:hint="default" w:ascii="Times New Roman" w:hAnsi="Times New Roman" w:cs="Times New Roman"/>
                <w:color w:val="auto"/>
                <w:szCs w:val="24"/>
                <w:highlight w:val="none"/>
                <w:u w:val="none"/>
              </w:rPr>
              <w:t>111°</w:t>
            </w:r>
            <w:r>
              <w:rPr>
                <w:rFonts w:hint="eastAsia" w:cs="Times New Roman"/>
                <w:color w:val="auto"/>
                <w:szCs w:val="24"/>
                <w:highlight w:val="none"/>
                <w:u w:val="none"/>
                <w:lang w:val="en-US" w:eastAsia="zh-CN"/>
              </w:rPr>
              <w:t>28</w:t>
            </w:r>
            <w:r>
              <w:rPr>
                <w:rFonts w:hint="default" w:ascii="Times New Roman" w:hAnsi="Times New Roman" w:cs="Times New Roman"/>
                <w:color w:val="auto"/>
                <w:szCs w:val="24"/>
                <w:highlight w:val="none"/>
                <w:u w:val="none"/>
              </w:rPr>
              <w:t>′</w:t>
            </w:r>
            <w:r>
              <w:rPr>
                <w:rFonts w:hint="eastAsia" w:cs="Times New Roman"/>
                <w:color w:val="auto"/>
                <w:szCs w:val="24"/>
                <w:highlight w:val="none"/>
                <w:u w:val="none"/>
                <w:lang w:val="en-US" w:eastAsia="zh-CN"/>
              </w:rPr>
              <w:t>55.006</w:t>
            </w:r>
            <w:r>
              <w:rPr>
                <w:rFonts w:hint="default" w:ascii="Times New Roman" w:hAnsi="Times New Roman" w:cs="Times New Roman"/>
                <w:color w:val="auto"/>
                <w:szCs w:val="24"/>
                <w:highlight w:val="none"/>
                <w:u w:val="none"/>
              </w:rPr>
              <w:t>″E，29°</w:t>
            </w:r>
            <w:r>
              <w:rPr>
                <w:rFonts w:hint="eastAsia" w:cs="Times New Roman"/>
                <w:color w:val="auto"/>
                <w:szCs w:val="24"/>
                <w:highlight w:val="none"/>
                <w:u w:val="none"/>
                <w:lang w:val="en-US" w:eastAsia="zh-CN"/>
              </w:rPr>
              <w:t>51</w:t>
            </w:r>
            <w:r>
              <w:rPr>
                <w:rFonts w:hint="default" w:ascii="Times New Roman" w:hAnsi="Times New Roman" w:cs="Times New Roman"/>
                <w:color w:val="auto"/>
                <w:szCs w:val="24"/>
                <w:highlight w:val="none"/>
                <w:u w:val="none"/>
              </w:rPr>
              <w:t>′</w:t>
            </w:r>
            <w:r>
              <w:rPr>
                <w:rFonts w:hint="eastAsia" w:cs="Times New Roman"/>
                <w:color w:val="auto"/>
                <w:szCs w:val="24"/>
                <w:highlight w:val="none"/>
                <w:u w:val="none"/>
                <w:lang w:val="en-US" w:eastAsia="zh-CN"/>
              </w:rPr>
              <w:t>58.392</w:t>
            </w:r>
            <w:r>
              <w:rPr>
                <w:rFonts w:hint="default" w:ascii="Times New Roman" w:hAnsi="Times New Roman" w:cs="Times New Roman"/>
                <w:color w:val="auto"/>
                <w:szCs w:val="24"/>
                <w:highlight w:val="none"/>
                <w:u w:val="none"/>
              </w:rPr>
              <w:t>″N</w:t>
            </w:r>
            <w:r>
              <w:rPr>
                <w:rFonts w:hint="default" w:ascii="Times New Roman" w:hAnsi="Times New Roman" w:cs="Times New Roman"/>
                <w:color w:val="auto"/>
                <w:szCs w:val="24"/>
                <w:highlight w:val="none"/>
                <w:u w:val="none"/>
                <w:lang w:eastAsia="zh-CN"/>
              </w:rPr>
              <w:t>，</w:t>
            </w:r>
          </w:p>
          <w:p w14:paraId="6F606DD2">
            <w:pPr>
              <w:spacing w:line="240" w:lineRule="auto"/>
              <w:ind w:firstLine="0" w:firstLineChars="0"/>
              <w:jc w:val="center"/>
              <w:rPr>
                <w:rFonts w:hint="default" w:ascii="Times New Roman" w:hAnsi="Times New Roman" w:cs="Times New Roman"/>
                <w:color w:val="auto"/>
                <w:szCs w:val="24"/>
                <w:highlight w:val="none"/>
                <w:u w:val="none"/>
              </w:rPr>
            </w:pPr>
            <w:r>
              <w:rPr>
                <w:rFonts w:hint="eastAsia" w:cs="Times New Roman"/>
                <w:color w:val="auto"/>
                <w:szCs w:val="24"/>
                <w:highlight w:val="none"/>
                <w:u w:val="none"/>
                <w:lang w:val="en-US" w:eastAsia="zh-CN"/>
              </w:rPr>
              <w:t>工业场地</w:t>
            </w:r>
            <w:r>
              <w:rPr>
                <w:rFonts w:hint="default" w:ascii="Times New Roman" w:hAnsi="Times New Roman" w:cs="Times New Roman"/>
                <w:color w:val="auto"/>
                <w:szCs w:val="24"/>
                <w:highlight w:val="none"/>
                <w:u w:val="none"/>
                <w:lang w:val="en-US" w:eastAsia="zh-CN"/>
              </w:rPr>
              <w:t>中心地理坐标为111°</w:t>
            </w:r>
            <w:r>
              <w:rPr>
                <w:rFonts w:hint="eastAsia" w:cs="Times New Roman"/>
                <w:color w:val="auto"/>
                <w:szCs w:val="24"/>
                <w:highlight w:val="none"/>
                <w:u w:val="none"/>
                <w:lang w:val="en-US" w:eastAsia="zh-CN"/>
              </w:rPr>
              <w:t>28</w:t>
            </w:r>
            <w:r>
              <w:rPr>
                <w:rFonts w:hint="default" w:ascii="Times New Roman" w:hAnsi="Times New Roman" w:cs="Times New Roman"/>
                <w:color w:val="auto"/>
                <w:szCs w:val="24"/>
                <w:highlight w:val="none"/>
                <w:u w:val="none"/>
                <w:lang w:val="en-US" w:eastAsia="zh-CN"/>
              </w:rPr>
              <w:t>′</w:t>
            </w:r>
            <w:r>
              <w:rPr>
                <w:rFonts w:hint="eastAsia" w:cs="Times New Roman"/>
                <w:color w:val="auto"/>
                <w:szCs w:val="24"/>
                <w:highlight w:val="none"/>
                <w:u w:val="none"/>
                <w:lang w:val="en-US" w:eastAsia="zh-CN"/>
              </w:rPr>
              <w:t>59.796</w:t>
            </w:r>
            <w:r>
              <w:rPr>
                <w:rFonts w:hint="default" w:ascii="Times New Roman" w:hAnsi="Times New Roman" w:cs="Times New Roman"/>
                <w:color w:val="auto"/>
                <w:szCs w:val="24"/>
                <w:highlight w:val="none"/>
                <w:u w:val="none"/>
                <w:lang w:val="en-US" w:eastAsia="zh-CN"/>
              </w:rPr>
              <w:t>″E，29°</w:t>
            </w:r>
            <w:r>
              <w:rPr>
                <w:rFonts w:hint="eastAsia" w:cs="Times New Roman"/>
                <w:color w:val="auto"/>
                <w:szCs w:val="24"/>
                <w:highlight w:val="none"/>
                <w:u w:val="none"/>
                <w:lang w:val="en-US" w:eastAsia="zh-CN"/>
              </w:rPr>
              <w:t>52</w:t>
            </w:r>
            <w:r>
              <w:rPr>
                <w:rFonts w:hint="default" w:ascii="Times New Roman" w:hAnsi="Times New Roman" w:cs="Times New Roman"/>
                <w:color w:val="auto"/>
                <w:szCs w:val="24"/>
                <w:highlight w:val="none"/>
                <w:u w:val="none"/>
                <w:lang w:val="en-US" w:eastAsia="zh-CN"/>
              </w:rPr>
              <w:t>′</w:t>
            </w:r>
            <w:r>
              <w:rPr>
                <w:rFonts w:hint="eastAsia" w:cs="Times New Roman"/>
                <w:color w:val="auto"/>
                <w:szCs w:val="24"/>
                <w:highlight w:val="none"/>
                <w:u w:val="none"/>
                <w:lang w:val="en-US" w:eastAsia="zh-CN"/>
              </w:rPr>
              <w:t>0.047</w:t>
            </w:r>
            <w:r>
              <w:rPr>
                <w:rFonts w:hint="default" w:ascii="Times New Roman" w:hAnsi="Times New Roman" w:cs="Times New Roman"/>
                <w:color w:val="auto"/>
                <w:szCs w:val="24"/>
                <w:highlight w:val="none"/>
                <w:u w:val="none"/>
                <w:lang w:val="en-US" w:eastAsia="zh-CN"/>
              </w:rPr>
              <w:t>″N</w:t>
            </w:r>
            <w:r>
              <w:rPr>
                <w:rFonts w:hint="default" w:ascii="Times New Roman" w:hAnsi="Times New Roman" w:cs="Times New Roman"/>
                <w:color w:val="auto"/>
                <w:szCs w:val="24"/>
                <w:highlight w:val="none"/>
                <w:u w:val="none"/>
              </w:rPr>
              <w:t>）</w:t>
            </w:r>
          </w:p>
        </w:tc>
      </w:tr>
      <w:tr w14:paraId="166A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2C8DF7A1">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建设项目</w:t>
            </w:r>
          </w:p>
          <w:p w14:paraId="4FF22014">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行业类别</w:t>
            </w:r>
          </w:p>
        </w:tc>
        <w:tc>
          <w:tcPr>
            <w:tcW w:w="2313" w:type="dxa"/>
            <w:vAlign w:val="center"/>
          </w:tcPr>
          <w:p w14:paraId="059D4E56">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八、非金属矿采选业中11、土砂石开采</w:t>
            </w:r>
            <w:r>
              <w:rPr>
                <w:rFonts w:hint="eastAsia" w:cs="Times New Roman"/>
                <w:color w:val="auto"/>
                <w:szCs w:val="24"/>
                <w:highlight w:val="none"/>
                <w:lang w:eastAsia="zh-CN"/>
              </w:rPr>
              <w:t>（</w:t>
            </w:r>
            <w:r>
              <w:rPr>
                <w:rFonts w:hint="eastAsia" w:cs="Times New Roman"/>
                <w:color w:val="auto"/>
                <w:szCs w:val="24"/>
                <w:highlight w:val="none"/>
                <w:lang w:val="en-US" w:eastAsia="zh-CN"/>
              </w:rPr>
              <w:t>其他</w:t>
            </w:r>
            <w:r>
              <w:rPr>
                <w:rFonts w:hint="eastAsia" w:cs="Times New Roman"/>
                <w:color w:val="auto"/>
                <w:szCs w:val="24"/>
                <w:highlight w:val="none"/>
                <w:lang w:eastAsia="zh-CN"/>
              </w:rPr>
              <w:t>）</w:t>
            </w:r>
            <w:r>
              <w:rPr>
                <w:rFonts w:hint="eastAsia" w:cs="Times New Roman"/>
                <w:color w:val="auto"/>
                <w:szCs w:val="24"/>
                <w:highlight w:val="none"/>
                <w:lang w:val="en-US" w:eastAsia="zh-CN"/>
              </w:rPr>
              <w:t>二十</w:t>
            </w:r>
            <w:r>
              <w:rPr>
                <w:rFonts w:hint="eastAsia" w:cs="Times New Roman"/>
                <w:color w:val="auto"/>
                <w:szCs w:val="24"/>
                <w:highlight w:val="none"/>
                <w:lang w:eastAsia="zh-CN"/>
              </w:rPr>
              <w:t>七、非金属矿物制品业</w:t>
            </w:r>
            <w:r>
              <w:rPr>
                <w:rFonts w:hint="eastAsia" w:cs="Times New Roman"/>
                <w:color w:val="auto"/>
                <w:szCs w:val="24"/>
                <w:highlight w:val="none"/>
                <w:lang w:val="en-US" w:eastAsia="zh-CN"/>
              </w:rPr>
              <w:t>中60、其他非金属矿物制品制造309</w:t>
            </w:r>
          </w:p>
        </w:tc>
        <w:tc>
          <w:tcPr>
            <w:tcW w:w="1826" w:type="dxa"/>
            <w:vAlign w:val="center"/>
          </w:tcPr>
          <w:p w14:paraId="677B302C">
            <w:pPr>
              <w:spacing w:line="240" w:lineRule="auto"/>
              <w:ind w:firstLine="0" w:firstLineChars="0"/>
              <w:jc w:val="center"/>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用地（用海）面积（m</w:t>
            </w:r>
            <w:r>
              <w:rPr>
                <w:rFonts w:hint="default" w:ascii="Times New Roman" w:hAnsi="Times New Roman" w:cs="Times New Roman"/>
                <w:color w:val="auto"/>
                <w:szCs w:val="24"/>
                <w:highlight w:val="none"/>
                <w:u w:val="none"/>
                <w:vertAlign w:val="superscript"/>
              </w:rPr>
              <w:t>2</w:t>
            </w:r>
            <w:r>
              <w:rPr>
                <w:rFonts w:hint="default" w:ascii="Times New Roman" w:hAnsi="Times New Roman" w:cs="Times New Roman"/>
                <w:color w:val="auto"/>
                <w:szCs w:val="24"/>
                <w:highlight w:val="none"/>
                <w:u w:val="none"/>
              </w:rPr>
              <w:t>）/长度（km）</w:t>
            </w:r>
          </w:p>
        </w:tc>
        <w:tc>
          <w:tcPr>
            <w:tcW w:w="2958" w:type="dxa"/>
            <w:vAlign w:val="center"/>
          </w:tcPr>
          <w:p w14:paraId="781FBE30">
            <w:pPr>
              <w:spacing w:line="240" w:lineRule="auto"/>
              <w:ind w:firstLine="0" w:firstLineChars="0"/>
              <w:jc w:val="center"/>
              <w:rPr>
                <w:rFonts w:hint="eastAsia" w:ascii="Times New Roman" w:hAnsi="Times New Roman" w:eastAsia="宋体" w:cs="Times New Roman"/>
                <w:color w:val="auto"/>
                <w:szCs w:val="24"/>
                <w:highlight w:val="none"/>
                <w:u w:val="none"/>
                <w:vertAlign w:val="baseline"/>
                <w:lang w:eastAsia="zh-CN"/>
              </w:rPr>
            </w:pPr>
            <w:r>
              <w:rPr>
                <w:rFonts w:hint="eastAsia" w:cs="Times New Roman"/>
                <w:color w:val="auto"/>
                <w:szCs w:val="24"/>
                <w:highlight w:val="none"/>
                <w:u w:val="none"/>
                <w:lang w:val="en-US" w:eastAsia="zh-CN"/>
              </w:rPr>
              <w:t>290600</w:t>
            </w:r>
            <w:r>
              <w:rPr>
                <w:rFonts w:hint="default" w:ascii="Times New Roman" w:hAnsi="Times New Roman" w:cs="Times New Roman"/>
                <w:color w:val="auto"/>
                <w:szCs w:val="24"/>
                <w:highlight w:val="none"/>
                <w:u w:val="none"/>
              </w:rPr>
              <w:t>m</w:t>
            </w:r>
            <w:r>
              <w:rPr>
                <w:rFonts w:hint="default" w:ascii="Times New Roman" w:hAnsi="Times New Roman" w:cs="Times New Roman"/>
                <w:color w:val="auto"/>
                <w:szCs w:val="24"/>
                <w:highlight w:val="none"/>
                <w:u w:val="none"/>
                <w:vertAlign w:val="superscript"/>
              </w:rPr>
              <w:t>2</w:t>
            </w:r>
            <w:r>
              <w:rPr>
                <w:rFonts w:hint="eastAsia" w:cs="Times New Roman"/>
                <w:color w:val="auto"/>
                <w:szCs w:val="24"/>
                <w:highlight w:val="none"/>
                <w:u w:val="none"/>
                <w:vertAlign w:val="baseline"/>
                <w:lang w:eastAsia="zh-CN"/>
              </w:rPr>
              <w:t>（</w:t>
            </w:r>
            <w:r>
              <w:rPr>
                <w:rFonts w:hint="eastAsia" w:cs="Times New Roman"/>
                <w:color w:val="auto"/>
                <w:szCs w:val="24"/>
                <w:highlight w:val="none"/>
                <w:u w:val="none"/>
                <w:vertAlign w:val="baseline"/>
                <w:lang w:val="en-US" w:eastAsia="zh-CN"/>
              </w:rPr>
              <w:t>其中矿区面积257800m</w:t>
            </w:r>
            <w:r>
              <w:rPr>
                <w:rFonts w:hint="eastAsia" w:cs="Times New Roman"/>
                <w:color w:val="auto"/>
                <w:szCs w:val="24"/>
                <w:highlight w:val="none"/>
                <w:u w:val="none"/>
                <w:vertAlign w:val="superscript"/>
                <w:lang w:val="en-US" w:eastAsia="zh-CN"/>
              </w:rPr>
              <w:t>2</w:t>
            </w:r>
            <w:r>
              <w:rPr>
                <w:rFonts w:hint="eastAsia" w:cs="Times New Roman"/>
                <w:color w:val="auto"/>
                <w:szCs w:val="24"/>
                <w:highlight w:val="none"/>
                <w:u w:val="none"/>
                <w:vertAlign w:val="baseline"/>
                <w:lang w:val="en-US" w:eastAsia="zh-CN"/>
              </w:rPr>
              <w:t>，工业场地面积约9000m</w:t>
            </w:r>
            <w:r>
              <w:rPr>
                <w:rFonts w:hint="eastAsia" w:cs="Times New Roman"/>
                <w:color w:val="auto"/>
                <w:szCs w:val="24"/>
                <w:highlight w:val="none"/>
                <w:u w:val="none"/>
                <w:vertAlign w:val="superscript"/>
                <w:lang w:val="en-US" w:eastAsia="zh-CN"/>
              </w:rPr>
              <w:t>2</w:t>
            </w:r>
            <w:r>
              <w:rPr>
                <w:rFonts w:hint="eastAsia" w:cs="Times New Roman"/>
                <w:color w:val="auto"/>
                <w:szCs w:val="24"/>
                <w:highlight w:val="none"/>
                <w:u w:val="none"/>
                <w:vertAlign w:val="baseline"/>
                <w:lang w:val="en-US" w:eastAsia="zh-CN"/>
              </w:rPr>
              <w:t>，排土场面积23800m</w:t>
            </w:r>
            <w:r>
              <w:rPr>
                <w:rFonts w:hint="eastAsia" w:cs="Times New Roman"/>
                <w:color w:val="auto"/>
                <w:szCs w:val="24"/>
                <w:highlight w:val="none"/>
                <w:u w:val="none"/>
                <w:vertAlign w:val="superscript"/>
                <w:lang w:val="en-US" w:eastAsia="zh-CN"/>
              </w:rPr>
              <w:t>2</w:t>
            </w:r>
            <w:r>
              <w:rPr>
                <w:rFonts w:hint="eastAsia" w:cs="Times New Roman"/>
                <w:color w:val="auto"/>
                <w:szCs w:val="24"/>
                <w:highlight w:val="none"/>
                <w:u w:val="none"/>
                <w:vertAlign w:val="baseline"/>
                <w:lang w:eastAsia="zh-CN"/>
              </w:rPr>
              <w:t>）</w:t>
            </w:r>
          </w:p>
        </w:tc>
      </w:tr>
      <w:tr w14:paraId="266B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2ABE95D4">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建设性质</w:t>
            </w:r>
          </w:p>
        </w:tc>
        <w:tc>
          <w:tcPr>
            <w:tcW w:w="2313" w:type="dxa"/>
            <w:vAlign w:val="center"/>
          </w:tcPr>
          <w:p w14:paraId="1B09E07B">
            <w:pPr>
              <w:spacing w:line="240" w:lineRule="auto"/>
              <w:ind w:firstLine="0" w:firstLineChars="0"/>
              <w:rPr>
                <w:rFonts w:hint="default" w:ascii="Times New Roman" w:hAnsi="Times New Roman" w:cs="Times New Roman" w:eastAsiaTheme="minorEastAsia"/>
                <w:color w:val="auto"/>
                <w:szCs w:val="24"/>
                <w:highlight w:val="none"/>
              </w:rPr>
            </w:pPr>
            <w:r>
              <w:rPr>
                <w:rFonts w:hint="eastAsia" w:cs="Times New Roman" w:eastAsiaTheme="minorEastAsia"/>
                <w:color w:val="auto"/>
                <w:szCs w:val="24"/>
                <w:highlight w:val="none"/>
                <w:lang w:eastAsia="zh-CN"/>
              </w:rPr>
              <w:t>☑</w:t>
            </w:r>
            <w:r>
              <w:rPr>
                <w:rFonts w:hint="default" w:ascii="Times New Roman" w:hAnsi="Times New Roman" w:cs="Times New Roman" w:eastAsiaTheme="minorEastAsia"/>
                <w:color w:val="auto"/>
                <w:szCs w:val="24"/>
                <w:highlight w:val="none"/>
              </w:rPr>
              <w:t>新建（迁建）</w:t>
            </w:r>
          </w:p>
          <w:p w14:paraId="0F7160F1">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□改建</w:t>
            </w:r>
          </w:p>
          <w:p w14:paraId="04531E20">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□扩建</w:t>
            </w:r>
          </w:p>
          <w:p w14:paraId="2320EF41">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□技术改造</w:t>
            </w:r>
          </w:p>
        </w:tc>
        <w:tc>
          <w:tcPr>
            <w:tcW w:w="1826" w:type="dxa"/>
            <w:vAlign w:val="center"/>
          </w:tcPr>
          <w:p w14:paraId="12EC6107">
            <w:pPr>
              <w:spacing w:line="240" w:lineRule="auto"/>
              <w:ind w:firstLine="0" w:firstLineChars="0"/>
              <w:jc w:val="center"/>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建设项目</w:t>
            </w:r>
          </w:p>
          <w:p w14:paraId="36AFE3A3">
            <w:pPr>
              <w:spacing w:line="240" w:lineRule="auto"/>
              <w:ind w:firstLine="0" w:firstLineChars="0"/>
              <w:jc w:val="center"/>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申报情形</w:t>
            </w:r>
          </w:p>
        </w:tc>
        <w:tc>
          <w:tcPr>
            <w:tcW w:w="2958" w:type="dxa"/>
            <w:vAlign w:val="center"/>
          </w:tcPr>
          <w:p w14:paraId="46D97A3B">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color w:val="auto"/>
                <w:szCs w:val="24"/>
                <w:highlight w:val="none"/>
              </w:rPr>
              <w:t>■</w:t>
            </w:r>
            <w:r>
              <w:rPr>
                <w:rFonts w:hint="default" w:ascii="Times New Roman" w:hAnsi="Times New Roman" w:cs="Times New Roman" w:eastAsiaTheme="minorEastAsia"/>
                <w:color w:val="auto"/>
                <w:szCs w:val="24"/>
                <w:highlight w:val="none"/>
              </w:rPr>
              <w:t>首次申报项目</w:t>
            </w:r>
          </w:p>
          <w:p w14:paraId="3B58C566">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□不予批准后再次申报项目</w:t>
            </w:r>
          </w:p>
          <w:p w14:paraId="34D72582">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□超五年重新审核项目</w:t>
            </w:r>
          </w:p>
          <w:p w14:paraId="0DC518E1">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□重大变动重新报批项目</w:t>
            </w:r>
          </w:p>
        </w:tc>
      </w:tr>
      <w:tr w14:paraId="5D76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17210497">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项目审批（核准/</w:t>
            </w:r>
          </w:p>
          <w:p w14:paraId="231243CC">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备案）部门（选填）</w:t>
            </w:r>
          </w:p>
        </w:tc>
        <w:tc>
          <w:tcPr>
            <w:tcW w:w="2313" w:type="dxa"/>
            <w:vAlign w:val="center"/>
          </w:tcPr>
          <w:p w14:paraId="04D726A7">
            <w:pPr>
              <w:spacing w:line="276"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u w:val="single"/>
                <w:lang w:val="en-US" w:eastAsia="zh-CN"/>
              </w:rPr>
              <w:t>澧县发展和改革局</w:t>
            </w:r>
          </w:p>
        </w:tc>
        <w:tc>
          <w:tcPr>
            <w:tcW w:w="1826" w:type="dxa"/>
            <w:vAlign w:val="center"/>
          </w:tcPr>
          <w:p w14:paraId="27798DD6">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项目审批（核准/备案）文号（选填）</w:t>
            </w:r>
          </w:p>
        </w:tc>
        <w:tc>
          <w:tcPr>
            <w:tcW w:w="2958" w:type="dxa"/>
            <w:vAlign w:val="center"/>
          </w:tcPr>
          <w:p w14:paraId="4B74B04B">
            <w:pPr>
              <w:spacing w:line="240" w:lineRule="auto"/>
              <w:ind w:firstLine="0" w:firstLineChars="0"/>
              <w:jc w:val="center"/>
              <w:rPr>
                <w:rFonts w:hint="default" w:ascii="Times New Roman" w:hAnsi="Times New Roman" w:cs="Times New Roman"/>
                <w:color w:val="auto"/>
                <w:szCs w:val="24"/>
                <w:highlight w:val="none"/>
              </w:rPr>
            </w:pPr>
            <w:r>
              <w:rPr>
                <w:rFonts w:hint="eastAsia"/>
                <w:color w:val="auto"/>
                <w:sz w:val="24"/>
                <w:highlight w:val="none"/>
                <w:u w:val="single"/>
                <w:lang w:val="en-US" w:eastAsia="zh-CN"/>
              </w:rPr>
              <w:t>澧发改审（备）</w:t>
            </w:r>
            <w:r>
              <w:rPr>
                <w:rFonts w:hint="eastAsia"/>
                <w:color w:val="auto"/>
                <w:kern w:val="0"/>
                <w:sz w:val="24"/>
                <w:highlight w:val="none"/>
                <w:u w:val="single"/>
              </w:rPr>
              <w:t>[202</w:t>
            </w:r>
            <w:r>
              <w:rPr>
                <w:rFonts w:hint="eastAsia"/>
                <w:color w:val="auto"/>
                <w:kern w:val="0"/>
                <w:sz w:val="24"/>
                <w:highlight w:val="none"/>
                <w:u w:val="single"/>
                <w:lang w:val="en-US" w:eastAsia="zh-CN"/>
              </w:rPr>
              <w:t>6</w:t>
            </w:r>
            <w:r>
              <w:rPr>
                <w:rFonts w:hint="eastAsia"/>
                <w:color w:val="auto"/>
                <w:kern w:val="0"/>
                <w:sz w:val="24"/>
                <w:highlight w:val="none"/>
                <w:u w:val="single"/>
              </w:rPr>
              <w:t>]</w:t>
            </w:r>
            <w:r>
              <w:rPr>
                <w:rFonts w:hint="eastAsia"/>
                <w:color w:val="auto"/>
                <w:kern w:val="0"/>
                <w:sz w:val="24"/>
                <w:highlight w:val="none"/>
                <w:u w:val="single"/>
                <w:lang w:val="en-US" w:eastAsia="zh-CN"/>
              </w:rPr>
              <w:t>22</w:t>
            </w:r>
            <w:r>
              <w:rPr>
                <w:rFonts w:hint="eastAsia"/>
                <w:color w:val="auto"/>
                <w:kern w:val="0"/>
                <w:sz w:val="24"/>
                <w:highlight w:val="none"/>
                <w:u w:val="single"/>
              </w:rPr>
              <w:t>号</w:t>
            </w:r>
            <w:r>
              <w:rPr>
                <w:rFonts w:hint="eastAsia"/>
                <w:color w:val="auto"/>
                <w:sz w:val="24"/>
                <w:highlight w:val="none"/>
                <w:u w:val="single"/>
                <w:lang w:val="en-US" w:eastAsia="zh-CN"/>
              </w:rPr>
              <w:t>澧发改审</w:t>
            </w:r>
            <w:r>
              <w:rPr>
                <w:rFonts w:hint="eastAsia"/>
                <w:color w:val="auto"/>
                <w:kern w:val="0"/>
                <w:sz w:val="24"/>
                <w:highlight w:val="none"/>
                <w:u w:val="single"/>
              </w:rPr>
              <w:t>[202</w:t>
            </w:r>
            <w:r>
              <w:rPr>
                <w:rFonts w:hint="eastAsia"/>
                <w:color w:val="auto"/>
                <w:kern w:val="0"/>
                <w:sz w:val="24"/>
                <w:highlight w:val="none"/>
                <w:u w:val="single"/>
                <w:lang w:val="en-US" w:eastAsia="zh-CN"/>
              </w:rPr>
              <w:t>5</w:t>
            </w:r>
            <w:r>
              <w:rPr>
                <w:rFonts w:hint="eastAsia"/>
                <w:color w:val="auto"/>
                <w:kern w:val="0"/>
                <w:sz w:val="24"/>
                <w:highlight w:val="none"/>
                <w:u w:val="single"/>
              </w:rPr>
              <w:t>]</w:t>
            </w:r>
            <w:r>
              <w:rPr>
                <w:rFonts w:hint="eastAsia"/>
                <w:color w:val="auto"/>
                <w:kern w:val="0"/>
                <w:sz w:val="24"/>
                <w:highlight w:val="none"/>
                <w:u w:val="single"/>
                <w:lang w:val="en-US" w:eastAsia="zh-CN"/>
              </w:rPr>
              <w:t>282</w:t>
            </w:r>
            <w:r>
              <w:rPr>
                <w:rFonts w:hint="eastAsia"/>
                <w:color w:val="auto"/>
                <w:kern w:val="0"/>
                <w:sz w:val="24"/>
                <w:highlight w:val="none"/>
                <w:u w:val="single"/>
              </w:rPr>
              <w:t>号</w:t>
            </w:r>
          </w:p>
        </w:tc>
      </w:tr>
      <w:tr w14:paraId="77C7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75E62688">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总投资（万元）</w:t>
            </w:r>
          </w:p>
        </w:tc>
        <w:tc>
          <w:tcPr>
            <w:tcW w:w="2313" w:type="dxa"/>
            <w:vAlign w:val="center"/>
          </w:tcPr>
          <w:p w14:paraId="34A06E94">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15450.7</w:t>
            </w:r>
          </w:p>
        </w:tc>
        <w:tc>
          <w:tcPr>
            <w:tcW w:w="1826" w:type="dxa"/>
            <w:vAlign w:val="center"/>
          </w:tcPr>
          <w:p w14:paraId="620C863B">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环保投资（万元）</w:t>
            </w:r>
          </w:p>
        </w:tc>
        <w:tc>
          <w:tcPr>
            <w:tcW w:w="2958" w:type="dxa"/>
            <w:vAlign w:val="center"/>
          </w:tcPr>
          <w:p w14:paraId="3ED972EE">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986.32</w:t>
            </w:r>
          </w:p>
        </w:tc>
      </w:tr>
      <w:tr w14:paraId="4B33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6812A8C6">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环保投资占比（%）</w:t>
            </w:r>
          </w:p>
        </w:tc>
        <w:tc>
          <w:tcPr>
            <w:tcW w:w="2313" w:type="dxa"/>
            <w:vAlign w:val="center"/>
          </w:tcPr>
          <w:p w14:paraId="6D05BC99">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6.38</w:t>
            </w:r>
          </w:p>
        </w:tc>
        <w:tc>
          <w:tcPr>
            <w:tcW w:w="1826" w:type="dxa"/>
            <w:vAlign w:val="center"/>
          </w:tcPr>
          <w:p w14:paraId="3DE15034">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施工工期</w:t>
            </w:r>
          </w:p>
        </w:tc>
        <w:tc>
          <w:tcPr>
            <w:tcW w:w="2958" w:type="dxa"/>
            <w:vAlign w:val="center"/>
          </w:tcPr>
          <w:p w14:paraId="194BFF05">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2个月</w:t>
            </w:r>
          </w:p>
        </w:tc>
      </w:tr>
      <w:tr w14:paraId="23DE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05E3A5BB">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是否开工建设</w:t>
            </w:r>
          </w:p>
        </w:tc>
        <w:tc>
          <w:tcPr>
            <w:tcW w:w="7097" w:type="dxa"/>
            <w:gridSpan w:val="3"/>
            <w:vAlign w:val="center"/>
          </w:tcPr>
          <w:p w14:paraId="04E6FC6D">
            <w:pPr>
              <w:spacing w:line="240" w:lineRule="auto"/>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■否</w:t>
            </w:r>
          </w:p>
          <w:p w14:paraId="4B0BBEC1">
            <w:pPr>
              <w:spacing w:line="240" w:lineRule="auto"/>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sym w:font="Wingdings 2" w:char="00A3"/>
            </w:r>
            <w:r>
              <w:rPr>
                <w:rFonts w:hint="default" w:ascii="Times New Roman" w:hAnsi="Times New Roman" w:cs="Times New Roman"/>
                <w:color w:val="auto"/>
                <w:szCs w:val="24"/>
                <w:highlight w:val="none"/>
              </w:rPr>
              <w:t xml:space="preserve">是：         </w:t>
            </w:r>
          </w:p>
        </w:tc>
      </w:tr>
      <w:tr w14:paraId="6FCD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06669F80">
            <w:pPr>
              <w:autoSpaceDE w:val="0"/>
              <w:autoSpaceDN w:val="0"/>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专项评价设置情况</w:t>
            </w:r>
          </w:p>
        </w:tc>
        <w:tc>
          <w:tcPr>
            <w:tcW w:w="7097" w:type="dxa"/>
            <w:gridSpan w:val="3"/>
            <w:vAlign w:val="center"/>
          </w:tcPr>
          <w:p w14:paraId="7ABCC761">
            <w:pPr>
              <w:keepNext w:val="0"/>
              <w:keepLines w:val="0"/>
              <w:widowControl/>
              <w:suppressLineNumbers w:val="0"/>
              <w:jc w:val="left"/>
              <w:rPr>
                <w:color w:val="auto"/>
              </w:rPr>
            </w:pPr>
            <w:r>
              <w:rPr>
                <w:rFonts w:hint="eastAsia" w:ascii="宋体" w:hAnsi="宋体" w:eastAsia="宋体" w:cs="宋体"/>
                <w:color w:val="auto"/>
                <w:kern w:val="0"/>
                <w:sz w:val="24"/>
                <w:szCs w:val="24"/>
                <w:u w:val="single"/>
                <w:lang w:val="en-US" w:eastAsia="zh-CN" w:bidi="ar"/>
              </w:rPr>
              <w:t>由于本项目为</w:t>
            </w:r>
            <w:r>
              <w:rPr>
                <w:rFonts w:hint="eastAsia" w:cs="Times New Roman"/>
                <w:color w:val="auto"/>
                <w:szCs w:val="24"/>
                <w:highlight w:val="none"/>
                <w:u w:val="single"/>
                <w:lang w:eastAsia="zh-CN"/>
              </w:rPr>
              <w:t>灰岩矿</w:t>
            </w:r>
            <w:r>
              <w:rPr>
                <w:rFonts w:hint="eastAsia" w:ascii="宋体" w:hAnsi="宋体" w:eastAsia="宋体" w:cs="宋体"/>
                <w:color w:val="auto"/>
                <w:kern w:val="0"/>
                <w:sz w:val="24"/>
                <w:szCs w:val="24"/>
                <w:u w:val="single"/>
                <w:lang w:val="en-US" w:eastAsia="zh-CN" w:bidi="ar"/>
              </w:rPr>
              <w:t>开采及加工项目，既有生态影响，又同时有污染物排放，因此，本次评价专项评价设置分别按污染类及生态影响类设置情况分别进行判断，根据《建设项目环境影响报告表编制技术指南（生态影响类）（试行）》、《建设项目环境影响报告表编制技术指南（污染影响类）（试行）》（以下简称</w:t>
            </w:r>
            <w:r>
              <w:rPr>
                <w:rFonts w:hint="default" w:ascii="Times New Roman" w:hAnsi="Times New Roman" w:eastAsia="宋体" w:cs="Times New Roman"/>
                <w:color w:val="auto"/>
                <w:kern w:val="0"/>
                <w:sz w:val="24"/>
                <w:szCs w:val="24"/>
                <w:u w:val="single"/>
                <w:lang w:val="en-US" w:eastAsia="zh-CN" w:bidi="ar"/>
              </w:rPr>
              <w:t>“</w:t>
            </w:r>
            <w:r>
              <w:rPr>
                <w:rFonts w:hint="eastAsia" w:ascii="宋体" w:hAnsi="宋体" w:eastAsia="宋体" w:cs="宋体"/>
                <w:color w:val="auto"/>
                <w:kern w:val="0"/>
                <w:sz w:val="24"/>
                <w:szCs w:val="24"/>
                <w:u w:val="single"/>
                <w:lang w:val="en-US" w:eastAsia="zh-CN" w:bidi="ar"/>
              </w:rPr>
              <w:t>指南</w:t>
            </w:r>
            <w:r>
              <w:rPr>
                <w:rFonts w:hint="default" w:ascii="Times New Roman" w:hAnsi="Times New Roman" w:eastAsia="宋体" w:cs="Times New Roman"/>
                <w:color w:val="auto"/>
                <w:kern w:val="0"/>
                <w:sz w:val="24"/>
                <w:szCs w:val="24"/>
                <w:u w:val="single"/>
                <w:lang w:val="en-US" w:eastAsia="zh-CN" w:bidi="ar"/>
              </w:rPr>
              <w:t>”</w:t>
            </w:r>
            <w:r>
              <w:rPr>
                <w:rFonts w:hint="eastAsia" w:ascii="宋体" w:hAnsi="宋体" w:eastAsia="宋体" w:cs="宋体"/>
                <w:color w:val="auto"/>
                <w:kern w:val="0"/>
                <w:sz w:val="24"/>
                <w:szCs w:val="24"/>
                <w:u w:val="single"/>
                <w:lang w:val="en-US" w:eastAsia="zh-CN" w:bidi="ar"/>
              </w:rPr>
              <w:t>）规定，无需设置专项评价。本项目专项评价类别设置判定如下：</w:t>
            </w:r>
          </w:p>
          <w:p w14:paraId="3B9F87C1">
            <w:pPr>
              <w:jc w:val="center"/>
              <w:rPr>
                <w:b/>
                <w:color w:val="auto"/>
                <w:szCs w:val="21"/>
                <w:highlight w:val="none"/>
                <w:u w:val="single"/>
              </w:rPr>
            </w:pPr>
          </w:p>
          <w:p w14:paraId="76227CFD">
            <w:pPr>
              <w:jc w:val="center"/>
              <w:rPr>
                <w:b/>
                <w:color w:val="auto"/>
                <w:szCs w:val="21"/>
                <w:highlight w:val="none"/>
                <w:u w:val="single"/>
              </w:rPr>
            </w:pPr>
          </w:p>
          <w:p w14:paraId="35FE664C">
            <w:pPr>
              <w:jc w:val="center"/>
              <w:rPr>
                <w:b/>
                <w:color w:val="auto"/>
                <w:szCs w:val="21"/>
                <w:highlight w:val="none"/>
                <w:u w:val="single"/>
              </w:rPr>
            </w:pPr>
          </w:p>
          <w:p w14:paraId="25D97A2C">
            <w:pPr>
              <w:jc w:val="center"/>
              <w:rPr>
                <w:b/>
                <w:color w:val="auto"/>
                <w:szCs w:val="21"/>
                <w:highlight w:val="none"/>
                <w:u w:val="single"/>
              </w:rPr>
            </w:pPr>
            <w:r>
              <w:rPr>
                <w:b/>
                <w:color w:val="auto"/>
                <w:szCs w:val="21"/>
                <w:highlight w:val="none"/>
                <w:u w:val="single"/>
              </w:rPr>
              <w:t xml:space="preserve">表1-1 </w:t>
            </w:r>
            <w:r>
              <w:rPr>
                <w:rFonts w:hint="eastAsia"/>
                <w:b/>
                <w:color w:val="auto"/>
                <w:szCs w:val="21"/>
                <w:highlight w:val="none"/>
                <w:u w:val="single"/>
              </w:rPr>
              <w:t xml:space="preserve"> </w:t>
            </w:r>
            <w:r>
              <w:rPr>
                <w:rFonts w:hint="eastAsia"/>
                <w:b/>
                <w:color w:val="auto"/>
                <w:szCs w:val="21"/>
                <w:highlight w:val="none"/>
                <w:u w:val="single"/>
                <w:lang w:val="en-US" w:eastAsia="zh-CN"/>
              </w:rPr>
              <w:t>污染影响类</w:t>
            </w:r>
            <w:r>
              <w:rPr>
                <w:b/>
                <w:color w:val="auto"/>
                <w:szCs w:val="21"/>
                <w:highlight w:val="none"/>
                <w:u w:val="single"/>
              </w:rPr>
              <w:t>专项评价设置原则说明表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192"/>
              <w:gridCol w:w="1940"/>
            </w:tblGrid>
            <w:tr w14:paraId="7B838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265EBE51">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专项评价类别</w:t>
                  </w:r>
                </w:p>
              </w:tc>
              <w:tc>
                <w:tcPr>
                  <w:tcW w:w="2970" w:type="pct"/>
                  <w:vAlign w:val="center"/>
                </w:tcPr>
                <w:p w14:paraId="7834731E">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设置原则</w:t>
                  </w:r>
                </w:p>
              </w:tc>
              <w:tc>
                <w:tcPr>
                  <w:tcW w:w="1374" w:type="pct"/>
                  <w:vAlign w:val="center"/>
                </w:tcPr>
                <w:p w14:paraId="01F0B296">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eastAsia" w:ascii="Times New Roman" w:hAnsi="Times New Roman" w:eastAsia="宋体" w:cs="Times New Roman"/>
                      <w:b/>
                      <w:bCs/>
                      <w:color w:val="auto"/>
                      <w:sz w:val="21"/>
                      <w:szCs w:val="21"/>
                      <w:highlight w:val="none"/>
                      <w:u w:val="single"/>
                    </w:rPr>
                    <w:t>项目情况</w:t>
                  </w:r>
                </w:p>
              </w:tc>
            </w:tr>
            <w:tr w14:paraId="10936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1C361931">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大气</w:t>
                  </w:r>
                </w:p>
              </w:tc>
              <w:tc>
                <w:tcPr>
                  <w:tcW w:w="2970" w:type="pct"/>
                  <w:vAlign w:val="center"/>
                </w:tcPr>
                <w:p w14:paraId="4389CA5B">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排放废气含有有毒有害污染物、二噁英、苯并[a]芘、氰化物、氯气且厂界外500米范围内有环境空气保护目标的建设项目</w:t>
                  </w:r>
                </w:p>
              </w:tc>
              <w:tc>
                <w:tcPr>
                  <w:tcW w:w="1374" w:type="pct"/>
                  <w:vAlign w:val="center"/>
                </w:tcPr>
                <w:p w14:paraId="260C96DD">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项目不涉及</w:t>
                  </w:r>
                  <w:r>
                    <w:rPr>
                      <w:rFonts w:hint="default" w:ascii="Times New Roman" w:hAnsi="Times New Roman" w:eastAsia="宋体" w:cs="Times New Roman"/>
                      <w:color w:val="auto"/>
                      <w:sz w:val="21"/>
                      <w:szCs w:val="21"/>
                      <w:highlight w:val="none"/>
                      <w:u w:val="single"/>
                    </w:rPr>
                    <w:t>有毒有害污染物、二噁英、苯并[a]芘、氰化物、氯气</w:t>
                  </w:r>
                </w:p>
              </w:tc>
            </w:tr>
            <w:tr w14:paraId="4E5ED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2FB02CC3">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地表水</w:t>
                  </w:r>
                </w:p>
              </w:tc>
              <w:tc>
                <w:tcPr>
                  <w:tcW w:w="2970" w:type="pct"/>
                  <w:vAlign w:val="center"/>
                </w:tcPr>
                <w:p w14:paraId="540F8890">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新增工业废水直排建设项目（槽罐车送污水处理厂除外）；新增废水直排的污水集中处理厂</w:t>
                  </w:r>
                </w:p>
              </w:tc>
              <w:tc>
                <w:tcPr>
                  <w:tcW w:w="1374" w:type="pct"/>
                  <w:vAlign w:val="center"/>
                </w:tcPr>
                <w:p w14:paraId="2DF42EF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rPr>
                    <w:t>项目</w:t>
                  </w:r>
                  <w:r>
                    <w:rPr>
                      <w:rFonts w:hint="eastAsia" w:ascii="Times New Roman" w:hAnsi="Times New Roman" w:eastAsia="宋体" w:cs="Times New Roman"/>
                      <w:color w:val="auto"/>
                      <w:sz w:val="21"/>
                      <w:szCs w:val="21"/>
                      <w:highlight w:val="none"/>
                      <w:u w:val="single"/>
                      <w:lang w:val="en-US" w:eastAsia="zh-CN"/>
                    </w:rPr>
                    <w:t>无</w:t>
                  </w:r>
                  <w:r>
                    <w:rPr>
                      <w:rFonts w:hint="eastAsia" w:ascii="Times New Roman" w:hAnsi="Times New Roman" w:eastAsia="宋体" w:cs="Times New Roman"/>
                      <w:color w:val="auto"/>
                      <w:sz w:val="21"/>
                      <w:szCs w:val="21"/>
                      <w:highlight w:val="none"/>
                      <w:u w:val="single"/>
                    </w:rPr>
                    <w:t>生产废水外排</w:t>
                  </w:r>
                </w:p>
              </w:tc>
            </w:tr>
            <w:tr w14:paraId="2F78A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416031CF">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环境风险</w:t>
                  </w:r>
                </w:p>
              </w:tc>
              <w:tc>
                <w:tcPr>
                  <w:tcW w:w="2970" w:type="pct"/>
                  <w:vAlign w:val="center"/>
                </w:tcPr>
                <w:p w14:paraId="404F5483">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有毒有害和易燃易爆危险物质存储量超过临界量的建设项目</w:t>
                  </w:r>
                </w:p>
              </w:tc>
              <w:tc>
                <w:tcPr>
                  <w:tcW w:w="1374" w:type="pct"/>
                  <w:vAlign w:val="center"/>
                </w:tcPr>
                <w:p w14:paraId="3323481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rPr>
                    <w:t>项目</w:t>
                  </w:r>
                  <w:r>
                    <w:rPr>
                      <w:rFonts w:hint="eastAsia" w:ascii="Times New Roman" w:hAnsi="Times New Roman" w:eastAsia="宋体" w:cs="Times New Roman"/>
                      <w:color w:val="auto"/>
                      <w:sz w:val="21"/>
                      <w:szCs w:val="21"/>
                      <w:highlight w:val="none"/>
                      <w:u w:val="single"/>
                      <w:lang w:val="en-US" w:eastAsia="zh-CN"/>
                    </w:rPr>
                    <w:t>危险物质储存量不超过临界量</w:t>
                  </w:r>
                </w:p>
              </w:tc>
            </w:tr>
            <w:tr w14:paraId="266AE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26EC2DA4">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生态</w:t>
                  </w:r>
                </w:p>
              </w:tc>
              <w:tc>
                <w:tcPr>
                  <w:tcW w:w="2970" w:type="pct"/>
                  <w:vAlign w:val="center"/>
                </w:tcPr>
                <w:p w14:paraId="5AF7598D">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取水口下游500米范围内有重要水生生物的自然产卵场、索饵场越冬场和洄游通道的新增河道取水的污染类建设项目</w:t>
                  </w:r>
                </w:p>
              </w:tc>
              <w:tc>
                <w:tcPr>
                  <w:tcW w:w="1374" w:type="pct"/>
                  <w:vAlign w:val="center"/>
                </w:tcPr>
                <w:p w14:paraId="41C7719D">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本</w:t>
                  </w:r>
                  <w:r>
                    <w:rPr>
                      <w:rFonts w:hint="default" w:ascii="Times New Roman" w:hAnsi="Times New Roman" w:eastAsia="宋体" w:cs="Times New Roman"/>
                      <w:color w:val="auto"/>
                      <w:sz w:val="21"/>
                      <w:szCs w:val="21"/>
                      <w:highlight w:val="none"/>
                      <w:u w:val="single"/>
                    </w:rPr>
                    <w:t>项目</w:t>
                  </w:r>
                  <w:r>
                    <w:rPr>
                      <w:rFonts w:hint="eastAsia" w:ascii="Times New Roman" w:hAnsi="Times New Roman" w:eastAsia="宋体" w:cs="Times New Roman"/>
                      <w:color w:val="auto"/>
                      <w:sz w:val="21"/>
                      <w:szCs w:val="21"/>
                      <w:highlight w:val="none"/>
                      <w:u w:val="single"/>
                      <w:lang w:val="en-US" w:eastAsia="zh-CN"/>
                    </w:rPr>
                    <w:t>不涉及</w:t>
                  </w:r>
                  <w:r>
                    <w:rPr>
                      <w:rFonts w:hint="default" w:ascii="Times New Roman" w:hAnsi="Times New Roman" w:eastAsia="宋体" w:cs="Times New Roman"/>
                      <w:color w:val="auto"/>
                      <w:sz w:val="21"/>
                      <w:szCs w:val="21"/>
                      <w:highlight w:val="none"/>
                      <w:u w:val="single"/>
                    </w:rPr>
                    <w:t>取水口</w:t>
                  </w:r>
                </w:p>
              </w:tc>
            </w:tr>
            <w:tr w14:paraId="3E1AE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056A0478">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海洋</w:t>
                  </w:r>
                </w:p>
              </w:tc>
              <w:tc>
                <w:tcPr>
                  <w:tcW w:w="2970" w:type="pct"/>
                  <w:vAlign w:val="center"/>
                </w:tcPr>
                <w:p w14:paraId="692BFE38">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直接向海排放污染物的海洋工程建设项目</w:t>
                  </w:r>
                </w:p>
              </w:tc>
              <w:tc>
                <w:tcPr>
                  <w:tcW w:w="1374" w:type="pct"/>
                  <w:vAlign w:val="center"/>
                </w:tcPr>
                <w:p w14:paraId="15034DD9">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不涉及</w:t>
                  </w:r>
                </w:p>
              </w:tc>
            </w:tr>
            <w:tr w14:paraId="5F42D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14C59E12">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地下水</w:t>
                  </w:r>
                </w:p>
              </w:tc>
              <w:tc>
                <w:tcPr>
                  <w:tcW w:w="2970" w:type="pct"/>
                  <w:vAlign w:val="center"/>
                </w:tcPr>
                <w:p w14:paraId="75F37D8A">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涉及</w:t>
                  </w:r>
                  <w:r>
                    <w:rPr>
                      <w:rFonts w:hint="default" w:ascii="Times New Roman" w:hAnsi="Times New Roman" w:eastAsia="宋体" w:cs="Times New Roman"/>
                      <w:color w:val="auto"/>
                      <w:sz w:val="21"/>
                      <w:szCs w:val="21"/>
                      <w:highlight w:val="none"/>
                      <w:u w:val="single"/>
                    </w:rPr>
                    <w:t>集中式饮用水水源和热水、矿泉水、温泉等特殊地下水资源保护区的</w:t>
                  </w:r>
                </w:p>
              </w:tc>
              <w:tc>
                <w:tcPr>
                  <w:tcW w:w="1374" w:type="pct"/>
                  <w:vAlign w:val="center"/>
                </w:tcPr>
                <w:p w14:paraId="237A7DD8">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不涉及</w:t>
                  </w:r>
                </w:p>
              </w:tc>
            </w:tr>
          </w:tbl>
          <w:p w14:paraId="75556BA6">
            <w:pPr>
              <w:jc w:val="center"/>
              <w:rPr>
                <w:b/>
                <w:color w:val="auto"/>
                <w:szCs w:val="21"/>
                <w:highlight w:val="none"/>
                <w:u w:val="single"/>
              </w:rPr>
            </w:pPr>
            <w:r>
              <w:rPr>
                <w:b/>
                <w:color w:val="auto"/>
                <w:szCs w:val="21"/>
                <w:highlight w:val="none"/>
                <w:u w:val="single"/>
              </w:rPr>
              <w:t>表1-</w:t>
            </w:r>
            <w:r>
              <w:rPr>
                <w:rFonts w:hint="eastAsia"/>
                <w:b/>
                <w:color w:val="auto"/>
                <w:szCs w:val="21"/>
                <w:highlight w:val="none"/>
                <w:u w:val="single"/>
                <w:lang w:val="en-US" w:eastAsia="zh-CN"/>
              </w:rPr>
              <w:t>2</w:t>
            </w:r>
            <w:r>
              <w:rPr>
                <w:b/>
                <w:color w:val="auto"/>
                <w:szCs w:val="21"/>
                <w:highlight w:val="none"/>
                <w:u w:val="single"/>
              </w:rPr>
              <w:t xml:space="preserve"> </w:t>
            </w:r>
            <w:r>
              <w:rPr>
                <w:rFonts w:hint="eastAsia"/>
                <w:b/>
                <w:color w:val="auto"/>
                <w:szCs w:val="21"/>
                <w:highlight w:val="none"/>
                <w:u w:val="single"/>
              </w:rPr>
              <w:t xml:space="preserve"> </w:t>
            </w:r>
            <w:r>
              <w:rPr>
                <w:rFonts w:hint="eastAsia"/>
                <w:b/>
                <w:color w:val="auto"/>
                <w:szCs w:val="21"/>
                <w:highlight w:val="none"/>
                <w:u w:val="single"/>
                <w:lang w:val="en-US" w:eastAsia="zh-CN"/>
              </w:rPr>
              <w:t>生态影响类</w:t>
            </w:r>
            <w:r>
              <w:rPr>
                <w:b/>
                <w:color w:val="auto"/>
                <w:szCs w:val="21"/>
                <w:highlight w:val="none"/>
                <w:u w:val="single"/>
              </w:rPr>
              <w:t>专项评价设置原则说明表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3976"/>
              <w:gridCol w:w="2172"/>
            </w:tblGrid>
            <w:tr w14:paraId="2A7CA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26136E66">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专项评价类别</w:t>
                  </w:r>
                </w:p>
              </w:tc>
              <w:tc>
                <w:tcPr>
                  <w:tcW w:w="2817" w:type="pct"/>
                  <w:vAlign w:val="center"/>
                </w:tcPr>
                <w:p w14:paraId="6212A13D">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设置原则</w:t>
                  </w:r>
                </w:p>
              </w:tc>
              <w:tc>
                <w:tcPr>
                  <w:tcW w:w="1539" w:type="pct"/>
                  <w:vAlign w:val="center"/>
                </w:tcPr>
                <w:p w14:paraId="65FDC7BD">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eastAsia" w:ascii="Times New Roman" w:hAnsi="Times New Roman" w:eastAsia="宋体" w:cs="Times New Roman"/>
                      <w:b/>
                      <w:bCs/>
                      <w:color w:val="auto"/>
                      <w:sz w:val="21"/>
                      <w:szCs w:val="21"/>
                      <w:highlight w:val="none"/>
                      <w:u w:val="single"/>
                    </w:rPr>
                    <w:t>项目情况</w:t>
                  </w:r>
                </w:p>
              </w:tc>
            </w:tr>
            <w:tr w14:paraId="1C17C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37367BE8">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地表水</w:t>
                  </w:r>
                </w:p>
              </w:tc>
              <w:tc>
                <w:tcPr>
                  <w:tcW w:w="2817" w:type="pct"/>
                  <w:vAlign w:val="center"/>
                </w:tcPr>
                <w:p w14:paraId="5F546D51">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水力发电：引水式发电、涉及调峰发 </w:t>
                  </w:r>
                </w:p>
                <w:p w14:paraId="1F43D356">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电的项目； </w:t>
                  </w:r>
                </w:p>
                <w:p w14:paraId="1F9D334D">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人工湖、人工湿地：全部； </w:t>
                  </w:r>
                </w:p>
                <w:p w14:paraId="23E0A43F">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水库：全部； </w:t>
                  </w:r>
                </w:p>
                <w:p w14:paraId="0E2ABF84">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引水工程：全部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配套的管线工程等 </w:t>
                  </w:r>
                </w:p>
                <w:p w14:paraId="7FD12F27">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除外</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 xml:space="preserve">； </w:t>
                  </w:r>
                </w:p>
                <w:p w14:paraId="123EE6E9">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防洪除涝工程：包含水库的项目； </w:t>
                  </w:r>
                </w:p>
                <w:p w14:paraId="4D0AC847">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河湖整治：涉及清淤且底泥存在重金 </w:t>
                  </w:r>
                </w:p>
                <w:p w14:paraId="3EE90DEB">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属污染的项目</w:t>
                  </w:r>
                </w:p>
              </w:tc>
              <w:tc>
                <w:tcPr>
                  <w:tcW w:w="1539" w:type="pct"/>
                  <w:vAlign w:val="center"/>
                </w:tcPr>
                <w:p w14:paraId="52D7F4FC">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不涉及</w:t>
                  </w:r>
                </w:p>
              </w:tc>
            </w:tr>
            <w:tr w14:paraId="5CE95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50751A0D">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生态</w:t>
                  </w:r>
                </w:p>
              </w:tc>
              <w:tc>
                <w:tcPr>
                  <w:tcW w:w="2817" w:type="pct"/>
                  <w:vAlign w:val="center"/>
                </w:tcPr>
                <w:p w14:paraId="4E682502">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涉及环境敏感区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不包括饮用水水 </w:t>
                  </w:r>
                </w:p>
                <w:p w14:paraId="5B87C6A8">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源保护区，以居住、医疗卫生、文化 </w:t>
                  </w:r>
                </w:p>
                <w:p w14:paraId="3292B6F1">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教育、科研、行政办公为主要功能 </w:t>
                  </w:r>
                </w:p>
                <w:p w14:paraId="5DBE2291">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的区域，以及文物保护单位</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的项目</w:t>
                  </w:r>
                </w:p>
              </w:tc>
              <w:tc>
                <w:tcPr>
                  <w:tcW w:w="1539" w:type="pct"/>
                  <w:vAlign w:val="center"/>
                </w:tcPr>
                <w:p w14:paraId="10233DD7">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本项目距湖南澧洲</w:t>
                  </w:r>
                  <w:r>
                    <w:rPr>
                      <w:rFonts w:hint="default" w:ascii="Times New Roman" w:hAnsi="Times New Roman" w:eastAsia="宋体" w:cs="Times New Roman"/>
                      <w:color w:val="auto"/>
                      <w:sz w:val="21"/>
                      <w:szCs w:val="21"/>
                      <w:highlight w:val="none"/>
                      <w:u w:val="single"/>
                    </w:rPr>
                    <w:t>涔槐</w:t>
                  </w:r>
                  <w:r>
                    <w:rPr>
                      <w:rFonts w:hint="eastAsia" w:ascii="Times New Roman" w:hAnsi="Times New Roman" w:eastAsia="宋体" w:cs="Times New Roman"/>
                      <w:color w:val="auto"/>
                      <w:sz w:val="21"/>
                      <w:szCs w:val="21"/>
                      <w:highlight w:val="none"/>
                      <w:u w:val="single"/>
                      <w:lang w:val="en-US" w:eastAsia="zh-CN"/>
                    </w:rPr>
                    <w:t>国家湿地公园最近距离约1.7km，距离湖南澧县天供山省级自然公园最近距离约4km，因此本项目不涉及环境敏感区</w:t>
                  </w:r>
                </w:p>
              </w:tc>
            </w:tr>
            <w:tr w14:paraId="0A91C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19FF8A07">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大气</w:t>
                  </w:r>
                </w:p>
              </w:tc>
              <w:tc>
                <w:tcPr>
                  <w:tcW w:w="2817" w:type="pct"/>
                  <w:vAlign w:val="center"/>
                </w:tcPr>
                <w:p w14:paraId="06D3D76F">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油气、液体化工码头：全部； </w:t>
                  </w:r>
                </w:p>
                <w:p w14:paraId="3B1C4BC1">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干散货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含煤炭、矿石</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 xml:space="preserve">、件杂、多 </w:t>
                  </w:r>
                </w:p>
                <w:p w14:paraId="752DEE3E">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用途、通用码头：涉及粉尘、挥发性 </w:t>
                  </w:r>
                </w:p>
                <w:p w14:paraId="0280C3C9">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有机物排放的项目</w:t>
                  </w:r>
                </w:p>
              </w:tc>
              <w:tc>
                <w:tcPr>
                  <w:tcW w:w="1539" w:type="pct"/>
                  <w:vAlign w:val="center"/>
                </w:tcPr>
                <w:p w14:paraId="106DD965">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rPr>
                    <w:t>不涉及</w:t>
                  </w:r>
                </w:p>
              </w:tc>
            </w:tr>
            <w:tr w14:paraId="4A661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249259C5">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噪声</w:t>
                  </w:r>
                </w:p>
              </w:tc>
              <w:tc>
                <w:tcPr>
                  <w:tcW w:w="2817" w:type="pct"/>
                  <w:vAlign w:val="center"/>
                </w:tcPr>
                <w:p w14:paraId="3AE4FBBA">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公路、铁路、机场等交通运输业涉及 </w:t>
                  </w:r>
                </w:p>
                <w:p w14:paraId="486CF029">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环境敏感区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以居住、医疗卫生、文 </w:t>
                  </w:r>
                </w:p>
                <w:p w14:paraId="09D10434">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化 教育、科研、行政办公为主要功 </w:t>
                  </w:r>
                </w:p>
                <w:p w14:paraId="24A423A4">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能的区域</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 xml:space="preserve">的项目； </w:t>
                  </w:r>
                </w:p>
                <w:p w14:paraId="08C640FD">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城市道路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不含维护，不含支路、人 </w:t>
                  </w:r>
                </w:p>
                <w:p w14:paraId="28E2B673">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行天桥、人行地道</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：全部</w:t>
                  </w:r>
                </w:p>
              </w:tc>
              <w:tc>
                <w:tcPr>
                  <w:tcW w:w="1539" w:type="pct"/>
                  <w:vAlign w:val="center"/>
                </w:tcPr>
                <w:p w14:paraId="3B9F7AB5">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不涉及</w:t>
                  </w:r>
                </w:p>
              </w:tc>
            </w:tr>
            <w:tr w14:paraId="37102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77D8ED9A">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环境风险</w:t>
                  </w:r>
                </w:p>
              </w:tc>
              <w:tc>
                <w:tcPr>
                  <w:tcW w:w="2817" w:type="pct"/>
                  <w:vAlign w:val="center"/>
                </w:tcPr>
                <w:p w14:paraId="07908872">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油气、液体化工码头：全部； </w:t>
                  </w:r>
                </w:p>
                <w:p w14:paraId="02A564C8">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原油、成品油、天然气管线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不含城 </w:t>
                  </w:r>
                </w:p>
                <w:p w14:paraId="7716EE51">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镇天然气管线、企业厂区内管线</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 xml:space="preserve">， </w:t>
                  </w:r>
                </w:p>
                <w:p w14:paraId="0411AF72">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危险化学品输送管线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不含企业厂 </w:t>
                  </w:r>
                </w:p>
                <w:p w14:paraId="717CFD8D">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区内管线</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：全部</w:t>
                  </w:r>
                </w:p>
              </w:tc>
              <w:tc>
                <w:tcPr>
                  <w:tcW w:w="1539" w:type="pct"/>
                  <w:vAlign w:val="center"/>
                </w:tcPr>
                <w:p w14:paraId="3374B382">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不涉及</w:t>
                  </w:r>
                </w:p>
              </w:tc>
            </w:tr>
          </w:tbl>
          <w:p w14:paraId="2AF8FF29">
            <w:pPr>
              <w:spacing w:line="240" w:lineRule="auto"/>
              <w:ind w:firstLine="480" w:firstLineChars="200"/>
              <w:rPr>
                <w:rFonts w:hint="default" w:ascii="Times New Roman" w:hAnsi="Times New Roman" w:cs="Times New Roman"/>
                <w:color w:val="auto"/>
                <w:szCs w:val="24"/>
                <w:highlight w:val="none"/>
              </w:rPr>
            </w:pPr>
          </w:p>
        </w:tc>
      </w:tr>
      <w:tr w14:paraId="0780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007DC2F6">
            <w:pPr>
              <w:autoSpaceDE w:val="0"/>
              <w:autoSpaceDN w:val="0"/>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规划情况</w:t>
            </w:r>
          </w:p>
        </w:tc>
        <w:tc>
          <w:tcPr>
            <w:tcW w:w="7097" w:type="dxa"/>
            <w:gridSpan w:val="3"/>
            <w:vAlign w:val="center"/>
          </w:tcPr>
          <w:p w14:paraId="728E2F77">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《湖南省普通建筑材料用砂石土矿专项规划（2021-2025年）》</w:t>
            </w:r>
          </w:p>
          <w:p w14:paraId="2E223933">
            <w:pPr>
              <w:ind w:firstLine="0" w:firstLineChars="0"/>
              <w:rPr>
                <w:rFonts w:hint="default" w:ascii="Times New Roman" w:hAnsi="Times New Roman" w:cs="Times New Roman"/>
                <w:color w:val="auto"/>
                <w:szCs w:val="24"/>
                <w:highlight w:val="none"/>
                <w:lang w:val="en-US"/>
              </w:rPr>
            </w:pPr>
            <w:r>
              <w:rPr>
                <w:rFonts w:hint="eastAsia"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常德市矿产资源总体规划（2021-2025）</w:t>
            </w:r>
            <w:r>
              <w:rPr>
                <w:rFonts w:hint="eastAsia" w:ascii="Times New Roman" w:hAnsi="Times New Roman" w:cs="Times New Roman"/>
                <w:color w:val="auto"/>
                <w:szCs w:val="24"/>
                <w:highlight w:val="none"/>
                <w:lang w:eastAsia="zh-CN"/>
              </w:rPr>
              <w:t>》</w:t>
            </w:r>
          </w:p>
          <w:p w14:paraId="6C85BD3D">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澧县普通建筑材料用砂石土矿专项规划（2019～2025年）</w:t>
            </w:r>
            <w:r>
              <w:rPr>
                <w:rFonts w:hint="default" w:ascii="Times New Roman" w:hAnsi="Times New Roman" w:cs="Times New Roman"/>
                <w:color w:val="auto"/>
                <w:szCs w:val="24"/>
                <w:highlight w:val="none"/>
              </w:rPr>
              <w:t>》</w:t>
            </w:r>
          </w:p>
        </w:tc>
      </w:tr>
      <w:tr w14:paraId="69BE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440D7FB0">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规划环境影响</w:t>
            </w:r>
          </w:p>
          <w:p w14:paraId="34DDFC7A">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评价情况</w:t>
            </w:r>
          </w:p>
        </w:tc>
        <w:tc>
          <w:tcPr>
            <w:tcW w:w="7097" w:type="dxa"/>
            <w:gridSpan w:val="3"/>
            <w:vAlign w:val="center"/>
          </w:tcPr>
          <w:p w14:paraId="5E807945">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《湖南省普通建筑材料用砂石土矿专项规划（2021-2025年）环境影响报告书》</w:t>
            </w:r>
          </w:p>
          <w:p w14:paraId="6A9EF35C">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湖南省生态环境厅关于《湖南省普通建设材料用砂石土矿专项规划（2021~2025年）环境影响报告书的审查意见》（湘环评函[2021]23号）</w:t>
            </w:r>
          </w:p>
          <w:p w14:paraId="641D4389">
            <w:pPr>
              <w:ind w:firstLine="0" w:firstLineChars="0"/>
              <w:rPr>
                <w:rFonts w:hint="eastAsia" w:cs="Times New Roman"/>
                <w:color w:val="auto"/>
                <w:szCs w:val="24"/>
                <w:highlight w:val="none"/>
                <w:u w:val="none"/>
                <w:lang w:eastAsia="zh-CN"/>
              </w:rPr>
            </w:pPr>
            <w:r>
              <w:rPr>
                <w:rFonts w:hint="eastAsia" w:cs="Times New Roman"/>
                <w:color w:val="auto"/>
                <w:szCs w:val="24"/>
                <w:highlight w:val="none"/>
                <w:u w:val="none"/>
                <w:lang w:eastAsia="zh-CN"/>
              </w:rPr>
              <w:t>《</w:t>
            </w:r>
            <w:r>
              <w:rPr>
                <w:rFonts w:hint="default" w:ascii="Times New Roman" w:hAnsi="Times New Roman" w:cs="Times New Roman"/>
                <w:color w:val="auto"/>
                <w:szCs w:val="24"/>
                <w:highlight w:val="none"/>
                <w:u w:val="none"/>
              </w:rPr>
              <w:t>常德市矿产资源总体规划（2021-2025年）环境影响报告书</w:t>
            </w:r>
            <w:r>
              <w:rPr>
                <w:rFonts w:hint="eastAsia" w:cs="Times New Roman"/>
                <w:color w:val="auto"/>
                <w:szCs w:val="24"/>
                <w:highlight w:val="none"/>
                <w:u w:val="none"/>
                <w:lang w:eastAsia="zh-CN"/>
              </w:rPr>
              <w:t>》，（</w:t>
            </w:r>
            <w:r>
              <w:rPr>
                <w:rFonts w:hint="eastAsia" w:cs="Times New Roman"/>
                <w:color w:val="auto"/>
                <w:szCs w:val="24"/>
                <w:highlight w:val="none"/>
                <w:u w:val="none"/>
                <w:lang w:val="en-US" w:eastAsia="zh-CN"/>
              </w:rPr>
              <w:t>2021年12月</w:t>
            </w:r>
            <w:r>
              <w:rPr>
                <w:rFonts w:hint="eastAsia" w:cs="Times New Roman"/>
                <w:color w:val="auto"/>
                <w:szCs w:val="24"/>
                <w:highlight w:val="none"/>
                <w:u w:val="none"/>
                <w:lang w:eastAsia="zh-CN"/>
              </w:rPr>
              <w:t>）</w:t>
            </w:r>
          </w:p>
          <w:p w14:paraId="44D33C64">
            <w:pPr>
              <w:ind w:firstLine="0" w:firstLineChars="0"/>
              <w:rPr>
                <w:rFonts w:hint="eastAsia" w:cs="Times New Roman"/>
                <w:color w:val="auto"/>
                <w:szCs w:val="24"/>
                <w:highlight w:val="none"/>
                <w:u w:val="single"/>
                <w:lang w:val="en-US" w:eastAsia="zh-CN"/>
              </w:rPr>
            </w:pPr>
            <w:r>
              <w:rPr>
                <w:rFonts w:hint="eastAsia" w:cs="Times New Roman"/>
                <w:color w:val="auto"/>
                <w:szCs w:val="24"/>
                <w:highlight w:val="none"/>
                <w:u w:val="none"/>
                <w:lang w:val="en-US" w:eastAsia="zh-CN"/>
              </w:rPr>
              <w:t>湖南省生态环境厅关于《常德市矿产资源总体规划（2021-2025年）环境影响报告书》审查意见的函</w:t>
            </w:r>
          </w:p>
        </w:tc>
      </w:tr>
      <w:tr w14:paraId="47D0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56" w:type="dxa"/>
            <w:vAlign w:val="center"/>
          </w:tcPr>
          <w:p w14:paraId="20EBED8E">
            <w:pPr>
              <w:autoSpaceDE w:val="0"/>
              <w:autoSpaceDN w:val="0"/>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规划及规划环境</w:t>
            </w:r>
          </w:p>
          <w:p w14:paraId="17FF83CB">
            <w:pPr>
              <w:autoSpaceDE w:val="0"/>
              <w:autoSpaceDN w:val="0"/>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4"/>
                <w:highlight w:val="none"/>
              </w:rPr>
              <w:t>影响评价符合性分析</w:t>
            </w:r>
          </w:p>
        </w:tc>
        <w:tc>
          <w:tcPr>
            <w:tcW w:w="7097" w:type="dxa"/>
            <w:gridSpan w:val="3"/>
            <w:vAlign w:val="center"/>
          </w:tcPr>
          <w:p w14:paraId="6823679C">
            <w:pPr>
              <w:spacing w:before="163" w:beforeLines="50"/>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1</w:t>
            </w:r>
            <w:r>
              <w:rPr>
                <w:rFonts w:hint="default" w:ascii="Times New Roman" w:hAnsi="Times New Roman" w:cs="Times New Roman"/>
                <w:b/>
                <w:bCs/>
                <w:color w:val="auto"/>
                <w:szCs w:val="24"/>
                <w:highlight w:val="none"/>
              </w:rPr>
              <w:t>、</w:t>
            </w:r>
            <w:r>
              <w:rPr>
                <w:rFonts w:hint="eastAsia" w:cs="Times New Roman"/>
                <w:b/>
                <w:bCs/>
                <w:color w:val="auto"/>
                <w:szCs w:val="24"/>
                <w:highlight w:val="none"/>
                <w:lang w:val="en-US" w:eastAsia="zh-CN"/>
              </w:rPr>
              <w:t>与</w:t>
            </w:r>
            <w:r>
              <w:rPr>
                <w:rFonts w:hint="default" w:ascii="Times New Roman" w:hAnsi="Times New Roman" w:cs="Times New Roman"/>
                <w:b/>
                <w:bCs/>
                <w:color w:val="auto"/>
                <w:szCs w:val="24"/>
                <w:highlight w:val="none"/>
              </w:rPr>
              <w:t>《湖南省普通建筑材料用砂石土矿专项规划（2021~2025年）环境影响报告书》符合性分析</w:t>
            </w:r>
          </w:p>
          <w:p w14:paraId="5C813A1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项目矿山开采与《规划环评》</w:t>
            </w:r>
            <w:r>
              <w:rPr>
                <w:rFonts w:hint="eastAsia" w:cs="Times New Roman"/>
                <w:color w:val="auto"/>
                <w:highlight w:val="none"/>
                <w:lang w:val="en-US" w:eastAsia="zh-CN"/>
              </w:rPr>
              <w:t>的</w:t>
            </w:r>
            <w:r>
              <w:rPr>
                <w:rFonts w:hint="default" w:ascii="Times New Roman" w:hAnsi="Times New Roman" w:cs="Times New Roman"/>
                <w:color w:val="auto"/>
                <w:highlight w:val="none"/>
              </w:rPr>
              <w:t>符合性分析如下。</w:t>
            </w:r>
          </w:p>
          <w:p w14:paraId="38369380">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none"/>
              </w:rPr>
              <w:t>表1-</w:t>
            </w:r>
            <w:r>
              <w:rPr>
                <w:rFonts w:hint="eastAsia" w:cs="Times New Roman"/>
                <w:b/>
                <w:bCs/>
                <w:color w:val="auto"/>
                <w:sz w:val="21"/>
                <w:szCs w:val="21"/>
                <w:highlight w:val="none"/>
                <w:u w:val="none"/>
                <w:lang w:val="en-US" w:eastAsia="zh-CN"/>
              </w:rPr>
              <w:t>3</w:t>
            </w:r>
            <w:r>
              <w:rPr>
                <w:rFonts w:hint="default" w:ascii="Times New Roman" w:hAnsi="Times New Roman" w:cs="Times New Roman"/>
                <w:b/>
                <w:bCs/>
                <w:color w:val="auto"/>
                <w:sz w:val="21"/>
                <w:szCs w:val="21"/>
                <w:highlight w:val="none"/>
                <w:u w:val="none"/>
              </w:rPr>
              <w:t xml:space="preserve">  与专项规划环评的符合性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3507"/>
              <w:gridCol w:w="1994"/>
              <w:gridCol w:w="731"/>
            </w:tblGrid>
            <w:tr w14:paraId="679E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2BEF256A">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清单类型</w:t>
                  </w:r>
                </w:p>
              </w:tc>
              <w:tc>
                <w:tcPr>
                  <w:tcW w:w="3386" w:type="dxa"/>
                  <w:vAlign w:val="center"/>
                </w:tcPr>
                <w:p w14:paraId="58B9A609">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准入清单要求</w:t>
                  </w:r>
                </w:p>
              </w:tc>
              <w:tc>
                <w:tcPr>
                  <w:tcW w:w="1925" w:type="dxa"/>
                  <w:vAlign w:val="center"/>
                </w:tcPr>
                <w:p w14:paraId="3E8369F5">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项目情况</w:t>
                  </w:r>
                </w:p>
              </w:tc>
              <w:tc>
                <w:tcPr>
                  <w:tcW w:w="706" w:type="dxa"/>
                  <w:vAlign w:val="center"/>
                </w:tcPr>
                <w:p w14:paraId="58DF6FA7">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符合性</w:t>
                  </w:r>
                </w:p>
              </w:tc>
            </w:tr>
            <w:tr w14:paraId="69E0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restart"/>
                  <w:vAlign w:val="center"/>
                </w:tcPr>
                <w:p w14:paraId="3159D0C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空间布局约束</w:t>
                  </w:r>
                </w:p>
              </w:tc>
              <w:tc>
                <w:tcPr>
                  <w:tcW w:w="3386" w:type="dxa"/>
                  <w:vAlign w:val="center"/>
                </w:tcPr>
                <w:p w14:paraId="38315B9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规划设置了禁止开采区，包括全省生态保护红线、基本农田保护区、集中式饮用水源一级、二级保护区、自然保护地（自然保护地包括国家公园、自然保护区、森林公园、石漠化公园、湿地公园、地质公园）、风景名胜区、城镇开发边界、国家级生态公益林（I级）、军事禁区、湘江流域禁采区、重点生态功能区负面清单要求的法定禁止范围。</w:t>
                  </w:r>
                </w:p>
              </w:tc>
              <w:tc>
                <w:tcPr>
                  <w:tcW w:w="1925" w:type="dxa"/>
                  <w:vAlign w:val="center"/>
                </w:tcPr>
                <w:p w14:paraId="426EC66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项目矿山不涉及生态保护红线、基本农田保护区、集中式饮用水水源保护区、自然保护</w:t>
                  </w:r>
                  <w:r>
                    <w:rPr>
                      <w:rFonts w:hint="eastAsia" w:cs="Times New Roman"/>
                      <w:color w:val="auto"/>
                      <w:sz w:val="21"/>
                      <w:szCs w:val="21"/>
                      <w:highlight w:val="none"/>
                      <w:u w:val="none"/>
                      <w:lang w:val="en-US" w:eastAsia="zh-CN"/>
                    </w:rPr>
                    <w:t>地</w:t>
                  </w:r>
                  <w:r>
                    <w:rPr>
                      <w:rFonts w:hint="default" w:ascii="Times New Roman" w:hAnsi="Times New Roman" w:cs="Times New Roman"/>
                      <w:color w:val="auto"/>
                      <w:sz w:val="21"/>
                      <w:szCs w:val="21"/>
                      <w:highlight w:val="none"/>
                      <w:u w:val="none"/>
                    </w:rPr>
                    <w:t>等环境敏感区，不在禁止开采区范围。</w:t>
                  </w:r>
                </w:p>
              </w:tc>
              <w:tc>
                <w:tcPr>
                  <w:tcW w:w="706" w:type="dxa"/>
                  <w:vAlign w:val="center"/>
                </w:tcPr>
                <w:p w14:paraId="43924451">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1A2C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continue"/>
                  <w:vAlign w:val="center"/>
                </w:tcPr>
                <w:p w14:paraId="11F86C39">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3386" w:type="dxa"/>
                  <w:vAlign w:val="center"/>
                </w:tcPr>
                <w:p w14:paraId="1C96C34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规划设置了湘江流域禁采区（长沙综合枢纽库区湘江干流两岸各1000m、长沙综合枢纽库区以外湘江干流两岸各500m、主要一级支流两岸各300m、其他重要一级支流或二级支流两岸各200m、重要饮用水源地水面周边300m）。</w:t>
                  </w:r>
                </w:p>
              </w:tc>
              <w:tc>
                <w:tcPr>
                  <w:tcW w:w="1925" w:type="dxa"/>
                  <w:vAlign w:val="center"/>
                </w:tcPr>
                <w:p w14:paraId="456E1341">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项目矿山不涉及湘江流域，未在湘江流域禁采区范围。</w:t>
                  </w:r>
                </w:p>
              </w:tc>
              <w:tc>
                <w:tcPr>
                  <w:tcW w:w="706" w:type="dxa"/>
                  <w:vAlign w:val="center"/>
                </w:tcPr>
                <w:p w14:paraId="1257909C">
                  <w:pPr>
                    <w:ind w:firstLine="0" w:firstLineChars="0"/>
                    <w:jc w:val="center"/>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rPr>
                    <w:t>符合</w:t>
                  </w:r>
                </w:p>
              </w:tc>
            </w:tr>
            <w:tr w14:paraId="783E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continue"/>
                  <w:vAlign w:val="center"/>
                </w:tcPr>
                <w:p w14:paraId="7C4C808B">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3386" w:type="dxa"/>
                  <w:vAlign w:val="center"/>
                </w:tcPr>
                <w:p w14:paraId="113023BC">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规划明确了在禁采区内，不再新设砂石土矿采矿权，已设采矿权应一矿一策，制定方案，调整范围后纳入开采规划区块设置的，合理调整采矿权范围，无法调整范围或调整范围后也不满足规划区块设置要求的，原则上2021年底前必须退出到位。</w:t>
                  </w:r>
                </w:p>
              </w:tc>
              <w:tc>
                <w:tcPr>
                  <w:tcW w:w="1925" w:type="dxa"/>
                  <w:vAlign w:val="center"/>
                </w:tcPr>
                <w:p w14:paraId="42D3825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项目矿山不涉及禁采区，属于</w:t>
                  </w:r>
                  <w:r>
                    <w:rPr>
                      <w:rFonts w:hint="eastAsia" w:cs="Times New Roman"/>
                      <w:color w:val="auto"/>
                      <w:sz w:val="21"/>
                      <w:szCs w:val="21"/>
                      <w:highlight w:val="none"/>
                      <w:u w:val="none"/>
                      <w:lang w:val="en-US" w:eastAsia="zh-CN"/>
                    </w:rPr>
                    <w:t>符合条件</w:t>
                  </w:r>
                  <w:r>
                    <w:rPr>
                      <w:rFonts w:hint="default" w:ascii="Times New Roman" w:hAnsi="Times New Roman" w:cs="Times New Roman"/>
                      <w:color w:val="auto"/>
                      <w:sz w:val="21"/>
                      <w:szCs w:val="21"/>
                      <w:highlight w:val="none"/>
                      <w:u w:val="none"/>
                    </w:rPr>
                    <w:t>开采区</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区块编号576</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w:t>
                  </w:r>
                </w:p>
              </w:tc>
              <w:tc>
                <w:tcPr>
                  <w:tcW w:w="706" w:type="dxa"/>
                  <w:vAlign w:val="center"/>
                </w:tcPr>
                <w:p w14:paraId="00016337">
                  <w:pPr>
                    <w:ind w:firstLine="0" w:firstLineChars="0"/>
                    <w:jc w:val="center"/>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rPr>
                    <w:t>符合</w:t>
                  </w:r>
                </w:p>
              </w:tc>
            </w:tr>
            <w:tr w14:paraId="393E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continue"/>
                  <w:vAlign w:val="center"/>
                </w:tcPr>
                <w:p w14:paraId="43623B55">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3386" w:type="dxa"/>
                  <w:vAlign w:val="center"/>
                </w:tcPr>
                <w:p w14:paraId="01B5E43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本规划设置了限制开采区，包括三类：一是湘江流域限制开采区（从湘江流域禁止开采区边界开始， 外推至距河流两岸不超过1000m以内的区域，但外推区域内存在山脊线的，限采区为禁采区边界至第一层山脊线之间的区域；重要饮用水源地禁采区外边界至周边1000m以内的区域）。二是铁路、高速公路、国省干道、输电线路、输气管道、居民点等各类基础设施周边或两侧一定范围，依相关法律法规、条例遵其规定；三是重点生态功能区负面清单要求的限制开采区域。</w:t>
                  </w:r>
                </w:p>
              </w:tc>
              <w:tc>
                <w:tcPr>
                  <w:tcW w:w="1925" w:type="dxa"/>
                  <w:vAlign w:val="center"/>
                </w:tcPr>
                <w:p w14:paraId="41B33F9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项目矿山不涉及湘江流域限制开采区范围，矿山1000m范围内没有铁路、高速公路、国省干道通过，与永久基本农田、生态保护红线、自然保护区、风景名胜区无重叠。</w:t>
                  </w:r>
                </w:p>
              </w:tc>
              <w:tc>
                <w:tcPr>
                  <w:tcW w:w="706" w:type="dxa"/>
                  <w:vAlign w:val="center"/>
                </w:tcPr>
                <w:p w14:paraId="67DD6424">
                  <w:pPr>
                    <w:ind w:firstLine="0" w:firstLineChars="0"/>
                    <w:jc w:val="center"/>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rPr>
                    <w:t>符合</w:t>
                  </w:r>
                </w:p>
              </w:tc>
            </w:tr>
            <w:tr w14:paraId="3003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continue"/>
                  <w:vAlign w:val="center"/>
                </w:tcPr>
                <w:p w14:paraId="3D01C5C8">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3386" w:type="dxa"/>
                  <w:vAlign w:val="center"/>
                </w:tcPr>
                <w:p w14:paraId="2761BBB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规划明确了在限制开采区内，原则上不新设砂石土矿采矿权，已有矿山原则上不予扩界，但为减少终了边坡、消除安全生产隐患和地质灾害隐患的情形除外。为保障重大项目建设和民生需求确需新设（含以扩充资源为目的的扩界情形）的，应由具有采矿权审批权限的审批机关同级人民政府组织相关部门严格论证，确保符合环境保护、水土保持和安全生产要求。</w:t>
                  </w:r>
                </w:p>
              </w:tc>
              <w:tc>
                <w:tcPr>
                  <w:tcW w:w="1925" w:type="dxa"/>
                  <w:vAlign w:val="center"/>
                </w:tcPr>
                <w:p w14:paraId="07951201">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项目矿山属于</w:t>
                  </w:r>
                  <w:r>
                    <w:rPr>
                      <w:rFonts w:hint="eastAsia" w:cs="Times New Roman"/>
                      <w:color w:val="auto"/>
                      <w:sz w:val="21"/>
                      <w:szCs w:val="21"/>
                      <w:highlight w:val="none"/>
                      <w:u w:val="none"/>
                      <w:lang w:val="en-US" w:eastAsia="zh-CN"/>
                    </w:rPr>
                    <w:t>符合条件</w:t>
                  </w:r>
                  <w:r>
                    <w:rPr>
                      <w:rFonts w:hint="default" w:ascii="Times New Roman" w:hAnsi="Times New Roman" w:cs="Times New Roman"/>
                      <w:color w:val="auto"/>
                      <w:sz w:val="21"/>
                      <w:szCs w:val="21"/>
                      <w:highlight w:val="none"/>
                      <w:u w:val="none"/>
                    </w:rPr>
                    <w:t>开采区</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区块编号576</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w:t>
                  </w:r>
                </w:p>
              </w:tc>
              <w:tc>
                <w:tcPr>
                  <w:tcW w:w="706" w:type="dxa"/>
                  <w:vAlign w:val="center"/>
                </w:tcPr>
                <w:p w14:paraId="03AB6AA5">
                  <w:pPr>
                    <w:ind w:firstLine="0" w:firstLineChars="0"/>
                    <w:jc w:val="center"/>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rPr>
                    <w:t>符合</w:t>
                  </w:r>
                </w:p>
              </w:tc>
            </w:tr>
            <w:tr w14:paraId="4828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restart"/>
                  <w:vAlign w:val="center"/>
                </w:tcPr>
                <w:p w14:paraId="5C7E188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污染物排放管控</w:t>
                  </w:r>
                </w:p>
              </w:tc>
              <w:tc>
                <w:tcPr>
                  <w:tcW w:w="3386" w:type="dxa"/>
                  <w:vAlign w:val="center"/>
                </w:tcPr>
                <w:p w14:paraId="1A382513">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新设矿山必须达到绿色矿山建设标准并经验收合格后方可生产。现有矿山2025年底全部达到绿色矿山建设标准并经验收合格。①新设矿山原则上最低生产规模达到</w:t>
                  </w:r>
                  <w:r>
                    <w:rPr>
                      <w:rFonts w:hint="eastAsia" w:cs="Times New Roman"/>
                      <w:color w:val="auto"/>
                      <w:sz w:val="21"/>
                      <w:szCs w:val="21"/>
                      <w:highlight w:val="none"/>
                      <w:u w:val="none"/>
                      <w:lang w:eastAsia="zh-CN"/>
                    </w:rPr>
                    <w:t>120万t/a</w:t>
                  </w:r>
                  <w:r>
                    <w:rPr>
                      <w:rFonts w:hint="default" w:ascii="Times New Roman" w:hAnsi="Times New Roman" w:cs="Times New Roman"/>
                      <w:color w:val="auto"/>
                      <w:sz w:val="21"/>
                      <w:szCs w:val="21"/>
                      <w:highlight w:val="none"/>
                      <w:u w:val="none"/>
                    </w:rPr>
                    <w:t>，建筑用辉绿岩、建筑用玄武岩等优质砂石资源可适当降低标准机械化程度80%以上；②露天矿山应采用自上而下“边采边治”台阶式分层开采方式，严禁开采造成高陡边坡，原则上不允许负地形开采，新设矿山原则上实现移平式开发；③废水、粉尘、噪声和固废必须经过处理达到国家和省规定的排放标准；污水处理达标率达到100%；砂石矿山资源综合利用率不低于95%，固体废物妥善处置率达到100%。④新建和生产矿山损毁土地复垦率应达到100%（全面复垦），地质环境治理恢复率应达到100%（全面治理）。</w:t>
                  </w:r>
                </w:p>
              </w:tc>
              <w:tc>
                <w:tcPr>
                  <w:tcW w:w="1925" w:type="dxa"/>
                  <w:vAlign w:val="center"/>
                </w:tcPr>
                <w:p w14:paraId="698EBF5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项目矿山已编制开发利用方案</w:t>
                  </w:r>
                  <w:r>
                    <w:rPr>
                      <w:rFonts w:hint="eastAsia" w:cs="Times New Roman"/>
                      <w:color w:val="auto"/>
                      <w:sz w:val="21"/>
                      <w:szCs w:val="21"/>
                      <w:highlight w:val="none"/>
                      <w:u w:val="none"/>
                      <w:lang w:val="en-US" w:eastAsia="zh-CN"/>
                    </w:rPr>
                    <w:t>及</w:t>
                  </w:r>
                  <w:r>
                    <w:rPr>
                      <w:rFonts w:hint="default" w:ascii="Times New Roman" w:hAnsi="Times New Roman" w:cs="Times New Roman"/>
                      <w:color w:val="auto"/>
                      <w:sz w:val="21"/>
                      <w:szCs w:val="21"/>
                      <w:highlight w:val="none"/>
                      <w:u w:val="none"/>
                    </w:rPr>
                    <w:t>生态保护修复方案，按照绿色矿山标准进行建设；矿山开采规模</w:t>
                  </w:r>
                  <w:r>
                    <w:rPr>
                      <w:rFonts w:hint="eastAsia" w:cs="Times New Roman"/>
                      <w:color w:val="auto"/>
                      <w:sz w:val="21"/>
                      <w:szCs w:val="21"/>
                      <w:highlight w:val="none"/>
                      <w:u w:val="none"/>
                      <w:lang w:val="en-US" w:eastAsia="zh-CN"/>
                    </w:rPr>
                    <w:t>120</w:t>
                  </w:r>
                  <w:r>
                    <w:rPr>
                      <w:rFonts w:hint="default" w:ascii="Times New Roman" w:hAnsi="Times New Roman" w:cs="Times New Roman"/>
                      <w:color w:val="auto"/>
                      <w:sz w:val="21"/>
                      <w:szCs w:val="21"/>
                      <w:highlight w:val="none"/>
                      <w:u w:val="none"/>
                    </w:rPr>
                    <w:t>万吨/年，采取露天自上而下分台阶开采法，开采标高+</w:t>
                  </w:r>
                  <w:r>
                    <w:rPr>
                      <w:rFonts w:hint="eastAsia" w:cs="Times New Roman"/>
                      <w:color w:val="auto"/>
                      <w:sz w:val="21"/>
                      <w:szCs w:val="21"/>
                      <w:highlight w:val="none"/>
                      <w:u w:val="none"/>
                      <w:lang w:val="en-US" w:eastAsia="zh-CN"/>
                    </w:rPr>
                    <w:t>198</w:t>
                  </w:r>
                  <w:r>
                    <w:rPr>
                      <w:rFonts w:hint="default" w:ascii="Times New Roman" w:hAnsi="Times New Roman" w:cs="Times New Roman"/>
                      <w:color w:val="auto"/>
                      <w:sz w:val="21"/>
                      <w:szCs w:val="21"/>
                      <w:highlight w:val="none"/>
                      <w:u w:val="none"/>
                    </w:rPr>
                    <w:t>m</w:t>
                  </w:r>
                  <w:r>
                    <w:rPr>
                      <w:rFonts w:hint="eastAsia" w:cs="Times New Roman"/>
                      <w:color w:val="auto"/>
                      <w:sz w:val="21"/>
                      <w:szCs w:val="21"/>
                      <w:highlight w:val="none"/>
                      <w:u w:val="none"/>
                      <w:lang w:val="en-US" w:eastAsia="zh-CN"/>
                    </w:rPr>
                    <w:t>--+110m</w:t>
                  </w:r>
                  <w:r>
                    <w:rPr>
                      <w:rFonts w:hint="default" w:ascii="Times New Roman" w:hAnsi="Times New Roman" w:cs="Times New Roman"/>
                      <w:color w:val="auto"/>
                      <w:sz w:val="21"/>
                      <w:szCs w:val="21"/>
                      <w:highlight w:val="none"/>
                      <w:u w:val="none"/>
                    </w:rPr>
                    <w:t>；废水经处理后全部循环利用，粉尘采取抑尘后确保达标排放，固体废物全部妥善处置；矿山开采</w:t>
                  </w:r>
                  <w:r>
                    <w:rPr>
                      <w:rFonts w:hint="eastAsia" w:cs="Times New Roman"/>
                      <w:color w:val="auto"/>
                      <w:sz w:val="21"/>
                      <w:szCs w:val="21"/>
                      <w:highlight w:val="none"/>
                      <w:u w:val="none"/>
                      <w:lang w:val="en-US" w:eastAsia="zh-CN"/>
                    </w:rPr>
                    <w:t>将对原有矿区</w:t>
                  </w:r>
                  <w:r>
                    <w:rPr>
                      <w:rFonts w:hint="default" w:ascii="Times New Roman" w:hAnsi="Times New Roman" w:cs="Times New Roman"/>
                      <w:color w:val="auto"/>
                      <w:sz w:val="21"/>
                      <w:szCs w:val="21"/>
                      <w:highlight w:val="none"/>
                      <w:u w:val="none"/>
                    </w:rPr>
                    <w:t>进行植被恢复，确保土地复垦率、地质环境治理恢复率达100%。</w:t>
                  </w:r>
                </w:p>
              </w:tc>
              <w:tc>
                <w:tcPr>
                  <w:tcW w:w="706" w:type="dxa"/>
                  <w:vAlign w:val="center"/>
                </w:tcPr>
                <w:p w14:paraId="37D2AC89">
                  <w:pPr>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6E33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continue"/>
                  <w:vAlign w:val="center"/>
                </w:tcPr>
                <w:p w14:paraId="20098081">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3386" w:type="dxa"/>
                  <w:vAlign w:val="center"/>
                </w:tcPr>
                <w:p w14:paraId="3BBB1CF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规划实施需保证采区环境质量维持基本稳定。</w:t>
                  </w:r>
                </w:p>
              </w:tc>
              <w:tc>
                <w:tcPr>
                  <w:tcW w:w="1925" w:type="dxa"/>
                  <w:vAlign w:val="center"/>
                </w:tcPr>
                <w:p w14:paraId="53B3479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项目矿山开采不会造成区域环境质量下降，可维持环境质量基本稳定。</w:t>
                  </w:r>
                </w:p>
              </w:tc>
              <w:tc>
                <w:tcPr>
                  <w:tcW w:w="706" w:type="dxa"/>
                  <w:vAlign w:val="center"/>
                </w:tcPr>
                <w:p w14:paraId="0A61A85B">
                  <w:pPr>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459A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357D9CC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风险防控</w:t>
                  </w:r>
                </w:p>
              </w:tc>
              <w:tc>
                <w:tcPr>
                  <w:tcW w:w="3386" w:type="dxa"/>
                  <w:vAlign w:val="center"/>
                </w:tcPr>
                <w:p w14:paraId="0983128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规划实施的主要风险：一是矿山、</w:t>
                  </w:r>
                  <w:r>
                    <w:rPr>
                      <w:rFonts w:hint="eastAsia" w:cs="Times New Roman"/>
                      <w:color w:val="auto"/>
                      <w:sz w:val="21"/>
                      <w:szCs w:val="21"/>
                      <w:highlight w:val="none"/>
                      <w:u w:val="none"/>
                      <w:lang w:eastAsia="zh-CN"/>
                    </w:rPr>
                    <w:t>排土场</w:t>
                  </w:r>
                  <w:r>
                    <w:rPr>
                      <w:rFonts w:hint="default" w:ascii="Times New Roman" w:hAnsi="Times New Roman" w:cs="Times New Roman"/>
                      <w:color w:val="auto"/>
                      <w:sz w:val="21"/>
                      <w:szCs w:val="21"/>
                      <w:highlight w:val="none"/>
                      <w:u w:val="none"/>
                    </w:rPr>
                    <w:t>山体滑坡引起生态环境破坏；二是废水、砂石事故排入饮用水源保护区导致水环境污染，建设单位需按照环境风险应急预案执行，做好防控措施。</w:t>
                  </w:r>
                </w:p>
              </w:tc>
              <w:tc>
                <w:tcPr>
                  <w:tcW w:w="1925" w:type="dxa"/>
                  <w:vAlign w:val="center"/>
                </w:tcPr>
                <w:p w14:paraId="5BB1BA4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建设单位后续将编制突发环境事件应急预案，制定落实环境风险防范措施。</w:t>
                  </w:r>
                </w:p>
              </w:tc>
              <w:tc>
                <w:tcPr>
                  <w:tcW w:w="706" w:type="dxa"/>
                  <w:vAlign w:val="center"/>
                </w:tcPr>
                <w:p w14:paraId="7711A702">
                  <w:pPr>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6CF1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4955C40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资源开发利用</w:t>
                  </w:r>
                </w:p>
              </w:tc>
              <w:tc>
                <w:tcPr>
                  <w:tcW w:w="3386" w:type="dxa"/>
                  <w:vAlign w:val="center"/>
                </w:tcPr>
                <w:p w14:paraId="13A26D6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严格按照开采规模要求、开采范围进行开采，不得超量开采，不得越界开采。矿山开采回采率不低于92%，表土利用率不低于95%。</w:t>
                  </w:r>
                </w:p>
              </w:tc>
              <w:tc>
                <w:tcPr>
                  <w:tcW w:w="1925" w:type="dxa"/>
                  <w:vAlign w:val="center"/>
                </w:tcPr>
                <w:p w14:paraId="24FA572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项目矿山严格按照设计开采规模、范围进行开采，设计开采回采率98%，表土全部用于矿山复垦，利用率100%。</w:t>
                  </w:r>
                </w:p>
              </w:tc>
              <w:tc>
                <w:tcPr>
                  <w:tcW w:w="706" w:type="dxa"/>
                  <w:vAlign w:val="center"/>
                </w:tcPr>
                <w:p w14:paraId="2AE5C32E">
                  <w:pPr>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bl>
          <w:p w14:paraId="581E4838">
            <w:pPr>
              <w:spacing w:before="163" w:beforeLines="50"/>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2</w:t>
            </w:r>
            <w:r>
              <w:rPr>
                <w:rFonts w:hint="default" w:ascii="Times New Roman" w:hAnsi="Times New Roman" w:cs="Times New Roman"/>
                <w:b/>
                <w:bCs/>
                <w:color w:val="auto"/>
                <w:szCs w:val="24"/>
                <w:highlight w:val="none"/>
              </w:rPr>
              <w:t>、与《常德市矿产资源总体规划（2021-2025）》相符性分析</w:t>
            </w:r>
          </w:p>
          <w:p w14:paraId="05F16D0E">
            <w:pPr>
              <w:spacing w:line="360" w:lineRule="auto"/>
              <w:ind w:firstLine="0" w:firstLineChars="0"/>
              <w:jc w:val="center"/>
              <w:rPr>
                <w:rFonts w:hint="default" w:ascii="Times New Roman" w:hAnsi="Times New Roman" w:cs="Times New Roman"/>
                <w:b/>
                <w:bCs/>
                <w:color w:val="auto"/>
                <w:sz w:val="21"/>
                <w:szCs w:val="21"/>
                <w:highlight w:val="none"/>
              </w:rPr>
            </w:pPr>
          </w:p>
          <w:p w14:paraId="63E8AB33">
            <w:pPr>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 xml:space="preserve">  与《常德市矿产资源总体规划（2021-2025）》的符合性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3444"/>
              <w:gridCol w:w="2894"/>
            </w:tblGrid>
            <w:tr w14:paraId="16CF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388456BB">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eastAsia" w:cs="Times New Roman"/>
                      <w:b/>
                      <w:bCs/>
                      <w:color w:val="auto"/>
                      <w:sz w:val="21"/>
                      <w:szCs w:val="21"/>
                      <w:highlight w:val="none"/>
                      <w:u w:val="none"/>
                      <w:lang w:val="en-US" w:eastAsia="zh-CN"/>
                    </w:rPr>
                    <w:t>序号</w:t>
                  </w:r>
                </w:p>
              </w:tc>
              <w:tc>
                <w:tcPr>
                  <w:tcW w:w="3325" w:type="dxa"/>
                  <w:vAlign w:val="center"/>
                </w:tcPr>
                <w:p w14:paraId="781D7D63">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eastAsia" w:cs="Times New Roman"/>
                      <w:b/>
                      <w:bCs/>
                      <w:color w:val="auto"/>
                      <w:sz w:val="21"/>
                      <w:szCs w:val="21"/>
                      <w:highlight w:val="none"/>
                      <w:u w:val="none"/>
                      <w:lang w:val="en-US" w:eastAsia="zh-CN"/>
                    </w:rPr>
                    <w:t>内容</w:t>
                  </w:r>
                </w:p>
              </w:tc>
              <w:tc>
                <w:tcPr>
                  <w:tcW w:w="2794" w:type="dxa"/>
                  <w:vAlign w:val="center"/>
                </w:tcPr>
                <w:p w14:paraId="7D5AA99E">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rPr>
                    <w:t>符合性</w:t>
                  </w:r>
                  <w:r>
                    <w:rPr>
                      <w:rFonts w:hint="eastAsia" w:cs="Times New Roman"/>
                      <w:b/>
                      <w:bCs/>
                      <w:color w:val="auto"/>
                      <w:sz w:val="21"/>
                      <w:szCs w:val="21"/>
                      <w:highlight w:val="none"/>
                      <w:u w:val="none"/>
                      <w:lang w:val="en-US" w:eastAsia="zh-CN"/>
                    </w:rPr>
                    <w:t>分析</w:t>
                  </w:r>
                </w:p>
              </w:tc>
            </w:tr>
            <w:tr w14:paraId="2B50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0E7F6DD1">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w:t>
                  </w:r>
                </w:p>
              </w:tc>
              <w:tc>
                <w:tcPr>
                  <w:tcW w:w="3325" w:type="dxa"/>
                  <w:vAlign w:val="center"/>
                </w:tcPr>
                <w:p w14:paraId="1CED99B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强化国土空间和“三线一单”生态管控。 严禁在自然保护地、生态保护红线内开采固体矿产，严禁矿产资源开发破坏国家Ⅰ级和国有国家Ⅱ级公益林、重点保护的天然林、永久基本农田的行为。非征得有关主管部门同意，不得在港口、机场、国防工程建设设施圈定地区内、重要工业区、大型水利工程设施、城镇市政工程设施、国家重点保护的历史文物和名胜古迹一定距离内、铁路1000米范围内、国省县道100米范围内、乡道50米范围内、高速公路可视范围内、沅水、澧水干流第一重山脊或 2000米内国家Ⅱ级公益林范围及法律规定的禁止区内勘查开采矿产资源。</w:t>
                  </w:r>
                </w:p>
              </w:tc>
              <w:tc>
                <w:tcPr>
                  <w:tcW w:w="2794" w:type="dxa"/>
                  <w:vAlign w:val="center"/>
                </w:tcPr>
                <w:p w14:paraId="55E37602">
                  <w:pPr>
                    <w:spacing w:line="240" w:lineRule="auto"/>
                    <w:ind w:firstLine="0" w:firstLineChars="0"/>
                    <w:jc w:val="center"/>
                    <w:rPr>
                      <w:rFonts w:hint="eastAsia" w:eastAsia="宋体"/>
                      <w:color w:val="auto"/>
                      <w:highlight w:val="none"/>
                      <w:u w:val="none"/>
                      <w:lang w:eastAsia="zh-CN"/>
                    </w:rPr>
                  </w:pPr>
                  <w:r>
                    <w:rPr>
                      <w:rFonts w:hint="default" w:ascii="Times New Roman" w:hAnsi="Times New Roman" w:cs="Times New Roman"/>
                      <w:color w:val="auto"/>
                      <w:sz w:val="21"/>
                      <w:szCs w:val="21"/>
                      <w:highlight w:val="none"/>
                      <w:u w:val="none"/>
                    </w:rPr>
                    <w:t>该矿区不在自然保护地、生态保护红线内，矿产资源开发没有破坏国家Ⅰ级和国有国家Ⅱ级公益林、重点保护的天然林、永久基本农田的行为。该矿区并未在以下地区开采：港口、机场、国防工程建设设施圈定地区内、重要工业区、大型水利工程设施、城镇市政工程设施、国家重点保护的历史文物和名胜古迹、铁路1000米范围内、国省县道100米范围内、乡道50米范围内、高速公路可视范围内、沅水、澧水干流第一重山脊或2000米内国家Ⅱ级公益林范围及法律规定的禁止区。符合要求。</w:t>
                  </w:r>
                </w:p>
              </w:tc>
            </w:tr>
            <w:tr w14:paraId="7D71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1BE55685">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w:t>
                  </w:r>
                </w:p>
              </w:tc>
              <w:tc>
                <w:tcPr>
                  <w:tcW w:w="3325" w:type="dxa"/>
                  <w:vAlign w:val="center"/>
                </w:tcPr>
                <w:p w14:paraId="72C2BCB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矿产资源开发应与环境保护、资源保护、城乡建设相协调，最大限度减少对生态环境的扰动和破坏，选择资源节约型、环境友好型的开发方式对资源进行利用。露天开采应采用“剥离—排土—开采—复垦”的一体化技术，加大水土保持力度，加强矿山地质环境保护意识；地下开采的矿山，应根据矿石、围岩等地质条件和其他开采技术条件，矿井涌水的要采取科学处置措施，确保不造成次生环境问题，选择合理的采矿方法避免地质灾害的发生，推荐采用充填或废石不出井的开采方法。</w:t>
                  </w:r>
                </w:p>
              </w:tc>
              <w:tc>
                <w:tcPr>
                  <w:tcW w:w="2794" w:type="dxa"/>
                  <w:vAlign w:val="center"/>
                </w:tcPr>
                <w:p w14:paraId="04D2C82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该矿区资源开发与环境保护、资源保护、城乡建设相协调，最大限度减少对生态环境的扰动和破坏，</w:t>
                  </w:r>
                  <w:r>
                    <w:rPr>
                      <w:rFonts w:hint="eastAsia" w:cs="Times New Roman"/>
                      <w:color w:val="auto"/>
                      <w:sz w:val="21"/>
                      <w:szCs w:val="21"/>
                      <w:highlight w:val="none"/>
                      <w:u w:val="none"/>
                      <w:lang w:val="en-US" w:eastAsia="zh-CN"/>
                    </w:rPr>
                    <w:t>建设单位</w:t>
                  </w:r>
                  <w:r>
                    <w:rPr>
                      <w:rFonts w:hint="default" w:ascii="Times New Roman" w:hAnsi="Times New Roman" w:cs="Times New Roman"/>
                      <w:color w:val="auto"/>
                      <w:sz w:val="21"/>
                      <w:szCs w:val="21"/>
                      <w:highlight w:val="none"/>
                      <w:u w:val="none"/>
                    </w:rPr>
                    <w:t>选择资源节约型、环境友好型的开发方式对资源进行利用。</w:t>
                  </w:r>
                  <w:r>
                    <w:rPr>
                      <w:rFonts w:hint="eastAsia" w:cs="Times New Roman"/>
                      <w:color w:val="auto"/>
                      <w:sz w:val="21"/>
                      <w:szCs w:val="21"/>
                      <w:highlight w:val="none"/>
                      <w:u w:val="none"/>
                      <w:lang w:val="en-US" w:eastAsia="zh-CN"/>
                    </w:rPr>
                    <w:t>本项目</w:t>
                  </w:r>
                  <w:r>
                    <w:rPr>
                      <w:rFonts w:hint="default" w:ascii="Times New Roman" w:hAnsi="Times New Roman" w:cs="Times New Roman"/>
                      <w:color w:val="auto"/>
                      <w:sz w:val="21"/>
                      <w:szCs w:val="21"/>
                      <w:highlight w:val="none"/>
                      <w:u w:val="none"/>
                    </w:rPr>
                    <w:t>露天开采采用“剥离—排土—开采—复垦”的一体化技术，加大水土保持力度，加强矿山地质环境保护意识；符合要求。</w:t>
                  </w:r>
                </w:p>
              </w:tc>
            </w:tr>
            <w:tr w14:paraId="06D4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6A181F46">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w:t>
                  </w:r>
                </w:p>
              </w:tc>
              <w:tc>
                <w:tcPr>
                  <w:tcW w:w="3325" w:type="dxa"/>
                  <w:vAlign w:val="center"/>
                </w:tcPr>
                <w:p w14:paraId="35462B55">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符合爆破安全规程、选矿安全规程等标准、规范要求；符合安全生产设施“三同时”制度要求；采矿许可证、安全生产许可证、排污许可证、 营业执照等证照齐全；矿山须配备地质、采矿、安全等专业技术人员， 并进行专门技能培训，特种专业须持证上岗；符合资源管理、安全生产、生态环境保护、水土保持等要求；符合矿山智能化、 数字化、 信息化管理、矿地和谐要求。</w:t>
                  </w:r>
                </w:p>
              </w:tc>
              <w:tc>
                <w:tcPr>
                  <w:tcW w:w="2794" w:type="dxa"/>
                  <w:vAlign w:val="center"/>
                </w:tcPr>
                <w:p w14:paraId="2630B00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本矿区</w:t>
                  </w:r>
                  <w:r>
                    <w:rPr>
                      <w:rFonts w:hint="default" w:ascii="Times New Roman" w:hAnsi="Times New Roman" w:cs="Times New Roman"/>
                      <w:color w:val="auto"/>
                      <w:sz w:val="21"/>
                      <w:szCs w:val="21"/>
                      <w:highlight w:val="none"/>
                      <w:u w:val="none"/>
                    </w:rPr>
                    <w:t>采矿许可证</w:t>
                  </w:r>
                  <w:r>
                    <w:rPr>
                      <w:rFonts w:hint="eastAsia" w:cs="Times New Roman"/>
                      <w:color w:val="auto"/>
                      <w:sz w:val="21"/>
                      <w:szCs w:val="21"/>
                      <w:highlight w:val="none"/>
                      <w:u w:val="none"/>
                      <w:lang w:val="en-US" w:eastAsia="zh-CN"/>
                    </w:rPr>
                    <w:t>已</w:t>
                  </w:r>
                  <w:r>
                    <w:rPr>
                      <w:rFonts w:hint="default" w:ascii="Times New Roman" w:hAnsi="Times New Roman" w:cs="Times New Roman"/>
                      <w:color w:val="auto"/>
                      <w:sz w:val="21"/>
                      <w:szCs w:val="21"/>
                      <w:highlight w:val="none"/>
                      <w:u w:val="none"/>
                    </w:rPr>
                    <w:t>办理、排污许可证</w:t>
                  </w:r>
                  <w:r>
                    <w:rPr>
                      <w:rFonts w:hint="eastAsia" w:cs="Times New Roman"/>
                      <w:color w:val="auto"/>
                      <w:sz w:val="21"/>
                      <w:szCs w:val="21"/>
                      <w:highlight w:val="none"/>
                      <w:u w:val="none"/>
                      <w:lang w:val="en-US" w:eastAsia="zh-CN"/>
                    </w:rPr>
                    <w:t>待环评审批后办理</w:t>
                  </w:r>
                  <w:r>
                    <w:rPr>
                      <w:rFonts w:hint="default" w:ascii="Times New Roman" w:hAnsi="Times New Roman" w:cs="Times New Roman"/>
                      <w:color w:val="auto"/>
                      <w:sz w:val="21"/>
                      <w:szCs w:val="21"/>
                      <w:highlight w:val="none"/>
                      <w:u w:val="none"/>
                    </w:rPr>
                    <w:t>、营业执照证照齐全；矿山配备</w:t>
                  </w:r>
                  <w:r>
                    <w:rPr>
                      <w:rFonts w:hint="eastAsia" w:cs="Times New Roman"/>
                      <w:color w:val="auto"/>
                      <w:sz w:val="21"/>
                      <w:szCs w:val="21"/>
                      <w:highlight w:val="none"/>
                      <w:u w:val="none"/>
                      <w:lang w:eastAsia="zh-CN"/>
                    </w:rPr>
                    <w:t>了</w:t>
                  </w:r>
                  <w:r>
                    <w:rPr>
                      <w:rFonts w:hint="default" w:ascii="Times New Roman" w:hAnsi="Times New Roman" w:cs="Times New Roman"/>
                      <w:color w:val="auto"/>
                      <w:sz w:val="21"/>
                      <w:szCs w:val="21"/>
                      <w:highlight w:val="none"/>
                      <w:u w:val="none"/>
                    </w:rPr>
                    <w:t>地质、采矿、安全等专业技术人员，并进行专门技能培训，特种专业</w:t>
                  </w:r>
                  <w:r>
                    <w:rPr>
                      <w:rFonts w:hint="eastAsia" w:cs="Times New Roman"/>
                      <w:color w:val="auto"/>
                      <w:sz w:val="21"/>
                      <w:szCs w:val="21"/>
                      <w:highlight w:val="none"/>
                      <w:u w:val="none"/>
                      <w:lang w:val="en-US" w:eastAsia="zh-CN"/>
                    </w:rPr>
                    <w:t>均</w:t>
                  </w:r>
                  <w:r>
                    <w:rPr>
                      <w:rFonts w:hint="default" w:ascii="Times New Roman" w:hAnsi="Times New Roman" w:cs="Times New Roman"/>
                      <w:color w:val="auto"/>
                      <w:sz w:val="21"/>
                      <w:szCs w:val="21"/>
                      <w:highlight w:val="none"/>
                      <w:u w:val="none"/>
                    </w:rPr>
                    <w:t>持证上岗；符合要求。</w:t>
                  </w:r>
                </w:p>
              </w:tc>
            </w:tr>
            <w:tr w14:paraId="6919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3D510453">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4</w:t>
                  </w:r>
                </w:p>
              </w:tc>
              <w:tc>
                <w:tcPr>
                  <w:tcW w:w="3325" w:type="dxa"/>
                  <w:vAlign w:val="center"/>
                </w:tcPr>
                <w:p w14:paraId="300E7E7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矿山建设符合环境影响评价、</w:t>
                  </w:r>
                  <w:r>
                    <w:rPr>
                      <w:rFonts w:hint="eastAsia" w:cs="Times New Roman"/>
                      <w:color w:val="auto"/>
                      <w:sz w:val="21"/>
                      <w:szCs w:val="21"/>
                      <w:highlight w:val="none"/>
                      <w:u w:val="none"/>
                      <w:lang w:val="en-US" w:eastAsia="zh-CN"/>
                    </w:rPr>
                    <w:t>防治</w:t>
                  </w:r>
                  <w:r>
                    <w:rPr>
                      <w:rFonts w:hint="default" w:ascii="Times New Roman" w:hAnsi="Times New Roman" w:cs="Times New Roman"/>
                      <w:color w:val="auto"/>
                      <w:sz w:val="21"/>
                      <w:szCs w:val="21"/>
                      <w:highlight w:val="none"/>
                      <w:u w:val="none"/>
                    </w:rPr>
                    <w:t>污染设施“三同时”等制度要求， 符合常德市“三线一单”生态环境管控基本要求及环境管控单元生态环境准入清单；矿山企业须编制符合规范要求的矿山生态保护修复方案、矿山安全生产预评估报告，依法按标准缴纳矿山地质环</w:t>
                  </w:r>
                </w:p>
                <w:p w14:paraId="707E543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境治理恢复基金；矿山应具有与生产规模和生产工艺相适应的污染物处理能力和生态修复治理措施； 闭坑矿山须及时落实生态环境</w:t>
                  </w:r>
                </w:p>
                <w:p w14:paraId="2FBA9A53">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治理修复和土地复垦复绿等责任和义务。</w:t>
                  </w:r>
                </w:p>
              </w:tc>
              <w:tc>
                <w:tcPr>
                  <w:tcW w:w="2794" w:type="dxa"/>
                  <w:vAlign w:val="center"/>
                </w:tcPr>
                <w:p w14:paraId="19AF921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矿山建设正在进行环境影响评价</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建设单位将严格执行</w:t>
                  </w:r>
                  <w:r>
                    <w:rPr>
                      <w:rFonts w:hint="default" w:ascii="Times New Roman" w:hAnsi="Times New Roman" w:cs="Times New Roman"/>
                      <w:color w:val="auto"/>
                      <w:sz w:val="21"/>
                      <w:szCs w:val="21"/>
                      <w:highlight w:val="none"/>
                      <w:u w:val="none"/>
                    </w:rPr>
                    <w:t>污染设施“三同时”等制度要求，符合常德市“三线一单”生态环境管控基本要求及环境管控单元生态环境准入清单；矿山企业已编制符合规范要求的矿山生态保护修复方案、矿山具有与生产规模和生产工艺相适应的污染物处理能力和生态修复治理措施；符合要求。</w:t>
                  </w:r>
                </w:p>
              </w:tc>
            </w:tr>
          </w:tbl>
          <w:p w14:paraId="4AAF9F6B">
            <w:pPr>
              <w:ind w:firstLine="0" w:firstLineChars="0"/>
              <w:rPr>
                <w:rFonts w:hint="eastAsia" w:cs="Times New Roman"/>
                <w:b/>
                <w:bCs/>
                <w:color w:val="auto"/>
                <w:szCs w:val="24"/>
                <w:highlight w:val="none"/>
                <w:u w:val="single"/>
                <w:lang w:val="en-US" w:eastAsia="zh-CN"/>
              </w:rPr>
            </w:pPr>
          </w:p>
          <w:p w14:paraId="07913E44">
            <w:pPr>
              <w:ind w:firstLine="0" w:firstLineChars="0"/>
              <w:rPr>
                <w:rFonts w:hint="eastAsia" w:cs="Times New Roman"/>
                <w:b/>
                <w:bCs/>
                <w:color w:val="auto"/>
                <w:szCs w:val="24"/>
                <w:highlight w:val="none"/>
                <w:u w:val="none"/>
                <w:lang w:val="en-US" w:eastAsia="zh-CN"/>
              </w:rPr>
            </w:pPr>
            <w:r>
              <w:rPr>
                <w:rFonts w:hint="eastAsia" w:cs="Times New Roman"/>
                <w:b/>
                <w:bCs/>
                <w:color w:val="auto"/>
                <w:szCs w:val="24"/>
                <w:highlight w:val="none"/>
                <w:u w:val="none"/>
                <w:lang w:val="en-US" w:eastAsia="zh-CN"/>
              </w:rPr>
              <w:t>3</w:t>
            </w:r>
            <w:r>
              <w:rPr>
                <w:rFonts w:hint="default" w:ascii="Times New Roman" w:hAnsi="Times New Roman" w:cs="Times New Roman"/>
                <w:b/>
                <w:bCs/>
                <w:color w:val="auto"/>
                <w:szCs w:val="24"/>
                <w:highlight w:val="none"/>
                <w:u w:val="none"/>
                <w:lang w:val="en-US" w:eastAsia="zh-CN"/>
              </w:rPr>
              <w:t>、</w:t>
            </w:r>
            <w:r>
              <w:rPr>
                <w:rFonts w:hint="eastAsia" w:cs="Times New Roman"/>
                <w:b/>
                <w:bCs/>
                <w:color w:val="auto"/>
                <w:szCs w:val="24"/>
                <w:highlight w:val="none"/>
                <w:u w:val="none"/>
                <w:lang w:val="en-US" w:eastAsia="zh-CN"/>
              </w:rPr>
              <w:t>与《常德市矿产资源总体规划（2021-2025年）环境影响报告书》审查意见的符合性分析</w:t>
            </w:r>
          </w:p>
          <w:p w14:paraId="56D07FD2">
            <w:pPr>
              <w:spacing w:line="36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表1-</w:t>
            </w:r>
            <w:r>
              <w:rPr>
                <w:rFonts w:hint="eastAsia" w:cs="Times New Roman"/>
                <w:b/>
                <w:bCs/>
                <w:color w:val="auto"/>
                <w:sz w:val="21"/>
                <w:szCs w:val="21"/>
                <w:highlight w:val="none"/>
                <w:u w:val="none"/>
                <w:lang w:val="en-US" w:eastAsia="zh-CN"/>
              </w:rPr>
              <w:t>5</w:t>
            </w:r>
            <w:r>
              <w:rPr>
                <w:rFonts w:hint="default" w:ascii="Times New Roman" w:hAnsi="Times New Roman" w:cs="Times New Roman"/>
                <w:b/>
                <w:bCs/>
                <w:color w:val="auto"/>
                <w:sz w:val="21"/>
                <w:szCs w:val="21"/>
                <w:highlight w:val="none"/>
                <w:u w:val="none"/>
              </w:rPr>
              <w:t xml:space="preserve">  与常德市矿产资源总体规划（2021-2025年）环境影响报告书》</w:t>
            </w:r>
            <w:r>
              <w:rPr>
                <w:rFonts w:hint="eastAsia" w:cs="Times New Roman"/>
                <w:b/>
                <w:bCs/>
                <w:color w:val="auto"/>
                <w:sz w:val="21"/>
                <w:szCs w:val="21"/>
                <w:highlight w:val="none"/>
                <w:u w:val="none"/>
                <w:lang w:val="en-US" w:eastAsia="zh-CN"/>
              </w:rPr>
              <w:t>审查意见</w:t>
            </w:r>
            <w:r>
              <w:rPr>
                <w:rFonts w:hint="default" w:ascii="Times New Roman" w:hAnsi="Times New Roman" w:cs="Times New Roman"/>
                <w:b/>
                <w:bCs/>
                <w:color w:val="auto"/>
                <w:sz w:val="21"/>
                <w:szCs w:val="21"/>
                <w:highlight w:val="none"/>
                <w:u w:val="none"/>
              </w:rPr>
              <w:t>的符合性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4542"/>
              <w:gridCol w:w="1796"/>
            </w:tblGrid>
            <w:tr w14:paraId="1250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5525F0FF">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eastAsia" w:cs="Times New Roman"/>
                      <w:b/>
                      <w:bCs/>
                      <w:color w:val="auto"/>
                      <w:sz w:val="21"/>
                      <w:szCs w:val="21"/>
                      <w:highlight w:val="none"/>
                      <w:u w:val="none"/>
                      <w:lang w:val="en-US" w:eastAsia="zh-CN"/>
                    </w:rPr>
                    <w:t>序号</w:t>
                  </w:r>
                </w:p>
              </w:tc>
              <w:tc>
                <w:tcPr>
                  <w:tcW w:w="4385" w:type="dxa"/>
                  <w:vAlign w:val="center"/>
                </w:tcPr>
                <w:p w14:paraId="63622B9C">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eastAsia" w:cs="Times New Roman"/>
                      <w:b/>
                      <w:bCs/>
                      <w:color w:val="auto"/>
                      <w:sz w:val="21"/>
                      <w:szCs w:val="21"/>
                      <w:highlight w:val="none"/>
                      <w:u w:val="none"/>
                      <w:lang w:val="en-US" w:eastAsia="zh-CN"/>
                    </w:rPr>
                    <w:t>内容</w:t>
                  </w:r>
                </w:p>
              </w:tc>
              <w:tc>
                <w:tcPr>
                  <w:tcW w:w="1734" w:type="dxa"/>
                  <w:vAlign w:val="center"/>
                </w:tcPr>
                <w:p w14:paraId="3702B332">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rPr>
                    <w:t>符合性</w:t>
                  </w:r>
                  <w:r>
                    <w:rPr>
                      <w:rFonts w:hint="eastAsia" w:cs="Times New Roman"/>
                      <w:b/>
                      <w:bCs/>
                      <w:color w:val="auto"/>
                      <w:sz w:val="21"/>
                      <w:szCs w:val="21"/>
                      <w:highlight w:val="none"/>
                      <w:u w:val="none"/>
                      <w:lang w:val="en-US" w:eastAsia="zh-CN"/>
                    </w:rPr>
                    <w:t>分析</w:t>
                  </w:r>
                </w:p>
              </w:tc>
            </w:tr>
            <w:tr w14:paraId="7B83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593D9CE0">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w:t>
                  </w:r>
                </w:p>
              </w:tc>
              <w:tc>
                <w:tcPr>
                  <w:tcW w:w="4385" w:type="dxa"/>
                  <w:vAlign w:val="center"/>
                </w:tcPr>
                <w:p w14:paraId="6FFC4AD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坚持保护优先、绿色发展。强化《规划》的生态环境保护总体要求，并严格执行国家矿产资源合理开发利用“三率”(开采回采率、选矿回收率、综合利用率)水平标准，在符合国家相关规定的同时，有色和贵金属矿山开采回采率、综合利用率等资源开发和综合利用应满足湖南省地方标准《有色、贵金属矿绿色矿山建设规范(DB43/T2621-2023)》要求。全面实施绿色勘查，采用新工艺等手段因地制宜开展矿产资源勘查工作，新设和改扩建(整合、调整)矿山均应按照绿色矿山的标准建设，到2025年年底前，生产矿山全部达到湖南省绿色矿山标准。</w:t>
                  </w:r>
                </w:p>
              </w:tc>
              <w:tc>
                <w:tcPr>
                  <w:tcW w:w="1734" w:type="dxa"/>
                  <w:vAlign w:val="center"/>
                </w:tcPr>
                <w:p w14:paraId="493EBD9E">
                  <w:pPr>
                    <w:spacing w:line="240" w:lineRule="auto"/>
                    <w:ind w:firstLine="0" w:firstLineChars="0"/>
                    <w:jc w:val="center"/>
                    <w:rPr>
                      <w:rFonts w:hint="eastAsia" w:eastAsia="宋体"/>
                      <w:color w:val="auto"/>
                      <w:highlight w:val="none"/>
                      <w:u w:val="none"/>
                      <w:lang w:eastAsia="zh-CN"/>
                    </w:rPr>
                  </w:pPr>
                  <w:r>
                    <w:rPr>
                      <w:rFonts w:hint="default" w:ascii="Times New Roman" w:hAnsi="Times New Roman" w:cs="Times New Roman"/>
                      <w:color w:val="auto"/>
                      <w:sz w:val="21"/>
                      <w:szCs w:val="21"/>
                      <w:highlight w:val="none"/>
                      <w:u w:val="none"/>
                    </w:rPr>
                    <w:t>项目矿山严格按照设计开采规模、范围进行开采，设计开采回采率98%，表土全部用于矿山复垦，利用率100%。</w:t>
                  </w:r>
                  <w:r>
                    <w:rPr>
                      <w:rFonts w:hint="eastAsia" w:cs="Times New Roman"/>
                      <w:color w:val="auto"/>
                      <w:sz w:val="21"/>
                      <w:szCs w:val="21"/>
                      <w:highlight w:val="none"/>
                      <w:u w:val="none"/>
                      <w:lang w:eastAsia="zh-CN"/>
                    </w:rPr>
                    <w:t>本项目将严格安装绿色矿山标准建设。</w:t>
                  </w:r>
                </w:p>
              </w:tc>
            </w:tr>
            <w:tr w14:paraId="6399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2DC10846">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w:t>
                  </w:r>
                </w:p>
              </w:tc>
              <w:tc>
                <w:tcPr>
                  <w:tcW w:w="4385" w:type="dxa"/>
                  <w:vAlign w:val="center"/>
                </w:tcPr>
                <w:p w14:paraId="78F42AF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严守生态保护红线，优化规划布局。将生态保护红线、生态敏感区作为保护生态安全和维护生态系统稳定的底线，依法依规实施强制性保护，优化《规划》布局。《规划》划定的20个规划勘查区块均(含重复区块)涉及生态保护红线、自然保护地、饮用水水源保护区及公益林等生态环境敏感区。1个涉及生态保护红线和自然保护区、3个涉及一、二级饮用水水源保护区的规划勘查区块应调整规划面积，矿业权设置时应避让各类生态环境敏感区</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规划》划定的92个规划开采区块中共有81个(含重复区块)涉及生态环境敏感区，其中3个与二级饮用水水源保护区全部重叠的规划开采区块调出本轮规划，13个须避让生态环境敏感区。4个与二级饮用水水源保护区有重叠、3个与国家一级生态公益林有重叠的规划开采区块须调整规划面积，矿业权设置时须避让饮用水水源保护区等生态环境敏感区</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6个与永久基本农田有重叠的露天开采矿山，露天采场和其他地面工程应避开永久基本农田</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44个与二级生态公益林重叠的规划开采区块均应优先合理避让生态公益林，确实无法避让的应符合《建设项目使用林地审核审批管理办法》(国家林业局第35号令)相关要求，建设实施前应当依法依规办理使用林地手续</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位于铁路、国道、省道两侧直观可视范围内的2个空白区新设露天开采规划开采矿区应调整开采范围或开采方式，可视范围内不得进行露天开采。已设探矿权和采矿权范围与市、县及千吨万人饮用水水源保护区有重叠时，应避让饮用水水源保护区依法依规有序退出，确保饮水安全。</w:t>
                  </w:r>
                </w:p>
              </w:tc>
              <w:tc>
                <w:tcPr>
                  <w:tcW w:w="1734" w:type="dxa"/>
                  <w:vAlign w:val="center"/>
                </w:tcPr>
                <w:p w14:paraId="250B1429">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本项目矿山及工业场地均不设计生态保护红线、生态敏感区、自然保护区、饮用水水源保护区及公益林等生态环境敏感区。</w:t>
                  </w:r>
                </w:p>
              </w:tc>
            </w:tr>
            <w:tr w14:paraId="4E70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07E663C9">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w:t>
                  </w:r>
                </w:p>
              </w:tc>
              <w:tc>
                <w:tcPr>
                  <w:tcW w:w="4385" w:type="dxa"/>
                  <w:vAlign w:val="center"/>
                </w:tcPr>
                <w:p w14:paraId="021B44B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严格环境准入，严控开发强度。严格落实《规划》目标和准入要求，严格控制矿产开发规模与数量，确保全市一、二类矿山总数控制在92个以内，严格控制非金属矿山数量，饰面用石材等矿产以满足常德市辖区范围内相关产业需求为主，严格控制以出售原材料为主的矿山开发活动</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尾矿库数量原则上只减不增，禁止在沅江、澧水岸线一公里范围内新建、改建、扩建尾矿库和冶炼渣库，以提升安全和生态环境保护水平为目的改建项目除外。严格控制矿山开发规模与强度，节约集约利用土地等资源</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根据区块生态环境敏感程度、资源禀赋和地方经济发展需求合理安排矿山开发建设时序。全面退出石煤矿开采，限制开采石膏及低品位磷矿等矿种，确保规划的采矿权满足各环境要素生态环境保护要求。</w:t>
                  </w:r>
                </w:p>
              </w:tc>
              <w:tc>
                <w:tcPr>
                  <w:tcW w:w="1734" w:type="dxa"/>
                  <w:vAlign w:val="center"/>
                </w:tcPr>
                <w:p w14:paraId="2504B043">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eastAsia="zh-CN"/>
                    </w:rPr>
                    <w:t>本项目年开采矿石及碎石加工</w:t>
                  </w:r>
                  <w:r>
                    <w:rPr>
                      <w:rFonts w:hint="eastAsia" w:cs="Times New Roman"/>
                      <w:color w:val="auto"/>
                      <w:sz w:val="21"/>
                      <w:szCs w:val="21"/>
                      <w:highlight w:val="none"/>
                      <w:u w:val="none"/>
                      <w:lang w:val="en-US" w:eastAsia="zh-CN"/>
                    </w:rPr>
                    <w:t>120万吨，符合规划和准入要求，本项目不修建尾矿库，项目不属于</w:t>
                  </w:r>
                  <w:r>
                    <w:rPr>
                      <w:rFonts w:hint="default" w:ascii="Times New Roman" w:hAnsi="Times New Roman" w:cs="Times New Roman"/>
                      <w:color w:val="auto"/>
                      <w:sz w:val="21"/>
                      <w:szCs w:val="21"/>
                      <w:highlight w:val="none"/>
                      <w:u w:val="none"/>
                    </w:rPr>
                    <w:t>尾矿库和冶炼渣库</w:t>
                  </w:r>
                  <w:r>
                    <w:rPr>
                      <w:rFonts w:hint="eastAsia" w:cs="Times New Roman"/>
                      <w:color w:val="auto"/>
                      <w:sz w:val="21"/>
                      <w:szCs w:val="21"/>
                      <w:highlight w:val="none"/>
                      <w:u w:val="none"/>
                      <w:lang w:eastAsia="zh-CN"/>
                    </w:rPr>
                    <w:t>，不属于</w:t>
                  </w:r>
                  <w:r>
                    <w:rPr>
                      <w:rFonts w:hint="default" w:ascii="Times New Roman" w:hAnsi="Times New Roman" w:cs="Times New Roman"/>
                      <w:color w:val="auto"/>
                      <w:sz w:val="21"/>
                      <w:szCs w:val="21"/>
                      <w:highlight w:val="none"/>
                      <w:u w:val="none"/>
                    </w:rPr>
                    <w:t>石煤矿开采，</w:t>
                  </w:r>
                  <w:r>
                    <w:rPr>
                      <w:rFonts w:hint="eastAsia" w:cs="Times New Roman"/>
                      <w:color w:val="auto"/>
                      <w:sz w:val="21"/>
                      <w:szCs w:val="21"/>
                      <w:highlight w:val="none"/>
                      <w:u w:val="none"/>
                      <w:lang w:eastAsia="zh-CN"/>
                    </w:rPr>
                    <w:t>不属于</w:t>
                  </w:r>
                  <w:r>
                    <w:rPr>
                      <w:rFonts w:hint="default" w:ascii="Times New Roman" w:hAnsi="Times New Roman" w:cs="Times New Roman"/>
                      <w:color w:val="auto"/>
                      <w:sz w:val="21"/>
                      <w:szCs w:val="21"/>
                      <w:highlight w:val="none"/>
                      <w:u w:val="none"/>
                    </w:rPr>
                    <w:t>开采石膏及低品位磷矿等矿种</w:t>
                  </w:r>
                  <w:r>
                    <w:rPr>
                      <w:rFonts w:hint="eastAsia" w:cs="Times New Roman"/>
                      <w:color w:val="auto"/>
                      <w:sz w:val="21"/>
                      <w:szCs w:val="21"/>
                      <w:highlight w:val="none"/>
                      <w:u w:val="none"/>
                      <w:lang w:eastAsia="zh-CN"/>
                    </w:rPr>
                    <w:t>。</w:t>
                  </w:r>
                </w:p>
              </w:tc>
            </w:tr>
            <w:tr w14:paraId="6937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7138D24D">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4</w:t>
                  </w:r>
                </w:p>
              </w:tc>
              <w:tc>
                <w:tcPr>
                  <w:tcW w:w="4385" w:type="dxa"/>
                  <w:vAlign w:val="center"/>
                </w:tcPr>
                <w:p w14:paraId="3C819AA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强化生态环境影响减缓措施，保护区域生态功能。切实落实湖南省及常德市生态环境分区管控方案等最新要求，严格执行一般生态空间管控要求，禁止在自然保护区、风景名胜区内及饮用水水源保护区内采矿，严格控制勘查、开采活动范围和强度，严格控制露天开采比例，避免加重石漠化等生态环境问题采取加强养护管理等措施夯实修复基础，保护生物多样性。切实加强生态保护红线及饮用水源地等生态敏感区内的有限人为活动管控，严禁越界施工，严控扰动范围，生态敏感区和饮用水源地内不得设置排土场、废石场。强化矿产资源开发过程中污染防控措施，减少占地，尽可能减少对原有地表植被和土壤的破坏</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矿区周边设置截排水措施，减少水土流失，规范设置排土场，露天开采的表土进行保存用于开采后复垦。</w:t>
                  </w:r>
                </w:p>
              </w:tc>
              <w:tc>
                <w:tcPr>
                  <w:tcW w:w="1734" w:type="dxa"/>
                  <w:vAlign w:val="center"/>
                </w:tcPr>
                <w:p w14:paraId="7BF4E48C">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本项目未在</w:t>
                  </w:r>
                  <w:r>
                    <w:rPr>
                      <w:rFonts w:hint="default" w:ascii="Times New Roman" w:hAnsi="Times New Roman" w:cs="Times New Roman"/>
                      <w:color w:val="auto"/>
                      <w:sz w:val="21"/>
                      <w:szCs w:val="21"/>
                      <w:highlight w:val="none"/>
                      <w:u w:val="none"/>
                    </w:rPr>
                    <w:t>自然保护区、风景名胜区内及饮用水水源保护区内采矿</w:t>
                  </w:r>
                  <w:r>
                    <w:rPr>
                      <w:rFonts w:hint="eastAsia" w:cs="Times New Roman"/>
                      <w:color w:val="auto"/>
                      <w:sz w:val="21"/>
                      <w:szCs w:val="21"/>
                      <w:highlight w:val="none"/>
                      <w:u w:val="none"/>
                      <w:lang w:eastAsia="zh-CN"/>
                    </w:rPr>
                    <w:t>，未在生</w:t>
                  </w:r>
                  <w:r>
                    <w:rPr>
                      <w:rFonts w:hint="default" w:ascii="Times New Roman" w:hAnsi="Times New Roman" w:cs="Times New Roman"/>
                      <w:color w:val="auto"/>
                      <w:sz w:val="21"/>
                      <w:szCs w:val="21"/>
                      <w:highlight w:val="none"/>
                      <w:u w:val="none"/>
                    </w:rPr>
                    <w:t>态敏感区和饮用水源地内设置排土场</w:t>
                  </w:r>
                  <w:r>
                    <w:rPr>
                      <w:rFonts w:hint="eastAsia" w:cs="Times New Roman"/>
                      <w:color w:val="auto"/>
                      <w:sz w:val="21"/>
                      <w:szCs w:val="21"/>
                      <w:highlight w:val="none"/>
                      <w:u w:val="none"/>
                      <w:lang w:eastAsia="zh-CN"/>
                    </w:rPr>
                    <w:t>及废石场，矿山采取边开采边复垦的开采方式，尽量减少对原有地表植被的破坏，施工期将在矿区周边建设截排水措施，并设置了规范的排土场，表土保存后用于后期复垦。</w:t>
                  </w:r>
                </w:p>
              </w:tc>
            </w:tr>
            <w:tr w14:paraId="46B9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3D05BDC1">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w:t>
                  </w:r>
                </w:p>
              </w:tc>
              <w:tc>
                <w:tcPr>
                  <w:tcW w:w="4385" w:type="dxa"/>
                  <w:vAlign w:val="center"/>
                </w:tcPr>
                <w:p w14:paraId="2B877F5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加强矿山生态修复和环境治理。结合区域生态环境质量改善目标和主要生态环境问题，严格执行矿山生态修复和环境治理制度，强化生态环境保护。重点关注区域石膏矿等负地形开采导致的生态破坏等环境问题，落实长江经济带磷矿整治要求加强监督矿山污染防治设施正常运行，确保区域地表水和地下水环境质量改善</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对已完成开采或形成终了边坡的开采区域实施边开采边修复，恢复土地原有功能</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加快解决关闭矿山及历史遗留矿山的生态环境问题，采取覆土、复绿、边坡整治等措施实施历史遗留矿山生态环境修复治理</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加大生态修复和环境治理投入明确污染治理、生态修复的任务、要求和时限。涉及自然保护地及风景名胜区内经依法依规审批的已投探矿权和已设采矿权，未到期的矿权仅在现有采矿权范围内继续勘探，停止开采，主动避让生态敏感区，矿权到期后依法依规处置</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涉及生态保护红线等其他禁止开发区域的已设采矿权应依法退出。</w:t>
                  </w:r>
                </w:p>
              </w:tc>
              <w:tc>
                <w:tcPr>
                  <w:tcW w:w="1734" w:type="dxa"/>
                  <w:vAlign w:val="center"/>
                </w:tcPr>
                <w:p w14:paraId="7349C11F">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本项目不属于石膏矿开采，项目施工期将对现有生态环境问题进行修复和治理，对老矿区开采区及边坡进行覆土和植草、覆绿，建设单位对老矿区遗留的生态问题进行修复和治理到位后</w:t>
                  </w:r>
                  <w:r>
                    <w:rPr>
                      <w:rFonts w:hint="eastAsia" w:cs="Times New Roman"/>
                      <w:color w:val="auto"/>
                      <w:sz w:val="21"/>
                      <w:szCs w:val="21"/>
                      <w:highlight w:val="none"/>
                      <w:u w:val="none"/>
                      <w:lang w:val="en-US" w:eastAsia="zh-CN"/>
                    </w:rPr>
                    <w:t>再</w:t>
                  </w:r>
                  <w:r>
                    <w:rPr>
                      <w:rFonts w:hint="eastAsia" w:cs="Times New Roman"/>
                      <w:color w:val="auto"/>
                      <w:sz w:val="21"/>
                      <w:szCs w:val="21"/>
                      <w:highlight w:val="none"/>
                      <w:u w:val="none"/>
                      <w:lang w:eastAsia="zh-CN"/>
                    </w:rPr>
                    <w:t>进行新设矿区的开采，本项目矿区不涉及生态敏感区及生态保护红线。</w:t>
                  </w:r>
                </w:p>
              </w:tc>
            </w:tr>
            <w:tr w14:paraId="4C8B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73B95CA9">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6</w:t>
                  </w:r>
                </w:p>
              </w:tc>
              <w:tc>
                <w:tcPr>
                  <w:tcW w:w="4385" w:type="dxa"/>
                  <w:vAlign w:val="center"/>
                </w:tcPr>
                <w:p w14:paraId="4B82005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加强环境风险防范。落实矿山开采环境风险防范的主体责任，强化环境风险防范体系建设</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制定突发环境事件应急预案，严格执行应急报告制度</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采场和堆场应设置完善的排洪和排水设施，切实防范削坡卸荷、压脚护坡，预防滑坡、坍塌、泥石流等地质环境灾害引发的次生生态环境风险。</w:t>
                  </w:r>
                </w:p>
              </w:tc>
              <w:tc>
                <w:tcPr>
                  <w:tcW w:w="1734" w:type="dxa"/>
                  <w:vAlign w:val="center"/>
                </w:tcPr>
                <w:p w14:paraId="00F7C4BA">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环评要求建设单位在本项目运行后组织编制突发环境事件应急预案，并在环境主管部门备案，项目矿区及工业场地均设置了完善的排洪和排水设施。</w:t>
                  </w:r>
                </w:p>
              </w:tc>
            </w:tr>
            <w:tr w14:paraId="5E26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4B78B1DA">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7</w:t>
                  </w:r>
                </w:p>
              </w:tc>
              <w:tc>
                <w:tcPr>
                  <w:tcW w:w="4385" w:type="dxa"/>
                  <w:vAlign w:val="center"/>
                </w:tcPr>
                <w:p w14:paraId="5A07355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建立健全生态环境监测和预警体系。结合生态保护、饮用水水源保护区和水环境功能区水质保护及改善要求、土壤污染防治目标等，建立常态化生态、地表水、地下水和土壤等环境要素监测监控体系，根据区域生态环境质量变化情况，及时优化矿山建设和运营管理方案，完善相应生态环境保护措施。在用尾矿库100%安装在线监测装置</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组织开展主要矿种集中开采区域生态修复效果评估，并根据监测和评估结果增加或优化必要的保护措施。针对地表水环境及土壤环境累积影响、地下水环境质量下降、生态退化等情形，建立预警机制。</w:t>
                  </w:r>
                </w:p>
              </w:tc>
              <w:tc>
                <w:tcPr>
                  <w:tcW w:w="1734" w:type="dxa"/>
                  <w:vAlign w:val="center"/>
                </w:tcPr>
                <w:p w14:paraId="6555A153">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本次环评要求建设单位运营期严格按照环评报告中的监测计划进行自行监测，原有矿区生态修复及治理完成后应积极组织开展生态修复效果评估工作。</w:t>
                  </w:r>
                </w:p>
              </w:tc>
            </w:tr>
          </w:tbl>
          <w:p w14:paraId="059EA0ED">
            <w:pPr>
              <w:ind w:firstLine="0" w:firstLineChars="0"/>
              <w:rPr>
                <w:rFonts w:hint="eastAsia" w:cs="Times New Roman"/>
                <w:b/>
                <w:bCs/>
                <w:color w:val="auto"/>
                <w:szCs w:val="24"/>
                <w:highlight w:val="none"/>
                <w:lang w:val="en-US" w:eastAsia="zh-CN"/>
              </w:rPr>
            </w:pPr>
          </w:p>
          <w:p w14:paraId="1956FE5A">
            <w:pPr>
              <w:ind w:firstLine="0" w:firstLineChars="0"/>
              <w:rPr>
                <w:rFonts w:hint="default" w:ascii="Times New Roman" w:hAnsi="Times New Roman" w:cs="Times New Roman"/>
                <w:b/>
                <w:bCs/>
                <w:color w:val="auto"/>
                <w:szCs w:val="24"/>
                <w:highlight w:val="none"/>
                <w:lang w:val="en-US" w:eastAsia="zh-CN"/>
              </w:rPr>
            </w:pPr>
            <w:r>
              <w:rPr>
                <w:rFonts w:hint="eastAsia" w:cs="Times New Roman"/>
                <w:b/>
                <w:bCs/>
                <w:color w:val="auto"/>
                <w:szCs w:val="24"/>
                <w:highlight w:val="none"/>
                <w:lang w:val="en-US" w:eastAsia="zh-CN"/>
              </w:rPr>
              <w:t>4、</w:t>
            </w:r>
            <w:r>
              <w:rPr>
                <w:rFonts w:hint="default" w:ascii="Times New Roman" w:hAnsi="Times New Roman" w:cs="Times New Roman"/>
                <w:b/>
                <w:bCs/>
                <w:color w:val="auto"/>
                <w:szCs w:val="24"/>
                <w:highlight w:val="none"/>
                <w:lang w:val="en-US" w:eastAsia="zh-CN"/>
              </w:rPr>
              <w:t>与《</w:t>
            </w:r>
            <w:r>
              <w:rPr>
                <w:rFonts w:hint="eastAsia" w:ascii="Times New Roman" w:hAnsi="Times New Roman" w:cs="Times New Roman"/>
                <w:b/>
                <w:bCs/>
                <w:color w:val="auto"/>
                <w:szCs w:val="24"/>
                <w:highlight w:val="none"/>
                <w:lang w:val="en-US" w:eastAsia="zh-CN"/>
              </w:rPr>
              <w:t>澧县</w:t>
            </w:r>
            <w:r>
              <w:rPr>
                <w:rFonts w:hint="default" w:ascii="Times New Roman" w:hAnsi="Times New Roman" w:cs="Times New Roman"/>
                <w:b/>
                <w:bCs/>
                <w:color w:val="auto"/>
                <w:szCs w:val="24"/>
                <w:highlight w:val="none"/>
                <w:lang w:val="en-US" w:eastAsia="zh-CN"/>
              </w:rPr>
              <w:t>普通建筑材料用砂石土矿专项规划（2019-2025）》的符合性</w:t>
            </w:r>
            <w:r>
              <w:rPr>
                <w:rFonts w:hint="eastAsia" w:ascii="Times New Roman" w:hAnsi="Times New Roman" w:cs="Times New Roman"/>
                <w:b/>
                <w:bCs/>
                <w:color w:val="auto"/>
                <w:szCs w:val="24"/>
                <w:highlight w:val="none"/>
                <w:lang w:val="en-US" w:eastAsia="zh-CN"/>
              </w:rPr>
              <w:t>分析</w:t>
            </w:r>
          </w:p>
          <w:p w14:paraId="5825307B">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《澧县普通建筑材料用砂石土矿专项规划（</w:t>
            </w:r>
            <w:r>
              <w:rPr>
                <w:rFonts w:hint="default" w:ascii="Times New Roman" w:hAnsi="Times New Roman" w:eastAsia="宋体" w:cs="Times New Roman"/>
                <w:color w:val="auto"/>
                <w:kern w:val="0"/>
                <w:sz w:val="24"/>
                <w:szCs w:val="24"/>
                <w:highlight w:val="none"/>
                <w:lang w:val="en-US" w:eastAsia="zh-CN" w:bidi="ar"/>
              </w:rPr>
              <w:t xml:space="preserve">2019 </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 xml:space="preserve">—2025 </w:t>
            </w:r>
            <w:r>
              <w:rPr>
                <w:rFonts w:hint="eastAsia" w:ascii="宋体" w:hAnsi="宋体" w:eastAsia="宋体" w:cs="宋体"/>
                <w:color w:val="auto"/>
                <w:kern w:val="0"/>
                <w:sz w:val="24"/>
                <w:szCs w:val="24"/>
                <w:highlight w:val="none"/>
                <w:lang w:val="en-US" w:eastAsia="zh-CN" w:bidi="ar"/>
              </w:rPr>
              <w:t xml:space="preserve">年）》适用于澧县县域范围，是澧县落实省人民政府推进砂石土矿专项整治行动的具体安排，是全县进行砂石土矿业权设置的指导性文件。 </w:t>
            </w:r>
          </w:p>
          <w:p w14:paraId="05C0D5A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湖南省澧县屠夫垭矿区建筑石料用灰岩矿，是在澧县芦桥采石场和澧县闸口丰报采石场二场（已注销）整合范围基础上而形成，属于《澧县普通建筑材料用砂石土矿专项规划（</w:t>
            </w:r>
            <w:r>
              <w:rPr>
                <w:rFonts w:hint="default" w:ascii="Times New Roman" w:hAnsi="Times New Roman" w:eastAsia="宋体" w:cs="Times New Roman"/>
                <w:color w:val="auto"/>
                <w:kern w:val="0"/>
                <w:sz w:val="24"/>
                <w:szCs w:val="24"/>
                <w:highlight w:val="none"/>
                <w:lang w:val="en-US" w:eastAsia="zh-CN" w:bidi="ar"/>
              </w:rPr>
              <w:t xml:space="preserve">2019 </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 xml:space="preserve">—2025 </w:t>
            </w:r>
            <w:r>
              <w:rPr>
                <w:rFonts w:hint="eastAsia" w:ascii="宋体" w:hAnsi="宋体" w:eastAsia="宋体" w:cs="宋体"/>
                <w:color w:val="auto"/>
                <w:kern w:val="0"/>
                <w:sz w:val="24"/>
                <w:szCs w:val="24"/>
                <w:highlight w:val="none"/>
                <w:lang w:val="en-US" w:eastAsia="zh-CN" w:bidi="ar"/>
              </w:rPr>
              <w:t>年）》中设置的采矿权整合项目，为新设采矿权矿山。建设单位已经取得该矿区范围内的采矿许可证（许可证号：</w:t>
            </w:r>
            <w:r>
              <w:rPr>
                <w:rFonts w:hint="default" w:ascii="Times New Roman" w:hAnsi="Times New Roman" w:eastAsia="宋体" w:cs="Times New Roman"/>
                <w:color w:val="auto"/>
                <w:kern w:val="0"/>
                <w:sz w:val="24"/>
                <w:szCs w:val="24"/>
                <w:highlight w:val="none"/>
                <w:lang w:val="en-US" w:eastAsia="zh-CN" w:bidi="ar"/>
              </w:rPr>
              <w:t>C43070020250</w:t>
            </w:r>
            <w:r>
              <w:rPr>
                <w:rFonts w:hint="eastAsia" w:ascii="Times New Roman" w:hAnsi="Times New Roman" w:eastAsia="宋体"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710015</w:t>
            </w:r>
            <w:r>
              <w:rPr>
                <w:rFonts w:hint="eastAsia" w:ascii="Times New Roman" w:hAnsi="Times New Roman" w:eastAsia="宋体" w:cs="Times New Roman"/>
                <w:color w:val="auto"/>
                <w:kern w:val="0"/>
                <w:sz w:val="24"/>
                <w:szCs w:val="24"/>
                <w:highlight w:val="none"/>
                <w:lang w:val="en-US" w:eastAsia="zh-CN" w:bidi="ar"/>
              </w:rPr>
              <w:t>8726</w:t>
            </w:r>
            <w:r>
              <w:rPr>
                <w:rFonts w:hint="eastAsia" w:ascii="宋体" w:hAnsi="宋体" w:eastAsia="宋体" w:cs="宋体"/>
                <w:color w:val="auto"/>
                <w:kern w:val="0"/>
                <w:sz w:val="24"/>
                <w:szCs w:val="24"/>
                <w:highlight w:val="none"/>
                <w:lang w:val="en-US" w:eastAsia="zh-CN" w:bidi="ar"/>
              </w:rPr>
              <w:t xml:space="preserve">），项目开采和生产规模为 </w:t>
            </w:r>
            <w:r>
              <w:rPr>
                <w:rFonts w:hint="default" w:ascii="Times New Roman" w:hAnsi="Times New Roman" w:eastAsia="宋体" w:cs="Times New Roman"/>
                <w:color w:val="auto"/>
                <w:kern w:val="0"/>
                <w:sz w:val="24"/>
                <w:szCs w:val="24"/>
                <w:highlight w:val="none"/>
                <w:lang w:val="en-US" w:eastAsia="zh-CN" w:bidi="ar"/>
              </w:rPr>
              <w:t xml:space="preserve">120 </w:t>
            </w:r>
            <w:r>
              <w:rPr>
                <w:rFonts w:hint="eastAsia" w:ascii="宋体" w:hAnsi="宋体" w:eastAsia="宋体" w:cs="宋体"/>
                <w:color w:val="auto"/>
                <w:kern w:val="0"/>
                <w:sz w:val="24"/>
                <w:szCs w:val="24"/>
                <w:highlight w:val="none"/>
                <w:lang w:val="en-US" w:eastAsia="zh-CN" w:bidi="ar"/>
              </w:rPr>
              <w:t>万吨</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年。 </w:t>
            </w:r>
          </w:p>
          <w:p w14:paraId="1123DE45">
            <w:pPr>
              <w:keepNext w:val="0"/>
              <w:keepLines w:val="0"/>
              <w:widowControl/>
              <w:suppressLineNumbers w:val="0"/>
              <w:jc w:val="left"/>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综上，本项目满足《澧县普通建筑材料用砂石土矿专项规划（</w:t>
            </w:r>
            <w:r>
              <w:rPr>
                <w:rFonts w:hint="default" w:ascii="Times New Roman" w:hAnsi="Times New Roman" w:eastAsia="宋体" w:cs="Times New Roman"/>
                <w:color w:val="auto"/>
                <w:kern w:val="0"/>
                <w:sz w:val="24"/>
                <w:szCs w:val="24"/>
                <w:highlight w:val="none"/>
                <w:lang w:val="en-US" w:eastAsia="zh-CN" w:bidi="ar"/>
              </w:rPr>
              <w:t>2019</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 xml:space="preserve">—2025 </w:t>
            </w:r>
            <w:r>
              <w:rPr>
                <w:rFonts w:hint="eastAsia" w:ascii="宋体" w:hAnsi="宋体" w:eastAsia="宋体" w:cs="宋体"/>
                <w:color w:val="auto"/>
                <w:kern w:val="0"/>
                <w:sz w:val="24"/>
                <w:szCs w:val="24"/>
                <w:highlight w:val="none"/>
                <w:lang w:val="en-US" w:eastAsia="zh-CN" w:bidi="ar"/>
              </w:rPr>
              <w:t>年）》相关要求。</w:t>
            </w:r>
          </w:p>
          <w:p w14:paraId="00B47648">
            <w:pPr>
              <w:ind w:firstLine="0" w:firstLineChars="0"/>
              <w:rPr>
                <w:rFonts w:hint="default" w:ascii="Times New Roman" w:hAnsi="Times New Roman" w:eastAsia="宋体" w:cs="Times New Roman"/>
                <w:b/>
                <w:bCs/>
                <w:color w:val="auto"/>
                <w:szCs w:val="24"/>
                <w:highlight w:val="none"/>
                <w:lang w:val="en-US" w:eastAsia="zh-CN"/>
              </w:rPr>
            </w:pPr>
            <w:r>
              <w:rPr>
                <w:rFonts w:hint="eastAsia" w:cs="Times New Roman"/>
                <w:b/>
                <w:bCs/>
                <w:color w:val="auto"/>
                <w:szCs w:val="24"/>
                <w:highlight w:val="none"/>
                <w:lang w:val="en-US" w:eastAsia="zh-CN"/>
              </w:rPr>
              <w:t>5</w:t>
            </w:r>
            <w:r>
              <w:rPr>
                <w:rFonts w:hint="default" w:ascii="Times New Roman" w:hAnsi="Times New Roman" w:cs="Times New Roman"/>
                <w:b/>
                <w:bCs/>
                <w:color w:val="auto"/>
                <w:szCs w:val="24"/>
                <w:highlight w:val="none"/>
              </w:rPr>
              <w:t>、与《湖南省普通建筑材料用砂石土矿专项规划（2021~2025 年）环境影响报告书》的审查意见</w:t>
            </w:r>
            <w:r>
              <w:rPr>
                <w:rFonts w:hint="eastAsia" w:cs="Times New Roman"/>
                <w:b/>
                <w:bCs/>
                <w:color w:val="auto"/>
                <w:szCs w:val="24"/>
                <w:highlight w:val="none"/>
                <w:lang w:val="en-US" w:eastAsia="zh-CN"/>
              </w:rPr>
              <w:t>符合性分析</w:t>
            </w:r>
          </w:p>
          <w:p w14:paraId="64BE81FD">
            <w:pPr>
              <w:ind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《湖南省普通建筑材料用砂石土矿专项规划（2021~2025 年）环境影响报告书》（以下简称“规划环评”）由长沙有色冶金设计研究院有限公司于2021年3月编制完成，于2021年10月28日由湖南省生态环境厅出具审查意见（湘环评函〔2021〕23号），</w:t>
            </w:r>
            <w:r>
              <w:rPr>
                <w:rFonts w:hint="eastAsia" w:cs="Times New Roman"/>
                <w:color w:val="auto"/>
                <w:highlight w:val="none"/>
                <w:lang w:val="en-US" w:eastAsia="zh-CN"/>
              </w:rPr>
              <w:t>本</w:t>
            </w:r>
          </w:p>
          <w:p w14:paraId="1496E665">
            <w:pPr>
              <w:ind w:firstLine="0" w:firstLineChars="0"/>
              <w:jc w:val="both"/>
              <w:rPr>
                <w:rFonts w:hint="default" w:ascii="Times New Roman" w:hAnsi="Times New Roman" w:eastAsia="宋体" w:cs="Times New Roman"/>
                <w:b/>
                <w:bCs/>
                <w:color w:val="auto"/>
                <w:sz w:val="21"/>
                <w:szCs w:val="21"/>
                <w:highlight w:val="none"/>
                <w:lang w:val="en-US" w:eastAsia="zh-CN"/>
              </w:rPr>
            </w:pPr>
            <w:r>
              <w:rPr>
                <w:rFonts w:hint="eastAsia" w:cs="Times New Roman"/>
                <w:color w:val="auto"/>
                <w:highlight w:val="none"/>
                <w:lang w:val="en-US" w:eastAsia="zh-CN"/>
              </w:rPr>
              <w:t>项目与审查意见符合性分析见下表。</w:t>
            </w:r>
          </w:p>
          <w:p w14:paraId="54C9B58B">
            <w:pPr>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表1-</w:t>
            </w:r>
            <w:r>
              <w:rPr>
                <w:rFonts w:hint="eastAsia" w:cs="Times New Roman"/>
                <w:b/>
                <w:bCs/>
                <w:color w:val="auto"/>
                <w:sz w:val="21"/>
                <w:szCs w:val="21"/>
                <w:highlight w:val="none"/>
                <w:u w:val="none"/>
                <w:lang w:val="en-US" w:eastAsia="zh-CN"/>
              </w:rPr>
              <w:t>6</w:t>
            </w:r>
            <w:r>
              <w:rPr>
                <w:rFonts w:hint="default" w:ascii="Times New Roman" w:hAnsi="Times New Roman" w:cs="Times New Roman"/>
                <w:b/>
                <w:bCs/>
                <w:color w:val="auto"/>
                <w:sz w:val="21"/>
                <w:szCs w:val="21"/>
                <w:highlight w:val="none"/>
                <w:u w:val="none"/>
              </w:rPr>
              <w:t xml:space="preserve">  与</w:t>
            </w:r>
            <w:r>
              <w:rPr>
                <w:rFonts w:hint="eastAsia" w:cs="Times New Roman"/>
                <w:b/>
                <w:bCs/>
                <w:color w:val="auto"/>
                <w:sz w:val="21"/>
                <w:szCs w:val="21"/>
                <w:highlight w:val="none"/>
                <w:u w:val="none"/>
                <w:lang w:val="en-US" w:eastAsia="zh-CN"/>
              </w:rPr>
              <w:t>审查意见</w:t>
            </w:r>
            <w:r>
              <w:rPr>
                <w:rFonts w:hint="default" w:ascii="Times New Roman" w:hAnsi="Times New Roman" w:cs="Times New Roman"/>
                <w:b/>
                <w:bCs/>
                <w:color w:val="auto"/>
                <w:sz w:val="21"/>
                <w:szCs w:val="21"/>
                <w:highlight w:val="none"/>
                <w:u w:val="none"/>
              </w:rPr>
              <w:t>的符合性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2960"/>
              <w:gridCol w:w="2210"/>
              <w:gridCol w:w="953"/>
            </w:tblGrid>
            <w:tr w14:paraId="265B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30B733BA">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项目</w:t>
                  </w:r>
                </w:p>
              </w:tc>
              <w:tc>
                <w:tcPr>
                  <w:tcW w:w="2712" w:type="dxa"/>
                  <w:vAlign w:val="center"/>
                </w:tcPr>
                <w:p w14:paraId="691D7451">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准入条件</w:t>
                  </w:r>
                </w:p>
              </w:tc>
              <w:tc>
                <w:tcPr>
                  <w:tcW w:w="2025" w:type="dxa"/>
                  <w:vAlign w:val="center"/>
                </w:tcPr>
                <w:p w14:paraId="1DB3C91F">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矿山情况</w:t>
                  </w:r>
                </w:p>
              </w:tc>
              <w:tc>
                <w:tcPr>
                  <w:tcW w:w="872" w:type="dxa"/>
                  <w:vAlign w:val="center"/>
                </w:tcPr>
                <w:p w14:paraId="0CC21EC2">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符合性</w:t>
                  </w:r>
                </w:p>
              </w:tc>
            </w:tr>
            <w:tr w14:paraId="2944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61A49A01">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（一）</w:t>
                  </w:r>
                </w:p>
              </w:tc>
              <w:tc>
                <w:tcPr>
                  <w:tcW w:w="2712" w:type="dxa"/>
                  <w:vAlign w:val="center"/>
                </w:tcPr>
                <w:p w14:paraId="7CEF5D9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坚持生态优先、绿色发展，</w:t>
                  </w:r>
                </w:p>
                <w:p w14:paraId="1D6254C0">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以生态环境质量改善为</w:t>
                  </w:r>
                  <w:r>
                    <w:rPr>
                      <w:rFonts w:hint="eastAsia" w:cs="Times New Roman"/>
                      <w:color w:val="auto"/>
                      <w:sz w:val="21"/>
                      <w:szCs w:val="21"/>
                      <w:highlight w:val="none"/>
                      <w:u w:val="none"/>
                      <w:lang w:eastAsia="zh-CN"/>
                    </w:rPr>
                    <w:t>目</w:t>
                  </w:r>
                  <w:r>
                    <w:rPr>
                      <w:rFonts w:hint="default" w:ascii="Times New Roman" w:hAnsi="Times New Roman" w:cs="Times New Roman"/>
                      <w:color w:val="auto"/>
                      <w:sz w:val="21"/>
                      <w:szCs w:val="21"/>
                      <w:highlight w:val="none"/>
                      <w:u w:val="none"/>
                    </w:rPr>
                    <w:t>标，统筹协调生态环境保护和矿山资源开发的关系。严格控制矿山开发规模与强度，节约集约利用土地等资源，合理安排矿山开发建设时序，根据区块资源禀赋和地方经济发展需求，在规划提出的单个矿山开采规模原则上不低于30万吨/年基础上，长沙市、湘潭市全域、株洲市市辖区、岳阳市（汨罗市、湘阴县、岳阳县） 及其它市州市级中心城区开发边界毗邻的乡镇（含街道）新设矿山开采规模应不低于100万吨/年。规划实施阶段株洲市、衡阳市适当提高大中型矿山比例。</w:t>
                  </w:r>
                </w:p>
              </w:tc>
              <w:tc>
                <w:tcPr>
                  <w:tcW w:w="2025" w:type="dxa"/>
                  <w:vAlign w:val="center"/>
                </w:tcPr>
                <w:p w14:paraId="75E6CF07">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 xml:space="preserve">该矿山开采规模为 </w:t>
                  </w:r>
                  <w:r>
                    <w:rPr>
                      <w:rFonts w:hint="eastAsia" w:cs="Times New Roman"/>
                      <w:color w:val="auto"/>
                      <w:sz w:val="21"/>
                      <w:szCs w:val="21"/>
                      <w:highlight w:val="none"/>
                      <w:u w:val="none"/>
                      <w:lang w:val="en-US" w:eastAsia="zh-CN"/>
                    </w:rPr>
                    <w:t>12</w:t>
                  </w:r>
                  <w:r>
                    <w:rPr>
                      <w:rFonts w:hint="default" w:ascii="Times New Roman" w:hAnsi="Times New Roman" w:cs="Times New Roman"/>
                      <w:color w:val="auto"/>
                      <w:sz w:val="21"/>
                      <w:szCs w:val="21"/>
                      <w:highlight w:val="none"/>
                      <w:u w:val="none"/>
                    </w:rPr>
                    <w:t>0万吨/年，符合要求。</w:t>
                  </w:r>
                </w:p>
              </w:tc>
              <w:tc>
                <w:tcPr>
                  <w:tcW w:w="872" w:type="dxa"/>
                  <w:vAlign w:val="center"/>
                </w:tcPr>
                <w:p w14:paraId="5947504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6206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0644E9BA">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（二）</w:t>
                  </w:r>
                </w:p>
              </w:tc>
              <w:tc>
                <w:tcPr>
                  <w:tcW w:w="2712" w:type="dxa"/>
                  <w:vAlign w:val="center"/>
                </w:tcPr>
                <w:p w14:paraId="20BFB42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严守生态保护红线，优化规划布局。将生态保护红线、环境敏感区作为保护和维护全省生态安全的底线，依法依规实施强制性保护。《报告书》根据1272个开采规划区块所涉生态环境敏感程度和可调整条件，调出区块47个，规划开采区块调整为1225个，其中有条件开采区块732个，</w:t>
                  </w:r>
                </w:p>
                <w:p w14:paraId="4DC8D23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符合条件开采区块493个。规划实施过程中应严格落实《报告书》提出的调整要求,调出区块不得投放矿权，有条件开</w:t>
                  </w:r>
                </w:p>
                <w:p w14:paraId="7A6E737C">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采区块应满足条件后方可投放矿权。《规划》中各区块在设置矿权时，应与自然保护地、风景名胜区、生态保护红线等环境敏感区边界预留不小于50米的缓冲距离。</w:t>
                  </w:r>
                </w:p>
              </w:tc>
              <w:tc>
                <w:tcPr>
                  <w:tcW w:w="2025" w:type="dxa"/>
                  <w:vAlign w:val="center"/>
                </w:tcPr>
                <w:p w14:paraId="7EC347C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本项目矿区</w:t>
                  </w:r>
                  <w:r>
                    <w:rPr>
                      <w:rFonts w:hint="default" w:ascii="Times New Roman" w:hAnsi="Times New Roman" w:cs="Times New Roman"/>
                      <w:color w:val="auto"/>
                      <w:sz w:val="21"/>
                      <w:szCs w:val="21"/>
                      <w:highlight w:val="none"/>
                      <w:u w:val="none"/>
                    </w:rPr>
                    <w:t>属于省专项规划中的</w:t>
                  </w:r>
                  <w:r>
                    <w:rPr>
                      <w:rFonts w:hint="eastAsia" w:cs="Times New Roman"/>
                      <w:color w:val="auto"/>
                      <w:sz w:val="21"/>
                      <w:szCs w:val="21"/>
                      <w:highlight w:val="none"/>
                      <w:u w:val="none"/>
                      <w:lang w:val="en-US" w:eastAsia="zh-CN"/>
                    </w:rPr>
                    <w:t>符合条件</w:t>
                  </w:r>
                  <w:r>
                    <w:rPr>
                      <w:rFonts w:hint="default" w:ascii="Times New Roman" w:hAnsi="Times New Roman" w:cs="Times New Roman"/>
                      <w:color w:val="auto"/>
                      <w:sz w:val="21"/>
                      <w:szCs w:val="21"/>
                      <w:highlight w:val="none"/>
                      <w:u w:val="none"/>
                    </w:rPr>
                    <w:t>开采区</w:t>
                  </w:r>
                  <w:r>
                    <w:rPr>
                      <w:rFonts w:hint="default" w:ascii="Times New Roman" w:hAnsi="Times New Roman" w:cs="Times New Roman"/>
                      <w:b/>
                      <w:bCs/>
                      <w:color w:val="auto"/>
                      <w:sz w:val="21"/>
                      <w:szCs w:val="21"/>
                      <w:highlight w:val="none"/>
                      <w:u w:val="none"/>
                    </w:rPr>
                    <w:t>。</w:t>
                  </w:r>
                  <w:r>
                    <w:rPr>
                      <w:rFonts w:hint="eastAsia" w:ascii="Times New Roman" w:hAnsi="Times New Roman" w:cs="Times New Roman"/>
                      <w:color w:val="auto"/>
                      <w:sz w:val="21"/>
                      <w:szCs w:val="21"/>
                      <w:highlight w:val="none"/>
                      <w:u w:val="none"/>
                      <w:lang w:val="en-US" w:eastAsia="zh-CN"/>
                    </w:rPr>
                    <w:t>根据本项目附件7《湖南省澧县屠夫垭矿区建筑石料用灰岩矿采矿权申请范围核查报告》评审意见书》：申请</w:t>
                  </w:r>
                  <w:r>
                    <w:rPr>
                      <w:rFonts w:hint="eastAsia" w:cs="Times New Roman"/>
                      <w:color w:val="auto"/>
                      <w:sz w:val="21"/>
                      <w:szCs w:val="21"/>
                      <w:highlight w:val="none"/>
                      <w:u w:val="none"/>
                      <w:lang w:val="en-US" w:eastAsia="zh-CN"/>
                    </w:rPr>
                    <w:t>矿区范围内无基本农田，与各类自然保护地、生态保护红线、禁止开发区边界、建设项目等均无重叠</w:t>
                  </w:r>
                  <w:r>
                    <w:rPr>
                      <w:rFonts w:hint="default" w:ascii="Times New Roman" w:hAnsi="Times New Roman" w:cs="Times New Roman"/>
                      <w:color w:val="auto"/>
                      <w:sz w:val="21"/>
                      <w:szCs w:val="21"/>
                      <w:highlight w:val="none"/>
                      <w:u w:val="none"/>
                    </w:rPr>
                    <w:t>。</w:t>
                  </w:r>
                  <w:r>
                    <w:rPr>
                      <w:rFonts w:hint="eastAsia" w:cs="Times New Roman"/>
                      <w:color w:val="auto"/>
                      <w:sz w:val="21"/>
                      <w:szCs w:val="21"/>
                      <w:highlight w:val="none"/>
                      <w:u w:val="none"/>
                      <w:lang w:val="en-US" w:eastAsia="zh-CN"/>
                    </w:rPr>
                    <w:t>该评审意见书已经过常德市自然资源和规划局认可。</w:t>
                  </w:r>
                </w:p>
              </w:tc>
              <w:tc>
                <w:tcPr>
                  <w:tcW w:w="872" w:type="dxa"/>
                  <w:vAlign w:val="center"/>
                </w:tcPr>
                <w:p w14:paraId="7584D051">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637C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63BEA859">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（三）</w:t>
                  </w:r>
                </w:p>
              </w:tc>
              <w:tc>
                <w:tcPr>
                  <w:tcW w:w="2712" w:type="dxa"/>
                  <w:vAlign w:val="center"/>
                </w:tcPr>
                <w:p w14:paraId="4D3FBEB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强化并落实污染防治措施。</w:t>
                  </w:r>
                </w:p>
                <w:p w14:paraId="7B49A68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矿石开采过程中岩石采剥、</w:t>
                  </w:r>
                </w:p>
                <w:p w14:paraId="7AE8DF3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钻孔、爆破、锯切、装卸等</w:t>
                  </w:r>
                </w:p>
                <w:p w14:paraId="57BC2E2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作业场所应采取喷雾、洒水</w:t>
                  </w:r>
                </w:p>
                <w:p w14:paraId="52E80A1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等措施，产生的废水经收集</w:t>
                  </w:r>
                </w:p>
                <w:p w14:paraId="3802C60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沉淀后回用或达标排放。粗碎等工艺采取密闭或湿法工艺降低粉尘无组织排放。采用先进的爆破方式，选取低噪设备，通过减震、隔声、消声、吸声等措施，减缓噪声对周边居民带来的不利影响。加强固废综合利用，矿山资源综合利用率不低于95%。</w:t>
                  </w:r>
                </w:p>
              </w:tc>
              <w:tc>
                <w:tcPr>
                  <w:tcW w:w="2025" w:type="dxa"/>
                  <w:vAlign w:val="center"/>
                </w:tcPr>
                <w:p w14:paraId="4BD6EFD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项目矿山开采过程中设计喷雾及洒水装置，产生的废水全部收集经沉淀后回用于喷雾或洒水；通过选取低噪声设备，减震、隔声降低噪声排放</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本项目矿山开采不采用爆破方式，</w:t>
                  </w:r>
                  <w:r>
                    <w:rPr>
                      <w:rFonts w:hint="default" w:ascii="Times New Roman" w:hAnsi="Times New Roman" w:cs="Times New Roman"/>
                      <w:color w:val="auto"/>
                      <w:sz w:val="21"/>
                      <w:szCs w:val="21"/>
                      <w:highlight w:val="none"/>
                      <w:u w:val="none"/>
                    </w:rPr>
                    <w:t>对周边居民的影响</w:t>
                  </w:r>
                  <w:r>
                    <w:rPr>
                      <w:rFonts w:hint="eastAsia" w:cs="Times New Roman"/>
                      <w:color w:val="auto"/>
                      <w:sz w:val="21"/>
                      <w:szCs w:val="21"/>
                      <w:highlight w:val="none"/>
                      <w:u w:val="none"/>
                      <w:lang w:val="en-US" w:eastAsia="zh-CN"/>
                    </w:rPr>
                    <w:t>较小</w:t>
                  </w:r>
                  <w:r>
                    <w:rPr>
                      <w:rFonts w:hint="default" w:ascii="Times New Roman" w:hAnsi="Times New Roman" w:cs="Times New Roman"/>
                      <w:color w:val="auto"/>
                      <w:sz w:val="21"/>
                      <w:szCs w:val="21"/>
                      <w:highlight w:val="none"/>
                      <w:u w:val="none"/>
                    </w:rPr>
                    <w:t>，矿山资源综合利用率达到98%，所以符合要求。</w:t>
                  </w:r>
                </w:p>
              </w:tc>
              <w:tc>
                <w:tcPr>
                  <w:tcW w:w="872" w:type="dxa"/>
                  <w:vAlign w:val="center"/>
                </w:tcPr>
                <w:p w14:paraId="7FCC1050">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03E3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5899662E">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（四）</w:t>
                  </w:r>
                </w:p>
              </w:tc>
              <w:tc>
                <w:tcPr>
                  <w:tcW w:w="2712" w:type="dxa"/>
                  <w:vAlign w:val="center"/>
                </w:tcPr>
                <w:p w14:paraId="2741842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加强生态保护和修复。开采</w:t>
                  </w:r>
                </w:p>
                <w:p w14:paraId="427BA63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过程严格限制作业范围， 尽可能减少对原有地表植被和土壤的破坏；矿区周边设置截排水措施，减少水土流失；规范设置</w:t>
                  </w:r>
                  <w:r>
                    <w:rPr>
                      <w:rFonts w:hint="eastAsia" w:cs="Times New Roman"/>
                      <w:color w:val="auto"/>
                      <w:sz w:val="21"/>
                      <w:szCs w:val="21"/>
                      <w:highlight w:val="none"/>
                      <w:u w:val="none"/>
                      <w:lang w:eastAsia="zh-CN"/>
                    </w:rPr>
                    <w:t>排土场</w:t>
                  </w:r>
                  <w:r>
                    <w:rPr>
                      <w:rFonts w:hint="default" w:ascii="Times New Roman" w:hAnsi="Times New Roman" w:cs="Times New Roman"/>
                      <w:color w:val="auto"/>
                      <w:sz w:val="21"/>
                      <w:szCs w:val="21"/>
                      <w:highlight w:val="none"/>
                      <w:u w:val="none"/>
                    </w:rPr>
                    <w:t>，表土进行保存用于开采后复垦；制定矿山生态修复方案并严格落实，对已完成开采或形成终了边坡的开采区域实施边开采边修复，恢复土地原有功能；采取覆土、 复绿、边坡整治等措施实施历史遗留矿山生态环境修复治理。</w:t>
                  </w:r>
                </w:p>
              </w:tc>
              <w:tc>
                <w:tcPr>
                  <w:tcW w:w="2025" w:type="dxa"/>
                  <w:vAlign w:val="center"/>
                </w:tcPr>
                <w:p w14:paraId="78A902E2">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rPr>
                    <w:t>项目矿区边界设置截洪沟，减少水土流失；设置</w:t>
                  </w:r>
                  <w:r>
                    <w:rPr>
                      <w:rFonts w:hint="eastAsia" w:cs="Times New Roman"/>
                      <w:color w:val="auto"/>
                      <w:sz w:val="21"/>
                      <w:szCs w:val="21"/>
                      <w:highlight w:val="none"/>
                      <w:u w:val="none"/>
                      <w:lang w:eastAsia="zh-CN"/>
                    </w:rPr>
                    <w:t>排土场</w:t>
                  </w:r>
                  <w:r>
                    <w:rPr>
                      <w:rFonts w:hint="default" w:ascii="Times New Roman" w:hAnsi="Times New Roman" w:cs="Times New Roman"/>
                      <w:color w:val="auto"/>
                      <w:sz w:val="21"/>
                      <w:szCs w:val="21"/>
                      <w:highlight w:val="none"/>
                      <w:u w:val="none"/>
                    </w:rPr>
                    <w:t>暂存剥离表土，后续用于矿山复垦；已编制生态保护修复方案，设计边开采边复垦采矿模式，通过覆土、复绿等措施修复矿山生态环境。</w:t>
                  </w:r>
                </w:p>
              </w:tc>
              <w:tc>
                <w:tcPr>
                  <w:tcW w:w="872" w:type="dxa"/>
                  <w:vAlign w:val="center"/>
                </w:tcPr>
                <w:p w14:paraId="7BF53FA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237D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261ED264">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（五）</w:t>
                  </w:r>
                </w:p>
              </w:tc>
              <w:tc>
                <w:tcPr>
                  <w:tcW w:w="2712" w:type="dxa"/>
                  <w:vAlign w:val="center"/>
                </w:tcPr>
                <w:p w14:paraId="1A530C3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加强环境风险防范。落实矿</w:t>
                  </w:r>
                </w:p>
                <w:p w14:paraId="6D87B57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山开采环境风险防范的主</w:t>
                  </w:r>
                </w:p>
                <w:p w14:paraId="5CE5FBA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体责任，强化环境风险防范</w:t>
                  </w:r>
                </w:p>
                <w:p w14:paraId="799882A3">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体系建设；制定突发环境事</w:t>
                  </w:r>
                </w:p>
                <w:p w14:paraId="44395F5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件应急预案，严格执行应急</w:t>
                  </w:r>
                </w:p>
                <w:p w14:paraId="589D07E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报告制度；采场和堆场应设</w:t>
                  </w:r>
                </w:p>
                <w:p w14:paraId="2DF2AB5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置完善的排洪和排水设施，</w:t>
                  </w:r>
                </w:p>
                <w:p w14:paraId="169DF69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做好削坡卸荷、压脚护坡，</w:t>
                  </w:r>
                </w:p>
                <w:p w14:paraId="6E25836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预防滑坡、坍塌、泥石流等</w:t>
                  </w:r>
                </w:p>
                <w:p w14:paraId="72EA4AD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地质环境灾害引发的次生生态环境风险。</w:t>
                  </w:r>
                </w:p>
              </w:tc>
              <w:tc>
                <w:tcPr>
                  <w:tcW w:w="2025" w:type="dxa"/>
                  <w:vAlign w:val="center"/>
                </w:tcPr>
                <w:p w14:paraId="322AF6C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项目矿山已编制开发利用方案和生态保护修复方案，将按照方案内容做好排洪、排水及边坡修复工作，后续将编制突发环境事件应急预案。</w:t>
                  </w:r>
                </w:p>
              </w:tc>
              <w:tc>
                <w:tcPr>
                  <w:tcW w:w="872" w:type="dxa"/>
                  <w:vAlign w:val="center"/>
                </w:tcPr>
                <w:p w14:paraId="7AAA64A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192C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288113E0">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（六）</w:t>
                  </w:r>
                </w:p>
              </w:tc>
              <w:tc>
                <w:tcPr>
                  <w:tcW w:w="2712" w:type="dxa"/>
                  <w:vAlign w:val="center"/>
                </w:tcPr>
                <w:p w14:paraId="1D80E3B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建立健全生态环境长期监测体系。建立常态化生态、噪声、大气、水环境等监测体系，根据区域生态环境质量变化情况，及时优化矿山建设和运营管理方案，完善相应生态环境保护措施。</w:t>
                  </w:r>
                </w:p>
              </w:tc>
              <w:tc>
                <w:tcPr>
                  <w:tcW w:w="2025" w:type="dxa"/>
                  <w:vAlign w:val="center"/>
                </w:tcPr>
                <w:p w14:paraId="636AF828">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 xml:space="preserve"> </w:t>
                  </w:r>
                  <w:r>
                    <w:rPr>
                      <w:rFonts w:hint="default" w:ascii="Times New Roman" w:hAnsi="Times New Roman" w:cs="Times New Roman"/>
                      <w:color w:val="auto"/>
                      <w:sz w:val="21"/>
                      <w:szCs w:val="21"/>
                      <w:highlight w:val="none"/>
                      <w:u w:val="none"/>
                    </w:rPr>
                    <w:t>项目矿山生态修复方案已建立地表水、地下水、土壤监测体系，本次评价将对大气、噪声提出监测计划。</w:t>
                  </w:r>
                </w:p>
              </w:tc>
              <w:tc>
                <w:tcPr>
                  <w:tcW w:w="872" w:type="dxa"/>
                  <w:vAlign w:val="center"/>
                </w:tcPr>
                <w:p w14:paraId="7A081F7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bl>
          <w:p w14:paraId="09CF772A">
            <w:pPr>
              <w:pStyle w:val="19"/>
              <w:rPr>
                <w:rFonts w:hint="default"/>
                <w:color w:val="auto"/>
                <w:highlight w:val="none"/>
              </w:rPr>
            </w:pPr>
          </w:p>
        </w:tc>
      </w:tr>
      <w:tr w14:paraId="7EDD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56" w:type="dxa"/>
            <w:vAlign w:val="center"/>
          </w:tcPr>
          <w:p w14:paraId="7D3F037D">
            <w:pPr>
              <w:autoSpaceDE w:val="0"/>
              <w:autoSpaceDN w:val="0"/>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其他符合性分析</w:t>
            </w:r>
          </w:p>
        </w:tc>
        <w:tc>
          <w:tcPr>
            <w:tcW w:w="7097" w:type="dxa"/>
            <w:gridSpan w:val="3"/>
            <w:vAlign w:val="center"/>
          </w:tcPr>
          <w:p w14:paraId="04401BFA">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w:t>
            </w:r>
            <w:r>
              <w:rPr>
                <w:rFonts w:hint="eastAsia"/>
                <w:b/>
                <w:snapToGrid w:val="0"/>
                <w:color w:val="auto"/>
                <w:sz w:val="24"/>
                <w:highlight w:val="none"/>
              </w:rPr>
              <w:t>生态环境分区管控</w:t>
            </w:r>
            <w:r>
              <w:rPr>
                <w:b/>
                <w:snapToGrid w:val="0"/>
                <w:color w:val="auto"/>
                <w:sz w:val="24"/>
                <w:highlight w:val="none"/>
              </w:rPr>
              <w:t>合理性分析</w:t>
            </w:r>
          </w:p>
          <w:p w14:paraId="4D9D3D2F">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（1）生态保护红线</w:t>
            </w:r>
          </w:p>
          <w:p w14:paraId="71F62885">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项目位于</w:t>
            </w:r>
            <w:r>
              <w:rPr>
                <w:rFonts w:hint="eastAsia" w:cs="Times New Roman"/>
                <w:color w:val="auto"/>
                <w:szCs w:val="24"/>
                <w:highlight w:val="none"/>
                <w:lang w:eastAsia="zh-CN"/>
              </w:rPr>
              <w:t>澧县火连坡镇芦桥村九组</w:t>
            </w:r>
            <w:r>
              <w:rPr>
                <w:rFonts w:hint="default" w:ascii="Times New Roman" w:hAnsi="Times New Roman" w:cs="Times New Roman"/>
                <w:color w:val="auto"/>
                <w:szCs w:val="24"/>
                <w:highlight w:val="none"/>
              </w:rPr>
              <w:t>，周边区域不涉及重点生态功能区、生态敏感区、生态脆弱区、禁止开发区以及其他未列入上述范围、但具有重要生态功能或生态环境敏感、脆弱的区域，不属于国家级和省级禁止开发的区域及其他需要纳入红线的保护地范围。</w:t>
            </w:r>
          </w:p>
          <w:p w14:paraId="6790F8B6">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（2）环境质量底线</w:t>
            </w:r>
          </w:p>
          <w:p w14:paraId="2E06D27E">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项目所在区域为环境空气质量达标区。本项目在运营过程中的废水、废气、噪声、固废均得到妥善处置，生态影响也较小。不会改变区域内的环境质量，因此本项目符合环境质量底线的要求。</w:t>
            </w:r>
          </w:p>
          <w:p w14:paraId="36B85801">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（3）资源利用上线</w:t>
            </w:r>
          </w:p>
          <w:p w14:paraId="45C24CCB">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项目的资源消耗主要体现在对水、电、土地等利用上，项目资源消耗量相对于区域资源利用总量较少，符合资源利用上线要求。</w:t>
            </w:r>
          </w:p>
          <w:p w14:paraId="1844AC85">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（4）环境准入负面清单</w:t>
            </w:r>
          </w:p>
          <w:p w14:paraId="37C1EBF2">
            <w:pPr>
              <w:ind w:firstLine="480"/>
              <w:rPr>
                <w:rFonts w:hint="default" w:ascii="Times New Roman" w:hAnsi="Times New Roman" w:eastAsia="宋体" w:cs="Times New Roman"/>
                <w:bCs/>
                <w:snapToGrid w:val="0"/>
                <w:color w:val="auto"/>
                <w:sz w:val="24"/>
                <w:highlight w:val="none"/>
              </w:rPr>
            </w:pPr>
            <w:r>
              <w:rPr>
                <w:rFonts w:hint="default" w:ascii="Times New Roman" w:hAnsi="Times New Roman" w:cs="Times New Roman"/>
                <w:color w:val="auto"/>
                <w:szCs w:val="24"/>
                <w:highlight w:val="none"/>
              </w:rPr>
              <w:t>本项目位于</w:t>
            </w:r>
            <w:r>
              <w:rPr>
                <w:rFonts w:hint="eastAsia" w:cs="Times New Roman"/>
                <w:color w:val="auto"/>
                <w:szCs w:val="24"/>
                <w:highlight w:val="none"/>
                <w:lang w:eastAsia="zh-CN"/>
              </w:rPr>
              <w:t>澧县火连坡镇芦桥村九组</w:t>
            </w:r>
            <w:r>
              <w:rPr>
                <w:rFonts w:hint="default" w:ascii="Times New Roman" w:hAnsi="Times New Roman" w:cs="Times New Roman"/>
                <w:color w:val="auto"/>
                <w:szCs w:val="24"/>
                <w:highlight w:val="none"/>
              </w:rPr>
              <w:t>，</w:t>
            </w:r>
            <w:r>
              <w:rPr>
                <w:rFonts w:hint="eastAsia" w:ascii="Times New Roman" w:hAnsi="Times New Roman" w:eastAsia="宋体"/>
                <w:bCs/>
                <w:snapToGrid w:val="0"/>
                <w:color w:val="auto"/>
                <w:sz w:val="24"/>
                <w:highlight w:val="none"/>
              </w:rPr>
              <w:t>根据《常德市其他环境管控单元（省级及以上产业园区除外）生态环境准入清单（2023年版）》，属于生态环境</w:t>
            </w:r>
            <w:r>
              <w:rPr>
                <w:rFonts w:hint="eastAsia" w:ascii="Times New Roman" w:hAnsi="Times New Roman" w:eastAsia="宋体" w:cs="Times New Roman"/>
                <w:bCs/>
                <w:snapToGrid w:val="0"/>
                <w:color w:val="auto"/>
                <w:sz w:val="24"/>
                <w:highlight w:val="none"/>
              </w:rPr>
              <w:t>准入清单中</w:t>
            </w:r>
            <w:bookmarkStart w:id="2" w:name="_Toc2667"/>
            <w:r>
              <w:rPr>
                <w:rFonts w:hint="eastAsia" w:ascii="Times New Roman" w:hAnsi="Times New Roman" w:eastAsia="宋体" w:cs="Times New Roman"/>
                <w:bCs/>
                <w:snapToGrid w:val="0"/>
                <w:color w:val="auto"/>
                <w:sz w:val="24"/>
                <w:highlight w:val="none"/>
              </w:rPr>
              <w:t>ZH430723</w:t>
            </w:r>
            <w:r>
              <w:rPr>
                <w:rFonts w:hint="eastAsia" w:ascii="Times New Roman" w:hAnsi="Times New Roman" w:eastAsia="宋体" w:cs="Times New Roman"/>
                <w:bCs/>
                <w:snapToGrid w:val="0"/>
                <w:color w:val="auto"/>
                <w:sz w:val="24"/>
                <w:highlight w:val="none"/>
                <w:lang w:val="en-US" w:eastAsia="zh-CN"/>
              </w:rPr>
              <w:t>1</w:t>
            </w:r>
            <w:r>
              <w:rPr>
                <w:rFonts w:hint="eastAsia" w:ascii="Times New Roman" w:hAnsi="Times New Roman" w:eastAsia="宋体" w:cs="Times New Roman"/>
                <w:bCs/>
                <w:snapToGrid w:val="0"/>
                <w:color w:val="auto"/>
                <w:sz w:val="24"/>
                <w:highlight w:val="none"/>
              </w:rPr>
              <w:t>000</w:t>
            </w:r>
            <w:r>
              <w:rPr>
                <w:rFonts w:hint="eastAsia" w:ascii="Times New Roman" w:hAnsi="Times New Roman" w:eastAsia="宋体" w:cs="Times New Roman"/>
                <w:bCs/>
                <w:snapToGrid w:val="0"/>
                <w:color w:val="auto"/>
                <w:sz w:val="24"/>
                <w:highlight w:val="none"/>
                <w:lang w:val="en-US" w:eastAsia="zh-CN"/>
              </w:rPr>
              <w:t>1</w:t>
            </w:r>
            <w:bookmarkEnd w:id="2"/>
            <w:r>
              <w:rPr>
                <w:rFonts w:hint="eastAsia" w:ascii="Times New Roman" w:hAnsi="Times New Roman" w:eastAsia="宋体" w:cs="Times New Roman"/>
                <w:bCs/>
                <w:snapToGrid w:val="0"/>
                <w:color w:val="auto"/>
                <w:sz w:val="24"/>
                <w:highlight w:val="none"/>
              </w:rPr>
              <w:t>火连坡镇/王家厂镇管控范围内，</w:t>
            </w:r>
            <w:r>
              <w:rPr>
                <w:rFonts w:hint="eastAsia" w:ascii="Times New Roman" w:hAnsi="Times New Roman" w:eastAsia="宋体" w:cs="Times New Roman"/>
                <w:bCs/>
                <w:snapToGrid w:val="0"/>
                <w:color w:val="auto"/>
                <w:sz w:val="24"/>
                <w:highlight w:val="none"/>
                <w:lang w:val="en-US" w:eastAsia="zh-CN"/>
              </w:rPr>
              <w:t>为优先保护单元。</w:t>
            </w:r>
            <w:r>
              <w:rPr>
                <w:rFonts w:hint="default" w:ascii="Times New Roman" w:hAnsi="Times New Roman" w:eastAsia="宋体" w:cs="Times New Roman"/>
                <w:bCs/>
                <w:snapToGrid w:val="0"/>
                <w:color w:val="auto"/>
                <w:sz w:val="24"/>
                <w:highlight w:val="none"/>
              </w:rPr>
              <w:t>根据清单中的相关要求，进行项目相符性分析，具体见下表。</w:t>
            </w:r>
          </w:p>
          <w:p w14:paraId="6ED5AD35">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w:t>
            </w:r>
            <w:r>
              <w:rPr>
                <w:rFonts w:hint="eastAsia" w:cs="Times New Roman"/>
                <w:b/>
                <w:bCs/>
                <w:color w:val="auto"/>
                <w:sz w:val="21"/>
                <w:szCs w:val="21"/>
                <w:highlight w:val="none"/>
                <w:lang w:val="en-US" w:eastAsia="zh-CN"/>
              </w:rPr>
              <w:t>环境准入清单</w:t>
            </w:r>
            <w:r>
              <w:rPr>
                <w:rFonts w:hint="default" w:ascii="Times New Roman" w:hAnsi="Times New Roman" w:cs="Times New Roman"/>
                <w:b/>
                <w:bCs/>
                <w:color w:val="auto"/>
                <w:sz w:val="21"/>
                <w:szCs w:val="21"/>
                <w:highlight w:val="none"/>
              </w:rPr>
              <w:t>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3474"/>
              <w:gridCol w:w="1881"/>
              <w:gridCol w:w="543"/>
            </w:tblGrid>
            <w:tr w14:paraId="7370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Align w:val="center"/>
                </w:tcPr>
                <w:p w14:paraId="5633E557">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管理</w:t>
                  </w:r>
                </w:p>
                <w:p w14:paraId="7657F150">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维度</w:t>
                  </w:r>
                </w:p>
              </w:tc>
              <w:tc>
                <w:tcPr>
                  <w:tcW w:w="2464" w:type="pct"/>
                  <w:vAlign w:val="center"/>
                </w:tcPr>
                <w:p w14:paraId="666A5310">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清单中管控要求</w:t>
                  </w:r>
                </w:p>
              </w:tc>
              <w:tc>
                <w:tcPr>
                  <w:tcW w:w="1334" w:type="pct"/>
                  <w:vAlign w:val="center"/>
                </w:tcPr>
                <w:p w14:paraId="767B9E37">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相符性分析</w:t>
                  </w:r>
                </w:p>
              </w:tc>
              <w:tc>
                <w:tcPr>
                  <w:tcW w:w="385" w:type="pct"/>
                  <w:vAlign w:val="center"/>
                </w:tcPr>
                <w:p w14:paraId="3494E6F0">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w:t>
                  </w:r>
                </w:p>
              </w:tc>
            </w:tr>
            <w:tr w14:paraId="280D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Align w:val="center"/>
                </w:tcPr>
                <w:p w14:paraId="68A517E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c>
                <w:tcPr>
                  <w:tcW w:w="2464" w:type="pct"/>
                  <w:vAlign w:val="top"/>
                </w:tcPr>
                <w:p w14:paraId="5CCC1486">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(1.1)天供山省级森林公园按照《湖南省森林公园条例》严格管控。湖南澧州涔槐国家湿地公园按照《中华人民共和国湿地保护法》《湖南省湿地保护条例》《国家级自然公园管理办法(试行)》(林保规</w:t>
                  </w:r>
                  <w:r>
                    <w:rPr>
                      <w:rFonts w:hint="eastAsia"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2023</w:t>
                  </w:r>
                  <w:r>
                    <w:rPr>
                      <w:rFonts w:hint="eastAsia"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4号)严格管控。</w:t>
                  </w:r>
                </w:p>
                <w:p w14:paraId="7ACC4BD2">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生态保护红线内，自然保护地核心保护区原则上禁止人为活动，其他区域严格禁止开发性、生产性建设活动，在符合现行法律法规前提下，除国家重大战略项目外，仅允许对生态功能不造成破坏的有限人为活动。生态保护红线内自然保护区、风景名胜区、饮用水水源保护区等区域，依照法律法规执行。</w:t>
                  </w:r>
                </w:p>
                <w:p w14:paraId="69BEFAFE">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(1.3)严</w:t>
                  </w:r>
                  <w:r>
                    <w:rPr>
                      <w:rFonts w:hint="default" w:ascii="Times New Roman" w:hAnsi="Times New Roman" w:eastAsia="宋体" w:cs="Times New Roman"/>
                      <w:color w:val="auto"/>
                      <w:sz w:val="21"/>
                      <w:szCs w:val="21"/>
                      <w:highlight w:val="none"/>
                    </w:rPr>
                    <w:t>格控制排放重点污染物的建设项目；严格控制在优先保护类耕地集中区域新(改、扩)建重金属污染物排放的项目。</w:t>
                  </w:r>
                </w:p>
              </w:tc>
              <w:tc>
                <w:tcPr>
                  <w:tcW w:w="1334" w:type="pct"/>
                  <w:vAlign w:val="center"/>
                </w:tcPr>
                <w:p w14:paraId="73EA789E">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项目位于</w:t>
                  </w:r>
                  <w:r>
                    <w:rPr>
                      <w:rFonts w:hint="eastAsia" w:cs="Times New Roman"/>
                      <w:color w:val="auto"/>
                      <w:sz w:val="21"/>
                      <w:szCs w:val="21"/>
                      <w:highlight w:val="none"/>
                      <w:lang w:eastAsia="zh-CN"/>
                    </w:rPr>
                    <w:t>澧县火连坡镇芦桥村九组</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rPr>
                    <w:t>天供山省级森林公园</w:t>
                  </w:r>
                  <w:r>
                    <w:rPr>
                      <w:rFonts w:hint="eastAsia"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湖南澧州涔槐国家湿地公园</w:t>
                  </w:r>
                  <w:r>
                    <w:rPr>
                      <w:rFonts w:hint="eastAsia" w:ascii="Times New Roman" w:hAnsi="Times New Roman" w:eastAsia="宋体" w:cs="Times New Roman"/>
                      <w:color w:val="auto"/>
                      <w:sz w:val="21"/>
                      <w:szCs w:val="21"/>
                      <w:highlight w:val="none"/>
                      <w:lang w:val="en-US" w:eastAsia="zh-CN"/>
                    </w:rPr>
                    <w:t>范围内，</w:t>
                  </w:r>
                  <w:r>
                    <w:rPr>
                      <w:rFonts w:hint="default" w:ascii="Times New Roman" w:hAnsi="Times New Roman" w:cs="Times New Roman"/>
                      <w:color w:val="auto"/>
                      <w:sz w:val="21"/>
                      <w:szCs w:val="21"/>
                      <w:highlight w:val="none"/>
                    </w:rPr>
                    <w:t>不涉及生态保护红线。项目</w:t>
                  </w:r>
                  <w:r>
                    <w:rPr>
                      <w:rFonts w:hint="eastAsia" w:cs="Times New Roman"/>
                      <w:color w:val="auto"/>
                      <w:sz w:val="21"/>
                      <w:szCs w:val="21"/>
                      <w:highlight w:val="none"/>
                      <w:lang w:val="en-US" w:eastAsia="zh-CN"/>
                    </w:rPr>
                    <w:t>为砂石矿开采加工项目，不涉及重点污染物及重金属污染物排放。</w:t>
                  </w:r>
                </w:p>
              </w:tc>
              <w:tc>
                <w:tcPr>
                  <w:tcW w:w="385" w:type="pct"/>
                  <w:vAlign w:val="center"/>
                </w:tcPr>
                <w:p w14:paraId="359080C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A95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Align w:val="center"/>
                </w:tcPr>
                <w:p w14:paraId="4B95D3C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tc>
              <w:tc>
                <w:tcPr>
                  <w:tcW w:w="2464" w:type="pct"/>
                  <w:vAlign w:val="top"/>
                </w:tcPr>
                <w:p w14:paraId="79F56861">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(2.1)开展土</w:t>
                  </w:r>
                  <w:r>
                    <w:rPr>
                      <w:rFonts w:hint="default" w:ascii="Times New Roman" w:hAnsi="Times New Roman" w:eastAsia="宋体" w:cs="Times New Roman"/>
                      <w:color w:val="auto"/>
                      <w:sz w:val="21"/>
                      <w:szCs w:val="21"/>
                      <w:highlight w:val="none"/>
                    </w:rPr>
                    <w:t>壤污染风险评估，明确修复和治理的责任主体和技术要求，监督污染场地治理和修复，降低土地再利用特别是改为居住用地对人体健康影响的风险。</w:t>
                  </w:r>
                </w:p>
                <w:p w14:paraId="4A14AE61">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深入推广农业新技术，以推广测土配方施肥、有机肥替代化肥、水肥一体化、病虫害统防统治及绿色防控技术为核心，推进化肥、农药减量增效。</w:t>
                  </w:r>
                </w:p>
                <w:p w14:paraId="03FFB1B5">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(2.3)严格</w:t>
                  </w:r>
                  <w:r>
                    <w:rPr>
                      <w:rFonts w:hint="default" w:ascii="Times New Roman" w:hAnsi="Times New Roman" w:eastAsia="宋体" w:cs="Times New Roman"/>
                      <w:color w:val="auto"/>
                      <w:sz w:val="21"/>
                      <w:szCs w:val="21"/>
                      <w:highlight w:val="none"/>
                    </w:rPr>
                    <w:t>执行畜禽养殖禁养区、限养区、适养区管理规定，防治养殖污染反弹。推进畜禽养殖废弃物资源化利用，推进规模化养殖场标准化改造，配套与养殖规模和处理工艺相适应的粪污消纳用地，与养殖量匹配，加强畜禽养殖污染防治监管执法，将纳入国家主要污染物总量减排核算范围的规模化畜禽养殖场列入日常监督性监测范围。</w:t>
                  </w:r>
                </w:p>
                <w:p w14:paraId="312E53C1">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(2.4)整治</w:t>
                  </w:r>
                  <w:r>
                    <w:rPr>
                      <w:rFonts w:hint="default" w:ascii="Times New Roman" w:hAnsi="Times New Roman" w:eastAsia="宋体" w:cs="Times New Roman"/>
                      <w:color w:val="auto"/>
                      <w:sz w:val="21"/>
                      <w:szCs w:val="21"/>
                      <w:highlight w:val="none"/>
                    </w:rPr>
                    <w:t>优化工业和生活排污口设置，严格管控沿线岸边工业、养殖污染源，现有涉水污染项目按照国家政策退出到位。</w:t>
                  </w:r>
                </w:p>
              </w:tc>
              <w:tc>
                <w:tcPr>
                  <w:tcW w:w="1334" w:type="pct"/>
                  <w:vAlign w:val="center"/>
                </w:tcPr>
                <w:p w14:paraId="58029D78">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项目主要是矿产的开发，不涉及土壤污染。</w:t>
                  </w:r>
                </w:p>
              </w:tc>
              <w:tc>
                <w:tcPr>
                  <w:tcW w:w="385" w:type="pct"/>
                  <w:vAlign w:val="center"/>
                </w:tcPr>
                <w:p w14:paraId="440FA63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F22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Align w:val="center"/>
                </w:tcPr>
                <w:p w14:paraId="71DDDB5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c>
                <w:tcPr>
                  <w:tcW w:w="2464" w:type="pct"/>
                  <w:vAlign w:val="top"/>
                </w:tcPr>
                <w:p w14:paraId="52E3EFEE">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(3.1)加强</w:t>
                  </w:r>
                  <w:r>
                    <w:rPr>
                      <w:rFonts w:hint="default" w:ascii="Times New Roman" w:hAnsi="Times New Roman" w:eastAsia="宋体" w:cs="Times New Roman"/>
                      <w:color w:val="auto"/>
                      <w:sz w:val="21"/>
                      <w:szCs w:val="21"/>
                      <w:highlight w:val="none"/>
                    </w:rPr>
                    <w:t>地下水环境保护。开展矿山开采区地下水环境状况调查评估，评估地下水环境风险，并根据评估结果，开展地下水环境状况调查评估及修复试点，控制地下水污染。</w:t>
                  </w:r>
                </w:p>
                <w:p w14:paraId="4E97A4E3">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(3.2)加强饮用水水源地保护。开展集中式饮用水源地突出环境问题排查整治。</w:t>
                  </w:r>
                </w:p>
                <w:p w14:paraId="3CF8709E">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(3.3)全面完成饮用水水源保护区规范化建设，开展饮用水源现状本底调查，实施环境综合治理，提高饮用水水源地应急能力建设，加强对水源地环境监管平台建设，掌握水源地环境状况。</w:t>
                  </w:r>
                </w:p>
                <w:p w14:paraId="14F5912C">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(3.4)严格环境督察执法，实施工业污染源全面达标排放计划，在重污染行业深入推进强制性清洁生产审核，着力整治“散乱污”企业，有效</w:t>
                  </w:r>
                  <w:r>
                    <w:rPr>
                      <w:rFonts w:hint="default" w:ascii="Times New Roman" w:hAnsi="Times New Roman" w:eastAsia="宋体" w:cs="Times New Roman"/>
                      <w:color w:val="auto"/>
                      <w:sz w:val="21"/>
                      <w:szCs w:val="21"/>
                      <w:highlight w:val="none"/>
                    </w:rPr>
                    <w:t>解决“劣币驱逐良币”问题，促进合规企业生产负荷和效益不断提升。开展农产品深加工，延伸产业链，提高原料利用率，改进生产工艺，推行清洁生产，从源头减少污染物产生量、排放量。</w:t>
                  </w:r>
                </w:p>
                <w:p w14:paraId="070DA461">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(3.5)全面排查矿区历史遗留固体废物，降低粮食等农产品中重金属超标风险。</w:t>
                  </w:r>
                </w:p>
              </w:tc>
              <w:tc>
                <w:tcPr>
                  <w:tcW w:w="1334" w:type="pct"/>
                  <w:vAlign w:val="center"/>
                </w:tcPr>
                <w:p w14:paraId="23D785D0">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建设单位后续将编制突发环境事件应急预案，制定落实环境风险防范措施。</w:t>
                  </w:r>
                </w:p>
              </w:tc>
              <w:tc>
                <w:tcPr>
                  <w:tcW w:w="385" w:type="pct"/>
                  <w:vAlign w:val="center"/>
                </w:tcPr>
                <w:p w14:paraId="60FFA2F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0B7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Align w:val="center"/>
                </w:tcPr>
                <w:p w14:paraId="489CA4E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资源开发效率要求</w:t>
                  </w:r>
                </w:p>
              </w:tc>
              <w:tc>
                <w:tcPr>
                  <w:tcW w:w="2464" w:type="pct"/>
                  <w:vAlign w:val="top"/>
                </w:tcPr>
                <w:p w14:paraId="0A658E81">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(4.1)水资源</w:t>
                  </w:r>
                </w:p>
                <w:p w14:paraId="6A1D644A">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提升江河湖库水源涵养与保护能力，保障重点河湖基本生态流量，改善水环境状况，控制人为水土流失，治理重点地区水土流失，逐步控制地下水超采情况。现代化水利建设目标：加快建设“智慧水利”综合信息平台，完善水资源监控体系，实现各区域联防联控，信息共享。到2025年，澧县用水总量为4.78亿立方米，万元国内生产总值用水量、万元工业增加值用水量分别比2020年降低17.92%和16.74%。</w:t>
                  </w:r>
                </w:p>
                <w:p w14:paraId="0BC90288">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(4.2)土地资源</w:t>
                  </w:r>
                </w:p>
                <w:p w14:paraId="45106B36">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(4.2.1)农田保护区按照相关法律法规进行管理，区内从严管控非农建设占用永久基本农田，鼓励开展高标准农田建设和土地整治，提高永久基本农田质量。国家能源、交通、水利、军事设施等重点建设项目选址确实难以避让永久基本农田的，涉及农用地转用或者土地征收的，必须经国务院批准。</w:t>
                  </w:r>
                </w:p>
                <w:p w14:paraId="2311E213">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(4.2.2)至2025年，澧县耕地保有量663.92平方千米，永久基本农田609.69平方千米，湿地保护率73%，村庄建设用地211.33平方千米；至2035年，澧县耕地保有量654.58平方千米，永久基本农田609.69平方千米，生态保护红线290.63平方千米，城镇开发边界61.54平方千米，林地保有量472.40平方千米，湿地保护率75%，村庄建设用地211.33平方千米。</w:t>
                  </w:r>
                </w:p>
                <w:p w14:paraId="4D01AE70">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(4.3)能源</w:t>
                  </w:r>
                </w:p>
                <w:p w14:paraId="5FE82E6C">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(4.3.1)坚持高能效、低污染、低排放、多种能源并举互补的发展目标，加快推进能源结构调整，提高能源利用效率，使用清洁能源，扩大本地可再生能源利用，推进绿色能源示范性建设。同时提升能源储备能力，形成可靠、经济、清洁、低碳的多元化能源保障体系。</w:t>
                  </w:r>
                </w:p>
              </w:tc>
              <w:tc>
                <w:tcPr>
                  <w:tcW w:w="1334" w:type="pct"/>
                  <w:vAlign w:val="center"/>
                </w:tcPr>
                <w:p w14:paraId="51DAAC95">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本项目使用能源主要为电，属于清洁能源。</w:t>
                  </w:r>
                </w:p>
              </w:tc>
              <w:tc>
                <w:tcPr>
                  <w:tcW w:w="385" w:type="pct"/>
                  <w:vAlign w:val="center"/>
                </w:tcPr>
                <w:p w14:paraId="65B7EFF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768928E7">
            <w:pPr>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2</w:t>
            </w:r>
            <w:r>
              <w:rPr>
                <w:rFonts w:hint="default" w:ascii="Times New Roman" w:hAnsi="Times New Roman" w:cs="Times New Roman"/>
                <w:b/>
                <w:bCs/>
                <w:color w:val="auto"/>
                <w:szCs w:val="24"/>
                <w:highlight w:val="none"/>
              </w:rPr>
              <w:t>、产业政策符合性分析</w:t>
            </w:r>
          </w:p>
          <w:p w14:paraId="0F596FFE">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根据《产业结构调整指导目录》（20</w:t>
            </w:r>
            <w:r>
              <w:rPr>
                <w:rFonts w:hint="eastAsia" w:cs="Times New Roman"/>
                <w:color w:val="auto"/>
                <w:szCs w:val="24"/>
                <w:highlight w:val="none"/>
                <w:lang w:val="en-US" w:eastAsia="zh-CN"/>
              </w:rPr>
              <w:t>24</w:t>
            </w:r>
            <w:r>
              <w:rPr>
                <w:rFonts w:hint="default" w:ascii="Times New Roman" w:hAnsi="Times New Roman" w:cs="Times New Roman"/>
                <w:color w:val="auto"/>
                <w:szCs w:val="24"/>
                <w:highlight w:val="none"/>
              </w:rPr>
              <w:t>年本），本项目不属于</w:t>
            </w:r>
            <w:r>
              <w:rPr>
                <w:rFonts w:hint="eastAsia" w:cs="Times New Roman"/>
                <w:color w:val="auto"/>
                <w:szCs w:val="24"/>
                <w:highlight w:val="none"/>
                <w:lang w:val="en-US" w:eastAsia="zh-CN"/>
              </w:rPr>
              <w:t>鼓励类、</w:t>
            </w:r>
            <w:r>
              <w:rPr>
                <w:rFonts w:hint="default" w:ascii="Times New Roman" w:hAnsi="Times New Roman" w:cs="Times New Roman"/>
                <w:color w:val="auto"/>
                <w:szCs w:val="24"/>
                <w:highlight w:val="none"/>
              </w:rPr>
              <w:t>限制</w:t>
            </w:r>
            <w:r>
              <w:rPr>
                <w:rFonts w:hint="eastAsia" w:cs="Times New Roman"/>
                <w:color w:val="auto"/>
                <w:szCs w:val="24"/>
                <w:highlight w:val="none"/>
                <w:lang w:val="en-US" w:eastAsia="zh-CN"/>
              </w:rPr>
              <w:t>类</w:t>
            </w:r>
            <w:r>
              <w:rPr>
                <w:rFonts w:hint="default" w:ascii="Times New Roman" w:hAnsi="Times New Roman" w:cs="Times New Roman"/>
                <w:color w:val="auto"/>
                <w:szCs w:val="24"/>
                <w:highlight w:val="none"/>
              </w:rPr>
              <w:t>和淘汰类，为允许类项目，符合国家产业政策。</w:t>
            </w:r>
          </w:p>
          <w:p w14:paraId="4C5E11EC">
            <w:pPr>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3</w:t>
            </w:r>
            <w:r>
              <w:rPr>
                <w:rFonts w:hint="default" w:ascii="Times New Roman" w:hAnsi="Times New Roman" w:cs="Times New Roman"/>
                <w:b/>
                <w:bCs/>
                <w:color w:val="auto"/>
                <w:szCs w:val="24"/>
                <w:highlight w:val="none"/>
              </w:rPr>
              <w:t>、与《矿山生态环境保护与污染防治技术政策》符合性分析</w:t>
            </w:r>
          </w:p>
          <w:p w14:paraId="4ECA09BC">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根据《矿山生态环境保护与污染防治技术政策》（环发[2005]109号）中对矿产资源开采的选址要求，与本项目情况对照见下表。</w:t>
            </w:r>
          </w:p>
          <w:p w14:paraId="304A97E6">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 xml:space="preserve">  与《矿山生态环境保护与污染防治技术政策》符合性分析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9"/>
              <w:gridCol w:w="2669"/>
              <w:gridCol w:w="1018"/>
            </w:tblGrid>
            <w:tr w14:paraId="3BAD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145057EA">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要求</w:t>
                  </w:r>
                </w:p>
              </w:tc>
              <w:tc>
                <w:tcPr>
                  <w:tcW w:w="2579" w:type="dxa"/>
                  <w:vAlign w:val="center"/>
                </w:tcPr>
                <w:p w14:paraId="56BC218E">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983" w:type="dxa"/>
                  <w:vAlign w:val="center"/>
                </w:tcPr>
                <w:p w14:paraId="276903FD">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2C24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8" w:type="dxa"/>
                  <w:gridSpan w:val="3"/>
                  <w:vAlign w:val="center"/>
                </w:tcPr>
                <w:p w14:paraId="248449DC">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矿产资源开发规划与设计</w:t>
                  </w:r>
                </w:p>
              </w:tc>
            </w:tr>
            <w:tr w14:paraId="48DA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8" w:type="dxa"/>
                  <w:gridSpan w:val="3"/>
                  <w:vAlign w:val="center"/>
                </w:tcPr>
                <w:p w14:paraId="06405D2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（一）禁止的矿产资源开发活动</w:t>
                  </w:r>
                </w:p>
              </w:tc>
            </w:tr>
            <w:tr w14:paraId="49DF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2E16787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禁止在依法划定的自然保护区（核心区、缓冲区）、风景名胜区、森林公园、饮用水水源保护区、重要湖泊周边、文物古迹所在地、地址遗迹保护区、基本农田保护区等区域采矿。</w:t>
                  </w:r>
                </w:p>
              </w:tc>
              <w:tc>
                <w:tcPr>
                  <w:tcW w:w="2579" w:type="dxa"/>
                  <w:vAlign w:val="center"/>
                </w:tcPr>
                <w:p w14:paraId="5B8F655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项目矿山位于</w:t>
                  </w:r>
                  <w:r>
                    <w:rPr>
                      <w:rFonts w:hint="eastAsia" w:cs="Times New Roman"/>
                      <w:color w:val="auto"/>
                      <w:sz w:val="21"/>
                      <w:szCs w:val="21"/>
                      <w:highlight w:val="none"/>
                      <w:lang w:val="en-US" w:eastAsia="zh-CN"/>
                    </w:rPr>
                    <w:t>符合条件</w:t>
                  </w:r>
                  <w:r>
                    <w:rPr>
                      <w:rFonts w:hint="default" w:ascii="Times New Roman" w:hAnsi="Times New Roman" w:cs="Times New Roman"/>
                      <w:color w:val="auto"/>
                      <w:sz w:val="21"/>
                      <w:szCs w:val="21"/>
                      <w:highlight w:val="none"/>
                    </w:rPr>
                    <w:t>开采区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区块编号576</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，与永久基本农田、生态保护红线、自然保护区、风景名胜区无重叠。</w:t>
                  </w:r>
                </w:p>
              </w:tc>
              <w:tc>
                <w:tcPr>
                  <w:tcW w:w="983" w:type="dxa"/>
                  <w:vAlign w:val="center"/>
                </w:tcPr>
                <w:p w14:paraId="6EF6025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3F3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2FBCBD2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禁止在铁路、国道、省道两侧的直观可视范围内进行露天开采。</w:t>
                  </w:r>
                </w:p>
              </w:tc>
              <w:tc>
                <w:tcPr>
                  <w:tcW w:w="2579" w:type="dxa"/>
                  <w:vAlign w:val="center"/>
                </w:tcPr>
                <w:p w14:paraId="00E1860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项目矿山直观可视范围内无铁路、国道、省道。</w:t>
                  </w:r>
                </w:p>
              </w:tc>
              <w:tc>
                <w:tcPr>
                  <w:tcW w:w="983" w:type="dxa"/>
                  <w:vAlign w:val="center"/>
                </w:tcPr>
                <w:p w14:paraId="054745C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E36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26A2D5D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禁止在地质灾害危险区开采矿产资源。</w:t>
                  </w:r>
                </w:p>
              </w:tc>
              <w:tc>
                <w:tcPr>
                  <w:tcW w:w="2579" w:type="dxa"/>
                  <w:vAlign w:val="center"/>
                </w:tcPr>
                <w:p w14:paraId="05715D0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项目矿山位于</w:t>
                  </w:r>
                  <w:r>
                    <w:rPr>
                      <w:rFonts w:hint="eastAsia" w:cs="Times New Roman"/>
                      <w:color w:val="auto"/>
                      <w:sz w:val="21"/>
                      <w:szCs w:val="21"/>
                      <w:highlight w:val="none"/>
                      <w:lang w:val="en-US" w:eastAsia="zh-CN"/>
                    </w:rPr>
                    <w:t>符合条件</w:t>
                  </w:r>
                  <w:r>
                    <w:rPr>
                      <w:rFonts w:hint="default" w:ascii="Times New Roman" w:hAnsi="Times New Roman" w:cs="Times New Roman"/>
                      <w:color w:val="auto"/>
                      <w:sz w:val="21"/>
                      <w:szCs w:val="21"/>
                      <w:highlight w:val="none"/>
                    </w:rPr>
                    <w:t>开采区，不属于地质灾害危险区。</w:t>
                  </w:r>
                </w:p>
              </w:tc>
              <w:tc>
                <w:tcPr>
                  <w:tcW w:w="983" w:type="dxa"/>
                  <w:vAlign w:val="center"/>
                </w:tcPr>
                <w:p w14:paraId="5E1B2B2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299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69582F6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禁止新建对生态环境产生不可恢复利用的、产生破坏性影响的矿产资源开发活动。</w:t>
                  </w:r>
                </w:p>
              </w:tc>
              <w:tc>
                <w:tcPr>
                  <w:tcW w:w="2579" w:type="dxa"/>
                  <w:vAlign w:val="center"/>
                </w:tcPr>
                <w:p w14:paraId="347C47B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项目矿山实行边开采边复垦的方式对土地进行恢复，不会产生不可恢复性破坏。</w:t>
                  </w:r>
                </w:p>
              </w:tc>
              <w:tc>
                <w:tcPr>
                  <w:tcW w:w="983" w:type="dxa"/>
                  <w:vAlign w:val="center"/>
                </w:tcPr>
                <w:p w14:paraId="7A83507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6FE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8" w:type="dxa"/>
                  <w:gridSpan w:val="3"/>
                  <w:vAlign w:val="center"/>
                </w:tcPr>
                <w:p w14:paraId="6E1A849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（二）限制的矿产资源开发活动</w:t>
                  </w:r>
                </w:p>
              </w:tc>
            </w:tr>
            <w:tr w14:paraId="4A86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50C2513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限制在生态功能保护区和自然保护区（过渡区）内开采矿产资源。</w:t>
                  </w:r>
                </w:p>
              </w:tc>
              <w:tc>
                <w:tcPr>
                  <w:tcW w:w="2579" w:type="dxa"/>
                  <w:vAlign w:val="center"/>
                </w:tcPr>
                <w:p w14:paraId="189F76D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项目矿山位于</w:t>
                  </w:r>
                  <w:r>
                    <w:rPr>
                      <w:rFonts w:hint="eastAsia" w:cs="Times New Roman"/>
                      <w:color w:val="auto"/>
                      <w:sz w:val="21"/>
                      <w:szCs w:val="21"/>
                      <w:highlight w:val="none"/>
                      <w:lang w:val="en-US" w:eastAsia="zh-CN"/>
                    </w:rPr>
                    <w:t>符合条件</w:t>
                  </w:r>
                  <w:r>
                    <w:rPr>
                      <w:rFonts w:hint="default" w:ascii="Times New Roman" w:hAnsi="Times New Roman" w:cs="Times New Roman"/>
                      <w:color w:val="auto"/>
                      <w:sz w:val="21"/>
                      <w:szCs w:val="21"/>
                      <w:highlight w:val="none"/>
                    </w:rPr>
                    <w:t>开采区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区块编号576</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，与自然保护区和生态保护红线无重叠。</w:t>
                  </w:r>
                </w:p>
              </w:tc>
              <w:tc>
                <w:tcPr>
                  <w:tcW w:w="983" w:type="dxa"/>
                  <w:vAlign w:val="center"/>
                </w:tcPr>
                <w:p w14:paraId="520D95F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4CB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62235B9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限制在地质灾害易发区、水土流失严重区域等生态脆弱区内开采矿产资源。</w:t>
                  </w:r>
                </w:p>
              </w:tc>
              <w:tc>
                <w:tcPr>
                  <w:tcW w:w="2579" w:type="dxa"/>
                  <w:vAlign w:val="center"/>
                </w:tcPr>
                <w:p w14:paraId="15F3CD9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项目矿山位于</w:t>
                  </w:r>
                  <w:r>
                    <w:rPr>
                      <w:rFonts w:hint="eastAsia" w:cs="Times New Roman"/>
                      <w:color w:val="auto"/>
                      <w:sz w:val="21"/>
                      <w:szCs w:val="21"/>
                      <w:highlight w:val="none"/>
                      <w:lang w:val="en-US" w:eastAsia="zh-CN"/>
                    </w:rPr>
                    <w:t>符合条件</w:t>
                  </w:r>
                  <w:r>
                    <w:rPr>
                      <w:rFonts w:hint="default" w:ascii="Times New Roman" w:hAnsi="Times New Roman" w:cs="Times New Roman"/>
                      <w:color w:val="auto"/>
                      <w:sz w:val="21"/>
                      <w:szCs w:val="21"/>
                      <w:highlight w:val="none"/>
                    </w:rPr>
                    <w:t>开采区，不属于生态脆弱区。</w:t>
                  </w:r>
                </w:p>
              </w:tc>
              <w:tc>
                <w:tcPr>
                  <w:tcW w:w="983" w:type="dxa"/>
                  <w:vAlign w:val="center"/>
                </w:tcPr>
                <w:p w14:paraId="7B03BEA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74D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8" w:type="dxa"/>
                  <w:gridSpan w:val="3"/>
                  <w:vAlign w:val="center"/>
                </w:tcPr>
                <w:p w14:paraId="6A021E6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（三）矿产资源开发规划</w:t>
                  </w:r>
                </w:p>
              </w:tc>
            </w:tr>
            <w:tr w14:paraId="4D26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0DC8AFE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矿产资源开发应符合国家产业政策要求，选址、布局应符合所在地的区域发展规划。</w:t>
                  </w:r>
                </w:p>
              </w:tc>
              <w:tc>
                <w:tcPr>
                  <w:tcW w:w="2579" w:type="dxa"/>
                  <w:vAlign w:val="center"/>
                </w:tcPr>
                <w:p w14:paraId="7D8F8F6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项目符合国家产业政策，选址及布局符合《湖南省普通建筑材料用砂石土矿专项规划（2021-2025年）》。</w:t>
                  </w:r>
                </w:p>
              </w:tc>
              <w:tc>
                <w:tcPr>
                  <w:tcW w:w="983" w:type="dxa"/>
                  <w:vAlign w:val="center"/>
                </w:tcPr>
                <w:p w14:paraId="042D381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43E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753EFFF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矿产资源开发企业应制定矿产资源综合开发规划，并应进行环境影响评价，规划内容包括资源开发利用、生态环境保护、地质灾害防治、水土保持、废弃地复垦等。</w:t>
                  </w:r>
                </w:p>
              </w:tc>
              <w:tc>
                <w:tcPr>
                  <w:tcW w:w="2579" w:type="dxa"/>
                  <w:vAlign w:val="center"/>
                </w:tcPr>
                <w:p w14:paraId="786EE82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项目矿山已制定矿产资源综合开发利用方案，目前正在办理环境影响评价手续。</w:t>
                  </w:r>
                </w:p>
              </w:tc>
              <w:tc>
                <w:tcPr>
                  <w:tcW w:w="983" w:type="dxa"/>
                  <w:vAlign w:val="center"/>
                </w:tcPr>
                <w:p w14:paraId="2D7C5B5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863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8" w:type="dxa"/>
                  <w:gridSpan w:val="3"/>
                  <w:vAlign w:val="center"/>
                </w:tcPr>
                <w:p w14:paraId="5462B72F">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矿山基建</w:t>
                  </w:r>
                </w:p>
              </w:tc>
            </w:tr>
            <w:tr w14:paraId="095D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58F3098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对矿山基建可能影响的具有保护价值的动、植物资源，应优先采取就地、就近保护措施。</w:t>
                  </w:r>
                </w:p>
              </w:tc>
              <w:tc>
                <w:tcPr>
                  <w:tcW w:w="2579" w:type="dxa"/>
                  <w:vAlign w:val="center"/>
                </w:tcPr>
                <w:p w14:paraId="6598D9C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项目矿区无珍稀动植物资源。</w:t>
                  </w:r>
                </w:p>
              </w:tc>
              <w:tc>
                <w:tcPr>
                  <w:tcW w:w="983" w:type="dxa"/>
                  <w:vAlign w:val="center"/>
                </w:tcPr>
                <w:p w14:paraId="1DF0698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1FF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2EE8942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对矿山基建产生的表土、底土和岩石等应分类堆放、分类管理和充分利用。对表土、底土和适于植物生长的地层物质均应进行保护性堆存和利用，可优先用作废弃地复垦时的土壤重构用土。</w:t>
                  </w:r>
                </w:p>
              </w:tc>
              <w:tc>
                <w:tcPr>
                  <w:tcW w:w="2579" w:type="dxa"/>
                  <w:vAlign w:val="center"/>
                </w:tcPr>
                <w:p w14:paraId="4468E3A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项目建设有临时</w:t>
                  </w:r>
                  <w:r>
                    <w:rPr>
                      <w:rFonts w:hint="eastAsia" w:cs="Times New Roman"/>
                      <w:color w:val="auto"/>
                      <w:sz w:val="21"/>
                      <w:szCs w:val="21"/>
                      <w:highlight w:val="none"/>
                      <w:lang w:eastAsia="zh-CN"/>
                    </w:rPr>
                    <w:t>排土场</w:t>
                  </w:r>
                  <w:r>
                    <w:rPr>
                      <w:rFonts w:hint="default" w:ascii="Times New Roman" w:hAnsi="Times New Roman" w:cs="Times New Roman"/>
                      <w:color w:val="auto"/>
                      <w:sz w:val="21"/>
                      <w:szCs w:val="21"/>
                      <w:highlight w:val="none"/>
                    </w:rPr>
                    <w:t>，用于堆放表土，表土用于矿山植被恢复与土地复垦。</w:t>
                  </w:r>
                </w:p>
              </w:tc>
              <w:tc>
                <w:tcPr>
                  <w:tcW w:w="983" w:type="dxa"/>
                  <w:vAlign w:val="center"/>
                </w:tcPr>
                <w:p w14:paraId="622DA0E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D00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7FC94F9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矿山基建应尽量少占用农田和耕地，矿山基建临时性占地应及时恢复。</w:t>
                  </w:r>
                </w:p>
              </w:tc>
              <w:tc>
                <w:tcPr>
                  <w:tcW w:w="2579" w:type="dxa"/>
                  <w:vAlign w:val="center"/>
                </w:tcPr>
                <w:p w14:paraId="3B704D9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项目矿山不占用农田和耕地，矿山基建临时性占地及时进行恢复。</w:t>
                  </w:r>
                </w:p>
              </w:tc>
              <w:tc>
                <w:tcPr>
                  <w:tcW w:w="983" w:type="dxa"/>
                  <w:vAlign w:val="center"/>
                </w:tcPr>
                <w:p w14:paraId="0BA8F39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72531F42">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4</w:t>
            </w:r>
            <w:r>
              <w:rPr>
                <w:rFonts w:hint="default" w:ascii="Times New Roman" w:hAnsi="Times New Roman" w:cs="Times New Roman"/>
                <w:b/>
                <w:bCs/>
                <w:color w:val="auto"/>
                <w:highlight w:val="none"/>
              </w:rPr>
              <w:t>、与《矿山生态环境保护与恢复治理技术规范》符合性分析</w:t>
            </w:r>
          </w:p>
          <w:p w14:paraId="4DEF960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矿山生态环境保护与恢复治理技术规范（试行）》（HJ651-2013）（以下简称“矿山生态环保与恢复治理技术规范”）规定矿山生态环境保护与恢复治理的指导性技术要求，由原环境保护部于2013年7月23日发布实施，项目主要对《矿山生态环保与恢复治理技术规范》一般要求进行符合性分析。</w:t>
            </w:r>
          </w:p>
          <w:p w14:paraId="26A297B9">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 xml:space="preserve">  与《矿山生态环境保护与恢复治理技术规范》符合性分析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6"/>
              <w:gridCol w:w="2689"/>
              <w:gridCol w:w="1011"/>
            </w:tblGrid>
            <w:tr w14:paraId="4D10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0C778628">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要求</w:t>
                  </w:r>
                </w:p>
              </w:tc>
              <w:tc>
                <w:tcPr>
                  <w:tcW w:w="2422" w:type="dxa"/>
                  <w:vAlign w:val="center"/>
                </w:tcPr>
                <w:p w14:paraId="2FA92499">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911" w:type="dxa"/>
                  <w:vAlign w:val="center"/>
                </w:tcPr>
                <w:p w14:paraId="75CA4BB3">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2736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1FB0212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景观破坏明显的露天开采。</w:t>
                  </w:r>
                </w:p>
              </w:tc>
              <w:tc>
                <w:tcPr>
                  <w:tcW w:w="2422" w:type="dxa"/>
                  <w:vAlign w:val="center"/>
                </w:tcPr>
                <w:p w14:paraId="3FF2EBA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项目矿山不涉及生态保护红线、基本农田保护区、集中式饮用水水源保护区、自然保护区等环境敏感区，项目矿山1000m直观可视范围内没有重要道路、航道生态环境敏感目标。</w:t>
                  </w:r>
                </w:p>
              </w:tc>
              <w:tc>
                <w:tcPr>
                  <w:tcW w:w="911" w:type="dxa"/>
                  <w:vAlign w:val="center"/>
                </w:tcPr>
                <w:p w14:paraId="2FF1155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800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121908E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矿产资源开发活动应符合国家和区域主体功能规划、生态功能区划、生态环境保护规划的要求，采取有效预防和保护措施，避免或减轻矿产资源开发活动造成的生态破坏和环境污染。</w:t>
                  </w:r>
                </w:p>
              </w:tc>
              <w:tc>
                <w:tcPr>
                  <w:tcW w:w="2422" w:type="dxa"/>
                  <w:vAlign w:val="center"/>
                </w:tcPr>
                <w:p w14:paraId="317F768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项目矿山符合《湖南省普通建筑材料用砂石土矿专项规划（2021~2025 年）环境影响报告书》准入清单要求，通过采取预防保护措施可减轻生态破坏和环境污染。</w:t>
                  </w:r>
                </w:p>
              </w:tc>
              <w:tc>
                <w:tcPr>
                  <w:tcW w:w="911" w:type="dxa"/>
                  <w:vAlign w:val="center"/>
                </w:tcPr>
                <w:p w14:paraId="3F40D04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035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57EB6E2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2422" w:type="dxa"/>
                  <w:vAlign w:val="center"/>
                </w:tcPr>
                <w:p w14:paraId="7C8358F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eastAsia" w:cs="Times New Roman"/>
                      <w:color w:val="auto"/>
                      <w:sz w:val="21"/>
                      <w:szCs w:val="21"/>
                      <w:highlight w:val="none"/>
                      <w:lang w:val="en-US" w:eastAsia="zh-CN"/>
                    </w:rPr>
                    <w:t>已</w:t>
                  </w:r>
                  <w:r>
                    <w:rPr>
                      <w:rFonts w:hint="default" w:ascii="Times New Roman" w:hAnsi="Times New Roman" w:cs="Times New Roman"/>
                      <w:color w:val="auto"/>
                      <w:sz w:val="21"/>
                      <w:szCs w:val="21"/>
                      <w:highlight w:val="none"/>
                    </w:rPr>
                    <w:t>编制生态保护修复方案，矿山将</w:t>
                  </w:r>
                  <w:r>
                    <w:rPr>
                      <w:rFonts w:hint="eastAsia" w:cs="Times New Roman"/>
                      <w:color w:val="auto"/>
                      <w:sz w:val="21"/>
                      <w:szCs w:val="21"/>
                      <w:highlight w:val="none"/>
                      <w:lang w:val="en-US" w:eastAsia="zh-CN"/>
                    </w:rPr>
                    <w:t>对老矿区进行生态修复</w:t>
                  </w:r>
                  <w:r>
                    <w:rPr>
                      <w:rFonts w:hint="default" w:ascii="Times New Roman" w:hAnsi="Times New Roman" w:cs="Times New Roman"/>
                      <w:color w:val="auto"/>
                      <w:sz w:val="21"/>
                      <w:szCs w:val="21"/>
                      <w:highlight w:val="none"/>
                    </w:rPr>
                    <w:t>，生态恢复按照开采区、生活区等分区进行。</w:t>
                  </w:r>
                </w:p>
              </w:tc>
              <w:tc>
                <w:tcPr>
                  <w:tcW w:w="911" w:type="dxa"/>
                  <w:vAlign w:val="center"/>
                </w:tcPr>
                <w:p w14:paraId="1E44ED8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0E3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7024D26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所有矿山企业均应对照本标准各项要求，编制实施矿山生态环境保护与恢复治理方案。</w:t>
                  </w:r>
                </w:p>
              </w:tc>
              <w:tc>
                <w:tcPr>
                  <w:tcW w:w="2422" w:type="dxa"/>
                  <w:vAlign w:val="center"/>
                </w:tcPr>
                <w:p w14:paraId="3154C42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项目矿山对照《矿山生态环境保护与恢复治理技术规范（试行）》（HJ 651-2013）要求</w:t>
                  </w:r>
                  <w:r>
                    <w:rPr>
                      <w:rFonts w:hint="eastAsia" w:cs="Times New Roman"/>
                      <w:color w:val="auto"/>
                      <w:sz w:val="21"/>
                      <w:szCs w:val="21"/>
                      <w:highlight w:val="none"/>
                      <w:lang w:val="en-US" w:eastAsia="zh-CN"/>
                    </w:rPr>
                    <w:t>已</w:t>
                  </w:r>
                  <w:r>
                    <w:rPr>
                      <w:rFonts w:hint="default" w:ascii="Times New Roman" w:hAnsi="Times New Roman" w:cs="Times New Roman"/>
                      <w:color w:val="auto"/>
                      <w:sz w:val="21"/>
                      <w:szCs w:val="21"/>
                      <w:highlight w:val="none"/>
                    </w:rPr>
                    <w:t>编制生态保护修复方案。</w:t>
                  </w:r>
                </w:p>
              </w:tc>
              <w:tc>
                <w:tcPr>
                  <w:tcW w:w="911" w:type="dxa"/>
                  <w:vAlign w:val="center"/>
                </w:tcPr>
                <w:p w14:paraId="2A61BE8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8F9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40354D9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2422" w:type="dxa"/>
                  <w:vAlign w:val="center"/>
                </w:tcPr>
                <w:p w14:paraId="16EF4AE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矿山开采期间及开采完毕后将边坡复垦为</w:t>
                  </w:r>
                  <w:r>
                    <w:rPr>
                      <w:rFonts w:hint="eastAsia" w:cs="Times New Roman"/>
                      <w:color w:val="auto"/>
                      <w:sz w:val="21"/>
                      <w:szCs w:val="21"/>
                      <w:highlight w:val="none"/>
                      <w:lang w:val="en-US" w:eastAsia="zh-CN"/>
                    </w:rPr>
                    <w:t>灌木林</w:t>
                  </w:r>
                  <w:r>
                    <w:rPr>
                      <w:rFonts w:hint="default" w:ascii="Times New Roman" w:hAnsi="Times New Roman" w:cs="Times New Roman"/>
                      <w:color w:val="auto"/>
                      <w:sz w:val="21"/>
                      <w:szCs w:val="21"/>
                      <w:highlight w:val="none"/>
                    </w:rPr>
                    <w:t>、底部平台复垦为</w:t>
                  </w:r>
                  <w:r>
                    <w:rPr>
                      <w:rFonts w:hint="eastAsia" w:cs="Times New Roman"/>
                      <w:color w:val="auto"/>
                      <w:sz w:val="21"/>
                      <w:szCs w:val="21"/>
                      <w:highlight w:val="none"/>
                      <w:lang w:val="en-US" w:eastAsia="zh-CN"/>
                    </w:rPr>
                    <w:t>果园</w:t>
                  </w:r>
                  <w:r>
                    <w:rPr>
                      <w:rFonts w:hint="default" w:ascii="Times New Roman" w:hAnsi="Times New Roman" w:cs="Times New Roman"/>
                      <w:color w:val="auto"/>
                      <w:sz w:val="21"/>
                      <w:szCs w:val="21"/>
                      <w:highlight w:val="none"/>
                    </w:rPr>
                    <w:t>，针对地质灾害等设置监测工程，可以使区域整体生态功能得到保护和恢复。</w:t>
                  </w:r>
                </w:p>
              </w:tc>
              <w:tc>
                <w:tcPr>
                  <w:tcW w:w="911" w:type="dxa"/>
                  <w:vAlign w:val="center"/>
                </w:tcPr>
                <w:p w14:paraId="73C2DA8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34E08C78">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5</w:t>
            </w:r>
            <w:r>
              <w:rPr>
                <w:rFonts w:hint="default" w:ascii="Times New Roman" w:hAnsi="Times New Roman" w:cs="Times New Roman"/>
                <w:b/>
                <w:bCs/>
                <w:color w:val="auto"/>
                <w:highlight w:val="none"/>
              </w:rPr>
              <w:t>、与《砂石行业绿色矿山建设规范》符合性分析</w:t>
            </w:r>
          </w:p>
          <w:p w14:paraId="6BA1A9F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《砂石行业绿色矿山建设规范》（以下简称“绿色矿山建设规范”）由自然资源部于2018年6月22日发布，2018年10月1日起实施。本次主要主要对矿区环境、资源开发方式、资源综合利用、节能减排进行符合性分析。</w:t>
            </w:r>
          </w:p>
          <w:p w14:paraId="729E7375">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10</w:t>
            </w:r>
            <w:r>
              <w:rPr>
                <w:rFonts w:hint="default" w:ascii="Times New Roman" w:hAnsi="Times New Roman" w:cs="Times New Roman"/>
                <w:b/>
                <w:bCs/>
                <w:color w:val="auto"/>
                <w:sz w:val="21"/>
                <w:szCs w:val="21"/>
                <w:highlight w:val="none"/>
              </w:rPr>
              <w:t xml:space="preserve">  项目与绿色矿山建设规范的符合性分析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3060"/>
              <w:gridCol w:w="2483"/>
              <w:gridCol w:w="717"/>
            </w:tblGrid>
            <w:tr w14:paraId="7F98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9" w:type="pct"/>
                  <w:gridSpan w:val="2"/>
                  <w:vAlign w:val="center"/>
                </w:tcPr>
                <w:p w14:paraId="4FA84BCC">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规范要求</w:t>
                  </w:r>
                </w:p>
              </w:tc>
              <w:tc>
                <w:tcPr>
                  <w:tcW w:w="1762" w:type="pct"/>
                  <w:vAlign w:val="center"/>
                </w:tcPr>
                <w:p w14:paraId="39C5EA94">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508" w:type="pct"/>
                  <w:vAlign w:val="center"/>
                </w:tcPr>
                <w:p w14:paraId="55EA252D">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w:t>
                  </w:r>
                </w:p>
              </w:tc>
            </w:tr>
            <w:tr w14:paraId="2B29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restart"/>
                  <w:vAlign w:val="center"/>
                </w:tcPr>
                <w:p w14:paraId="49F0F22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一、矿区环境</w:t>
                  </w:r>
                </w:p>
              </w:tc>
              <w:tc>
                <w:tcPr>
                  <w:tcW w:w="2170" w:type="pct"/>
                  <w:vAlign w:val="center"/>
                </w:tcPr>
                <w:p w14:paraId="3E6E471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矿容矿貌：①矿区按生产区、办公区、生活区和生态区等功能分区，各功能区应符合GB50187的规定，生产、生活、办公等功能区应有相应的管理机构和管理制度，运行有序，管理规范；②矿区道路、供水、供电、卫生、环保等配套设施齐全；在生产区应设置线路示意牌、简介牌、岗位技术操作规程等标牌，标牌符合GB/T13306 的规定；在需警示安全的区域应设置安全标志，安全标志符合GB14161的规定；③矿区生产过程应采取喷雾、喷洒水或生物纳膜加装除尘装备等措施处置粉尘，工作场所粉尘浓度应符合GBZ2.1-2007的规定。应对输送系统、生产线、料库等采取有效措施进行抑尘，严禁运料遗撒和带泥上路，保持矿区及周边环境卫生；④应采取合理有效措施的技术措施对高噪音设备进行降噪处理，工作场所噪声应符合GBBZ2.2-2007的要求，工业企业厂界噪声排放限值应符合GB12348。</w:t>
                  </w:r>
                </w:p>
              </w:tc>
              <w:tc>
                <w:tcPr>
                  <w:tcW w:w="1762" w:type="pct"/>
                  <w:vAlign w:val="center"/>
                </w:tcPr>
                <w:p w14:paraId="0C15FB2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区按生产区、办公生活区和生态区等功能分区，各功能区符合GB50187的规定，项目设立生产管理机构和管理制度；矿区道路、供水、供电等设施齐全，设立有标识标牌，制定岗位操作规程；设置洒水、喷雾设施抑尘，选取低噪声设备，通过减震、隔声降低噪声排放，确保厂界噪声满足GB12348标准。</w:t>
                  </w:r>
                </w:p>
              </w:tc>
              <w:tc>
                <w:tcPr>
                  <w:tcW w:w="508" w:type="pct"/>
                  <w:vAlign w:val="center"/>
                </w:tcPr>
                <w:p w14:paraId="74AEAB3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10A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continue"/>
                  <w:vAlign w:val="center"/>
                </w:tcPr>
                <w:p w14:paraId="6010AFD8">
                  <w:pPr>
                    <w:spacing w:line="240" w:lineRule="auto"/>
                    <w:ind w:firstLine="0" w:firstLineChars="0"/>
                    <w:jc w:val="center"/>
                    <w:rPr>
                      <w:rFonts w:hint="default" w:ascii="Times New Roman" w:hAnsi="Times New Roman" w:cs="Times New Roman"/>
                      <w:color w:val="auto"/>
                      <w:sz w:val="21"/>
                      <w:szCs w:val="21"/>
                      <w:highlight w:val="none"/>
                    </w:rPr>
                  </w:pPr>
                </w:p>
              </w:tc>
              <w:tc>
                <w:tcPr>
                  <w:tcW w:w="2170" w:type="pct"/>
                  <w:vAlign w:val="center"/>
                </w:tcPr>
                <w:p w14:paraId="776029A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矿区绿化：矿区绿化应与周边自然环境和景观相协调，绿化植物搭配合理，矿区绿化覆盖率应达到100%。</w:t>
                  </w:r>
                </w:p>
              </w:tc>
              <w:tc>
                <w:tcPr>
                  <w:tcW w:w="1762" w:type="pct"/>
                  <w:vAlign w:val="center"/>
                </w:tcPr>
                <w:p w14:paraId="1A35EEF3">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rPr>
                    <w:t>项目矿山</w:t>
                  </w:r>
                  <w:r>
                    <w:rPr>
                      <w:rFonts w:hint="eastAsia" w:cs="Times New Roman"/>
                      <w:color w:val="auto"/>
                      <w:sz w:val="21"/>
                      <w:szCs w:val="21"/>
                      <w:highlight w:val="none"/>
                      <w:lang w:val="en-US" w:eastAsia="zh-CN"/>
                    </w:rPr>
                    <w:t>已</w:t>
                  </w:r>
                  <w:r>
                    <w:rPr>
                      <w:rFonts w:hint="default" w:ascii="Times New Roman" w:hAnsi="Times New Roman" w:cs="Times New Roman"/>
                      <w:color w:val="auto"/>
                      <w:sz w:val="21"/>
                      <w:szCs w:val="21"/>
                      <w:highlight w:val="none"/>
                    </w:rPr>
                    <w:t>编制生态保护修复方案，</w:t>
                  </w:r>
                  <w:r>
                    <w:rPr>
                      <w:rFonts w:hint="eastAsia" w:cs="Times New Roman"/>
                      <w:color w:val="auto"/>
                      <w:sz w:val="21"/>
                      <w:szCs w:val="21"/>
                      <w:highlight w:val="none"/>
                      <w:u w:val="none"/>
                      <w:lang w:eastAsia="zh-CN"/>
                    </w:rPr>
                    <w:t>环评要求建设单位按照最新生态保护修复方案对矿区进行生态修复，确保</w:t>
                  </w:r>
                  <w:r>
                    <w:rPr>
                      <w:rFonts w:hint="default" w:ascii="Times New Roman" w:hAnsi="Times New Roman" w:cs="Times New Roman"/>
                      <w:color w:val="auto"/>
                      <w:sz w:val="21"/>
                      <w:szCs w:val="21"/>
                      <w:highlight w:val="none"/>
                      <w:u w:val="none"/>
                    </w:rPr>
                    <w:t>绿化覆盖率应达到100%</w:t>
                  </w:r>
                </w:p>
              </w:tc>
              <w:tc>
                <w:tcPr>
                  <w:tcW w:w="508" w:type="pct"/>
                  <w:vAlign w:val="center"/>
                </w:tcPr>
                <w:p w14:paraId="654A9CF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符合</w:t>
                  </w:r>
                </w:p>
              </w:tc>
            </w:tr>
            <w:tr w14:paraId="6297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64BB6A9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二、资源开发方式</w:t>
                  </w:r>
                </w:p>
              </w:tc>
              <w:tc>
                <w:tcPr>
                  <w:tcW w:w="2170" w:type="pct"/>
                  <w:vAlign w:val="center"/>
                </w:tcPr>
                <w:p w14:paraId="3204CA8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矿区生态环境保护：①应按照矿山地质环境保护与土地复垦方案进行环境治理和土地复垦：a、露天采场、矿区专用道路、矿山工业场地、</w:t>
                  </w:r>
                  <w:r>
                    <w:rPr>
                      <w:rFonts w:hint="eastAsia" w:cs="Times New Roman"/>
                      <w:color w:val="auto"/>
                      <w:sz w:val="21"/>
                      <w:szCs w:val="21"/>
                      <w:highlight w:val="none"/>
                      <w:lang w:eastAsia="zh-CN"/>
                    </w:rPr>
                    <w:t>排土场</w:t>
                  </w:r>
                  <w:r>
                    <w:rPr>
                      <w:rFonts w:hint="default" w:ascii="Times New Roman" w:hAnsi="Times New Roman" w:cs="Times New Roman"/>
                      <w:color w:val="auto"/>
                      <w:sz w:val="21"/>
                      <w:szCs w:val="21"/>
                      <w:highlight w:val="none"/>
                    </w:rPr>
                    <w:t>、矿山扰动区等生态环境保护与恢复治理，应符合HJ651 的相关规定；b、土地复垦质量应符合TD/T1036 的规定；c、恢复治理后的各类场地应实现安全稳定，对人和动植物不造成威胁；对周边环境不产生污染；与周边自然环境和景观协调；恢复土地基本功能，因地制宜实现土地可持续利用；区域整体生态功能得到保护和恢复。②应建立环境监测机制，设置专门机构，配备专职管理人员和监测人员，具体要求如下：a、对粉尘、废水、噪音等污染源和污染物实行动态监测，并向社会公开数据，接受社会公众监督。b、开采中和开采后应建立、健全长效监测机制，对土地复垦区稳定性与环境质量进行动态监测。③矿山开采结束闭坑时，应完成矿区的地质灾害治理，土地复垦率、终了边坡治理率达到100%。</w:t>
                  </w:r>
                </w:p>
              </w:tc>
              <w:tc>
                <w:tcPr>
                  <w:tcW w:w="1762" w:type="pct"/>
                  <w:vAlign w:val="center"/>
                </w:tcPr>
                <w:p w14:paraId="1DD5CC8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w:t>
                  </w:r>
                  <w:r>
                    <w:rPr>
                      <w:rFonts w:hint="eastAsia" w:cs="Times New Roman"/>
                      <w:color w:val="auto"/>
                      <w:sz w:val="21"/>
                      <w:szCs w:val="21"/>
                      <w:highlight w:val="none"/>
                      <w:lang w:val="en-US" w:eastAsia="zh-CN"/>
                    </w:rPr>
                    <w:t>已</w:t>
                  </w:r>
                  <w:r>
                    <w:rPr>
                      <w:rFonts w:hint="default" w:ascii="Times New Roman" w:hAnsi="Times New Roman" w:cs="Times New Roman"/>
                      <w:color w:val="auto"/>
                      <w:sz w:val="21"/>
                      <w:szCs w:val="21"/>
                      <w:highlight w:val="none"/>
                    </w:rPr>
                    <w:t>编制生态保护修复方案，矿山闭矿后将按照修复方案进行矿山复垦，同时矿山在开采的过程中将采取边开采边复垦的方式进行，降低矿山开采对生态的影响，复垦过程中充分考虑与周边自然环境的协调性；生态保护修复方案</w:t>
                  </w:r>
                  <w:r>
                    <w:rPr>
                      <w:rFonts w:hint="eastAsia" w:cs="Times New Roman"/>
                      <w:color w:val="auto"/>
                      <w:sz w:val="21"/>
                      <w:szCs w:val="21"/>
                      <w:highlight w:val="none"/>
                      <w:lang w:val="en-US" w:eastAsia="zh-CN"/>
                    </w:rPr>
                    <w:t>将</w:t>
                  </w:r>
                  <w:r>
                    <w:rPr>
                      <w:rFonts w:hint="default" w:ascii="Times New Roman" w:hAnsi="Times New Roman" w:cs="Times New Roman"/>
                      <w:color w:val="auto"/>
                      <w:sz w:val="21"/>
                      <w:szCs w:val="21"/>
                      <w:highlight w:val="none"/>
                    </w:rPr>
                    <w:t>建立地表水、地下水、土壤监测体系，本次评价将对大气、噪声提出监测计划；矿山开采结束闭坑后按照生态保护修复方案进行土地复垦，治理率可达100%。</w:t>
                  </w:r>
                </w:p>
              </w:tc>
              <w:tc>
                <w:tcPr>
                  <w:tcW w:w="508" w:type="pct"/>
                  <w:vAlign w:val="center"/>
                </w:tcPr>
                <w:p w14:paraId="18D8069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596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restart"/>
                  <w:vAlign w:val="center"/>
                </w:tcPr>
                <w:p w14:paraId="1867E90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三、资源综合利用</w:t>
                  </w:r>
                </w:p>
              </w:tc>
              <w:tc>
                <w:tcPr>
                  <w:tcW w:w="2170" w:type="pct"/>
                  <w:vAlign w:val="center"/>
                </w:tcPr>
                <w:p w14:paraId="5432EA2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表土和渣土利用：对</w:t>
                  </w:r>
                  <w:r>
                    <w:rPr>
                      <w:rFonts w:hint="eastAsia" w:cs="Times New Roman"/>
                      <w:color w:val="auto"/>
                      <w:sz w:val="21"/>
                      <w:szCs w:val="21"/>
                      <w:highlight w:val="none"/>
                      <w:lang w:eastAsia="zh-CN"/>
                    </w:rPr>
                    <w:t>排土场</w:t>
                  </w:r>
                  <w:r>
                    <w:rPr>
                      <w:rFonts w:hint="default" w:ascii="Times New Roman" w:hAnsi="Times New Roman" w:cs="Times New Roman"/>
                      <w:color w:val="auto"/>
                      <w:sz w:val="21"/>
                      <w:szCs w:val="21"/>
                      <w:highlight w:val="none"/>
                    </w:rPr>
                    <w:t>堆放的剥离表土或筛分后的渣土，用于环境治理、土地复垦和复绿等。</w:t>
                  </w:r>
                </w:p>
              </w:tc>
              <w:tc>
                <w:tcPr>
                  <w:tcW w:w="1762" w:type="pct"/>
                  <w:vAlign w:val="center"/>
                </w:tcPr>
                <w:p w14:paraId="38EA9F7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项目矿山开采剥离表土暂存于</w:t>
                  </w:r>
                  <w:r>
                    <w:rPr>
                      <w:rFonts w:hint="eastAsia" w:cs="Times New Roman"/>
                      <w:color w:val="auto"/>
                      <w:sz w:val="21"/>
                      <w:szCs w:val="21"/>
                      <w:highlight w:val="none"/>
                      <w:lang w:eastAsia="zh-CN"/>
                    </w:rPr>
                    <w:t>排土场</w:t>
                  </w:r>
                  <w:r>
                    <w:rPr>
                      <w:rFonts w:hint="default" w:ascii="Times New Roman" w:hAnsi="Times New Roman" w:cs="Times New Roman"/>
                      <w:color w:val="auto"/>
                      <w:sz w:val="21"/>
                      <w:szCs w:val="21"/>
                      <w:highlight w:val="none"/>
                    </w:rPr>
                    <w:t>，用于后期矿山土地复垦及复绿。</w:t>
                  </w:r>
                </w:p>
              </w:tc>
              <w:tc>
                <w:tcPr>
                  <w:tcW w:w="508" w:type="pct"/>
                  <w:vAlign w:val="center"/>
                </w:tcPr>
                <w:p w14:paraId="5C3D120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2E2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continue"/>
                  <w:vAlign w:val="center"/>
                </w:tcPr>
                <w:p w14:paraId="0708EAA3">
                  <w:pPr>
                    <w:spacing w:line="240" w:lineRule="auto"/>
                    <w:ind w:firstLine="0" w:firstLineChars="0"/>
                    <w:jc w:val="center"/>
                    <w:rPr>
                      <w:rFonts w:hint="default" w:ascii="Times New Roman" w:hAnsi="Times New Roman" w:cs="Times New Roman"/>
                      <w:color w:val="auto"/>
                      <w:sz w:val="21"/>
                      <w:szCs w:val="21"/>
                      <w:highlight w:val="none"/>
                    </w:rPr>
                  </w:pPr>
                </w:p>
              </w:tc>
              <w:tc>
                <w:tcPr>
                  <w:tcW w:w="2170" w:type="pct"/>
                  <w:vAlign w:val="center"/>
                </w:tcPr>
                <w:p w14:paraId="193B896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废水利用：应配备完善的生产废水处理系统，经过固液分离处理后的清水应100%循环利用。</w:t>
                  </w:r>
                </w:p>
              </w:tc>
              <w:tc>
                <w:tcPr>
                  <w:tcW w:w="1762" w:type="pct"/>
                  <w:vAlign w:val="center"/>
                </w:tcPr>
                <w:p w14:paraId="74F22AB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项目配备有废水沉淀池，</w:t>
                  </w:r>
                  <w:r>
                    <w:rPr>
                      <w:rFonts w:hint="eastAsia" w:cs="Times New Roman"/>
                      <w:color w:val="auto"/>
                      <w:sz w:val="21"/>
                      <w:szCs w:val="21"/>
                      <w:highlight w:val="none"/>
                      <w:u w:val="none"/>
                      <w:lang w:eastAsia="zh-CN"/>
                    </w:rPr>
                    <w:t>废水</w:t>
                  </w:r>
                  <w:r>
                    <w:rPr>
                      <w:rFonts w:hint="default" w:ascii="Times New Roman" w:hAnsi="Times New Roman" w:cs="Times New Roman"/>
                      <w:color w:val="auto"/>
                      <w:sz w:val="21"/>
                      <w:szCs w:val="21"/>
                      <w:highlight w:val="none"/>
                      <w:u w:val="none"/>
                    </w:rPr>
                    <w:t>经沉淀后100%用于矿石开采、</w:t>
                  </w:r>
                  <w:r>
                    <w:rPr>
                      <w:rFonts w:hint="eastAsia" w:cs="Times New Roman"/>
                      <w:color w:val="auto"/>
                      <w:sz w:val="21"/>
                      <w:szCs w:val="21"/>
                      <w:highlight w:val="none"/>
                      <w:u w:val="none"/>
                      <w:lang w:eastAsia="zh-CN"/>
                    </w:rPr>
                    <w:t>排土场</w:t>
                  </w:r>
                  <w:r>
                    <w:rPr>
                      <w:rFonts w:hint="default" w:ascii="Times New Roman" w:hAnsi="Times New Roman" w:cs="Times New Roman"/>
                      <w:color w:val="auto"/>
                      <w:sz w:val="21"/>
                      <w:szCs w:val="21"/>
                      <w:highlight w:val="none"/>
                      <w:u w:val="none"/>
                    </w:rPr>
                    <w:t>洒水抑尘。</w:t>
                  </w:r>
                </w:p>
              </w:tc>
              <w:tc>
                <w:tcPr>
                  <w:tcW w:w="508" w:type="pct"/>
                  <w:vAlign w:val="center"/>
                </w:tcPr>
                <w:p w14:paraId="2EB2293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none"/>
                    </w:rPr>
                    <w:t>符合</w:t>
                  </w:r>
                </w:p>
              </w:tc>
            </w:tr>
            <w:tr w14:paraId="2211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restart"/>
                  <w:vAlign w:val="center"/>
                </w:tcPr>
                <w:p w14:paraId="41CEAA7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四、节能减排</w:t>
                  </w:r>
                </w:p>
              </w:tc>
              <w:tc>
                <w:tcPr>
                  <w:tcW w:w="2170" w:type="pct"/>
                  <w:vAlign w:val="center"/>
                </w:tcPr>
                <w:p w14:paraId="096C577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粉尘排放：①矿石开采和砂石生产过程中，粉尘排放应符合GB16297的规定；对于环境要求严格的地区，采取更有效的措施，控制粉尘排放，并达到地方环保要求的标准。②生产企业应建立粉尘监测网络与评价制度，编制监测控制方案，并针对监测控制对象定期组织第三方监测和自我监测。③矿石开采和砂石生产过程中的粉尘控制应遵循源头控制、过程协同控制、末端监控、系统联动集成的治理思路，达到环保节能和清洁生产的目的。④矿区应配置洒水车、高压喷雾车等设备，对无组织排放粉尘进行抑尘、降尘；宜采用水务增湿除尘穿孔凿岩技术，在输气管道的回风过程中进行收尘。⑤应在装载机、破碎机、筛分机、整形机、制砂机、输送机端口等连续产生粉尘部位安装高效除尘装置。</w:t>
                  </w:r>
                </w:p>
              </w:tc>
              <w:tc>
                <w:tcPr>
                  <w:tcW w:w="1762" w:type="pct"/>
                  <w:vAlign w:val="center"/>
                </w:tcPr>
                <w:p w14:paraId="7758246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表土剥离粉尘：表土剥离前对表土进行洒水抑尘；凿岩钻孔粉尘：洒水车喷水雾抑尘；加工粉尘：车间封闭+布袋除尘器+15m排气筒；</w:t>
                  </w:r>
                </w:p>
                <w:p w14:paraId="37BF212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运输粉尘：车辆限速，洒水车洒水抑尘；</w:t>
                  </w:r>
                  <w:r>
                    <w:rPr>
                      <w:rFonts w:hint="eastAsia" w:cs="Times New Roman"/>
                      <w:color w:val="auto"/>
                      <w:sz w:val="21"/>
                      <w:szCs w:val="21"/>
                      <w:highlight w:val="none"/>
                      <w:u w:val="none"/>
                      <w:lang w:eastAsia="zh-CN"/>
                    </w:rPr>
                    <w:t>排土场</w:t>
                  </w:r>
                  <w:r>
                    <w:rPr>
                      <w:rFonts w:hint="default" w:ascii="Times New Roman" w:hAnsi="Times New Roman" w:cs="Times New Roman"/>
                      <w:color w:val="auto"/>
                      <w:sz w:val="21"/>
                      <w:szCs w:val="21"/>
                      <w:highlight w:val="none"/>
                      <w:u w:val="none"/>
                    </w:rPr>
                    <w:t>粉尘：洒水车洒水、覆盖防尘网，</w:t>
                  </w:r>
                  <w:r>
                    <w:rPr>
                      <w:rFonts w:hint="eastAsia" w:cs="Times New Roman"/>
                      <w:color w:val="auto"/>
                      <w:sz w:val="21"/>
                      <w:szCs w:val="21"/>
                      <w:highlight w:val="none"/>
                      <w:u w:val="none"/>
                      <w:lang w:eastAsia="zh-CN"/>
                    </w:rPr>
                    <w:t>建设单位应按照报告中</w:t>
                  </w:r>
                  <w:r>
                    <w:rPr>
                      <w:rFonts w:hint="default" w:ascii="Times New Roman" w:hAnsi="Times New Roman" w:cs="Times New Roman"/>
                      <w:color w:val="auto"/>
                      <w:sz w:val="21"/>
                      <w:szCs w:val="21"/>
                      <w:highlight w:val="none"/>
                      <w:u w:val="none"/>
                    </w:rPr>
                    <w:t>提出</w:t>
                  </w:r>
                  <w:r>
                    <w:rPr>
                      <w:rFonts w:hint="eastAsia" w:cs="Times New Roman"/>
                      <w:color w:val="auto"/>
                      <w:sz w:val="21"/>
                      <w:szCs w:val="21"/>
                      <w:highlight w:val="none"/>
                      <w:u w:val="none"/>
                      <w:lang w:eastAsia="zh-CN"/>
                    </w:rPr>
                    <w:t>的</w:t>
                  </w:r>
                  <w:r>
                    <w:rPr>
                      <w:rFonts w:hint="default" w:ascii="Times New Roman" w:hAnsi="Times New Roman" w:cs="Times New Roman"/>
                      <w:color w:val="auto"/>
                      <w:sz w:val="21"/>
                      <w:szCs w:val="21"/>
                      <w:highlight w:val="none"/>
                      <w:u w:val="none"/>
                    </w:rPr>
                    <w:t>粉尘监测计划</w:t>
                  </w:r>
                  <w:r>
                    <w:rPr>
                      <w:rFonts w:hint="eastAsia" w:cs="Times New Roman"/>
                      <w:color w:val="auto"/>
                      <w:sz w:val="21"/>
                      <w:szCs w:val="21"/>
                      <w:highlight w:val="none"/>
                      <w:u w:val="none"/>
                      <w:lang w:eastAsia="zh-CN"/>
                    </w:rPr>
                    <w:t>严格执行</w:t>
                  </w:r>
                  <w:r>
                    <w:rPr>
                      <w:rFonts w:hint="default" w:ascii="Times New Roman" w:hAnsi="Times New Roman" w:cs="Times New Roman"/>
                      <w:color w:val="auto"/>
                      <w:sz w:val="21"/>
                      <w:szCs w:val="21"/>
                      <w:highlight w:val="none"/>
                      <w:u w:val="none"/>
                    </w:rPr>
                    <w:t>。</w:t>
                  </w:r>
                </w:p>
                <w:p w14:paraId="7CC5C851">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508" w:type="pct"/>
                  <w:vAlign w:val="center"/>
                </w:tcPr>
                <w:p w14:paraId="66884AC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24B5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continue"/>
                  <w:vAlign w:val="center"/>
                </w:tcPr>
                <w:p w14:paraId="7188B3A7">
                  <w:pPr>
                    <w:spacing w:line="240" w:lineRule="auto"/>
                    <w:ind w:firstLine="0" w:firstLineChars="0"/>
                    <w:jc w:val="center"/>
                    <w:rPr>
                      <w:rFonts w:hint="default" w:ascii="Times New Roman" w:hAnsi="Times New Roman" w:cs="Times New Roman"/>
                      <w:color w:val="auto"/>
                      <w:sz w:val="21"/>
                      <w:szCs w:val="21"/>
                      <w:highlight w:val="none"/>
                    </w:rPr>
                  </w:pPr>
                </w:p>
              </w:tc>
              <w:tc>
                <w:tcPr>
                  <w:tcW w:w="2170" w:type="pct"/>
                  <w:vAlign w:val="center"/>
                </w:tcPr>
                <w:p w14:paraId="35F06F1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污水排放：①矿区及厂区应建有雨水截（排）水沟和集水池，地表径流水井沉淀处理后达标排放；②矿区及厂区的生产排水、雨水和生活污水，应实现雨污分流、清污分流；③检验化验室排出的有害废水应单独收集，经无害化处理后达标排放或循环利用。</w:t>
                  </w:r>
                </w:p>
              </w:tc>
              <w:tc>
                <w:tcPr>
                  <w:tcW w:w="1762" w:type="pct"/>
                  <w:vAlign w:val="center"/>
                </w:tcPr>
                <w:p w14:paraId="23F50EC5">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w:t>
                  </w:r>
                  <w:r>
                    <w:rPr>
                      <w:rFonts w:hint="eastAsia" w:cs="Times New Roman"/>
                      <w:color w:val="auto"/>
                      <w:sz w:val="21"/>
                      <w:szCs w:val="21"/>
                      <w:highlight w:val="none"/>
                      <w:u w:val="none"/>
                      <w:lang w:eastAsia="zh-CN"/>
                    </w:rPr>
                    <w:t>施工期将在</w:t>
                  </w:r>
                  <w:r>
                    <w:rPr>
                      <w:rFonts w:hint="default" w:ascii="Times New Roman" w:hAnsi="Times New Roman" w:cs="Times New Roman"/>
                      <w:color w:val="auto"/>
                      <w:sz w:val="21"/>
                      <w:szCs w:val="21"/>
                      <w:highlight w:val="none"/>
                      <w:u w:val="none"/>
                    </w:rPr>
                    <w:t>矿区周边设置截洪沟，防止矿区外雨水汇流；</w:t>
                  </w:r>
                  <w:r>
                    <w:rPr>
                      <w:rFonts w:hint="eastAsia" w:cs="Times New Roman"/>
                      <w:color w:val="auto"/>
                      <w:sz w:val="21"/>
                      <w:szCs w:val="21"/>
                      <w:highlight w:val="none"/>
                      <w:u w:val="none"/>
                      <w:lang w:eastAsia="zh-CN"/>
                    </w:rPr>
                    <w:t>环评要求建设单位对现有沉淀池、污水收集塔、清水罐进行扩建</w:t>
                  </w:r>
                  <w:r>
                    <w:rPr>
                      <w:rFonts w:hint="default" w:ascii="Times New Roman" w:hAnsi="Times New Roman" w:cs="Times New Roman"/>
                      <w:color w:val="auto"/>
                      <w:sz w:val="21"/>
                      <w:szCs w:val="21"/>
                      <w:highlight w:val="none"/>
                      <w:u w:val="none"/>
                    </w:rPr>
                    <w:t>，收集的雨水经沉淀后用于洒水抑尘；</w:t>
                  </w:r>
                  <w:r>
                    <w:rPr>
                      <w:rFonts w:hint="eastAsia" w:cs="Times New Roman"/>
                      <w:color w:val="auto"/>
                      <w:sz w:val="21"/>
                      <w:szCs w:val="21"/>
                      <w:highlight w:val="none"/>
                      <w:u w:val="none"/>
                      <w:lang w:eastAsia="zh-CN"/>
                    </w:rPr>
                    <w:t>生活废水单独采用化粪池进行处理；</w:t>
                  </w:r>
                  <w:r>
                    <w:rPr>
                      <w:rFonts w:hint="default" w:ascii="Times New Roman" w:hAnsi="Times New Roman" w:cs="Times New Roman"/>
                      <w:color w:val="auto"/>
                      <w:sz w:val="21"/>
                      <w:szCs w:val="21"/>
                      <w:highlight w:val="none"/>
                      <w:u w:val="none"/>
                    </w:rPr>
                    <w:t>项目不设检验化验室。</w:t>
                  </w:r>
                </w:p>
              </w:tc>
              <w:tc>
                <w:tcPr>
                  <w:tcW w:w="508" w:type="pct"/>
                  <w:vAlign w:val="center"/>
                </w:tcPr>
                <w:p w14:paraId="6D2C5A5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43EA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continue"/>
                  <w:vAlign w:val="center"/>
                </w:tcPr>
                <w:p w14:paraId="4A386463">
                  <w:pPr>
                    <w:spacing w:line="240" w:lineRule="auto"/>
                    <w:ind w:firstLine="0" w:firstLineChars="0"/>
                    <w:jc w:val="center"/>
                    <w:rPr>
                      <w:rFonts w:hint="default" w:ascii="Times New Roman" w:hAnsi="Times New Roman" w:cs="Times New Roman"/>
                      <w:color w:val="auto"/>
                      <w:sz w:val="21"/>
                      <w:szCs w:val="21"/>
                      <w:highlight w:val="none"/>
                    </w:rPr>
                  </w:pPr>
                </w:p>
              </w:tc>
              <w:tc>
                <w:tcPr>
                  <w:tcW w:w="2170" w:type="pct"/>
                  <w:vAlign w:val="center"/>
                </w:tcPr>
                <w:p w14:paraId="6BE3FD7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废油等废物的处理：生产中产生的废油要集中收集，设置独立的场所存放，并交由有资质单位处理；蓄电池、滤袋等废物，应无害化处理或交有资质的第三方处置。</w:t>
                  </w:r>
                </w:p>
              </w:tc>
              <w:tc>
                <w:tcPr>
                  <w:tcW w:w="1762" w:type="pct"/>
                  <w:vAlign w:val="center"/>
                </w:tcPr>
                <w:p w14:paraId="3A6485E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eastAsia" w:cs="Times New Roman"/>
                      <w:color w:val="auto"/>
                      <w:sz w:val="21"/>
                      <w:szCs w:val="21"/>
                      <w:highlight w:val="none"/>
                      <w:lang w:val="en-US" w:eastAsia="zh-CN"/>
                    </w:rPr>
                    <w:t>设置</w:t>
                  </w:r>
                  <w:r>
                    <w:rPr>
                      <w:rFonts w:hint="default" w:ascii="Times New Roman" w:hAnsi="Times New Roman" w:cs="Times New Roman"/>
                      <w:color w:val="auto"/>
                      <w:sz w:val="21"/>
                      <w:szCs w:val="21"/>
                      <w:highlight w:val="none"/>
                    </w:rPr>
                    <w:t>危废暂存间，用于暂存设备保养产生的少量废油，后续交有资质第三方处置。</w:t>
                  </w:r>
                </w:p>
              </w:tc>
              <w:tc>
                <w:tcPr>
                  <w:tcW w:w="508" w:type="pct"/>
                  <w:vAlign w:val="center"/>
                </w:tcPr>
                <w:p w14:paraId="3125C97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1EFEF819">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6</w:t>
            </w:r>
            <w:r>
              <w:rPr>
                <w:rFonts w:hint="default" w:ascii="Times New Roman" w:hAnsi="Times New Roman" w:cs="Times New Roman"/>
                <w:b/>
                <w:bCs/>
                <w:color w:val="auto"/>
                <w:highlight w:val="none"/>
              </w:rPr>
              <w:t>、与《湖南省大气污染防治条例相符性分析》</w:t>
            </w:r>
          </w:p>
          <w:p w14:paraId="1A28EF8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湖南省大气污染防治条例》（以下简称“防治条例”）于2017年3月31日湖南省第十二届人民代表大会常务委员会第二十九次会议通过，根据湖南省第十三届人民代表大会常务委员会第十八次会议进行修正，2020年6月12日公布实施。防治条例第二十四条规定“县级以上人民政府可以根据扬尘污染防治的需要，划定禁止从事矿石开采和加工等容易产生扬尘污染活动的区域。矿山开采应当实施分区作业，做到边开采、边治理，及时修复生态环境。废石、废渣、泥土等应当集中堆放，并采取围挡、设置防风抑尘网、防尘网或者防尘布等措施；施工便道应当进行硬化并做到无明显积尘。采矿权人在采矿过程中以及停止开采或者关闭矿山前，应当整修被损坏的道路和露天采矿场的边坡、断面，恢复植被，并按照规定处置矿山开采废弃物，整治和恢复矿山地质环境，防止扬尘污染。”</w:t>
            </w:r>
          </w:p>
          <w:p w14:paraId="04421AE0">
            <w:pPr>
              <w:ind w:firstLine="480"/>
              <w:rPr>
                <w:rFonts w:hint="default"/>
                <w:color w:val="auto"/>
                <w:highlight w:val="none"/>
              </w:rPr>
            </w:pPr>
            <w:r>
              <w:rPr>
                <w:rFonts w:hint="default" w:ascii="Times New Roman" w:hAnsi="Times New Roman" w:cs="Times New Roman"/>
                <w:color w:val="auto"/>
                <w:highlight w:val="none"/>
              </w:rPr>
              <w:t>项目矿山属于湖南省专项规划</w:t>
            </w:r>
            <w:r>
              <w:rPr>
                <w:rFonts w:hint="eastAsia" w:cs="Times New Roman"/>
                <w:color w:val="auto"/>
                <w:highlight w:val="none"/>
                <w:lang w:val="en-US" w:eastAsia="zh-CN"/>
              </w:rPr>
              <w:t>符合条件</w:t>
            </w:r>
            <w:r>
              <w:rPr>
                <w:rFonts w:hint="default" w:ascii="Times New Roman" w:hAnsi="Times New Roman" w:cs="Times New Roman"/>
                <w:color w:val="auto"/>
                <w:highlight w:val="none"/>
              </w:rPr>
              <w:t>开采区</w:t>
            </w:r>
            <w:r>
              <w:rPr>
                <w:rFonts w:hint="eastAsia" w:cs="Times New Roman"/>
                <w:color w:val="auto"/>
                <w:highlight w:val="none"/>
                <w:lang w:eastAsia="zh-CN"/>
              </w:rPr>
              <w:t>（</w:t>
            </w:r>
            <w:r>
              <w:rPr>
                <w:rFonts w:hint="eastAsia" w:cs="Times New Roman"/>
                <w:color w:val="auto"/>
                <w:highlight w:val="none"/>
                <w:lang w:val="en-US" w:eastAsia="zh-CN"/>
              </w:rPr>
              <w:t>区块编号576</w:t>
            </w:r>
            <w:r>
              <w:rPr>
                <w:rFonts w:hint="eastAsia" w:cs="Times New Roman"/>
                <w:color w:val="auto"/>
                <w:highlight w:val="none"/>
                <w:lang w:eastAsia="zh-CN"/>
              </w:rPr>
              <w:t>）</w:t>
            </w:r>
            <w:r>
              <w:rPr>
                <w:rFonts w:hint="default" w:ascii="Times New Roman" w:hAnsi="Times New Roman" w:cs="Times New Roman"/>
                <w:color w:val="auto"/>
                <w:highlight w:val="none"/>
              </w:rPr>
              <w:t>，矿石开采过程中采取边开采边复垦的方式进行土地复绿，设置</w:t>
            </w:r>
            <w:r>
              <w:rPr>
                <w:rFonts w:hint="eastAsia" w:cs="Times New Roman"/>
                <w:color w:val="auto"/>
                <w:highlight w:val="none"/>
                <w:lang w:eastAsia="zh-CN"/>
              </w:rPr>
              <w:t>排土场</w:t>
            </w:r>
            <w:r>
              <w:rPr>
                <w:rFonts w:hint="default" w:ascii="Times New Roman" w:hAnsi="Times New Roman" w:cs="Times New Roman"/>
                <w:color w:val="auto"/>
                <w:highlight w:val="none"/>
              </w:rPr>
              <w:t>用于堆放废土并设置围挡；根据项目矿山生态保护修复方案，建设单位通过生态修复后可恢复植被，有效整治矿山地质环境。</w:t>
            </w:r>
          </w:p>
        </w:tc>
      </w:tr>
    </w:tbl>
    <w:p w14:paraId="288EF910">
      <w:pPr>
        <w:ind w:firstLine="0" w:firstLineChars="0"/>
        <w:jc w:val="center"/>
        <w:rPr>
          <w:rFonts w:hint="default" w:ascii="Times New Roman" w:hAnsi="Times New Roman" w:cs="Times New Roman"/>
          <w:color w:val="auto"/>
          <w:highlight w:val="none"/>
        </w:rPr>
        <w:sectPr>
          <w:footerReference r:id="rId11" w:type="default"/>
          <w:pgSz w:w="11906" w:h="16838"/>
          <w:pgMar w:top="1418" w:right="1474" w:bottom="1418" w:left="1474" w:header="851" w:footer="992" w:gutter="0"/>
          <w:pgBorders>
            <w:top w:val="none" w:sz="0" w:space="0"/>
            <w:left w:val="none" w:sz="0" w:space="0"/>
            <w:bottom w:val="none" w:sz="0" w:space="0"/>
            <w:right w:val="none" w:sz="0" w:space="0"/>
          </w:pgBorders>
          <w:pgNumType w:fmt="numberInDash" w:start="1"/>
          <w:cols w:space="425" w:num="1"/>
          <w:docGrid w:type="lines" w:linePitch="326" w:charSpace="0"/>
        </w:sectPr>
      </w:pPr>
    </w:p>
    <w:p w14:paraId="420155B3">
      <w:pPr>
        <w:pStyle w:val="2"/>
        <w:jc w:val="center"/>
        <w:outlineLvl w:val="0"/>
        <w:rPr>
          <w:rFonts w:hint="default" w:ascii="Times New Roman" w:hAnsi="Times New Roman" w:eastAsia="黑体" w:cs="Times New Roman"/>
          <w:b w:val="0"/>
          <w:bCs w:val="0"/>
          <w:color w:val="auto"/>
          <w:sz w:val="30"/>
          <w:szCs w:val="30"/>
          <w:highlight w:val="none"/>
        </w:rPr>
      </w:pPr>
      <w:bookmarkStart w:id="3" w:name="_Toc29952"/>
      <w:r>
        <w:rPr>
          <w:rFonts w:hint="default" w:ascii="Times New Roman" w:hAnsi="Times New Roman" w:eastAsia="黑体" w:cs="Times New Roman"/>
          <w:b w:val="0"/>
          <w:bCs w:val="0"/>
          <w:color w:val="auto"/>
          <w:sz w:val="30"/>
          <w:szCs w:val="30"/>
          <w:highlight w:val="none"/>
        </w:rPr>
        <w:t>二、建设内容</w:t>
      </w:r>
      <w:bookmarkEnd w:id="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8137"/>
      </w:tblGrid>
      <w:tr w14:paraId="33EA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809" w:type="dxa"/>
            <w:vAlign w:val="center"/>
          </w:tcPr>
          <w:p w14:paraId="5C9A9F87">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地理位置</w:t>
            </w:r>
          </w:p>
        </w:tc>
        <w:tc>
          <w:tcPr>
            <w:tcW w:w="8137" w:type="dxa"/>
          </w:tcPr>
          <w:p w14:paraId="28C21CBE">
            <w:pPr>
              <w:ind w:firstLine="0" w:firstLineChars="0"/>
              <w:rPr>
                <w:rFonts w:hint="default" w:ascii="Times New Roman" w:hAnsi="Times New Roman" w:cs="Times New Roman"/>
                <w:b/>
                <w:color w:val="auto"/>
                <w:szCs w:val="24"/>
                <w:highlight w:val="none"/>
              </w:rPr>
            </w:pPr>
            <w:r>
              <w:rPr>
                <w:rFonts w:hint="default" w:ascii="Times New Roman" w:hAnsi="Times New Roman" w:cs="Times New Roman"/>
                <w:b/>
                <w:color w:val="auto"/>
                <w:szCs w:val="24"/>
                <w:highlight w:val="none"/>
              </w:rPr>
              <w:t>1、项目建设地址</w:t>
            </w:r>
          </w:p>
          <w:p w14:paraId="225AA967">
            <w:pPr>
              <w:keepNext w:val="0"/>
              <w:keepLines w:val="0"/>
              <w:widowControl/>
              <w:suppressLineNumbers w:val="0"/>
              <w:jc w:val="left"/>
              <w:rPr>
                <w:rFonts w:hint="default" w:ascii="Times New Roman" w:hAnsi="Times New Roman" w:cs="Times New Roman"/>
                <w:color w:val="auto"/>
                <w:szCs w:val="24"/>
                <w:highlight w:val="none"/>
              </w:rPr>
            </w:pPr>
            <w:r>
              <w:rPr>
                <w:rFonts w:hint="eastAsia" w:ascii="宋体" w:hAnsi="宋体" w:eastAsia="宋体" w:cs="宋体"/>
                <w:color w:val="auto"/>
                <w:kern w:val="0"/>
                <w:sz w:val="24"/>
                <w:szCs w:val="24"/>
                <w:highlight w:val="none"/>
                <w:lang w:val="en-US" w:eastAsia="zh-CN" w:bidi="ar"/>
              </w:rPr>
              <w:t>澧县屠夫垭矿区位于澧县县城</w:t>
            </w:r>
            <w:r>
              <w:rPr>
                <w:rFonts w:hint="default" w:ascii="Times New Roman" w:hAnsi="Times New Roman" w:eastAsia="宋体" w:cs="Times New Roman"/>
                <w:color w:val="auto"/>
                <w:kern w:val="0"/>
                <w:sz w:val="24"/>
                <w:szCs w:val="24"/>
                <w:highlight w:val="none"/>
                <w:lang w:val="en-US" w:eastAsia="zh-CN" w:bidi="ar"/>
              </w:rPr>
              <w:t>305°</w:t>
            </w:r>
            <w:r>
              <w:rPr>
                <w:rFonts w:hint="eastAsia" w:ascii="宋体" w:hAnsi="宋体" w:eastAsia="宋体" w:cs="宋体"/>
                <w:color w:val="auto"/>
                <w:kern w:val="0"/>
                <w:sz w:val="24"/>
                <w:szCs w:val="24"/>
                <w:highlight w:val="none"/>
                <w:lang w:val="en-US" w:eastAsia="zh-CN" w:bidi="ar"/>
              </w:rPr>
              <w:t>方位，距县城直距</w:t>
            </w:r>
            <w:r>
              <w:rPr>
                <w:rFonts w:hint="default" w:ascii="Times New Roman" w:hAnsi="Times New Roman" w:eastAsia="宋体" w:cs="Times New Roman"/>
                <w:color w:val="auto"/>
                <w:kern w:val="0"/>
                <w:sz w:val="24"/>
                <w:szCs w:val="24"/>
                <w:highlight w:val="none"/>
                <w:lang w:val="en-US" w:eastAsia="zh-CN" w:bidi="ar"/>
              </w:rPr>
              <w:t>34km</w:t>
            </w:r>
            <w:r>
              <w:rPr>
                <w:rFonts w:hint="eastAsia" w:ascii="宋体" w:hAnsi="宋体" w:eastAsia="宋体" w:cs="宋体"/>
                <w:color w:val="auto"/>
                <w:kern w:val="0"/>
                <w:sz w:val="24"/>
                <w:szCs w:val="24"/>
                <w:highlight w:val="none"/>
                <w:lang w:val="en-US" w:eastAsia="zh-CN" w:bidi="ar"/>
              </w:rPr>
              <w:t>处，行政区划隶属常德市澧县火连坡镇管辖。矿区地理坐标：东经</w:t>
            </w:r>
            <w:r>
              <w:rPr>
                <w:rFonts w:hint="default" w:ascii="Times New Roman" w:hAnsi="Times New Roman" w:eastAsia="宋体" w:cs="Times New Roman"/>
                <w:color w:val="auto"/>
                <w:kern w:val="0"/>
                <w:sz w:val="24"/>
                <w:szCs w:val="24"/>
                <w:highlight w:val="none"/>
                <w:lang w:val="en-US" w:eastAsia="zh-CN" w:bidi="ar"/>
              </w:rPr>
              <w:t>111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28</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35</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111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03</w:t>
            </w:r>
            <w:r>
              <w:rPr>
                <w:rFonts w:hint="eastAsia" w:ascii="宋体" w:hAnsi="宋体" w:eastAsia="宋体" w:cs="宋体"/>
                <w:color w:val="auto"/>
                <w:kern w:val="0"/>
                <w:sz w:val="24"/>
                <w:szCs w:val="24"/>
                <w:highlight w:val="none"/>
                <w:lang w:val="en-US" w:eastAsia="zh-CN" w:bidi="ar"/>
              </w:rPr>
              <w:t>″，北纬</w:t>
            </w:r>
            <w:r>
              <w:rPr>
                <w:rFonts w:hint="default" w:ascii="Times New Roman" w:hAnsi="Times New Roman" w:eastAsia="宋体" w:cs="Times New Roman"/>
                <w:color w:val="auto"/>
                <w:kern w:val="0"/>
                <w:sz w:val="24"/>
                <w:szCs w:val="24"/>
                <w:highlight w:val="none"/>
                <w:lang w:val="en-US" w:eastAsia="zh-CN" w:bidi="ar"/>
              </w:rPr>
              <w:t>29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09</w:t>
            </w:r>
            <w:r>
              <w:rPr>
                <w:rFonts w:hint="eastAsia" w:ascii="宋体" w:hAnsi="宋体" w:eastAsia="宋体" w:cs="宋体"/>
                <w:color w:val="auto"/>
                <w:kern w:val="0"/>
                <w:sz w:val="24"/>
                <w:szCs w:val="24"/>
                <w:highlight w:val="none"/>
                <w:lang w:val="en-US" w:eastAsia="zh-CN" w:bidi="ar"/>
              </w:rPr>
              <w:t>″。矿区有简易公路与省道</w:t>
            </w:r>
            <w:r>
              <w:rPr>
                <w:rFonts w:hint="default" w:ascii="Times New Roman" w:hAnsi="Times New Roman" w:eastAsia="宋体" w:cs="Times New Roman"/>
                <w:color w:val="auto"/>
                <w:kern w:val="0"/>
                <w:sz w:val="24"/>
                <w:szCs w:val="24"/>
                <w:highlight w:val="none"/>
                <w:lang w:val="en-US" w:eastAsia="zh-CN" w:bidi="ar"/>
              </w:rPr>
              <w:t>S302</w:t>
            </w:r>
            <w:r>
              <w:rPr>
                <w:rFonts w:hint="eastAsia" w:ascii="宋体" w:hAnsi="宋体" w:eastAsia="宋体" w:cs="宋体"/>
                <w:color w:val="auto"/>
                <w:kern w:val="0"/>
                <w:sz w:val="24"/>
                <w:szCs w:val="24"/>
                <w:highlight w:val="none"/>
                <w:lang w:val="en-US" w:eastAsia="zh-CN" w:bidi="ar"/>
              </w:rPr>
              <w:t>相连，往东经闸口、王家厂可至澧县；往西经火连坡可至湖北境内，交通较为方便。</w:t>
            </w:r>
          </w:p>
          <w:p w14:paraId="5DE950D5">
            <w:pPr>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2</w:t>
            </w:r>
            <w:r>
              <w:rPr>
                <w:rFonts w:hint="default" w:ascii="Times New Roman" w:hAnsi="Times New Roman" w:cs="Times New Roman"/>
                <w:b/>
                <w:bCs/>
                <w:color w:val="auto"/>
                <w:szCs w:val="24"/>
                <w:highlight w:val="none"/>
              </w:rPr>
              <w:t>、周边环境</w:t>
            </w:r>
          </w:p>
          <w:p w14:paraId="273B9AEE">
            <w:pPr>
              <w:ind w:firstLine="480"/>
              <w:rPr>
                <w:rFonts w:hint="eastAsia" w:ascii="Times New Roman" w:hAnsi="Times New Roman" w:eastAsia="宋体" w:cs="Times New Roman"/>
                <w:color w:val="auto"/>
                <w:szCs w:val="24"/>
                <w:highlight w:val="none"/>
                <w:lang w:eastAsia="zh-CN"/>
              </w:rPr>
            </w:pPr>
            <w:r>
              <w:rPr>
                <w:rFonts w:hint="default" w:ascii="Times New Roman" w:hAnsi="Times New Roman" w:cs="Times New Roman"/>
                <w:color w:val="auto"/>
                <w:szCs w:val="24"/>
                <w:highlight w:val="none"/>
              </w:rPr>
              <w:t>经现场调查，拟设矿区300m范围内有35kv高压输电线路金闸线1条，涉及21#、22#、23#电线杆3根，输电线长达1.3km，国网湖南省电力有限公司常德供电分公司己同意拆迁（附件1</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w:t>
            </w:r>
            <w:r>
              <w:rPr>
                <w:rFonts w:hint="eastAsia" w:cs="Times New Roman"/>
                <w:color w:val="auto"/>
                <w:szCs w:val="24"/>
                <w:highlight w:val="none"/>
                <w:lang w:val="en-US" w:eastAsia="zh-CN"/>
              </w:rPr>
              <w:t>矿区</w:t>
            </w:r>
            <w:r>
              <w:rPr>
                <w:rFonts w:hint="default" w:ascii="Times New Roman" w:hAnsi="Times New Roman" w:cs="Times New Roman"/>
                <w:color w:val="auto"/>
                <w:szCs w:val="24"/>
                <w:highlight w:val="none"/>
              </w:rPr>
              <w:t>300m范围内有居民住宅28栋，</w:t>
            </w:r>
            <w:r>
              <w:rPr>
                <w:rFonts w:hint="eastAsia" w:cs="Times New Roman"/>
                <w:color w:val="auto"/>
                <w:szCs w:val="24"/>
                <w:highlight w:val="none"/>
                <w:lang w:val="en-US" w:eastAsia="zh-CN"/>
              </w:rPr>
              <w:t>建设单位</w:t>
            </w:r>
            <w:r>
              <w:rPr>
                <w:rFonts w:hint="eastAsia" w:ascii="Times New Roman" w:hAnsi="Times New Roman" w:cs="Times New Roman"/>
                <w:color w:val="auto"/>
                <w:szCs w:val="24"/>
                <w:highlight w:val="none"/>
                <w:lang w:eastAsia="zh-CN"/>
              </w:rPr>
              <w:t>澧县锦锋砂石有限公司</w:t>
            </w:r>
            <w:r>
              <w:rPr>
                <w:rFonts w:hint="default" w:ascii="Times New Roman" w:hAnsi="Times New Roman" w:cs="Times New Roman"/>
                <w:color w:val="auto"/>
                <w:szCs w:val="24"/>
                <w:highlight w:val="none"/>
              </w:rPr>
              <w:t>已承诺在</w:t>
            </w:r>
            <w:r>
              <w:rPr>
                <w:rFonts w:hint="eastAsia" w:cs="Times New Roman"/>
                <w:color w:val="auto"/>
                <w:szCs w:val="24"/>
                <w:highlight w:val="none"/>
                <w:lang w:val="en-US" w:eastAsia="zh-CN"/>
              </w:rPr>
              <w:t>矿山投产</w:t>
            </w:r>
            <w:r>
              <w:rPr>
                <w:rFonts w:hint="default" w:ascii="Times New Roman" w:hAnsi="Times New Roman" w:cs="Times New Roman"/>
                <w:color w:val="auto"/>
                <w:szCs w:val="24"/>
                <w:highlight w:val="none"/>
              </w:rPr>
              <w:t>前</w:t>
            </w:r>
            <w:r>
              <w:rPr>
                <w:rFonts w:hint="eastAsia" w:cs="Times New Roman"/>
                <w:color w:val="auto"/>
                <w:szCs w:val="24"/>
                <w:highlight w:val="none"/>
                <w:lang w:val="en-US" w:eastAsia="zh-CN"/>
              </w:rPr>
              <w:t>自行</w:t>
            </w:r>
            <w:r>
              <w:rPr>
                <w:rFonts w:hint="default" w:ascii="Times New Roman" w:hAnsi="Times New Roman" w:cs="Times New Roman"/>
                <w:color w:val="auto"/>
                <w:szCs w:val="24"/>
                <w:highlight w:val="none"/>
              </w:rPr>
              <w:t>拆迁</w:t>
            </w:r>
            <w:r>
              <w:rPr>
                <w:rFonts w:hint="eastAsia" w:cs="Times New Roman"/>
                <w:color w:val="auto"/>
                <w:szCs w:val="24"/>
                <w:highlight w:val="none"/>
                <w:lang w:val="en-US" w:eastAsia="zh-CN"/>
              </w:rPr>
              <w:t>处理</w:t>
            </w:r>
            <w:r>
              <w:rPr>
                <w:rFonts w:hint="default" w:ascii="Times New Roman" w:hAnsi="Times New Roman" w:cs="Times New Roman"/>
                <w:color w:val="auto"/>
                <w:szCs w:val="24"/>
                <w:highlight w:val="none"/>
              </w:rPr>
              <w:t>（附件1</w:t>
            </w:r>
            <w:r>
              <w:rPr>
                <w:rFonts w:hint="eastAsia" w:cs="Times New Roman"/>
                <w:color w:val="auto"/>
                <w:szCs w:val="24"/>
                <w:highlight w:val="none"/>
                <w:lang w:val="en-US" w:eastAsia="zh-CN"/>
              </w:rPr>
              <w:t>5</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w:t>
            </w:r>
          </w:p>
          <w:p w14:paraId="041F06B6">
            <w:pPr>
              <w:ind w:firstLine="0" w:firstLineChars="0"/>
              <w:rPr>
                <w:rFonts w:hint="default" w:ascii="Times New Roman" w:hAnsi="Times New Roman" w:cs="Times New Roman"/>
                <w:b/>
                <w:color w:val="auto"/>
                <w:szCs w:val="24"/>
                <w:highlight w:val="none"/>
              </w:rPr>
            </w:pPr>
            <w:r>
              <w:rPr>
                <w:rFonts w:hint="eastAsia" w:cs="Times New Roman"/>
                <w:b/>
                <w:color w:val="auto"/>
                <w:szCs w:val="24"/>
                <w:highlight w:val="none"/>
                <w:lang w:val="en-US" w:eastAsia="zh-CN"/>
              </w:rPr>
              <w:t>3</w:t>
            </w:r>
            <w:r>
              <w:rPr>
                <w:rFonts w:hint="default" w:ascii="Times New Roman" w:hAnsi="Times New Roman" w:cs="Times New Roman"/>
                <w:b/>
                <w:color w:val="auto"/>
                <w:szCs w:val="24"/>
                <w:highlight w:val="none"/>
              </w:rPr>
              <w:t>、矿权范围</w:t>
            </w:r>
          </w:p>
          <w:p w14:paraId="5A702D3D">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湖南省澧县屠夫垭矿区建筑石料用灰岩矿为《澧县普通建筑材料用砂石土矿专项规划（2019—2025 年）》设置的已设采矿权整合。以澧县芦桥采石场为主体，整合澧县闸口乡丰报采石场二场。 </w:t>
            </w:r>
          </w:p>
          <w:p w14:paraId="04F3CAA9">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澧县芦桥采石场，采矿许可证（证号 C4307232009067120024683），由澧县国土资源局颁发，矿山名称为澧县芦桥采石场，开采矿种为石灰岩，开采方式为露天开采，生产规模为 30 万吨/年，矿区面积 0.0483km</w:t>
            </w:r>
            <w:r>
              <w:rPr>
                <w:rFonts w:hint="default" w:ascii="Times New Roman" w:hAnsi="Times New Roman" w:eastAsia="宋体" w:cs="Times New Roman"/>
                <w:color w:val="auto"/>
                <w:kern w:val="0"/>
                <w:sz w:val="16"/>
                <w:szCs w:val="16"/>
                <w:highlight w:val="none"/>
                <w:lang w:val="en-US" w:eastAsia="zh-CN" w:bidi="ar"/>
              </w:rPr>
              <w:t xml:space="preserve">2 </w:t>
            </w:r>
            <w:r>
              <w:rPr>
                <w:rFonts w:hint="default" w:ascii="Times New Roman" w:hAnsi="Times New Roman" w:eastAsia="宋体" w:cs="Times New Roman"/>
                <w:color w:val="auto"/>
                <w:kern w:val="0"/>
                <w:sz w:val="24"/>
                <w:szCs w:val="24"/>
                <w:highlight w:val="none"/>
                <w:lang w:val="en-US" w:eastAsia="zh-CN" w:bidi="ar"/>
              </w:rPr>
              <w:t xml:space="preserve">，开采标高由 200m 至125m，有效期限自 2018 年 4 月 20 日至 2023 年 4 月 20 日。现采矿许可证已到期，因矿山拟与周边矿山整合至今处于停产状态，现该采矿权正在办理闭坑手续。 </w:t>
            </w:r>
          </w:p>
          <w:p w14:paraId="52A951F4">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澧县闸口乡丰报采石场二场（已注销），于 2010 年首次取得采矿权证，采矿权人为符知秋，矿山名称为澧县闸口乡丰报采石场二场，开采矿种为制灰用石灰岩，开采方式为露天开采，生产规模为 5 万吨/年，矿区面积为 0.099km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，开采深度由 218m 至 200m，有效期自 2010 年 5 月 31 日至 2012年5月31日。2012年5月该采矿许可证到期后，因当地村民与矿山存在纠纷，当地政府多次组织协调未果，导致矿山不能正常生产，也未办理采矿许可证延续登记。2020年11月澧县自然资源局依法对澧县闸口乡丰报采石二场实施关闭，2023年5月澧县自然资源局将该采矿权予以注销并公告。 </w:t>
            </w:r>
          </w:p>
          <w:p w14:paraId="7E84E76B">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按照湖南省普通建筑材料用砂石土矿专项整治要求，拟设采矿权范围在矿权整合基础上，按湖南省遥感地质调查监测所编制的《湖南省澧县屠夫垭矿区建筑石料用灰岩矿采矿权申请范围核查报告》中确定的矿区范围由 10 个拐点坐标圈定，面积 0.2578km</w:t>
            </w:r>
            <w:r>
              <w:rPr>
                <w:rFonts w:hint="default" w:ascii="Times New Roman" w:hAnsi="Times New Roman" w:eastAsia="宋体" w:cs="Times New Roman"/>
                <w:color w:val="auto"/>
                <w:kern w:val="0"/>
                <w:sz w:val="16"/>
                <w:szCs w:val="16"/>
                <w:highlight w:val="none"/>
                <w:lang w:val="en-US" w:eastAsia="zh-CN" w:bidi="ar"/>
              </w:rPr>
              <w:t xml:space="preserve">2 </w:t>
            </w:r>
            <w:r>
              <w:rPr>
                <w:rFonts w:hint="default" w:ascii="Times New Roman" w:hAnsi="Times New Roman" w:eastAsia="宋体" w:cs="Times New Roman"/>
                <w:color w:val="auto"/>
                <w:kern w:val="0"/>
                <w:sz w:val="24"/>
                <w:szCs w:val="24"/>
                <w:highlight w:val="none"/>
                <w:lang w:val="en-US" w:eastAsia="zh-CN" w:bidi="ar"/>
              </w:rPr>
              <w:t>，开采深度+198m～+110m，拟设采矿权范围与勘查报告工作范围一致，拟设采矿权拐点坐标详见表2-1，与原二宗采矿权位置关系见图 2-1。该报告已经省厅组织评审通过，评审号“湘采矿权核查评字【2023】025 号”。</w:t>
            </w:r>
          </w:p>
          <w:p w14:paraId="1FC14C0C">
            <w:pPr>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表2-</w:t>
            </w:r>
            <w:r>
              <w:rPr>
                <w:rFonts w:hint="eastAsia" w:cs="Times New Roman"/>
                <w:b/>
                <w:color w:val="auto"/>
                <w:sz w:val="21"/>
                <w:szCs w:val="21"/>
                <w:highlight w:val="none"/>
                <w:lang w:val="en-US" w:eastAsia="zh-CN"/>
              </w:rPr>
              <w:t>1</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highlight w:val="none"/>
                <w:lang w:val="en-US" w:eastAsia="zh-CN"/>
              </w:rPr>
              <w:t>湖南省澧县屠夫垭矿区建筑石料用灰岩矿</w:t>
            </w:r>
            <w:r>
              <w:rPr>
                <w:rFonts w:hint="default" w:ascii="Times New Roman" w:hAnsi="Times New Roman" w:cs="Times New Roman"/>
                <w:b/>
                <w:color w:val="auto"/>
                <w:sz w:val="21"/>
                <w:szCs w:val="21"/>
                <w:highlight w:val="none"/>
              </w:rPr>
              <w:t>矿区拐点坐标（CGCS2000坐标）</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56"/>
              <w:gridCol w:w="1476"/>
              <w:gridCol w:w="1179"/>
              <w:gridCol w:w="1275"/>
              <w:gridCol w:w="1354"/>
            </w:tblGrid>
            <w:tr w14:paraId="7818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restart"/>
                  <w:vAlign w:val="center"/>
                </w:tcPr>
                <w:p w14:paraId="101D03F4">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拐点号</w:t>
                  </w:r>
                </w:p>
              </w:tc>
              <w:tc>
                <w:tcPr>
                  <w:tcW w:w="2832" w:type="dxa"/>
                  <w:gridSpan w:val="2"/>
                  <w:vAlign w:val="center"/>
                </w:tcPr>
                <w:p w14:paraId="4FACF783">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拐点坐标</w:t>
                  </w:r>
                </w:p>
              </w:tc>
              <w:tc>
                <w:tcPr>
                  <w:tcW w:w="1179" w:type="dxa"/>
                  <w:vMerge w:val="restart"/>
                  <w:vAlign w:val="center"/>
                </w:tcPr>
                <w:p w14:paraId="46CB1DFB">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拐点号</w:t>
                  </w:r>
                </w:p>
              </w:tc>
              <w:tc>
                <w:tcPr>
                  <w:tcW w:w="2629" w:type="dxa"/>
                  <w:gridSpan w:val="2"/>
                  <w:vAlign w:val="center"/>
                </w:tcPr>
                <w:p w14:paraId="15A10719">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拐点坐标</w:t>
                  </w:r>
                </w:p>
              </w:tc>
            </w:tr>
            <w:tr w14:paraId="47E9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vAlign w:val="center"/>
                </w:tcPr>
                <w:p w14:paraId="7FC08F3D">
                  <w:pPr>
                    <w:spacing w:line="276" w:lineRule="auto"/>
                    <w:ind w:firstLine="0" w:firstLineChars="0"/>
                    <w:jc w:val="center"/>
                    <w:rPr>
                      <w:rFonts w:hint="default" w:ascii="Times New Roman" w:hAnsi="Times New Roman" w:cs="Times New Roman"/>
                      <w:b/>
                      <w:color w:val="auto"/>
                      <w:sz w:val="21"/>
                      <w:szCs w:val="21"/>
                      <w:highlight w:val="none"/>
                    </w:rPr>
                  </w:pPr>
                </w:p>
              </w:tc>
              <w:tc>
                <w:tcPr>
                  <w:tcW w:w="1356" w:type="dxa"/>
                  <w:vAlign w:val="center"/>
                </w:tcPr>
                <w:p w14:paraId="7F264149">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X</w:t>
                  </w:r>
                </w:p>
              </w:tc>
              <w:tc>
                <w:tcPr>
                  <w:tcW w:w="1476" w:type="dxa"/>
                  <w:vAlign w:val="center"/>
                </w:tcPr>
                <w:p w14:paraId="225C707D">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Y</w:t>
                  </w:r>
                </w:p>
              </w:tc>
              <w:tc>
                <w:tcPr>
                  <w:tcW w:w="1179" w:type="dxa"/>
                  <w:vMerge w:val="continue"/>
                  <w:vAlign w:val="center"/>
                </w:tcPr>
                <w:p w14:paraId="70B4608B">
                  <w:pPr>
                    <w:spacing w:line="276" w:lineRule="auto"/>
                    <w:ind w:firstLine="0" w:firstLineChars="0"/>
                    <w:jc w:val="center"/>
                    <w:rPr>
                      <w:rFonts w:hint="default" w:ascii="Times New Roman" w:hAnsi="Times New Roman" w:cs="Times New Roman"/>
                      <w:b/>
                      <w:color w:val="auto"/>
                      <w:sz w:val="21"/>
                      <w:szCs w:val="21"/>
                      <w:highlight w:val="none"/>
                    </w:rPr>
                  </w:pPr>
                </w:p>
              </w:tc>
              <w:tc>
                <w:tcPr>
                  <w:tcW w:w="1275" w:type="dxa"/>
                  <w:vAlign w:val="center"/>
                </w:tcPr>
                <w:p w14:paraId="22D38544">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X</w:t>
                  </w:r>
                </w:p>
              </w:tc>
              <w:tc>
                <w:tcPr>
                  <w:tcW w:w="1354" w:type="dxa"/>
                  <w:vAlign w:val="center"/>
                </w:tcPr>
                <w:p w14:paraId="17ED1F40">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Y</w:t>
                  </w:r>
                </w:p>
              </w:tc>
            </w:tr>
            <w:tr w14:paraId="5712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27BB22D6">
                  <w:pPr>
                    <w:spacing w:line="276"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6" w:type="dxa"/>
                  <w:vAlign w:val="center"/>
                </w:tcPr>
                <w:p w14:paraId="09ACAB07">
                  <w:pPr>
                    <w:keepNext w:val="0"/>
                    <w:keepLines w:val="0"/>
                    <w:widowControl/>
                    <w:suppressLineNumbers w:val="0"/>
                    <w:ind w:left="0" w:leftChars="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3305505.74</w:t>
                  </w:r>
                </w:p>
              </w:tc>
              <w:tc>
                <w:tcPr>
                  <w:tcW w:w="1476" w:type="dxa"/>
                  <w:vAlign w:val="center"/>
                </w:tcPr>
                <w:p w14:paraId="07F2D730">
                  <w:pPr>
                    <w:keepNext w:val="0"/>
                    <w:keepLines w:val="0"/>
                    <w:widowControl/>
                    <w:suppressLineNumbers w:val="0"/>
                    <w:ind w:left="0" w:leftChars="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37546708.50</w:t>
                  </w:r>
                </w:p>
              </w:tc>
              <w:tc>
                <w:tcPr>
                  <w:tcW w:w="1179" w:type="dxa"/>
                  <w:vAlign w:val="center"/>
                </w:tcPr>
                <w:p w14:paraId="3A8D79AB">
                  <w:pPr>
                    <w:spacing w:line="276" w:lineRule="auto"/>
                    <w:ind w:firstLine="0" w:firstLineChars="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6</w:t>
                  </w:r>
                </w:p>
              </w:tc>
              <w:tc>
                <w:tcPr>
                  <w:tcW w:w="1275" w:type="dxa"/>
                  <w:vAlign w:val="center"/>
                </w:tcPr>
                <w:p w14:paraId="16C02229">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409.83</w:t>
                  </w:r>
                </w:p>
              </w:tc>
              <w:tc>
                <w:tcPr>
                  <w:tcW w:w="1354" w:type="dxa"/>
                  <w:vAlign w:val="center"/>
                </w:tcPr>
                <w:p w14:paraId="736D9AC7">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37546083.00</w:t>
                  </w:r>
                </w:p>
              </w:tc>
            </w:tr>
            <w:tr w14:paraId="7436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382E98B1">
                  <w:pPr>
                    <w:spacing w:line="276"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1356" w:type="dxa"/>
                  <w:vAlign w:val="center"/>
                </w:tcPr>
                <w:p w14:paraId="5E566A68">
                  <w:pPr>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3305434.38</w:t>
                  </w:r>
                </w:p>
              </w:tc>
              <w:tc>
                <w:tcPr>
                  <w:tcW w:w="1476" w:type="dxa"/>
                  <w:vAlign w:val="center"/>
                </w:tcPr>
                <w:p w14:paraId="14A229E2">
                  <w:pPr>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37546791.93</w:t>
                  </w:r>
                </w:p>
              </w:tc>
              <w:tc>
                <w:tcPr>
                  <w:tcW w:w="1179" w:type="dxa"/>
                  <w:vAlign w:val="center"/>
                </w:tcPr>
                <w:p w14:paraId="1AAAD7A7">
                  <w:pPr>
                    <w:spacing w:line="276" w:lineRule="auto"/>
                    <w:ind w:firstLine="0" w:firstLineChars="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7</w:t>
                  </w:r>
                </w:p>
              </w:tc>
              <w:tc>
                <w:tcPr>
                  <w:tcW w:w="1275" w:type="dxa"/>
                  <w:vAlign w:val="center"/>
                </w:tcPr>
                <w:p w14:paraId="285BD637">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498.53</w:t>
                  </w:r>
                </w:p>
              </w:tc>
              <w:tc>
                <w:tcPr>
                  <w:tcW w:w="1354" w:type="dxa"/>
                  <w:vAlign w:val="center"/>
                </w:tcPr>
                <w:p w14:paraId="2D57BB79">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37546050.63</w:t>
                  </w:r>
                </w:p>
              </w:tc>
            </w:tr>
            <w:tr w14:paraId="533E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176688EC">
                  <w:pPr>
                    <w:spacing w:line="276"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1356" w:type="dxa"/>
                  <w:vAlign w:val="center"/>
                </w:tcPr>
                <w:p w14:paraId="578D322E">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200.00</w:t>
                  </w:r>
                </w:p>
              </w:tc>
              <w:tc>
                <w:tcPr>
                  <w:tcW w:w="1476" w:type="dxa"/>
                  <w:vAlign w:val="center"/>
                </w:tcPr>
                <w:p w14:paraId="67AB648F">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37546707.64</w:t>
                  </w:r>
                </w:p>
              </w:tc>
              <w:tc>
                <w:tcPr>
                  <w:tcW w:w="1179" w:type="dxa"/>
                  <w:vAlign w:val="center"/>
                </w:tcPr>
                <w:p w14:paraId="0A9FB100">
                  <w:pPr>
                    <w:spacing w:line="276"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w:t>
                  </w:r>
                </w:p>
              </w:tc>
              <w:tc>
                <w:tcPr>
                  <w:tcW w:w="1275" w:type="dxa"/>
                  <w:vAlign w:val="center"/>
                </w:tcPr>
                <w:p w14:paraId="478F70B2">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718.53</w:t>
                  </w:r>
                </w:p>
              </w:tc>
              <w:tc>
                <w:tcPr>
                  <w:tcW w:w="1354" w:type="dxa"/>
                  <w:vAlign w:val="center"/>
                </w:tcPr>
                <w:p w14:paraId="0717FB4E">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37546050.63</w:t>
                  </w:r>
                </w:p>
              </w:tc>
            </w:tr>
            <w:tr w14:paraId="7393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6EA5B931">
                  <w:pPr>
                    <w:spacing w:line="276"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1356" w:type="dxa"/>
                  <w:vAlign w:val="center"/>
                </w:tcPr>
                <w:p w14:paraId="69A91C5D">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238.00</w:t>
                  </w:r>
                </w:p>
              </w:tc>
              <w:tc>
                <w:tcPr>
                  <w:tcW w:w="1476" w:type="dxa"/>
                  <w:vAlign w:val="center"/>
                </w:tcPr>
                <w:p w14:paraId="253FE328">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37546319.55</w:t>
                  </w:r>
                </w:p>
              </w:tc>
              <w:tc>
                <w:tcPr>
                  <w:tcW w:w="1179" w:type="dxa"/>
                  <w:vAlign w:val="center"/>
                </w:tcPr>
                <w:p w14:paraId="0409E9B0">
                  <w:pPr>
                    <w:spacing w:line="276"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w:t>
                  </w:r>
                </w:p>
              </w:tc>
              <w:tc>
                <w:tcPr>
                  <w:tcW w:w="1275" w:type="dxa"/>
                  <w:vAlign w:val="center"/>
                </w:tcPr>
                <w:p w14:paraId="0A2A4DE5">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718.53</w:t>
                  </w:r>
                </w:p>
              </w:tc>
              <w:tc>
                <w:tcPr>
                  <w:tcW w:w="1354" w:type="dxa"/>
                  <w:vAlign w:val="center"/>
                </w:tcPr>
                <w:p w14:paraId="0F9E6CD5">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37546268.36</w:t>
                  </w:r>
                </w:p>
              </w:tc>
            </w:tr>
            <w:tr w14:paraId="0A80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03BD5274">
                  <w:pPr>
                    <w:spacing w:line="276"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1356" w:type="dxa"/>
                  <w:vAlign w:val="center"/>
                </w:tcPr>
                <w:p w14:paraId="42DCE3B2">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316.16</w:t>
                  </w:r>
                </w:p>
              </w:tc>
              <w:tc>
                <w:tcPr>
                  <w:tcW w:w="1476" w:type="dxa"/>
                  <w:vAlign w:val="center"/>
                </w:tcPr>
                <w:p w14:paraId="6A7D97BC">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37546196.62</w:t>
                  </w:r>
                </w:p>
              </w:tc>
              <w:tc>
                <w:tcPr>
                  <w:tcW w:w="1179" w:type="dxa"/>
                  <w:vAlign w:val="center"/>
                </w:tcPr>
                <w:p w14:paraId="64CF5FE3">
                  <w:pPr>
                    <w:spacing w:line="276"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c>
                <w:tcPr>
                  <w:tcW w:w="1275" w:type="dxa"/>
                  <w:vAlign w:val="center"/>
                </w:tcPr>
                <w:p w14:paraId="6C64CA97">
                  <w:pPr>
                    <w:keepNext w:val="0"/>
                    <w:keepLines w:val="0"/>
                    <w:widowControl/>
                    <w:suppressLineNumbers w:val="0"/>
                    <w:ind w:left="0" w:leftChars="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3305505.74</w:t>
                  </w:r>
                </w:p>
              </w:tc>
              <w:tc>
                <w:tcPr>
                  <w:tcW w:w="1354" w:type="dxa"/>
                  <w:vAlign w:val="center"/>
                </w:tcPr>
                <w:p w14:paraId="2499BB6A">
                  <w:pPr>
                    <w:keepNext w:val="0"/>
                    <w:keepLines w:val="0"/>
                    <w:widowControl/>
                    <w:suppressLineNumbers w:val="0"/>
                    <w:ind w:left="0" w:leftChars="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37546708.50</w:t>
                  </w:r>
                </w:p>
              </w:tc>
            </w:tr>
            <w:tr w14:paraId="7F92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911" w:type="dxa"/>
                  <w:gridSpan w:val="6"/>
                  <w:vAlign w:val="center"/>
                </w:tcPr>
                <w:p w14:paraId="425BF558">
                  <w:pPr>
                    <w:spacing w:line="276" w:lineRule="auto"/>
                    <w:ind w:firstLine="0" w:firstLineChars="0"/>
                    <w:jc w:val="center"/>
                    <w:rPr>
                      <w:rFonts w:hint="default" w:ascii="Times New Roman" w:hAnsi="Times New Roman" w:cs="Times New Roman"/>
                      <w:bCs/>
                      <w:color w:val="auto"/>
                      <w:sz w:val="21"/>
                      <w:szCs w:val="21"/>
                      <w:highlight w:val="none"/>
                      <w:vertAlign w:val="superscript"/>
                    </w:rPr>
                  </w:pPr>
                  <w:r>
                    <w:rPr>
                      <w:rFonts w:hint="default" w:ascii="Times New Roman" w:hAnsi="Times New Roman" w:cs="Times New Roman"/>
                      <w:bCs/>
                      <w:color w:val="auto"/>
                      <w:sz w:val="21"/>
                      <w:szCs w:val="21"/>
                      <w:highlight w:val="none"/>
                    </w:rPr>
                    <w:t>开采标高：+</w:t>
                  </w:r>
                  <w:r>
                    <w:rPr>
                      <w:rFonts w:hint="eastAsia" w:cs="Times New Roman"/>
                      <w:bCs/>
                      <w:color w:val="auto"/>
                      <w:sz w:val="21"/>
                      <w:szCs w:val="21"/>
                      <w:highlight w:val="none"/>
                      <w:lang w:val="en-US" w:eastAsia="zh-CN"/>
                    </w:rPr>
                    <w:t>198m</w:t>
                  </w:r>
                  <w:r>
                    <w:rPr>
                      <w:rFonts w:hint="default" w:ascii="Times New Roman" w:hAnsi="Times New Roman" w:cs="Times New Roman"/>
                      <w:bCs/>
                      <w:color w:val="auto"/>
                      <w:sz w:val="21"/>
                      <w:szCs w:val="21"/>
                      <w:highlight w:val="none"/>
                    </w:rPr>
                    <w:t>~+</w:t>
                  </w:r>
                  <w:r>
                    <w:rPr>
                      <w:rFonts w:hint="eastAsia" w:cs="Times New Roman"/>
                      <w:bCs/>
                      <w:color w:val="auto"/>
                      <w:sz w:val="21"/>
                      <w:szCs w:val="21"/>
                      <w:highlight w:val="none"/>
                      <w:lang w:val="en-US" w:eastAsia="zh-CN"/>
                    </w:rPr>
                    <w:t>110</w:t>
                  </w:r>
                  <w:r>
                    <w:rPr>
                      <w:rFonts w:hint="default" w:ascii="Times New Roman" w:hAnsi="Times New Roman" w:cs="Times New Roman"/>
                      <w:bCs/>
                      <w:color w:val="auto"/>
                      <w:sz w:val="21"/>
                      <w:szCs w:val="21"/>
                      <w:highlight w:val="none"/>
                    </w:rPr>
                    <w:t>m；矿区面积：</w:t>
                  </w:r>
                  <w:r>
                    <w:rPr>
                      <w:rFonts w:hint="eastAsia" w:cs="Times New Roman"/>
                      <w:bCs/>
                      <w:color w:val="auto"/>
                      <w:sz w:val="21"/>
                      <w:szCs w:val="21"/>
                      <w:highlight w:val="none"/>
                      <w:lang w:val="en-US" w:eastAsia="zh-CN"/>
                    </w:rPr>
                    <w:t>0.2578</w:t>
                  </w:r>
                  <w:r>
                    <w:rPr>
                      <w:rFonts w:hint="default" w:ascii="Times New Roman" w:hAnsi="Times New Roman" w:cs="Times New Roman"/>
                      <w:bCs/>
                      <w:color w:val="auto"/>
                      <w:sz w:val="21"/>
                      <w:szCs w:val="21"/>
                      <w:highlight w:val="none"/>
                    </w:rPr>
                    <w:t>km</w:t>
                  </w:r>
                  <w:r>
                    <w:rPr>
                      <w:rFonts w:hint="default" w:ascii="Times New Roman" w:hAnsi="Times New Roman" w:cs="Times New Roman"/>
                      <w:bCs/>
                      <w:color w:val="auto"/>
                      <w:sz w:val="21"/>
                      <w:szCs w:val="21"/>
                      <w:highlight w:val="none"/>
                      <w:vertAlign w:val="superscript"/>
                    </w:rPr>
                    <w:t>2</w:t>
                  </w:r>
                </w:p>
              </w:tc>
            </w:tr>
            <w:tr w14:paraId="3283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1" w:type="dxa"/>
                  <w:gridSpan w:val="6"/>
                  <w:vAlign w:val="center"/>
                </w:tcPr>
                <w:p w14:paraId="5C178B6E">
                  <w:pPr>
                    <w:spacing w:line="276" w:lineRule="auto"/>
                    <w:ind w:firstLine="0" w:firstLineChars="0"/>
                    <w:jc w:val="center"/>
                    <w:rPr>
                      <w:color w:val="auto"/>
                      <w:highlight w:val="none"/>
                    </w:rPr>
                  </w:pPr>
                  <w:r>
                    <w:rPr>
                      <w:color w:val="auto"/>
                      <w:highlight w:val="none"/>
                    </w:rPr>
                    <w:drawing>
                      <wp:inline distT="0" distB="0" distL="114300" distR="114300">
                        <wp:extent cx="4693920" cy="3246120"/>
                        <wp:effectExtent l="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3"/>
                                <a:stretch>
                                  <a:fillRect/>
                                </a:stretch>
                              </pic:blipFill>
                              <pic:spPr>
                                <a:xfrm>
                                  <a:off x="0" y="0"/>
                                  <a:ext cx="4693920" cy="3246120"/>
                                </a:xfrm>
                                <a:prstGeom prst="rect">
                                  <a:avLst/>
                                </a:prstGeom>
                                <a:noFill/>
                                <a:ln>
                                  <a:noFill/>
                                </a:ln>
                              </pic:spPr>
                            </pic:pic>
                          </a:graphicData>
                        </a:graphic>
                      </wp:inline>
                    </w:drawing>
                  </w:r>
                </w:p>
                <w:p w14:paraId="1CF3419B">
                  <w:pPr>
                    <w:keepNext w:val="0"/>
                    <w:keepLines w:val="0"/>
                    <w:widowControl/>
                    <w:suppressLineNumbers w:val="0"/>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
                      <w:bCs w:val="0"/>
                      <w:color w:val="auto"/>
                      <w:sz w:val="21"/>
                      <w:szCs w:val="21"/>
                      <w:highlight w:val="none"/>
                      <w:u w:val="none"/>
                      <w:lang w:val="en-US" w:eastAsia="zh-CN"/>
                    </w:rPr>
                    <w:t xml:space="preserve">图2-1  </w:t>
                  </w:r>
                  <w:r>
                    <w:rPr>
                      <w:rFonts w:hint="eastAsia" w:ascii="宋体" w:hAnsi="宋体" w:eastAsia="宋体" w:cs="宋体"/>
                      <w:b/>
                      <w:bCs/>
                      <w:color w:val="auto"/>
                      <w:kern w:val="0"/>
                      <w:sz w:val="22"/>
                      <w:szCs w:val="22"/>
                      <w:highlight w:val="none"/>
                      <w:lang w:val="en-US" w:eastAsia="zh-CN" w:bidi="ar"/>
                    </w:rPr>
                    <w:t>拟设屠夫垭采矿权与整合矿山关系图</w:t>
                  </w:r>
                </w:p>
              </w:tc>
            </w:tr>
          </w:tbl>
          <w:p w14:paraId="45B5E97A">
            <w:pPr>
              <w:ind w:firstLine="482"/>
              <w:rPr>
                <w:rFonts w:hint="default" w:ascii="Times New Roman" w:hAnsi="Times New Roman" w:cs="Times New Roman"/>
                <w:b/>
                <w:color w:val="auto"/>
                <w:szCs w:val="24"/>
                <w:highlight w:val="none"/>
              </w:rPr>
            </w:pPr>
          </w:p>
        </w:tc>
      </w:tr>
      <w:tr w14:paraId="4C4E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7DCB87C1">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项目组成及规模</w:t>
            </w:r>
          </w:p>
        </w:tc>
        <w:tc>
          <w:tcPr>
            <w:tcW w:w="8137" w:type="dxa"/>
          </w:tcPr>
          <w:p w14:paraId="2F5E8006">
            <w:pPr>
              <w:ind w:firstLine="0" w:firstLineChars="0"/>
              <w:rPr>
                <w:rFonts w:hint="default" w:ascii="Times New Roman" w:hAnsi="Times New Roman" w:cs="Times New Roman"/>
                <w:b/>
                <w:color w:val="auto"/>
                <w:szCs w:val="24"/>
                <w:highlight w:val="none"/>
              </w:rPr>
            </w:pPr>
            <w:r>
              <w:rPr>
                <w:rFonts w:hint="eastAsia" w:cs="Times New Roman"/>
                <w:b/>
                <w:color w:val="auto"/>
                <w:szCs w:val="24"/>
                <w:highlight w:val="none"/>
                <w:lang w:val="en-US" w:eastAsia="zh-CN"/>
              </w:rPr>
              <w:t>1、</w:t>
            </w:r>
            <w:r>
              <w:rPr>
                <w:rFonts w:hint="default" w:ascii="Times New Roman" w:hAnsi="Times New Roman" w:cs="Times New Roman"/>
                <w:b/>
                <w:color w:val="auto"/>
                <w:szCs w:val="24"/>
                <w:highlight w:val="none"/>
              </w:rPr>
              <w:t>项目由来</w:t>
            </w:r>
          </w:p>
          <w:p w14:paraId="65566EFC">
            <w:pPr>
              <w:keepNext w:val="0"/>
              <w:keepLines w:val="0"/>
              <w:widowControl/>
              <w:suppressLineNumbers w:val="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湖南省澧县屠夫垭矿区建筑石料用灰岩矿属原有“澧县芦桥采石场”和“澧县闸口乡丰报采石二场”整合后，2022年湖南省城市地质调查监测所实施勘探，2023年湖南省遥感地质调查监测所核查，2023年5月湖南省遥感地质调查监测所编制提交备案后的《湖南省澧县屠夫垭矿区建筑石料用灰岩采矿权申请核查报告》（湘采矿权核查评字[2023]025号）、2023年6月湖南省城市地质调查监测所编制提交备案后的《湖南省澧县屠夫垭矿区建筑石料用灰岩采矿勘查报告》（湘自资储备字[2023]057号）、2024年1月湖南省遥感地质调查监测所编制提交备案后的《湖南省澧县屠夫垭矿区建筑石料用灰岩矿资源开发利用方案》（常矿开发评字[2024]号）。2025年1月挂牌出让新设采矿权“湖南省澧县屠夫垭矿区建筑石料用灰岩矿”，2025年2月澧县锦峰砂石有限公司通过公开挂牌方式取得。2025年3月25日常德市自然资源</w:t>
            </w:r>
            <w:r>
              <w:rPr>
                <w:rFonts w:hint="eastAsia" w:cs="Times New Roman"/>
                <w:color w:val="auto"/>
                <w:kern w:val="0"/>
                <w:sz w:val="24"/>
                <w:szCs w:val="24"/>
                <w:highlight w:val="none"/>
                <w:lang w:val="en-US" w:eastAsia="zh-CN" w:bidi="ar"/>
              </w:rPr>
              <w:t>和</w:t>
            </w:r>
            <w:r>
              <w:rPr>
                <w:rFonts w:hint="default" w:ascii="Times New Roman" w:hAnsi="Times New Roman" w:eastAsia="宋体" w:cs="Times New Roman"/>
                <w:color w:val="auto"/>
                <w:kern w:val="0"/>
                <w:sz w:val="24"/>
                <w:szCs w:val="24"/>
                <w:highlight w:val="none"/>
                <w:lang w:val="en-US" w:eastAsia="zh-CN" w:bidi="ar"/>
              </w:rPr>
              <w:t>规划局</w:t>
            </w:r>
            <w:bookmarkStart w:id="11" w:name="_GoBack"/>
            <w:bookmarkEnd w:id="11"/>
            <w:r>
              <w:rPr>
                <w:rFonts w:hint="default" w:ascii="Times New Roman" w:hAnsi="Times New Roman" w:eastAsia="宋体" w:cs="Times New Roman"/>
                <w:color w:val="auto"/>
                <w:kern w:val="0"/>
                <w:sz w:val="24"/>
                <w:szCs w:val="24"/>
                <w:highlight w:val="none"/>
                <w:lang w:val="en-US" w:eastAsia="zh-CN" w:bidi="ar"/>
              </w:rPr>
              <w:t>和澧县锦峰砂石有限公司签订《湖南省澧县屠夫垭矿区建筑石料用灰岩矿》采矿权出让合同（合同编号：常矿权出让合同[2025]1号）。出让的新设“湖南省澧县屠夫垭矿区建筑石料用灰岩矿”，位于澧县县城305°方位，直距约34km，行政区划属澧县火连坡镇芦桥村所辖。</w:t>
            </w:r>
          </w:p>
          <w:p w14:paraId="2F63E984">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湖南省澧县屠夫垭矿区建筑石料用灰岩矿为《澧县普通建筑材料用砂石土矿专项规划（</w:t>
            </w:r>
            <w:r>
              <w:rPr>
                <w:rFonts w:hint="default" w:ascii="Times New Roman" w:hAnsi="Times New Roman" w:eastAsia="宋体" w:cs="Times New Roman"/>
                <w:color w:val="auto"/>
                <w:kern w:val="0"/>
                <w:sz w:val="24"/>
                <w:szCs w:val="24"/>
                <w:highlight w:val="none"/>
                <w:lang w:val="en-US" w:eastAsia="zh-CN" w:bidi="ar"/>
              </w:rPr>
              <w:t>2019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年）》中已设采矿权整合。湖南省自然资源厅委托湖南省遥感地质调查监测所对矿区范围进行了核查并于</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月编制提交了《湖南省澧县屠夫垭矿区建筑石料用灰岩矿采矿权申请范围核查报告》，该报告已经省自然资源事务中心组织审查备案（湘采矿权核查评字</w:t>
            </w:r>
            <w:r>
              <w:rPr>
                <w:rFonts w:hint="default" w:ascii="Times New Roman" w:hAnsi="Times New Roman" w:eastAsia="宋体" w:cs="Times New Roman"/>
                <w:color w:val="auto"/>
                <w:kern w:val="0"/>
                <w:sz w:val="24"/>
                <w:szCs w:val="24"/>
                <w:highlight w:val="none"/>
                <w:lang w:val="en-US" w:eastAsia="zh-CN" w:bidi="ar"/>
              </w:rPr>
              <w:t>[2023]025</w:t>
            </w:r>
            <w:r>
              <w:rPr>
                <w:rFonts w:hint="eastAsia" w:ascii="宋体" w:hAnsi="宋体" w:eastAsia="宋体" w:cs="宋体"/>
                <w:color w:val="auto"/>
                <w:kern w:val="0"/>
                <w:sz w:val="24"/>
                <w:szCs w:val="24"/>
                <w:highlight w:val="none"/>
                <w:lang w:val="en-US" w:eastAsia="zh-CN" w:bidi="ar"/>
              </w:rPr>
              <w:t>号）（附件</w:t>
            </w:r>
            <w:r>
              <w:rPr>
                <w:rFonts w:hint="eastAsia"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），拟设矿区范围由</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个拐点圈定，矿区面积</w:t>
            </w:r>
            <w:r>
              <w:rPr>
                <w:rFonts w:hint="default" w:ascii="Times New Roman" w:hAnsi="Times New Roman" w:eastAsia="宋体" w:cs="Times New Roman"/>
                <w:color w:val="auto"/>
                <w:kern w:val="0"/>
                <w:sz w:val="24"/>
                <w:szCs w:val="24"/>
                <w:highlight w:val="none"/>
                <w:lang w:val="en-US" w:eastAsia="zh-CN" w:bidi="ar"/>
              </w:rPr>
              <w:t>0.2578km</w:t>
            </w:r>
            <w:r>
              <w:rPr>
                <w:rFonts w:hint="default" w:ascii="Times New Roman" w:hAnsi="Times New Roman" w:eastAsia="宋体" w:cs="Times New Roman"/>
                <w:color w:val="auto"/>
                <w:kern w:val="0"/>
                <w:sz w:val="16"/>
                <w:szCs w:val="16"/>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，开采标高</w:t>
            </w:r>
            <w:r>
              <w:rPr>
                <w:rFonts w:hint="default" w:ascii="Times New Roman" w:hAnsi="Times New Roman" w:eastAsia="宋体" w:cs="Times New Roman"/>
                <w:color w:val="auto"/>
                <w:kern w:val="0"/>
                <w:sz w:val="24"/>
                <w:szCs w:val="24"/>
                <w:highlight w:val="none"/>
                <w:lang w:val="en-US" w:eastAsia="zh-CN" w:bidi="ar"/>
              </w:rPr>
              <w:t>+198</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+110m</w:t>
            </w:r>
            <w:r>
              <w:rPr>
                <w:rFonts w:hint="eastAsia" w:ascii="宋体" w:hAnsi="宋体" w:eastAsia="宋体" w:cs="宋体"/>
                <w:color w:val="auto"/>
                <w:kern w:val="0"/>
                <w:sz w:val="24"/>
                <w:szCs w:val="24"/>
                <w:highlight w:val="none"/>
                <w:lang w:val="en-US" w:eastAsia="zh-CN" w:bidi="ar"/>
              </w:rPr>
              <w:t>。湖南省城市地质调查监测所在核查确定拟设采矿权范围基础上于</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月进一步完善并提交了《湖南省澧县屠夫垭矿区建筑石料用灰岩矿勘查报告》，该报告提交的矿产资源量已由省自然资源厅以</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湘自资储备字〔</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057</w:t>
            </w:r>
            <w:r>
              <w:rPr>
                <w:rFonts w:hint="eastAsia" w:ascii="宋体" w:hAnsi="宋体" w:eastAsia="宋体" w:cs="宋体"/>
                <w:color w:val="auto"/>
                <w:kern w:val="0"/>
                <w:sz w:val="24"/>
                <w:szCs w:val="24"/>
                <w:highlight w:val="none"/>
                <w:lang w:val="en-US" w:eastAsia="zh-CN" w:bidi="ar"/>
              </w:rPr>
              <w:t>号、湘评审〔</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067</w:t>
            </w:r>
            <w:r>
              <w:rPr>
                <w:rFonts w:hint="eastAsia" w:ascii="宋体" w:hAnsi="宋体" w:eastAsia="宋体" w:cs="宋体"/>
                <w:color w:val="auto"/>
                <w:kern w:val="0"/>
                <w:sz w:val="24"/>
                <w:szCs w:val="24"/>
                <w:highlight w:val="none"/>
                <w:lang w:val="en-US" w:eastAsia="zh-CN" w:bidi="ar"/>
              </w:rPr>
              <w:t>号</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予以评审通过并备案（附件</w:t>
            </w:r>
            <w:r>
              <w:rPr>
                <w:rFonts w:hint="eastAsia" w:ascii="Times New Roman" w:hAnsi="Times New Roman"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），截止</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月底，经估算本矿区建筑石料用灰岩矿石控制资源量共计</w:t>
            </w:r>
            <w:r>
              <w:rPr>
                <w:rFonts w:hint="default" w:ascii="Times New Roman" w:hAnsi="Times New Roman" w:eastAsia="宋体" w:cs="Times New Roman"/>
                <w:color w:val="auto"/>
                <w:kern w:val="0"/>
                <w:sz w:val="24"/>
                <w:szCs w:val="24"/>
                <w:highlight w:val="none"/>
                <w:lang w:val="en-US" w:eastAsia="zh-CN" w:bidi="ar"/>
              </w:rPr>
              <w:t>2242.4</w:t>
            </w:r>
            <w:r>
              <w:rPr>
                <w:rFonts w:hint="eastAsia" w:ascii="宋体" w:hAnsi="宋体" w:eastAsia="宋体" w:cs="宋体"/>
                <w:color w:val="auto"/>
                <w:kern w:val="0"/>
                <w:sz w:val="24"/>
                <w:szCs w:val="24"/>
                <w:highlight w:val="none"/>
                <w:lang w:val="en-US" w:eastAsia="zh-CN" w:bidi="ar"/>
              </w:rPr>
              <w:t>万吨（</w:t>
            </w:r>
            <w:r>
              <w:rPr>
                <w:rFonts w:hint="default" w:ascii="Times New Roman" w:hAnsi="Times New Roman" w:eastAsia="宋体" w:cs="Times New Roman"/>
                <w:color w:val="auto"/>
                <w:kern w:val="0"/>
                <w:sz w:val="24"/>
                <w:szCs w:val="24"/>
                <w:highlight w:val="none"/>
                <w:lang w:val="en-US" w:eastAsia="zh-CN" w:bidi="ar"/>
              </w:rPr>
              <w:t>827.5</w:t>
            </w:r>
            <w:r>
              <w:rPr>
                <w:rFonts w:hint="eastAsia" w:ascii="宋体" w:hAnsi="宋体" w:eastAsia="宋体" w:cs="宋体"/>
                <w:color w:val="auto"/>
                <w:kern w:val="0"/>
                <w:sz w:val="24"/>
                <w:szCs w:val="24"/>
                <w:highlight w:val="none"/>
                <w:lang w:val="en-US" w:eastAsia="zh-CN" w:bidi="ar"/>
              </w:rPr>
              <w:t>万立方米），矿区内水文地质条件中等，工程地质条件中等，环境地质条件中等。开采技术条件属Ⅱ</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型。矿区范围与各类自然保护地、生态保护红线、永久基本农田、重要基础设施、其它矿业权等均不重叠，矿内交通较为便利、水电充足，总体而言矿区外部建设条件和开发利用条件较好。</w:t>
            </w:r>
          </w:p>
          <w:p w14:paraId="2554B7E9">
            <w:pPr>
              <w:ind w:firstLine="480"/>
              <w:rPr>
                <w:rFonts w:hint="default" w:ascii="Times New Roman" w:hAnsi="Times New Roman" w:cs="Times New Roman"/>
                <w:color w:val="auto"/>
                <w:szCs w:val="24"/>
                <w:highlight w:val="none"/>
              </w:rPr>
            </w:pPr>
            <w:r>
              <w:rPr>
                <w:rFonts w:hint="eastAsia" w:cs="Times New Roman"/>
                <w:color w:val="auto"/>
                <w:szCs w:val="24"/>
                <w:highlight w:val="none"/>
                <w:lang w:val="en-US" w:eastAsia="zh-CN"/>
              </w:rPr>
              <w:t>根据</w:t>
            </w:r>
            <w:r>
              <w:rPr>
                <w:rFonts w:hint="default" w:cs="Times New Roman"/>
                <w:color w:val="auto"/>
                <w:szCs w:val="24"/>
                <w:highlight w:val="none"/>
                <w:lang w:val="en-US" w:eastAsia="zh-CN"/>
              </w:rPr>
              <w:t>《</w:t>
            </w:r>
            <w:r>
              <w:rPr>
                <w:rFonts w:hint="eastAsia" w:cs="Times New Roman"/>
                <w:color w:val="auto"/>
                <w:szCs w:val="24"/>
                <w:highlight w:val="none"/>
                <w:lang w:val="en-US" w:eastAsia="zh-CN"/>
              </w:rPr>
              <w:t>湖南省澧县屠夫垭矿区建筑石料用灰岩矿</w:t>
            </w:r>
            <w:r>
              <w:rPr>
                <w:rFonts w:hint="default" w:cs="Times New Roman"/>
                <w:color w:val="auto"/>
                <w:szCs w:val="24"/>
                <w:highlight w:val="none"/>
                <w:lang w:val="en-US" w:eastAsia="zh-CN"/>
              </w:rPr>
              <w:t>资源开发利用方案》</w:t>
            </w:r>
            <w:r>
              <w:rPr>
                <w:rFonts w:hint="eastAsia" w:cs="Times New Roman"/>
                <w:color w:val="auto"/>
                <w:szCs w:val="24"/>
                <w:highlight w:val="none"/>
                <w:lang w:val="en-US" w:eastAsia="zh-CN"/>
              </w:rPr>
              <w:t>，矿山开采设计生产能力为12</w:t>
            </w:r>
            <w:r>
              <w:rPr>
                <w:rFonts w:hint="default" w:ascii="Times New Roman" w:hAnsi="Times New Roman" w:cs="Times New Roman"/>
                <w:color w:val="auto"/>
                <w:szCs w:val="24"/>
                <w:highlight w:val="none"/>
              </w:rPr>
              <w:t>0万吨/年。</w:t>
            </w:r>
          </w:p>
          <w:p w14:paraId="34A0F554">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中华人民共和国环境保护法》、《中华人民共和国环境影响评价法》和国务院令682号《建设项目环境保护管理条例》有关规定，该项目需要进行环境影响评价。根据《建设项目环境影响评价分类管理名录》（2021版），本项目属于“八、非金属矿采选业</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1</w:t>
            </w:r>
            <w:r>
              <w:rPr>
                <w:rFonts w:hint="eastAsia" w:cs="Times New Roman"/>
                <w:color w:val="auto"/>
                <w:szCs w:val="24"/>
                <w:highlight w:val="none"/>
                <w:lang w:val="en-US" w:eastAsia="zh-CN"/>
              </w:rPr>
              <w:t>1</w:t>
            </w:r>
            <w:r>
              <w:rPr>
                <w:rFonts w:hint="default" w:ascii="Times New Roman" w:hAnsi="Times New Roman" w:cs="Times New Roman"/>
                <w:color w:val="auto"/>
                <w:szCs w:val="24"/>
                <w:highlight w:val="none"/>
              </w:rPr>
              <w:t>土砂石开采</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其他</w:t>
            </w:r>
            <w:r>
              <w:rPr>
                <w:rFonts w:hint="eastAsia" w:cs="Times New Roman"/>
                <w:color w:val="auto"/>
                <w:szCs w:val="24"/>
                <w:highlight w:val="none"/>
                <w:lang w:val="en-US" w:eastAsia="zh-CN"/>
              </w:rPr>
              <w:t>及二十七、非金属矿物制品业—60、其他非金属矿物制品制造309</w:t>
            </w:r>
            <w:r>
              <w:rPr>
                <w:rFonts w:hint="default" w:ascii="Times New Roman" w:hAnsi="Times New Roman" w:cs="Times New Roman"/>
                <w:color w:val="auto"/>
                <w:szCs w:val="24"/>
                <w:highlight w:val="none"/>
              </w:rPr>
              <w:t>”，应编制环境影响评价报告表。受</w:t>
            </w:r>
            <w:r>
              <w:rPr>
                <w:rFonts w:hint="eastAsia" w:cs="Times New Roman"/>
                <w:color w:val="auto"/>
                <w:szCs w:val="24"/>
                <w:highlight w:val="none"/>
                <w:lang w:eastAsia="zh-CN"/>
              </w:rPr>
              <w:t>澧县锦锋砂石有限公司</w:t>
            </w:r>
            <w:r>
              <w:rPr>
                <w:rFonts w:hint="default" w:ascii="Times New Roman" w:hAnsi="Times New Roman" w:cs="Times New Roman"/>
                <w:color w:val="auto"/>
                <w:szCs w:val="24"/>
                <w:highlight w:val="none"/>
              </w:rPr>
              <w:t>委托，</w:t>
            </w:r>
            <w:r>
              <w:rPr>
                <w:rFonts w:hint="eastAsia" w:ascii="Times New Roman" w:hAnsi="Times New Roman" w:eastAsia="宋体" w:cs="Times New Roman"/>
                <w:color w:val="auto"/>
                <w:szCs w:val="24"/>
                <w:highlight w:val="none"/>
                <w:lang w:val="en-US" w:eastAsia="zh-CN"/>
              </w:rPr>
              <w:t>湖南帆佳环保工程有限公司</w:t>
            </w:r>
            <w:r>
              <w:rPr>
                <w:rFonts w:hint="default" w:ascii="Times New Roman" w:hAnsi="Times New Roman" w:cs="Times New Roman"/>
                <w:color w:val="auto"/>
                <w:szCs w:val="24"/>
                <w:highlight w:val="none"/>
              </w:rPr>
              <w:t>承担该项目的环境影响评价工作，在现场踏勘和监测的基础上，按照环境影响评价技术导则的要求，编制该项目的环境影响报告表。</w:t>
            </w:r>
          </w:p>
          <w:p w14:paraId="22FA63EA">
            <w:pPr>
              <w:ind w:firstLine="0" w:firstLineChars="0"/>
              <w:rPr>
                <w:rFonts w:hint="default" w:cs="Times New Roman"/>
                <w:b/>
                <w:bCs/>
                <w:color w:val="auto"/>
                <w:szCs w:val="24"/>
                <w:highlight w:val="none"/>
                <w:lang w:val="en-US" w:eastAsia="zh-CN"/>
              </w:rPr>
            </w:pPr>
            <w:r>
              <w:rPr>
                <w:rFonts w:hint="eastAsia" w:cs="Times New Roman"/>
                <w:b/>
                <w:bCs/>
                <w:color w:val="auto"/>
                <w:szCs w:val="24"/>
                <w:highlight w:val="none"/>
                <w:lang w:val="en-US" w:eastAsia="zh-CN"/>
              </w:rPr>
              <w:t>2、矿产资源勘查报告、开发利用方案、生态恢复方案编制、评审及批复情况</w:t>
            </w:r>
          </w:p>
          <w:p w14:paraId="44FC1826">
            <w:pPr>
              <w:ind w:firstLine="0" w:firstLineChars="0"/>
              <w:jc w:val="center"/>
              <w:rPr>
                <w:rFonts w:hint="eastAsia" w:ascii="Times New Roman" w:hAnsi="Times New Roman"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表</w:t>
            </w:r>
            <w:r>
              <w:rPr>
                <w:rFonts w:hint="eastAsia" w:cs="Times New Roman"/>
                <w:b/>
                <w:color w:val="auto"/>
                <w:sz w:val="21"/>
                <w:szCs w:val="21"/>
                <w:highlight w:val="none"/>
                <w:lang w:val="en-US" w:eastAsia="zh-CN"/>
              </w:rPr>
              <w:t xml:space="preserve">2-2 </w:t>
            </w:r>
            <w:r>
              <w:rPr>
                <w:rFonts w:hint="eastAsia" w:ascii="Times New Roman" w:hAnsi="Times New Roman" w:cs="Times New Roman"/>
                <w:b/>
                <w:color w:val="auto"/>
                <w:sz w:val="21"/>
                <w:szCs w:val="21"/>
                <w:highlight w:val="none"/>
                <w:lang w:val="en-US" w:eastAsia="zh-CN"/>
              </w:rPr>
              <w:t xml:space="preserve"> 三项报告基本情况</w:t>
            </w:r>
          </w:p>
          <w:tbl>
            <w:tblPr>
              <w:tblStyle w:val="22"/>
              <w:tblW w:w="7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637"/>
              <w:gridCol w:w="2237"/>
              <w:gridCol w:w="3380"/>
            </w:tblGrid>
            <w:tr w14:paraId="1633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C09EAA7">
                  <w:pPr>
                    <w:spacing w:line="240" w:lineRule="auto"/>
                    <w:ind w:firstLine="0" w:firstLineChars="0"/>
                    <w:jc w:val="center"/>
                    <w:rPr>
                      <w:rFonts w:hint="default" w:ascii="Times New Roman" w:hAnsi="Times New Roman"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类别</w:t>
                  </w:r>
                </w:p>
              </w:tc>
              <w:tc>
                <w:tcPr>
                  <w:tcW w:w="1637" w:type="dxa"/>
                  <w:vAlign w:val="center"/>
                </w:tcPr>
                <w:p w14:paraId="1499DDCB">
                  <w:pPr>
                    <w:spacing w:line="240" w:lineRule="auto"/>
                    <w:ind w:firstLine="0" w:firstLineChars="0"/>
                    <w:jc w:val="center"/>
                    <w:rPr>
                      <w:rFonts w:hint="eastAsia"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勘查报告</w:t>
                  </w:r>
                </w:p>
              </w:tc>
              <w:tc>
                <w:tcPr>
                  <w:tcW w:w="2237" w:type="dxa"/>
                  <w:vAlign w:val="center"/>
                </w:tcPr>
                <w:p w14:paraId="70C8863F">
                  <w:pPr>
                    <w:spacing w:line="240" w:lineRule="auto"/>
                    <w:ind w:firstLine="0" w:firstLineChars="0"/>
                    <w:jc w:val="center"/>
                    <w:rPr>
                      <w:rFonts w:hint="eastAsia"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开发利用方案</w:t>
                  </w:r>
                </w:p>
              </w:tc>
              <w:tc>
                <w:tcPr>
                  <w:tcW w:w="3380" w:type="dxa"/>
                  <w:vAlign w:val="center"/>
                </w:tcPr>
                <w:p w14:paraId="7966BFF1">
                  <w:pPr>
                    <w:spacing w:line="240" w:lineRule="auto"/>
                    <w:ind w:firstLine="0" w:firstLineChars="0"/>
                    <w:jc w:val="center"/>
                    <w:rPr>
                      <w:rFonts w:hint="eastAsia"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生态修复方案</w:t>
                  </w:r>
                </w:p>
              </w:tc>
            </w:tr>
            <w:tr w14:paraId="2167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3EE07E4">
                  <w:pPr>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编制单位</w:t>
                  </w:r>
                </w:p>
              </w:tc>
              <w:tc>
                <w:tcPr>
                  <w:tcW w:w="1637" w:type="dxa"/>
                  <w:vAlign w:val="center"/>
                </w:tcPr>
                <w:p w14:paraId="1566E6B3">
                  <w:pPr>
                    <w:spacing w:line="240" w:lineRule="auto"/>
                    <w:ind w:firstLine="0" w:firstLine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湖南省城市地质调查监测所</w:t>
                  </w:r>
                </w:p>
              </w:tc>
              <w:tc>
                <w:tcPr>
                  <w:tcW w:w="2237" w:type="dxa"/>
                  <w:vAlign w:val="center"/>
                </w:tcPr>
                <w:p w14:paraId="5615AA48">
                  <w:pPr>
                    <w:spacing w:line="240" w:lineRule="auto"/>
                    <w:ind w:firstLine="0" w:firstLine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湖南省遥感地质调查监测所</w:t>
                  </w:r>
                </w:p>
              </w:tc>
              <w:tc>
                <w:tcPr>
                  <w:tcW w:w="3380" w:type="dxa"/>
                  <w:vAlign w:val="center"/>
                </w:tcPr>
                <w:p w14:paraId="0BA96E3D">
                  <w:pPr>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湖南省城市地质调查监测所</w:t>
                  </w:r>
                </w:p>
              </w:tc>
            </w:tr>
            <w:tr w14:paraId="298B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99FFCCC">
                  <w:pPr>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评审情况</w:t>
                  </w:r>
                </w:p>
              </w:tc>
              <w:tc>
                <w:tcPr>
                  <w:tcW w:w="1637" w:type="dxa"/>
                  <w:vAlign w:val="center"/>
                </w:tcPr>
                <w:p w14:paraId="4783103A">
                  <w:pPr>
                    <w:spacing w:line="240" w:lineRule="auto"/>
                    <w:ind w:firstLine="0" w:firstLine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报告符合规范要求。（202</w:t>
                  </w:r>
                  <w:r>
                    <w:rPr>
                      <w:rFonts w:hint="eastAsia" w:cs="Times New Roman"/>
                      <w:bCs/>
                      <w:color w:val="auto"/>
                      <w:sz w:val="21"/>
                      <w:szCs w:val="21"/>
                      <w:highlight w:val="none"/>
                      <w:lang w:val="en-US" w:eastAsia="zh-CN"/>
                    </w:rPr>
                    <w:t>3</w:t>
                  </w:r>
                  <w:r>
                    <w:rPr>
                      <w:rFonts w:hint="eastAsia" w:ascii="Times New Roman" w:hAnsi="Times New Roman" w:cs="Times New Roman"/>
                      <w:bCs/>
                      <w:color w:val="auto"/>
                      <w:sz w:val="21"/>
                      <w:szCs w:val="21"/>
                      <w:highlight w:val="none"/>
                      <w:lang w:val="en-US" w:eastAsia="zh-CN"/>
                    </w:rPr>
                    <w:t>年</w:t>
                  </w:r>
                  <w:r>
                    <w:rPr>
                      <w:rFonts w:hint="eastAsia" w:cs="Times New Roman"/>
                      <w:bCs/>
                      <w:color w:val="auto"/>
                      <w:sz w:val="21"/>
                      <w:szCs w:val="21"/>
                      <w:highlight w:val="none"/>
                      <w:lang w:val="en-US" w:eastAsia="zh-CN"/>
                    </w:rPr>
                    <w:t>6</w:t>
                  </w:r>
                  <w:r>
                    <w:rPr>
                      <w:rFonts w:hint="eastAsia" w:ascii="Times New Roman" w:hAnsi="Times New Roman" w:cs="Times New Roman"/>
                      <w:bCs/>
                      <w:color w:val="auto"/>
                      <w:sz w:val="21"/>
                      <w:szCs w:val="21"/>
                      <w:highlight w:val="none"/>
                      <w:lang w:val="en-US" w:eastAsia="zh-CN"/>
                    </w:rPr>
                    <w:t>月</w:t>
                  </w:r>
                  <w:r>
                    <w:rPr>
                      <w:rFonts w:hint="eastAsia" w:cs="Times New Roman"/>
                      <w:bCs/>
                      <w:color w:val="auto"/>
                      <w:sz w:val="21"/>
                      <w:szCs w:val="21"/>
                      <w:highlight w:val="none"/>
                      <w:lang w:val="en-US" w:eastAsia="zh-CN"/>
                    </w:rPr>
                    <w:t>30</w:t>
                  </w:r>
                  <w:r>
                    <w:rPr>
                      <w:rFonts w:hint="eastAsia" w:ascii="Times New Roman" w:hAnsi="Times New Roman" w:cs="Times New Roman"/>
                      <w:bCs/>
                      <w:color w:val="auto"/>
                      <w:sz w:val="21"/>
                      <w:szCs w:val="21"/>
                      <w:highlight w:val="none"/>
                      <w:lang w:val="en-US" w:eastAsia="zh-CN"/>
                    </w:rPr>
                    <w:t>日）</w:t>
                  </w:r>
                </w:p>
              </w:tc>
              <w:tc>
                <w:tcPr>
                  <w:tcW w:w="2237" w:type="dxa"/>
                  <w:vAlign w:val="center"/>
                </w:tcPr>
                <w:p w14:paraId="2D1F25B4">
                  <w:pPr>
                    <w:spacing w:line="240" w:lineRule="auto"/>
                    <w:ind w:firstLine="0" w:firstLine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基本符合矿产资源开发利用方案编写要求。</w:t>
                  </w:r>
                </w:p>
                <w:p w14:paraId="4CA3E538">
                  <w:pPr>
                    <w:spacing w:line="240" w:lineRule="auto"/>
                    <w:ind w:firstLine="0" w:firstLine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（202</w:t>
                  </w:r>
                  <w:r>
                    <w:rPr>
                      <w:rFonts w:hint="eastAsia" w:cs="Times New Roman"/>
                      <w:bCs/>
                      <w:color w:val="auto"/>
                      <w:sz w:val="21"/>
                      <w:szCs w:val="21"/>
                      <w:highlight w:val="none"/>
                      <w:lang w:val="en-US" w:eastAsia="zh-CN"/>
                    </w:rPr>
                    <w:t>4</w:t>
                  </w:r>
                  <w:r>
                    <w:rPr>
                      <w:rFonts w:hint="eastAsia" w:ascii="Times New Roman" w:hAnsi="Times New Roman" w:cs="Times New Roman"/>
                      <w:bCs/>
                      <w:color w:val="auto"/>
                      <w:sz w:val="21"/>
                      <w:szCs w:val="21"/>
                      <w:highlight w:val="none"/>
                      <w:lang w:val="en-US" w:eastAsia="zh-CN"/>
                    </w:rPr>
                    <w:t>年</w:t>
                  </w:r>
                  <w:r>
                    <w:rPr>
                      <w:rFonts w:hint="eastAsia" w:cs="Times New Roman"/>
                      <w:bCs/>
                      <w:color w:val="auto"/>
                      <w:sz w:val="21"/>
                      <w:szCs w:val="21"/>
                      <w:highlight w:val="none"/>
                      <w:lang w:val="en-US" w:eastAsia="zh-CN"/>
                    </w:rPr>
                    <w:t>1</w:t>
                  </w:r>
                  <w:r>
                    <w:rPr>
                      <w:rFonts w:hint="eastAsia" w:ascii="Times New Roman" w:hAnsi="Times New Roman" w:cs="Times New Roman"/>
                      <w:bCs/>
                      <w:color w:val="auto"/>
                      <w:sz w:val="21"/>
                      <w:szCs w:val="21"/>
                      <w:highlight w:val="none"/>
                      <w:lang w:val="en-US" w:eastAsia="zh-CN"/>
                    </w:rPr>
                    <w:t>月</w:t>
                  </w:r>
                  <w:r>
                    <w:rPr>
                      <w:rFonts w:hint="eastAsia" w:cs="Times New Roman"/>
                      <w:bCs/>
                      <w:color w:val="auto"/>
                      <w:sz w:val="21"/>
                      <w:szCs w:val="21"/>
                      <w:highlight w:val="none"/>
                      <w:lang w:val="en-US" w:eastAsia="zh-CN"/>
                    </w:rPr>
                    <w:t>11</w:t>
                  </w:r>
                  <w:r>
                    <w:rPr>
                      <w:rFonts w:hint="eastAsia" w:ascii="Times New Roman" w:hAnsi="Times New Roman" w:cs="Times New Roman"/>
                      <w:bCs/>
                      <w:color w:val="auto"/>
                      <w:sz w:val="21"/>
                      <w:szCs w:val="21"/>
                      <w:highlight w:val="none"/>
                      <w:lang w:val="en-US" w:eastAsia="zh-CN"/>
                    </w:rPr>
                    <w:t>日）</w:t>
                  </w:r>
                </w:p>
              </w:tc>
              <w:tc>
                <w:tcPr>
                  <w:tcW w:w="3380" w:type="dxa"/>
                  <w:vAlign w:val="center"/>
                </w:tcPr>
                <w:p w14:paraId="4635164A">
                  <w:pPr>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内容齐全，依据较充分，技术可行，经济合理。经专家组认真讨论，同意评审通过</w:t>
                  </w:r>
                  <w:r>
                    <w:rPr>
                      <w:rFonts w:hint="eastAsia" w:ascii="Times New Roman" w:hAnsi="Times New Roman" w:cs="Times New Roman"/>
                      <w:bCs/>
                      <w:color w:val="auto"/>
                      <w:sz w:val="21"/>
                      <w:szCs w:val="21"/>
                      <w:highlight w:val="none"/>
                      <w:lang w:val="en-US" w:eastAsia="zh-CN"/>
                    </w:rPr>
                    <w:t>（202</w:t>
                  </w:r>
                  <w:r>
                    <w:rPr>
                      <w:rFonts w:hint="eastAsia" w:cs="Times New Roman"/>
                      <w:bCs/>
                      <w:color w:val="auto"/>
                      <w:sz w:val="21"/>
                      <w:szCs w:val="21"/>
                      <w:highlight w:val="none"/>
                      <w:lang w:val="en-US" w:eastAsia="zh-CN"/>
                    </w:rPr>
                    <w:t>5</w:t>
                  </w:r>
                  <w:r>
                    <w:rPr>
                      <w:rFonts w:hint="eastAsia" w:ascii="Times New Roman" w:hAnsi="Times New Roman" w:cs="Times New Roman"/>
                      <w:bCs/>
                      <w:color w:val="auto"/>
                      <w:sz w:val="21"/>
                      <w:szCs w:val="21"/>
                      <w:highlight w:val="none"/>
                      <w:lang w:val="en-US" w:eastAsia="zh-CN"/>
                    </w:rPr>
                    <w:t>年</w:t>
                  </w:r>
                  <w:r>
                    <w:rPr>
                      <w:rFonts w:hint="eastAsia" w:cs="Times New Roman"/>
                      <w:bCs/>
                      <w:color w:val="auto"/>
                      <w:sz w:val="21"/>
                      <w:szCs w:val="21"/>
                      <w:highlight w:val="none"/>
                      <w:lang w:val="en-US" w:eastAsia="zh-CN"/>
                    </w:rPr>
                    <w:t>5</w:t>
                  </w:r>
                  <w:r>
                    <w:rPr>
                      <w:rFonts w:hint="eastAsia" w:ascii="Times New Roman" w:hAnsi="Times New Roman" w:cs="Times New Roman"/>
                      <w:bCs/>
                      <w:color w:val="auto"/>
                      <w:sz w:val="21"/>
                      <w:szCs w:val="21"/>
                      <w:highlight w:val="none"/>
                      <w:lang w:val="en-US" w:eastAsia="zh-CN"/>
                    </w:rPr>
                    <w:t>月</w:t>
                  </w:r>
                  <w:r>
                    <w:rPr>
                      <w:rFonts w:hint="eastAsia" w:cs="Times New Roman"/>
                      <w:bCs/>
                      <w:color w:val="auto"/>
                      <w:sz w:val="21"/>
                      <w:szCs w:val="21"/>
                      <w:highlight w:val="none"/>
                      <w:lang w:val="en-US" w:eastAsia="zh-CN"/>
                    </w:rPr>
                    <w:t>13</w:t>
                  </w:r>
                  <w:r>
                    <w:rPr>
                      <w:rFonts w:hint="eastAsia" w:ascii="Times New Roman" w:hAnsi="Times New Roman" w:cs="Times New Roman"/>
                      <w:bCs/>
                      <w:color w:val="auto"/>
                      <w:sz w:val="21"/>
                      <w:szCs w:val="21"/>
                      <w:highlight w:val="none"/>
                      <w:lang w:val="en-US" w:eastAsia="zh-CN"/>
                    </w:rPr>
                    <w:t>日）</w:t>
                  </w:r>
                </w:p>
              </w:tc>
            </w:tr>
          </w:tbl>
          <w:p w14:paraId="5E3D8179">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、项目组成</w:t>
            </w:r>
          </w:p>
          <w:p w14:paraId="1ED68A2E">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u w:val="none"/>
              </w:rPr>
              <w:t>本矿山设计开采规模为</w:t>
            </w:r>
            <w:r>
              <w:rPr>
                <w:rFonts w:hint="eastAsia" w:cs="Times New Roman"/>
                <w:color w:val="auto"/>
                <w:highlight w:val="none"/>
                <w:u w:val="none"/>
                <w:lang w:eastAsia="zh-CN"/>
              </w:rPr>
              <w:t>120万t/a</w:t>
            </w:r>
            <w:r>
              <w:rPr>
                <w:rFonts w:hint="default" w:ascii="Times New Roman" w:hAnsi="Times New Roman" w:cs="Times New Roman"/>
                <w:color w:val="auto"/>
                <w:highlight w:val="none"/>
                <w:u w:val="none"/>
              </w:rPr>
              <w:t>，产品为建筑用灰岩，本工程主要由矿山及</w:t>
            </w:r>
            <w:r>
              <w:rPr>
                <w:rFonts w:hint="eastAsia" w:cs="Times New Roman"/>
                <w:color w:val="auto"/>
                <w:highlight w:val="none"/>
                <w:u w:val="none"/>
                <w:lang w:val="en-US" w:eastAsia="zh-CN"/>
              </w:rPr>
              <w:t>工业场地</w:t>
            </w:r>
            <w:r>
              <w:rPr>
                <w:rFonts w:hint="default" w:ascii="Times New Roman" w:hAnsi="Times New Roman" w:cs="Times New Roman"/>
                <w:color w:val="auto"/>
                <w:highlight w:val="none"/>
                <w:u w:val="none"/>
              </w:rPr>
              <w:t>组成。</w:t>
            </w:r>
            <w:r>
              <w:rPr>
                <w:rFonts w:hint="eastAsia" w:cs="Times New Roman"/>
                <w:color w:val="auto"/>
                <w:highlight w:val="none"/>
                <w:u w:val="none"/>
                <w:lang w:val="en-US" w:eastAsia="zh-CN"/>
              </w:rPr>
              <w:t>项目组成如下。</w:t>
            </w:r>
          </w:p>
          <w:p w14:paraId="6121DE9C">
            <w:pPr>
              <w:ind w:firstLine="0" w:firstLineChars="0"/>
              <w:jc w:val="center"/>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表2-</w:t>
            </w:r>
            <w:r>
              <w:rPr>
                <w:rFonts w:hint="eastAsia" w:cs="Times New Roman"/>
                <w:b/>
                <w:color w:val="auto"/>
                <w:sz w:val="21"/>
                <w:szCs w:val="21"/>
                <w:highlight w:val="none"/>
                <w:u w:val="single"/>
                <w:lang w:val="en-US" w:eastAsia="zh-CN"/>
              </w:rPr>
              <w:t>3</w:t>
            </w:r>
            <w:r>
              <w:rPr>
                <w:rFonts w:hint="default" w:ascii="Times New Roman" w:hAnsi="Times New Roman" w:cs="Times New Roman"/>
                <w:b/>
                <w:color w:val="auto"/>
                <w:sz w:val="21"/>
                <w:szCs w:val="21"/>
                <w:highlight w:val="none"/>
                <w:u w:val="single"/>
              </w:rPr>
              <w:t xml:space="preserve">  项目</w:t>
            </w:r>
            <w:r>
              <w:rPr>
                <w:rFonts w:hint="eastAsia" w:cs="Times New Roman"/>
                <w:b/>
                <w:color w:val="auto"/>
                <w:sz w:val="21"/>
                <w:szCs w:val="21"/>
                <w:highlight w:val="none"/>
                <w:u w:val="single"/>
                <w:lang w:val="en-US" w:eastAsia="zh-CN"/>
              </w:rPr>
              <w:t>矿山</w:t>
            </w:r>
            <w:r>
              <w:rPr>
                <w:rFonts w:hint="default" w:ascii="Times New Roman" w:hAnsi="Times New Roman" w:cs="Times New Roman"/>
                <w:b/>
                <w:color w:val="auto"/>
                <w:sz w:val="21"/>
                <w:szCs w:val="21"/>
                <w:highlight w:val="none"/>
                <w:u w:val="single"/>
              </w:rPr>
              <w:t>组成一览表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003"/>
              <w:gridCol w:w="4860"/>
              <w:gridCol w:w="1312"/>
            </w:tblGrid>
            <w:tr w14:paraId="1C39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Align w:val="center"/>
                </w:tcPr>
                <w:p w14:paraId="06E752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工程类别</w:t>
                  </w:r>
                </w:p>
              </w:tc>
              <w:tc>
                <w:tcPr>
                  <w:tcW w:w="1003" w:type="dxa"/>
                  <w:vAlign w:val="center"/>
                </w:tcPr>
                <w:p w14:paraId="0AE315A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名称</w:t>
                  </w:r>
                </w:p>
              </w:tc>
              <w:tc>
                <w:tcPr>
                  <w:tcW w:w="4860" w:type="dxa"/>
                  <w:vAlign w:val="center"/>
                </w:tcPr>
                <w:p w14:paraId="4367AE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建设内容与规模</w:t>
                  </w:r>
                </w:p>
              </w:tc>
              <w:tc>
                <w:tcPr>
                  <w:tcW w:w="1312" w:type="dxa"/>
                  <w:vAlign w:val="center"/>
                </w:tcPr>
                <w:p w14:paraId="11C948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u w:val="single"/>
                      <w:lang w:val="en-US" w:eastAsia="zh-CN"/>
                    </w:rPr>
                  </w:pPr>
                  <w:r>
                    <w:rPr>
                      <w:rFonts w:hint="eastAsia" w:cs="Times New Roman"/>
                      <w:b/>
                      <w:color w:val="auto"/>
                      <w:sz w:val="21"/>
                      <w:szCs w:val="21"/>
                      <w:highlight w:val="none"/>
                      <w:u w:val="single"/>
                      <w:lang w:val="en-US" w:eastAsia="zh-CN"/>
                    </w:rPr>
                    <w:t>备注</w:t>
                  </w:r>
                </w:p>
              </w:tc>
            </w:tr>
            <w:tr w14:paraId="720C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727D12E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主体工程</w:t>
                  </w:r>
                </w:p>
              </w:tc>
              <w:tc>
                <w:tcPr>
                  <w:tcW w:w="1003" w:type="dxa"/>
                  <w:vAlign w:val="center"/>
                </w:tcPr>
                <w:p w14:paraId="3533E93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矿区</w:t>
                  </w:r>
                </w:p>
              </w:tc>
              <w:tc>
                <w:tcPr>
                  <w:tcW w:w="4860" w:type="dxa"/>
                  <w:vAlign w:val="center"/>
                </w:tcPr>
                <w:p w14:paraId="363903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项目矿区由</w:t>
                  </w:r>
                  <w:r>
                    <w:rPr>
                      <w:rFonts w:hint="eastAsia" w:cs="Times New Roman"/>
                      <w:bCs/>
                      <w:color w:val="auto"/>
                      <w:sz w:val="21"/>
                      <w:szCs w:val="21"/>
                      <w:highlight w:val="none"/>
                      <w:u w:val="single"/>
                      <w:lang w:val="en-US" w:eastAsia="zh-CN"/>
                    </w:rPr>
                    <w:t>10</w:t>
                  </w:r>
                  <w:r>
                    <w:rPr>
                      <w:rFonts w:hint="default" w:ascii="Times New Roman" w:hAnsi="Times New Roman" w:cs="Times New Roman"/>
                      <w:bCs/>
                      <w:color w:val="auto"/>
                      <w:sz w:val="21"/>
                      <w:szCs w:val="21"/>
                      <w:highlight w:val="none"/>
                      <w:u w:val="single"/>
                    </w:rPr>
                    <w:t>个拐点圈闭，面积为</w:t>
                  </w:r>
                  <w:r>
                    <w:rPr>
                      <w:rFonts w:hint="eastAsia" w:cs="Times New Roman"/>
                      <w:bCs/>
                      <w:color w:val="auto"/>
                      <w:sz w:val="21"/>
                      <w:szCs w:val="21"/>
                      <w:highlight w:val="none"/>
                      <w:u w:val="single"/>
                      <w:lang w:val="en-US" w:eastAsia="zh-CN"/>
                    </w:rPr>
                    <w:t>0.2578</w:t>
                  </w:r>
                  <w:r>
                    <w:rPr>
                      <w:rFonts w:hint="default" w:ascii="Times New Roman" w:hAnsi="Times New Roman" w:cs="Times New Roman"/>
                      <w:bCs/>
                      <w:color w:val="auto"/>
                      <w:sz w:val="21"/>
                      <w:szCs w:val="21"/>
                      <w:highlight w:val="none"/>
                      <w:u w:val="single"/>
                    </w:rPr>
                    <w:t>km</w:t>
                  </w:r>
                  <w:r>
                    <w:rPr>
                      <w:rFonts w:hint="default" w:ascii="Times New Roman" w:hAnsi="Times New Roman" w:cs="Times New Roman"/>
                      <w:bCs/>
                      <w:color w:val="auto"/>
                      <w:sz w:val="21"/>
                      <w:szCs w:val="21"/>
                      <w:highlight w:val="none"/>
                      <w:u w:val="single"/>
                      <w:vertAlign w:val="superscript"/>
                    </w:rPr>
                    <w:t>2</w:t>
                  </w:r>
                  <w:r>
                    <w:rPr>
                      <w:rFonts w:hint="default" w:ascii="Times New Roman" w:hAnsi="Times New Roman" w:cs="Times New Roman"/>
                      <w:bCs/>
                      <w:color w:val="auto"/>
                      <w:sz w:val="21"/>
                      <w:szCs w:val="21"/>
                      <w:highlight w:val="none"/>
                      <w:u w:val="single"/>
                    </w:rPr>
                    <w:t>，开采标高为</w:t>
                  </w:r>
                  <w:r>
                    <w:rPr>
                      <w:rFonts w:hint="eastAsia" w:cs="Times New Roman"/>
                      <w:bCs/>
                      <w:color w:val="auto"/>
                      <w:sz w:val="21"/>
                      <w:szCs w:val="21"/>
                      <w:highlight w:val="none"/>
                      <w:u w:val="single"/>
                      <w:lang w:eastAsia="zh-CN"/>
                    </w:rPr>
                    <w:t>+198～+110</w:t>
                  </w:r>
                  <w:r>
                    <w:rPr>
                      <w:rFonts w:hint="default" w:ascii="Times New Roman" w:hAnsi="Times New Roman" w:cs="Times New Roman"/>
                      <w:bCs/>
                      <w:color w:val="auto"/>
                      <w:sz w:val="21"/>
                      <w:szCs w:val="21"/>
                      <w:highlight w:val="none"/>
                      <w:u w:val="single"/>
                    </w:rPr>
                    <w:t>m；</w:t>
                  </w:r>
                  <w:r>
                    <w:rPr>
                      <w:rFonts w:hint="eastAsia" w:cs="Times New Roman"/>
                      <w:bCs/>
                      <w:color w:val="auto"/>
                      <w:sz w:val="21"/>
                      <w:szCs w:val="21"/>
                      <w:highlight w:val="none"/>
                      <w:u w:val="single"/>
                      <w:lang w:val="en-US" w:eastAsia="zh-CN"/>
                    </w:rPr>
                    <w:t>开采规模为120</w:t>
                  </w:r>
                  <w:r>
                    <w:rPr>
                      <w:rFonts w:hint="default" w:ascii="Times New Roman" w:hAnsi="Times New Roman" w:cs="Times New Roman"/>
                      <w:bCs/>
                      <w:color w:val="auto"/>
                      <w:sz w:val="21"/>
                      <w:szCs w:val="21"/>
                      <w:highlight w:val="none"/>
                      <w:u w:val="single"/>
                    </w:rPr>
                    <w:t>万吨</w:t>
                  </w:r>
                  <w:r>
                    <w:rPr>
                      <w:rFonts w:hint="eastAsia" w:cs="Times New Roman"/>
                      <w:bCs/>
                      <w:color w:val="auto"/>
                      <w:sz w:val="21"/>
                      <w:szCs w:val="21"/>
                      <w:highlight w:val="none"/>
                      <w:u w:val="single"/>
                      <w:lang w:val="en-US" w:eastAsia="zh-CN"/>
                    </w:rPr>
                    <w:t>/年</w:t>
                  </w:r>
                  <w:r>
                    <w:rPr>
                      <w:rFonts w:hint="default" w:ascii="Times New Roman" w:hAnsi="Times New Roman" w:cs="Times New Roman"/>
                      <w:bCs/>
                      <w:color w:val="auto"/>
                      <w:sz w:val="21"/>
                      <w:szCs w:val="21"/>
                      <w:highlight w:val="none"/>
                      <w:u w:val="single"/>
                    </w:rPr>
                    <w:t>。</w:t>
                  </w:r>
                </w:p>
              </w:tc>
              <w:tc>
                <w:tcPr>
                  <w:tcW w:w="1312" w:type="dxa"/>
                  <w:vAlign w:val="center"/>
                </w:tcPr>
                <w:p w14:paraId="08DA486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新建</w:t>
                  </w:r>
                </w:p>
              </w:tc>
            </w:tr>
            <w:tr w14:paraId="0E1F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61ADEE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552D46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排土场</w:t>
                  </w:r>
                </w:p>
              </w:tc>
              <w:tc>
                <w:tcPr>
                  <w:tcW w:w="4860" w:type="dxa"/>
                  <w:vAlign w:val="center"/>
                </w:tcPr>
                <w:p w14:paraId="4D871B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ascii="宋体" w:hAnsi="宋体" w:eastAsia="宋体" w:cs="宋体"/>
                      <w:color w:val="auto"/>
                      <w:kern w:val="0"/>
                      <w:sz w:val="21"/>
                      <w:szCs w:val="21"/>
                      <w:highlight w:val="none"/>
                      <w:u w:val="single"/>
                      <w:lang w:val="en-US" w:eastAsia="zh-CN" w:bidi="ar"/>
                    </w:rPr>
                    <w:t xml:space="preserve">排土场布置在采场西部 </w:t>
                  </w:r>
                  <w:r>
                    <w:rPr>
                      <w:rFonts w:hint="default" w:ascii="Times New Roman" w:hAnsi="Times New Roman" w:eastAsia="宋体" w:cs="Times New Roman"/>
                      <w:color w:val="auto"/>
                      <w:kern w:val="0"/>
                      <w:sz w:val="21"/>
                      <w:szCs w:val="21"/>
                      <w:highlight w:val="none"/>
                      <w:u w:val="single"/>
                      <w:lang w:val="en-US" w:eastAsia="zh-CN" w:bidi="ar"/>
                    </w:rPr>
                    <w:t xml:space="preserve">7 </w:t>
                  </w:r>
                  <w:r>
                    <w:rPr>
                      <w:rFonts w:hint="eastAsia" w:ascii="宋体" w:hAnsi="宋体" w:eastAsia="宋体" w:cs="宋体"/>
                      <w:color w:val="auto"/>
                      <w:kern w:val="0"/>
                      <w:sz w:val="21"/>
                      <w:szCs w:val="21"/>
                      <w:highlight w:val="none"/>
                      <w:u w:val="single"/>
                      <w:lang w:val="en-US" w:eastAsia="zh-CN" w:bidi="ar"/>
                    </w:rPr>
                    <w:t xml:space="preserve">号拐点外洼地处，可排土面积约 </w:t>
                  </w:r>
                  <w:r>
                    <w:rPr>
                      <w:rFonts w:hint="default" w:ascii="Times New Roman" w:hAnsi="Times New Roman" w:eastAsia="宋体" w:cs="Times New Roman"/>
                      <w:color w:val="auto"/>
                      <w:kern w:val="0"/>
                      <w:sz w:val="21"/>
                      <w:szCs w:val="21"/>
                      <w:highlight w:val="none"/>
                      <w:u w:val="single"/>
                      <w:lang w:val="en-US" w:eastAsia="zh-CN" w:bidi="ar"/>
                    </w:rPr>
                    <w:t xml:space="preserve">2.38 </w:t>
                  </w:r>
                  <w:r>
                    <w:rPr>
                      <w:rFonts w:hint="eastAsia" w:ascii="宋体" w:hAnsi="宋体" w:eastAsia="宋体" w:cs="宋体"/>
                      <w:color w:val="auto"/>
                      <w:kern w:val="0"/>
                      <w:sz w:val="21"/>
                      <w:szCs w:val="21"/>
                      <w:highlight w:val="none"/>
                      <w:u w:val="single"/>
                      <w:lang w:val="en-US" w:eastAsia="zh-CN" w:bidi="ar"/>
                    </w:rPr>
                    <w:t xml:space="preserve">万 </w:t>
                  </w:r>
                  <w:r>
                    <w:rPr>
                      <w:rFonts w:hint="default" w:ascii="Times New Roman" w:hAnsi="Times New Roman" w:eastAsia="宋体" w:cs="Times New Roman"/>
                      <w:color w:val="auto"/>
                      <w:kern w:val="0"/>
                      <w:sz w:val="21"/>
                      <w:szCs w:val="21"/>
                      <w:highlight w:val="none"/>
                      <w:u w:val="single"/>
                      <w:lang w:val="en-US" w:eastAsia="zh-CN" w:bidi="ar"/>
                    </w:rPr>
                    <w:t>m</w:t>
                  </w:r>
                  <w:r>
                    <w:rPr>
                      <w:rFonts w:hint="eastAsia" w:ascii="Times New Roman" w:hAnsi="Times New Roman" w:eastAsia="宋体" w:cs="Times New Roman"/>
                      <w:color w:val="auto"/>
                      <w:kern w:val="0"/>
                      <w:sz w:val="21"/>
                      <w:szCs w:val="21"/>
                      <w:highlight w:val="none"/>
                      <w:u w:val="single"/>
                      <w:vertAlign w:val="superscript"/>
                      <w:lang w:val="en-US" w:eastAsia="zh-CN" w:bidi="ar"/>
                    </w:rPr>
                    <w:t>3</w:t>
                  </w:r>
                  <w:r>
                    <w:rPr>
                      <w:rFonts w:hint="default" w:ascii="Times New Roman" w:hAnsi="Times New Roman" w:eastAsia="宋体" w:cs="Times New Roman"/>
                      <w:color w:val="auto"/>
                      <w:kern w:val="0"/>
                      <w:sz w:val="13"/>
                      <w:szCs w:val="13"/>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 xml:space="preserve">，堆高约 </w:t>
                  </w:r>
                  <w:r>
                    <w:rPr>
                      <w:rFonts w:hint="default" w:ascii="Times New Roman" w:hAnsi="Times New Roman" w:eastAsia="宋体" w:cs="Times New Roman"/>
                      <w:color w:val="auto"/>
                      <w:kern w:val="0"/>
                      <w:sz w:val="21"/>
                      <w:szCs w:val="21"/>
                      <w:highlight w:val="none"/>
                      <w:u w:val="single"/>
                      <w:lang w:val="en-US" w:eastAsia="zh-CN" w:bidi="ar"/>
                    </w:rPr>
                    <w:t>15m</w:t>
                  </w:r>
                  <w:r>
                    <w:rPr>
                      <w:rFonts w:hint="eastAsia" w:ascii="宋体" w:hAnsi="宋体" w:eastAsia="宋体" w:cs="宋体"/>
                      <w:color w:val="auto"/>
                      <w:kern w:val="0"/>
                      <w:sz w:val="21"/>
                      <w:szCs w:val="21"/>
                      <w:highlight w:val="none"/>
                      <w:u w:val="single"/>
                      <w:lang w:val="en-US" w:eastAsia="zh-CN" w:bidi="ar"/>
                    </w:rPr>
                    <w:t xml:space="preserve">，总容积约 </w:t>
                  </w:r>
                  <w:r>
                    <w:rPr>
                      <w:rFonts w:hint="default" w:ascii="Times New Roman" w:hAnsi="Times New Roman" w:eastAsia="宋体" w:cs="Times New Roman"/>
                      <w:color w:val="auto"/>
                      <w:kern w:val="0"/>
                      <w:sz w:val="21"/>
                      <w:szCs w:val="21"/>
                      <w:highlight w:val="none"/>
                      <w:u w:val="single"/>
                      <w:lang w:val="en-US" w:eastAsia="zh-CN" w:bidi="ar"/>
                    </w:rPr>
                    <w:t xml:space="preserve">23.44 </w:t>
                  </w:r>
                  <w:r>
                    <w:rPr>
                      <w:rFonts w:hint="eastAsia" w:ascii="宋体" w:hAnsi="宋体" w:eastAsia="宋体" w:cs="宋体"/>
                      <w:color w:val="auto"/>
                      <w:kern w:val="0"/>
                      <w:sz w:val="21"/>
                      <w:szCs w:val="21"/>
                      <w:highlight w:val="none"/>
                      <w:u w:val="single"/>
                      <w:lang w:val="en-US" w:eastAsia="zh-CN" w:bidi="ar"/>
                    </w:rPr>
                    <w:t xml:space="preserve">万 </w:t>
                  </w:r>
                  <w:r>
                    <w:rPr>
                      <w:rFonts w:hint="default" w:ascii="Times New Roman" w:hAnsi="Times New Roman" w:eastAsia="宋体" w:cs="Times New Roman"/>
                      <w:color w:val="auto"/>
                      <w:kern w:val="0"/>
                      <w:sz w:val="21"/>
                      <w:szCs w:val="21"/>
                      <w:highlight w:val="none"/>
                      <w:u w:val="single"/>
                      <w:lang w:val="en-US" w:eastAsia="zh-CN" w:bidi="ar"/>
                    </w:rPr>
                    <w:t>m</w:t>
                  </w:r>
                  <w:r>
                    <w:rPr>
                      <w:rFonts w:hint="eastAsia" w:ascii="宋体" w:hAnsi="宋体" w:eastAsia="宋体" w:cs="宋体"/>
                      <w:color w:val="auto"/>
                      <w:kern w:val="0"/>
                      <w:sz w:val="21"/>
                      <w:szCs w:val="21"/>
                      <w:highlight w:val="none"/>
                      <w:u w:val="single"/>
                      <w:lang w:val="en-US" w:eastAsia="zh-CN" w:bidi="ar"/>
                    </w:rPr>
                    <w:t>³</w:t>
                  </w:r>
                  <w:r>
                    <w:rPr>
                      <w:rFonts w:hint="eastAsia" w:cs="Times New Roman"/>
                      <w:bCs/>
                      <w:color w:val="auto"/>
                      <w:sz w:val="21"/>
                      <w:szCs w:val="21"/>
                      <w:highlight w:val="none"/>
                      <w:u w:val="single"/>
                      <w:lang w:eastAsia="zh-CN"/>
                    </w:rPr>
                    <w:t>。</w:t>
                  </w:r>
                </w:p>
              </w:tc>
              <w:tc>
                <w:tcPr>
                  <w:tcW w:w="1312" w:type="dxa"/>
                  <w:vAlign w:val="center"/>
                </w:tcPr>
                <w:p w14:paraId="1EB7FC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新建</w:t>
                  </w:r>
                </w:p>
              </w:tc>
            </w:tr>
            <w:tr w14:paraId="131B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Align w:val="center"/>
                </w:tcPr>
                <w:p w14:paraId="44B9BD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辅助工程</w:t>
                  </w:r>
                </w:p>
              </w:tc>
              <w:tc>
                <w:tcPr>
                  <w:tcW w:w="1003" w:type="dxa"/>
                  <w:vAlign w:val="center"/>
                </w:tcPr>
                <w:p w14:paraId="206C771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办公生活区</w:t>
                  </w:r>
                </w:p>
              </w:tc>
              <w:tc>
                <w:tcPr>
                  <w:tcW w:w="4860" w:type="dxa"/>
                  <w:vAlign w:val="center"/>
                </w:tcPr>
                <w:p w14:paraId="2EF44A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位于矿区</w:t>
                  </w:r>
                  <w:r>
                    <w:rPr>
                      <w:rFonts w:hint="eastAsia" w:cs="Times New Roman"/>
                      <w:bCs/>
                      <w:color w:val="auto"/>
                      <w:sz w:val="21"/>
                      <w:szCs w:val="21"/>
                      <w:highlight w:val="none"/>
                      <w:u w:val="single"/>
                      <w:lang w:val="en-US" w:eastAsia="zh-CN"/>
                    </w:rPr>
                    <w:t>东</w:t>
                  </w:r>
                  <w:r>
                    <w:rPr>
                      <w:rFonts w:hint="default" w:ascii="Times New Roman" w:hAnsi="Times New Roman" w:cs="Times New Roman"/>
                      <w:bCs/>
                      <w:color w:val="auto"/>
                      <w:sz w:val="21"/>
                      <w:szCs w:val="21"/>
                      <w:highlight w:val="none"/>
                      <w:u w:val="single"/>
                    </w:rPr>
                    <w:t>侧，占地面积</w:t>
                  </w:r>
                  <w:r>
                    <w:rPr>
                      <w:rFonts w:hint="eastAsia" w:cs="Times New Roman"/>
                      <w:bCs/>
                      <w:color w:val="auto"/>
                      <w:sz w:val="21"/>
                      <w:szCs w:val="21"/>
                      <w:highlight w:val="none"/>
                      <w:u w:val="single"/>
                      <w:lang w:val="en-US" w:eastAsia="zh-CN"/>
                    </w:rPr>
                    <w:t>976</w:t>
                  </w:r>
                  <w:r>
                    <w:rPr>
                      <w:rFonts w:hint="default" w:ascii="Times New Roman" w:hAnsi="Times New Roman" w:cs="Times New Roman"/>
                      <w:bCs/>
                      <w:color w:val="auto"/>
                      <w:sz w:val="21"/>
                      <w:szCs w:val="21"/>
                      <w:highlight w:val="none"/>
                      <w:u w:val="single"/>
                    </w:rPr>
                    <w:t>m</w:t>
                  </w:r>
                  <w:r>
                    <w:rPr>
                      <w:rFonts w:hint="default" w:ascii="Times New Roman" w:hAnsi="Times New Roman" w:cs="Times New Roman"/>
                      <w:bCs/>
                      <w:color w:val="auto"/>
                      <w:sz w:val="21"/>
                      <w:szCs w:val="21"/>
                      <w:highlight w:val="none"/>
                      <w:u w:val="single"/>
                      <w:vertAlign w:val="superscript"/>
                    </w:rPr>
                    <w:t>2</w:t>
                  </w:r>
                  <w:r>
                    <w:rPr>
                      <w:rFonts w:hint="eastAsia" w:cs="Times New Roman"/>
                      <w:bCs/>
                      <w:color w:val="auto"/>
                      <w:sz w:val="21"/>
                      <w:szCs w:val="21"/>
                      <w:highlight w:val="none"/>
                      <w:u w:val="single"/>
                      <w:vertAlign w:val="baseline"/>
                      <w:lang w:eastAsia="zh-CN"/>
                    </w:rPr>
                    <w:t>，</w:t>
                  </w:r>
                  <w:r>
                    <w:rPr>
                      <w:rFonts w:hint="eastAsia" w:cs="Times New Roman"/>
                      <w:bCs/>
                      <w:color w:val="auto"/>
                      <w:sz w:val="21"/>
                      <w:szCs w:val="21"/>
                      <w:highlight w:val="none"/>
                      <w:u w:val="single"/>
                      <w:vertAlign w:val="baseline"/>
                      <w:lang w:val="en-US" w:eastAsia="zh-CN"/>
                    </w:rPr>
                    <w:t>共一层，砖混结构，设食堂、办公室、宿舍等。</w:t>
                  </w:r>
                </w:p>
              </w:tc>
              <w:tc>
                <w:tcPr>
                  <w:tcW w:w="1312" w:type="dxa"/>
                  <w:vAlign w:val="center"/>
                </w:tcPr>
                <w:p w14:paraId="0A0824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依托芦桥采石场原有</w:t>
                  </w:r>
                </w:p>
              </w:tc>
            </w:tr>
            <w:tr w14:paraId="3905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6DF6A3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公用工程</w:t>
                  </w:r>
                </w:p>
              </w:tc>
              <w:tc>
                <w:tcPr>
                  <w:tcW w:w="1003" w:type="dxa"/>
                  <w:vAlign w:val="center"/>
                </w:tcPr>
                <w:p w14:paraId="25F9A2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供电</w:t>
                  </w:r>
                </w:p>
              </w:tc>
              <w:tc>
                <w:tcPr>
                  <w:tcW w:w="4860" w:type="dxa"/>
                  <w:vAlign w:val="center"/>
                </w:tcPr>
                <w:p w14:paraId="3C3E02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接乡镇供电系统</w:t>
                  </w:r>
                </w:p>
              </w:tc>
              <w:tc>
                <w:tcPr>
                  <w:tcW w:w="1312" w:type="dxa"/>
                  <w:vAlign w:val="center"/>
                </w:tcPr>
                <w:p w14:paraId="7C677C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依托现有</w:t>
                  </w:r>
                </w:p>
              </w:tc>
            </w:tr>
            <w:tr w14:paraId="5092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4D7536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394B2F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供水</w:t>
                  </w:r>
                </w:p>
              </w:tc>
              <w:tc>
                <w:tcPr>
                  <w:tcW w:w="4860" w:type="dxa"/>
                  <w:vAlign w:val="center"/>
                </w:tcPr>
                <w:p w14:paraId="1F6778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接</w:t>
                  </w:r>
                  <w:r>
                    <w:rPr>
                      <w:rFonts w:hint="eastAsia" w:cs="Times New Roman"/>
                      <w:bCs/>
                      <w:color w:val="auto"/>
                      <w:sz w:val="21"/>
                      <w:szCs w:val="21"/>
                      <w:highlight w:val="none"/>
                      <w:u w:val="single"/>
                      <w:lang w:val="en-US" w:eastAsia="zh-CN"/>
                    </w:rPr>
                    <w:t>乡镇水厂</w:t>
                  </w:r>
                  <w:r>
                    <w:rPr>
                      <w:rFonts w:hint="default" w:ascii="Times New Roman" w:hAnsi="Times New Roman" w:cs="Times New Roman"/>
                      <w:bCs/>
                      <w:color w:val="auto"/>
                      <w:sz w:val="21"/>
                      <w:szCs w:val="21"/>
                      <w:highlight w:val="none"/>
                      <w:u w:val="single"/>
                    </w:rPr>
                    <w:t>供水</w:t>
                  </w:r>
                  <w:r>
                    <w:rPr>
                      <w:rFonts w:hint="eastAsia" w:cs="Times New Roman"/>
                      <w:bCs/>
                      <w:color w:val="auto"/>
                      <w:sz w:val="21"/>
                      <w:szCs w:val="21"/>
                      <w:highlight w:val="none"/>
                      <w:u w:val="single"/>
                      <w:lang w:val="en-US" w:eastAsia="zh-CN"/>
                    </w:rPr>
                    <w:t>管网</w:t>
                  </w:r>
                </w:p>
              </w:tc>
              <w:tc>
                <w:tcPr>
                  <w:tcW w:w="1312" w:type="dxa"/>
                  <w:vAlign w:val="center"/>
                </w:tcPr>
                <w:p w14:paraId="03608F9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依托现有</w:t>
                  </w:r>
                </w:p>
              </w:tc>
            </w:tr>
            <w:tr w14:paraId="7471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12E699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145450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排水</w:t>
                  </w:r>
                </w:p>
              </w:tc>
              <w:tc>
                <w:tcPr>
                  <w:tcW w:w="4860" w:type="dxa"/>
                  <w:vAlign w:val="center"/>
                </w:tcPr>
                <w:p w14:paraId="282AEB7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color w:val="auto"/>
                      <w:sz w:val="21"/>
                      <w:szCs w:val="21"/>
                      <w:highlight w:val="none"/>
                      <w:u w:val="single"/>
                      <w:lang w:val="en-US" w:eastAsia="zh-CN"/>
                    </w:rPr>
                    <w:t>矿区及排土场分别</w:t>
                  </w:r>
                  <w:r>
                    <w:rPr>
                      <w:rFonts w:hint="eastAsia" w:ascii="Times New Roman" w:hAnsi="Times New Roman" w:eastAsia="宋体" w:cs="Times New Roman"/>
                      <w:color w:val="auto"/>
                      <w:sz w:val="21"/>
                      <w:szCs w:val="21"/>
                      <w:highlight w:val="none"/>
                      <w:u w:val="single"/>
                      <w:lang w:val="en-US" w:eastAsia="zh-CN"/>
                    </w:rPr>
                    <w:t>设置</w:t>
                  </w:r>
                  <w:r>
                    <w:rPr>
                      <w:rFonts w:hint="eastAsia" w:cs="Times New Roman"/>
                      <w:bCs/>
                      <w:color w:val="auto"/>
                      <w:sz w:val="21"/>
                      <w:szCs w:val="21"/>
                      <w:highlight w:val="none"/>
                      <w:u w:val="single"/>
                      <w:lang w:val="en-US" w:eastAsia="zh-CN"/>
                    </w:rPr>
                    <w:t>截洪沟、</w:t>
                  </w:r>
                  <w:r>
                    <w:rPr>
                      <w:rFonts w:hint="eastAsia" w:ascii="Times New Roman" w:hAnsi="Times New Roman" w:eastAsia="宋体" w:cs="Times New Roman"/>
                      <w:color w:val="auto"/>
                      <w:sz w:val="21"/>
                      <w:szCs w:val="21"/>
                      <w:highlight w:val="none"/>
                      <w:u w:val="single"/>
                      <w:lang w:val="en-US" w:eastAsia="zh-CN"/>
                    </w:rPr>
                    <w:t>沉淀池</w:t>
                  </w:r>
                  <w:r>
                    <w:rPr>
                      <w:rFonts w:hint="eastAsia" w:cs="Times New Roman"/>
                      <w:color w:val="auto"/>
                      <w:sz w:val="21"/>
                      <w:szCs w:val="21"/>
                      <w:highlight w:val="none"/>
                      <w:u w:val="single"/>
                      <w:lang w:val="en-US" w:eastAsia="zh-CN"/>
                    </w:rPr>
                    <w:t>，雨水收集经沉淀处理后</w:t>
                  </w:r>
                  <w:r>
                    <w:rPr>
                      <w:rFonts w:hint="eastAsia" w:ascii="Times New Roman" w:hAnsi="Times New Roman" w:eastAsia="宋体" w:cs="Times New Roman"/>
                      <w:color w:val="auto"/>
                      <w:sz w:val="21"/>
                      <w:szCs w:val="21"/>
                      <w:highlight w:val="none"/>
                      <w:u w:val="single"/>
                      <w:lang w:val="en-US" w:eastAsia="zh-CN"/>
                    </w:rPr>
                    <w:t>回用于洒水降尘，不外排</w:t>
                  </w:r>
                  <w:r>
                    <w:rPr>
                      <w:rFonts w:hint="eastAsia" w:cs="Times New Roman"/>
                      <w:color w:val="auto"/>
                      <w:sz w:val="21"/>
                      <w:szCs w:val="21"/>
                      <w:highlight w:val="none"/>
                      <w:u w:val="single"/>
                      <w:lang w:val="en-US" w:eastAsia="zh-CN"/>
                    </w:rPr>
                    <w:t>；</w:t>
                  </w:r>
                  <w:r>
                    <w:rPr>
                      <w:rFonts w:hint="default" w:ascii="Times New Roman" w:hAnsi="Times New Roman" w:eastAsia="宋体" w:cs="Times New Roman"/>
                      <w:color w:val="auto"/>
                      <w:sz w:val="21"/>
                      <w:szCs w:val="21"/>
                      <w:highlight w:val="none"/>
                      <w:u w:val="single"/>
                    </w:rPr>
                    <w:t>生活污水经化粪池处理后用于周边</w:t>
                  </w:r>
                  <w:r>
                    <w:rPr>
                      <w:rFonts w:hint="eastAsia" w:ascii="Times New Roman" w:hAnsi="Times New Roman" w:eastAsia="宋体" w:cs="Times New Roman"/>
                      <w:color w:val="auto"/>
                      <w:sz w:val="21"/>
                      <w:szCs w:val="21"/>
                      <w:highlight w:val="none"/>
                      <w:u w:val="single"/>
                      <w:lang w:val="en-US" w:eastAsia="zh-CN"/>
                    </w:rPr>
                    <w:t>农业灌溉</w:t>
                  </w:r>
                  <w:r>
                    <w:rPr>
                      <w:rFonts w:hint="eastAsia" w:cs="Times New Roman"/>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rPr>
                    <w:t>洗车废</w:t>
                  </w:r>
                  <w:r>
                    <w:rPr>
                      <w:rFonts w:hint="default" w:ascii="Times New Roman" w:hAnsi="Times New Roman" w:cs="Times New Roman"/>
                      <w:color w:val="auto"/>
                      <w:sz w:val="21"/>
                      <w:szCs w:val="21"/>
                      <w:highlight w:val="none"/>
                      <w:u w:val="single"/>
                    </w:rPr>
                    <w:t>水</w:t>
                  </w:r>
                  <w:r>
                    <w:rPr>
                      <w:rFonts w:hint="eastAsia" w:cs="Times New Roman"/>
                      <w:color w:val="auto"/>
                      <w:sz w:val="21"/>
                      <w:szCs w:val="21"/>
                      <w:highlight w:val="none"/>
                      <w:u w:val="single"/>
                      <w:lang w:val="en-US" w:eastAsia="zh-CN"/>
                    </w:rPr>
                    <w:t>经</w:t>
                  </w:r>
                  <w:r>
                    <w:rPr>
                      <w:rFonts w:hint="default" w:ascii="Times New Roman" w:hAnsi="Times New Roman" w:cs="Times New Roman"/>
                      <w:color w:val="auto"/>
                      <w:sz w:val="21"/>
                      <w:szCs w:val="21"/>
                      <w:highlight w:val="none"/>
                      <w:u w:val="single"/>
                    </w:rPr>
                    <w:t>沉淀</w:t>
                  </w:r>
                  <w:r>
                    <w:rPr>
                      <w:rFonts w:hint="eastAsia" w:cs="Times New Roman"/>
                      <w:color w:val="auto"/>
                      <w:sz w:val="21"/>
                      <w:szCs w:val="21"/>
                      <w:highlight w:val="none"/>
                      <w:u w:val="single"/>
                      <w:lang w:val="en-US" w:eastAsia="zh-CN"/>
                    </w:rPr>
                    <w:t>后</w:t>
                  </w:r>
                  <w:r>
                    <w:rPr>
                      <w:rFonts w:hint="default" w:ascii="Times New Roman" w:hAnsi="Times New Roman" w:cs="Times New Roman"/>
                      <w:color w:val="auto"/>
                      <w:sz w:val="21"/>
                      <w:szCs w:val="21"/>
                      <w:highlight w:val="none"/>
                      <w:u w:val="single"/>
                    </w:rPr>
                    <w:t>回用</w:t>
                  </w:r>
                  <w:r>
                    <w:rPr>
                      <w:rFonts w:hint="eastAsia" w:cs="Times New Roman"/>
                      <w:color w:val="auto"/>
                      <w:sz w:val="21"/>
                      <w:szCs w:val="21"/>
                      <w:highlight w:val="none"/>
                      <w:u w:val="single"/>
                      <w:lang w:val="en-US" w:eastAsia="zh-CN"/>
                    </w:rPr>
                    <w:t>。</w:t>
                  </w:r>
                </w:p>
              </w:tc>
              <w:tc>
                <w:tcPr>
                  <w:tcW w:w="1312" w:type="dxa"/>
                  <w:vAlign w:val="center"/>
                </w:tcPr>
                <w:p w14:paraId="14C46FB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cs="Times New Roman"/>
                      <w:bCs/>
                      <w:color w:val="auto"/>
                      <w:sz w:val="21"/>
                      <w:szCs w:val="21"/>
                      <w:highlight w:val="none"/>
                      <w:u w:val="single"/>
                      <w:lang w:val="en-US" w:eastAsia="zh-CN"/>
                    </w:rPr>
                    <w:t>新建</w:t>
                  </w:r>
                </w:p>
              </w:tc>
            </w:tr>
            <w:tr w14:paraId="4173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3BBC1C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环保工程</w:t>
                  </w:r>
                </w:p>
              </w:tc>
              <w:tc>
                <w:tcPr>
                  <w:tcW w:w="1003" w:type="dxa"/>
                  <w:vAlign w:val="center"/>
                </w:tcPr>
                <w:p w14:paraId="744D01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废气</w:t>
                  </w:r>
                </w:p>
              </w:tc>
              <w:tc>
                <w:tcPr>
                  <w:tcW w:w="4860" w:type="dxa"/>
                  <w:vAlign w:val="center"/>
                </w:tcPr>
                <w:p w14:paraId="6CDDA5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eastAsia="zh-CN"/>
                    </w:rPr>
                  </w:pPr>
                  <w:r>
                    <w:rPr>
                      <w:rFonts w:hint="default" w:ascii="Times New Roman" w:hAnsi="Times New Roman" w:cs="Times New Roman"/>
                      <w:bCs/>
                      <w:color w:val="auto"/>
                      <w:sz w:val="21"/>
                      <w:szCs w:val="21"/>
                      <w:highlight w:val="none"/>
                      <w:u w:val="single"/>
                    </w:rPr>
                    <w:t>表土剥离粉尘：表土剥离前对表土进行洒水抑尘</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凿岩钻孔</w:t>
                  </w:r>
                  <w:r>
                    <w:rPr>
                      <w:rFonts w:hint="default" w:ascii="Times New Roman" w:hAnsi="Times New Roman" w:cs="Times New Roman"/>
                      <w:bCs/>
                      <w:color w:val="auto"/>
                      <w:sz w:val="21"/>
                      <w:szCs w:val="21"/>
                      <w:highlight w:val="none"/>
                      <w:u w:val="single"/>
                    </w:rPr>
                    <w:t>粉尘：洒水车喷水雾抑尘</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破碎锤破碎粉尘：洒水抑尘；</w:t>
                  </w:r>
                  <w:r>
                    <w:rPr>
                      <w:rFonts w:hint="default" w:ascii="Times New Roman" w:hAnsi="Times New Roman" w:cs="Times New Roman"/>
                      <w:bCs/>
                      <w:color w:val="auto"/>
                      <w:sz w:val="21"/>
                      <w:szCs w:val="21"/>
                      <w:highlight w:val="none"/>
                      <w:u w:val="single"/>
                    </w:rPr>
                    <w:t>运输粉尘：车辆限速，洒水车洒水抑尘</w:t>
                  </w:r>
                  <w:r>
                    <w:rPr>
                      <w:rFonts w:hint="eastAsia" w:cs="Times New Roman"/>
                      <w:bCs/>
                      <w:color w:val="auto"/>
                      <w:sz w:val="21"/>
                      <w:szCs w:val="21"/>
                      <w:highlight w:val="none"/>
                      <w:u w:val="single"/>
                      <w:lang w:eastAsia="zh-CN"/>
                    </w:rPr>
                    <w:t>；排土场</w:t>
                  </w:r>
                  <w:r>
                    <w:rPr>
                      <w:rFonts w:hint="default" w:ascii="Times New Roman" w:hAnsi="Times New Roman" w:cs="Times New Roman"/>
                      <w:bCs/>
                      <w:color w:val="auto"/>
                      <w:sz w:val="21"/>
                      <w:szCs w:val="21"/>
                      <w:highlight w:val="none"/>
                      <w:u w:val="single"/>
                    </w:rPr>
                    <w:t>粉尘：洒水车洒水、覆盖防尘网</w:t>
                  </w:r>
                </w:p>
              </w:tc>
              <w:tc>
                <w:tcPr>
                  <w:tcW w:w="1312" w:type="dxa"/>
                  <w:vAlign w:val="center"/>
                </w:tcPr>
                <w:p w14:paraId="7DBA47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新建</w:t>
                  </w:r>
                </w:p>
              </w:tc>
            </w:tr>
            <w:tr w14:paraId="43D9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77C82C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485ACD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废水</w:t>
                  </w:r>
                </w:p>
              </w:tc>
              <w:tc>
                <w:tcPr>
                  <w:tcW w:w="4860" w:type="dxa"/>
                  <w:vAlign w:val="center"/>
                </w:tcPr>
                <w:p w14:paraId="76BC5F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bCs/>
                      <w:color w:val="auto"/>
                      <w:sz w:val="21"/>
                      <w:szCs w:val="21"/>
                      <w:highlight w:val="none"/>
                      <w:u w:val="single"/>
                      <w:lang w:val="en-US" w:eastAsia="zh-CN"/>
                    </w:rPr>
                  </w:pPr>
                  <w:r>
                    <w:rPr>
                      <w:rFonts w:hint="eastAsia" w:cs="Times New Roman"/>
                      <w:color w:val="auto"/>
                      <w:sz w:val="21"/>
                      <w:szCs w:val="21"/>
                      <w:highlight w:val="none"/>
                      <w:u w:val="single"/>
                      <w:lang w:val="en-US" w:eastAsia="zh-CN"/>
                    </w:rPr>
                    <w:t>矿区及排土场分别</w:t>
                  </w:r>
                  <w:r>
                    <w:rPr>
                      <w:rFonts w:hint="eastAsia" w:ascii="Times New Roman" w:hAnsi="Times New Roman" w:eastAsia="宋体" w:cs="Times New Roman"/>
                      <w:color w:val="auto"/>
                      <w:sz w:val="21"/>
                      <w:szCs w:val="21"/>
                      <w:highlight w:val="none"/>
                      <w:u w:val="single"/>
                      <w:lang w:val="en-US" w:eastAsia="zh-CN"/>
                    </w:rPr>
                    <w:t>设置</w:t>
                  </w:r>
                  <w:r>
                    <w:rPr>
                      <w:rFonts w:hint="eastAsia" w:cs="Times New Roman"/>
                      <w:bCs/>
                      <w:color w:val="auto"/>
                      <w:sz w:val="21"/>
                      <w:szCs w:val="21"/>
                      <w:highlight w:val="none"/>
                      <w:u w:val="single"/>
                      <w:lang w:val="en-US" w:eastAsia="zh-CN"/>
                    </w:rPr>
                    <w:t>截洪沟、</w:t>
                  </w:r>
                  <w:r>
                    <w:rPr>
                      <w:rFonts w:hint="eastAsia" w:ascii="Times New Roman" w:hAnsi="Times New Roman" w:eastAsia="宋体" w:cs="Times New Roman"/>
                      <w:color w:val="auto"/>
                      <w:sz w:val="21"/>
                      <w:szCs w:val="21"/>
                      <w:highlight w:val="none"/>
                      <w:u w:val="single"/>
                      <w:lang w:val="en-US" w:eastAsia="zh-CN"/>
                    </w:rPr>
                    <w:t>沉淀池</w:t>
                  </w:r>
                  <w:r>
                    <w:rPr>
                      <w:rFonts w:hint="eastAsia" w:cs="Times New Roman"/>
                      <w:color w:val="auto"/>
                      <w:sz w:val="21"/>
                      <w:szCs w:val="21"/>
                      <w:highlight w:val="none"/>
                      <w:u w:val="single"/>
                      <w:lang w:val="en-US" w:eastAsia="zh-CN"/>
                    </w:rPr>
                    <w:t>，雨水收集经沉淀处理后</w:t>
                  </w:r>
                  <w:r>
                    <w:rPr>
                      <w:rFonts w:hint="eastAsia" w:ascii="Times New Roman" w:hAnsi="Times New Roman" w:eastAsia="宋体" w:cs="Times New Roman"/>
                      <w:color w:val="auto"/>
                      <w:sz w:val="21"/>
                      <w:szCs w:val="21"/>
                      <w:highlight w:val="none"/>
                      <w:u w:val="single"/>
                      <w:lang w:val="en-US" w:eastAsia="zh-CN"/>
                    </w:rPr>
                    <w:t>回用于洒水降尘，不外排</w:t>
                  </w:r>
                  <w:r>
                    <w:rPr>
                      <w:rFonts w:hint="eastAsia" w:cs="Times New Roman"/>
                      <w:color w:val="auto"/>
                      <w:sz w:val="21"/>
                      <w:szCs w:val="21"/>
                      <w:highlight w:val="none"/>
                      <w:u w:val="single"/>
                      <w:lang w:val="en-US" w:eastAsia="zh-CN"/>
                    </w:rPr>
                    <w:t>；</w:t>
                  </w:r>
                  <w:r>
                    <w:rPr>
                      <w:rFonts w:hint="default" w:ascii="Times New Roman" w:hAnsi="Times New Roman" w:eastAsia="宋体" w:cs="Times New Roman"/>
                      <w:color w:val="auto"/>
                      <w:sz w:val="21"/>
                      <w:szCs w:val="21"/>
                      <w:highlight w:val="none"/>
                      <w:u w:val="single"/>
                    </w:rPr>
                    <w:t>生活污水经化粪池处理后用于周边</w:t>
                  </w:r>
                  <w:r>
                    <w:rPr>
                      <w:rFonts w:hint="eastAsia" w:ascii="Times New Roman" w:hAnsi="Times New Roman" w:eastAsia="宋体" w:cs="Times New Roman"/>
                      <w:color w:val="auto"/>
                      <w:sz w:val="21"/>
                      <w:szCs w:val="21"/>
                      <w:highlight w:val="none"/>
                      <w:u w:val="single"/>
                      <w:lang w:val="en-US" w:eastAsia="zh-CN"/>
                    </w:rPr>
                    <w:t>农业灌溉</w:t>
                  </w:r>
                  <w:r>
                    <w:rPr>
                      <w:rFonts w:hint="eastAsia" w:cs="Times New Roman"/>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rPr>
                    <w:t>洗车废</w:t>
                  </w:r>
                  <w:r>
                    <w:rPr>
                      <w:rFonts w:hint="default" w:ascii="Times New Roman" w:hAnsi="Times New Roman" w:cs="Times New Roman"/>
                      <w:color w:val="auto"/>
                      <w:sz w:val="21"/>
                      <w:szCs w:val="21"/>
                      <w:highlight w:val="none"/>
                      <w:u w:val="single"/>
                    </w:rPr>
                    <w:t>水</w:t>
                  </w:r>
                  <w:r>
                    <w:rPr>
                      <w:rFonts w:hint="eastAsia" w:cs="Times New Roman"/>
                      <w:color w:val="auto"/>
                      <w:sz w:val="21"/>
                      <w:szCs w:val="21"/>
                      <w:highlight w:val="none"/>
                      <w:u w:val="single"/>
                      <w:lang w:val="en-US" w:eastAsia="zh-CN"/>
                    </w:rPr>
                    <w:t>经</w:t>
                  </w:r>
                  <w:r>
                    <w:rPr>
                      <w:rFonts w:hint="default" w:ascii="Times New Roman" w:hAnsi="Times New Roman" w:cs="Times New Roman"/>
                      <w:color w:val="auto"/>
                      <w:sz w:val="21"/>
                      <w:szCs w:val="21"/>
                      <w:highlight w:val="none"/>
                      <w:u w:val="single"/>
                    </w:rPr>
                    <w:t>沉淀</w:t>
                  </w:r>
                  <w:r>
                    <w:rPr>
                      <w:rFonts w:hint="eastAsia" w:cs="Times New Roman"/>
                      <w:color w:val="auto"/>
                      <w:sz w:val="21"/>
                      <w:szCs w:val="21"/>
                      <w:highlight w:val="none"/>
                      <w:u w:val="single"/>
                      <w:lang w:val="en-US" w:eastAsia="zh-CN"/>
                    </w:rPr>
                    <w:t>后</w:t>
                  </w:r>
                  <w:r>
                    <w:rPr>
                      <w:rFonts w:hint="default" w:ascii="Times New Roman" w:hAnsi="Times New Roman" w:cs="Times New Roman"/>
                      <w:color w:val="auto"/>
                      <w:sz w:val="21"/>
                      <w:szCs w:val="21"/>
                      <w:highlight w:val="none"/>
                      <w:u w:val="single"/>
                    </w:rPr>
                    <w:t>回用</w:t>
                  </w:r>
                  <w:r>
                    <w:rPr>
                      <w:rFonts w:hint="eastAsia" w:cs="Times New Roman"/>
                      <w:color w:val="auto"/>
                      <w:sz w:val="21"/>
                      <w:szCs w:val="21"/>
                      <w:highlight w:val="none"/>
                      <w:u w:val="single"/>
                      <w:lang w:val="en-US" w:eastAsia="zh-CN"/>
                    </w:rPr>
                    <w:t>。</w:t>
                  </w:r>
                </w:p>
              </w:tc>
              <w:tc>
                <w:tcPr>
                  <w:tcW w:w="1312" w:type="dxa"/>
                  <w:vAlign w:val="center"/>
                </w:tcPr>
                <w:p w14:paraId="79BEF1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cs="Times New Roman"/>
                      <w:bCs/>
                      <w:color w:val="auto"/>
                      <w:sz w:val="21"/>
                      <w:szCs w:val="21"/>
                      <w:highlight w:val="none"/>
                      <w:u w:val="single"/>
                      <w:lang w:val="en-US" w:eastAsia="zh-CN"/>
                    </w:rPr>
                    <w:t>新建</w:t>
                  </w:r>
                </w:p>
              </w:tc>
            </w:tr>
            <w:tr w14:paraId="0B29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29F41B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5D490D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噪声</w:t>
                  </w:r>
                </w:p>
              </w:tc>
              <w:tc>
                <w:tcPr>
                  <w:tcW w:w="4860" w:type="dxa"/>
                  <w:vAlign w:val="center"/>
                </w:tcPr>
                <w:p w14:paraId="43154E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选用低噪设备、合理布局，并加强设备保养</w:t>
                  </w:r>
                  <w:r>
                    <w:rPr>
                      <w:rFonts w:hint="eastAsia" w:ascii="Times New Roman" w:hAnsi="Times New Roman" w:eastAsia="宋体" w:cs="Times New Roman"/>
                      <w:bCs/>
                      <w:color w:val="auto"/>
                      <w:sz w:val="21"/>
                      <w:szCs w:val="21"/>
                      <w:highlight w:val="none"/>
                      <w:u w:val="single"/>
                      <w:lang w:eastAsia="zh-CN"/>
                    </w:rPr>
                    <w:t>；</w:t>
                  </w:r>
                  <w:r>
                    <w:rPr>
                      <w:rFonts w:hint="eastAsia" w:ascii="Times New Roman" w:hAnsi="Times New Roman" w:eastAsia="宋体" w:cs="Times New Roman"/>
                      <w:bCs/>
                      <w:color w:val="auto"/>
                      <w:sz w:val="21"/>
                      <w:szCs w:val="21"/>
                      <w:highlight w:val="none"/>
                      <w:u w:val="single"/>
                    </w:rPr>
                    <w:t>注意控制车速，定期保养和大修高噪声车辆消声器、刹车结构、发动机罩、车体板件等涉噪设备</w:t>
                  </w:r>
                  <w:r>
                    <w:rPr>
                      <w:rFonts w:hint="eastAsia" w:ascii="Times New Roman" w:hAnsi="Times New Roman" w:eastAsia="宋体"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运输车</w:t>
                  </w:r>
                  <w:r>
                    <w:rPr>
                      <w:rFonts w:hint="default" w:ascii="Times New Roman" w:hAnsi="Times New Roman" w:cs="Times New Roman"/>
                      <w:bCs/>
                      <w:color w:val="auto"/>
                      <w:sz w:val="21"/>
                      <w:szCs w:val="21"/>
                      <w:highlight w:val="none"/>
                      <w:u w:val="single"/>
                    </w:rPr>
                    <w:t>辆经过村民区限速限载、禁鸣等</w:t>
                  </w:r>
                  <w:r>
                    <w:rPr>
                      <w:rFonts w:hint="eastAsia" w:cs="Times New Roman"/>
                      <w:bCs/>
                      <w:color w:val="auto"/>
                      <w:sz w:val="21"/>
                      <w:szCs w:val="21"/>
                      <w:highlight w:val="none"/>
                      <w:u w:val="single"/>
                      <w:lang w:eastAsia="zh-CN"/>
                    </w:rPr>
                    <w:t>。</w:t>
                  </w:r>
                </w:p>
              </w:tc>
              <w:tc>
                <w:tcPr>
                  <w:tcW w:w="1312" w:type="dxa"/>
                  <w:vAlign w:val="center"/>
                </w:tcPr>
                <w:p w14:paraId="3E6FC4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新建</w:t>
                  </w:r>
                </w:p>
              </w:tc>
            </w:tr>
            <w:tr w14:paraId="21F6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CB919D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70EEC6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固废</w:t>
                  </w:r>
                </w:p>
              </w:tc>
              <w:tc>
                <w:tcPr>
                  <w:tcW w:w="4860" w:type="dxa"/>
                  <w:vAlign w:val="center"/>
                </w:tcPr>
                <w:p w14:paraId="2CCA4A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rPr>
                    <w:t>表土剥离后土石分离的废土收集于</w:t>
                  </w:r>
                  <w:r>
                    <w:rPr>
                      <w:rFonts w:hint="eastAsia" w:cs="Times New Roman"/>
                      <w:bCs/>
                      <w:color w:val="auto"/>
                      <w:sz w:val="21"/>
                      <w:szCs w:val="21"/>
                      <w:highlight w:val="none"/>
                      <w:u w:val="single"/>
                      <w:lang w:val="en-US" w:eastAsia="zh-CN"/>
                    </w:rPr>
                    <w:t>排土场</w:t>
                  </w:r>
                  <w:r>
                    <w:rPr>
                      <w:rFonts w:hint="default" w:ascii="Times New Roman" w:hAnsi="Times New Roman" w:cs="Times New Roman"/>
                      <w:bCs/>
                      <w:color w:val="auto"/>
                      <w:sz w:val="21"/>
                      <w:szCs w:val="21"/>
                      <w:highlight w:val="none"/>
                      <w:u w:val="single"/>
                    </w:rPr>
                    <w:t>，用于采场</w:t>
                  </w:r>
                  <w:r>
                    <w:rPr>
                      <w:rFonts w:hint="eastAsia" w:cs="Times New Roman"/>
                      <w:bCs/>
                      <w:color w:val="auto"/>
                      <w:sz w:val="21"/>
                      <w:szCs w:val="21"/>
                      <w:highlight w:val="none"/>
                      <w:u w:val="single"/>
                      <w:lang w:val="en-US" w:eastAsia="zh-CN"/>
                    </w:rPr>
                    <w:t>生态修复</w:t>
                  </w:r>
                  <w:r>
                    <w:rPr>
                      <w:rFonts w:hint="default" w:ascii="Times New Roman" w:hAnsi="Times New Roman" w:cs="Times New Roman"/>
                      <w:bCs/>
                      <w:color w:val="auto"/>
                      <w:sz w:val="21"/>
                      <w:szCs w:val="21"/>
                      <w:highlight w:val="none"/>
                      <w:u w:val="single"/>
                    </w:rPr>
                    <w:t>；沉淀池</w:t>
                  </w:r>
                  <w:r>
                    <w:rPr>
                      <w:rFonts w:hint="eastAsia" w:cs="Times New Roman"/>
                      <w:bCs/>
                      <w:color w:val="auto"/>
                      <w:sz w:val="21"/>
                      <w:szCs w:val="21"/>
                      <w:highlight w:val="none"/>
                      <w:u w:val="single"/>
                      <w:lang w:val="en-US" w:eastAsia="zh-CN"/>
                    </w:rPr>
                    <w:t>产生</w:t>
                  </w:r>
                  <w:r>
                    <w:rPr>
                      <w:rFonts w:hint="default" w:ascii="Times New Roman" w:hAnsi="Times New Roman" w:cs="Times New Roman"/>
                      <w:bCs/>
                      <w:color w:val="auto"/>
                      <w:sz w:val="21"/>
                      <w:szCs w:val="21"/>
                      <w:highlight w:val="none"/>
                      <w:u w:val="single"/>
                    </w:rPr>
                    <w:t>的污泥</w:t>
                  </w:r>
                  <w:r>
                    <w:rPr>
                      <w:rFonts w:hint="eastAsia" w:cs="Times New Roman"/>
                      <w:bCs/>
                      <w:color w:val="auto"/>
                      <w:sz w:val="21"/>
                      <w:szCs w:val="21"/>
                      <w:highlight w:val="none"/>
                      <w:u w:val="single"/>
                      <w:lang w:val="en-US" w:eastAsia="zh-CN"/>
                    </w:rPr>
                    <w:t>直接利用装载机运输至排土场，后期</w:t>
                  </w:r>
                  <w:r>
                    <w:rPr>
                      <w:rFonts w:hint="default" w:ascii="Times New Roman" w:hAnsi="Times New Roman" w:cs="Times New Roman"/>
                      <w:bCs/>
                      <w:color w:val="auto"/>
                      <w:sz w:val="21"/>
                      <w:szCs w:val="21"/>
                      <w:highlight w:val="none"/>
                      <w:u w:val="single"/>
                    </w:rPr>
                    <w:t>用于厂区覆绿和采场回填</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该部分污泥应与矿山剥离物分区堆放，便于后期生态修复过程中直接用于复垦</w:t>
                  </w:r>
                  <w:r>
                    <w:rPr>
                      <w:rFonts w:hint="eastAsia"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生活垃圾经收集后委托环卫部门统一处理</w:t>
                  </w:r>
                  <w:r>
                    <w:rPr>
                      <w:rFonts w:hint="eastAsia" w:cs="Times New Roman"/>
                      <w:bCs/>
                      <w:color w:val="auto"/>
                      <w:sz w:val="21"/>
                      <w:szCs w:val="21"/>
                      <w:highlight w:val="none"/>
                      <w:u w:val="single"/>
                      <w:lang w:val="en-US" w:eastAsia="zh-CN"/>
                    </w:rPr>
                    <w:t>。</w:t>
                  </w:r>
                </w:p>
              </w:tc>
              <w:tc>
                <w:tcPr>
                  <w:tcW w:w="1312" w:type="dxa"/>
                  <w:vAlign w:val="center"/>
                </w:tcPr>
                <w:p w14:paraId="4859C9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cs="Times New Roman"/>
                      <w:bCs/>
                      <w:color w:val="auto"/>
                      <w:sz w:val="21"/>
                      <w:szCs w:val="21"/>
                      <w:highlight w:val="none"/>
                      <w:u w:val="single"/>
                      <w:lang w:val="en-US" w:eastAsia="zh-CN"/>
                    </w:rPr>
                    <w:t>新建</w:t>
                  </w:r>
                </w:p>
              </w:tc>
            </w:tr>
          </w:tbl>
          <w:p w14:paraId="4F104D58">
            <w:pPr>
              <w:ind w:firstLine="0" w:firstLineChars="0"/>
              <w:jc w:val="center"/>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表2-</w:t>
            </w:r>
            <w:r>
              <w:rPr>
                <w:rFonts w:hint="eastAsia" w:cs="Times New Roman"/>
                <w:b/>
                <w:color w:val="auto"/>
                <w:sz w:val="21"/>
                <w:szCs w:val="21"/>
                <w:highlight w:val="none"/>
                <w:u w:val="single"/>
                <w:lang w:val="en-US" w:eastAsia="zh-CN"/>
              </w:rPr>
              <w:t>4</w:t>
            </w:r>
            <w:r>
              <w:rPr>
                <w:rFonts w:hint="default" w:ascii="Times New Roman" w:hAnsi="Times New Roman" w:cs="Times New Roman"/>
                <w:b/>
                <w:color w:val="auto"/>
                <w:sz w:val="21"/>
                <w:szCs w:val="21"/>
                <w:highlight w:val="none"/>
                <w:u w:val="single"/>
              </w:rPr>
              <w:t xml:space="preserve">  项目</w:t>
            </w:r>
            <w:r>
              <w:rPr>
                <w:rFonts w:hint="eastAsia" w:cs="Times New Roman"/>
                <w:b/>
                <w:color w:val="auto"/>
                <w:sz w:val="21"/>
                <w:szCs w:val="21"/>
                <w:highlight w:val="none"/>
                <w:u w:val="single"/>
                <w:lang w:val="en-US" w:eastAsia="zh-CN"/>
              </w:rPr>
              <w:t>工业场地</w:t>
            </w:r>
            <w:r>
              <w:rPr>
                <w:rFonts w:hint="default" w:ascii="Times New Roman" w:hAnsi="Times New Roman" w:cs="Times New Roman"/>
                <w:b/>
                <w:color w:val="auto"/>
                <w:sz w:val="21"/>
                <w:szCs w:val="21"/>
                <w:highlight w:val="none"/>
                <w:u w:val="single"/>
              </w:rPr>
              <w:t>组成一览表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892"/>
              <w:gridCol w:w="4868"/>
              <w:gridCol w:w="1064"/>
            </w:tblGrid>
            <w:tr w14:paraId="1A7F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87" w:type="dxa"/>
                  <w:vAlign w:val="center"/>
                </w:tcPr>
                <w:p w14:paraId="0B043AC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工程类别</w:t>
                  </w:r>
                </w:p>
              </w:tc>
              <w:tc>
                <w:tcPr>
                  <w:tcW w:w="892" w:type="dxa"/>
                  <w:vAlign w:val="center"/>
                </w:tcPr>
                <w:p w14:paraId="43E50A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名称</w:t>
                  </w:r>
                </w:p>
              </w:tc>
              <w:tc>
                <w:tcPr>
                  <w:tcW w:w="4868" w:type="dxa"/>
                  <w:vAlign w:val="center"/>
                </w:tcPr>
                <w:p w14:paraId="149034B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建设内容与规模</w:t>
                  </w:r>
                </w:p>
              </w:tc>
              <w:tc>
                <w:tcPr>
                  <w:tcW w:w="1064" w:type="dxa"/>
                  <w:vAlign w:val="center"/>
                </w:tcPr>
                <w:p w14:paraId="50405A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u w:val="single"/>
                      <w:lang w:val="en-US" w:eastAsia="zh-CN"/>
                    </w:rPr>
                  </w:pPr>
                  <w:r>
                    <w:rPr>
                      <w:rFonts w:hint="eastAsia" w:cs="Times New Roman"/>
                      <w:b/>
                      <w:color w:val="auto"/>
                      <w:sz w:val="21"/>
                      <w:szCs w:val="21"/>
                      <w:highlight w:val="none"/>
                      <w:u w:val="single"/>
                      <w:lang w:val="en-US" w:eastAsia="zh-CN"/>
                    </w:rPr>
                    <w:t>备注</w:t>
                  </w:r>
                </w:p>
              </w:tc>
            </w:tr>
            <w:tr w14:paraId="2717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Align w:val="center"/>
                </w:tcPr>
                <w:p w14:paraId="18A8B7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主体工程</w:t>
                  </w:r>
                </w:p>
              </w:tc>
              <w:tc>
                <w:tcPr>
                  <w:tcW w:w="892" w:type="dxa"/>
                  <w:vAlign w:val="center"/>
                </w:tcPr>
                <w:p w14:paraId="237B07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工业场地</w:t>
                  </w:r>
                </w:p>
              </w:tc>
              <w:tc>
                <w:tcPr>
                  <w:tcW w:w="4868" w:type="dxa"/>
                  <w:vAlign w:val="center"/>
                </w:tcPr>
                <w:p w14:paraId="48F1EE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位于</w:t>
                  </w:r>
                  <w:r>
                    <w:rPr>
                      <w:rFonts w:hint="eastAsia" w:cs="Times New Roman"/>
                      <w:bCs/>
                      <w:color w:val="auto"/>
                      <w:sz w:val="21"/>
                      <w:szCs w:val="21"/>
                      <w:highlight w:val="none"/>
                      <w:u w:val="single"/>
                      <w:lang w:val="en-US" w:eastAsia="zh-CN"/>
                    </w:rPr>
                    <w:t>矿区北</w:t>
                  </w:r>
                  <w:r>
                    <w:rPr>
                      <w:rFonts w:hint="default" w:ascii="Times New Roman" w:hAnsi="Times New Roman" w:cs="Times New Roman"/>
                      <w:bCs/>
                      <w:color w:val="auto"/>
                      <w:sz w:val="21"/>
                      <w:szCs w:val="21"/>
                      <w:highlight w:val="none"/>
                      <w:u w:val="single"/>
                    </w:rPr>
                    <w:t>侧，布置碎石生产线一条</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制砂生产线一条，厂房为钢架结构。本次评价要求生产厂房应做到全封闭，产品出口处设置活动式卷帘，占地面积约为9000</w:t>
                  </w:r>
                  <w:r>
                    <w:rPr>
                      <w:rFonts w:hint="default" w:ascii="Times New Roman" w:hAnsi="Times New Roman" w:cs="Times New Roman"/>
                      <w:bCs/>
                      <w:color w:val="auto"/>
                      <w:sz w:val="21"/>
                      <w:szCs w:val="21"/>
                      <w:highlight w:val="none"/>
                      <w:u w:val="single"/>
                    </w:rPr>
                    <w:t>m</w:t>
                  </w:r>
                  <w:r>
                    <w:rPr>
                      <w:rFonts w:hint="default" w:ascii="Times New Roman" w:hAnsi="Times New Roman" w:cs="Times New Roman"/>
                      <w:bCs/>
                      <w:color w:val="auto"/>
                      <w:sz w:val="21"/>
                      <w:szCs w:val="21"/>
                      <w:highlight w:val="none"/>
                      <w:u w:val="single"/>
                      <w:vertAlign w:val="superscript"/>
                    </w:rPr>
                    <w:t>2</w:t>
                  </w:r>
                  <w:r>
                    <w:rPr>
                      <w:rFonts w:hint="default" w:ascii="Times New Roman" w:hAnsi="Times New Roman" w:cs="Times New Roman"/>
                      <w:bCs/>
                      <w:color w:val="auto"/>
                      <w:sz w:val="21"/>
                      <w:szCs w:val="21"/>
                      <w:highlight w:val="none"/>
                      <w:u w:val="single"/>
                    </w:rPr>
                    <w:t>，</w:t>
                  </w:r>
                  <w:r>
                    <w:rPr>
                      <w:rFonts w:hint="eastAsia" w:cs="Times New Roman"/>
                      <w:bCs/>
                      <w:color w:val="auto"/>
                      <w:sz w:val="21"/>
                      <w:szCs w:val="21"/>
                      <w:highlight w:val="none"/>
                      <w:u w:val="single"/>
                      <w:lang w:val="en-US" w:eastAsia="zh-CN"/>
                    </w:rPr>
                    <w:t>生产</w:t>
                  </w:r>
                  <w:r>
                    <w:rPr>
                      <w:rFonts w:hint="default" w:ascii="Times New Roman" w:hAnsi="Times New Roman" w:cs="Times New Roman"/>
                      <w:bCs/>
                      <w:color w:val="auto"/>
                      <w:sz w:val="21"/>
                      <w:szCs w:val="21"/>
                      <w:highlight w:val="none"/>
                      <w:u w:val="single"/>
                    </w:rPr>
                    <w:t>规模</w:t>
                  </w:r>
                  <w:r>
                    <w:rPr>
                      <w:rFonts w:hint="eastAsia" w:cs="Times New Roman"/>
                      <w:bCs/>
                      <w:color w:val="auto"/>
                      <w:sz w:val="21"/>
                      <w:szCs w:val="21"/>
                      <w:highlight w:val="none"/>
                      <w:u w:val="single"/>
                      <w:lang w:val="en-US" w:eastAsia="zh-CN"/>
                    </w:rPr>
                    <w:t>120</w:t>
                  </w:r>
                  <w:r>
                    <w:rPr>
                      <w:rFonts w:hint="default" w:ascii="Times New Roman" w:hAnsi="Times New Roman" w:cs="Times New Roman"/>
                      <w:bCs/>
                      <w:color w:val="auto"/>
                      <w:sz w:val="21"/>
                      <w:szCs w:val="21"/>
                      <w:highlight w:val="none"/>
                      <w:u w:val="single"/>
                    </w:rPr>
                    <w:t>万吨/年</w:t>
                  </w:r>
                </w:p>
              </w:tc>
              <w:tc>
                <w:tcPr>
                  <w:tcW w:w="1064" w:type="dxa"/>
                  <w:vAlign w:val="center"/>
                </w:tcPr>
                <w:p w14:paraId="6255BD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利用芦桥采石场原有工业场地并修缮</w:t>
                  </w:r>
                </w:p>
              </w:tc>
            </w:tr>
            <w:tr w14:paraId="46D5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restart"/>
                  <w:vAlign w:val="center"/>
                </w:tcPr>
                <w:p w14:paraId="5422E5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公用工程</w:t>
                  </w:r>
                </w:p>
              </w:tc>
              <w:tc>
                <w:tcPr>
                  <w:tcW w:w="892" w:type="dxa"/>
                  <w:vAlign w:val="center"/>
                </w:tcPr>
                <w:p w14:paraId="7BF0BF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供电</w:t>
                  </w:r>
                </w:p>
              </w:tc>
              <w:tc>
                <w:tcPr>
                  <w:tcW w:w="4868" w:type="dxa"/>
                  <w:vAlign w:val="center"/>
                </w:tcPr>
                <w:p w14:paraId="7E5059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接乡镇供电系统</w:t>
                  </w:r>
                </w:p>
              </w:tc>
              <w:tc>
                <w:tcPr>
                  <w:tcW w:w="1064" w:type="dxa"/>
                  <w:vAlign w:val="center"/>
                </w:tcPr>
                <w:p w14:paraId="20FFC5D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依托现有</w:t>
                  </w:r>
                </w:p>
              </w:tc>
            </w:tr>
            <w:tr w14:paraId="2474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391892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Align w:val="center"/>
                </w:tcPr>
                <w:p w14:paraId="08E753F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供水</w:t>
                  </w:r>
                </w:p>
              </w:tc>
              <w:tc>
                <w:tcPr>
                  <w:tcW w:w="4868" w:type="dxa"/>
                  <w:vAlign w:val="center"/>
                </w:tcPr>
                <w:p w14:paraId="069B47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接</w:t>
                  </w:r>
                  <w:r>
                    <w:rPr>
                      <w:rFonts w:hint="eastAsia" w:cs="Times New Roman"/>
                      <w:bCs/>
                      <w:color w:val="auto"/>
                      <w:sz w:val="21"/>
                      <w:szCs w:val="21"/>
                      <w:highlight w:val="none"/>
                      <w:u w:val="single"/>
                      <w:lang w:val="en-US" w:eastAsia="zh-CN"/>
                    </w:rPr>
                    <w:t>乡镇水厂</w:t>
                  </w:r>
                  <w:r>
                    <w:rPr>
                      <w:rFonts w:hint="default" w:ascii="Times New Roman" w:hAnsi="Times New Roman" w:cs="Times New Roman"/>
                      <w:bCs/>
                      <w:color w:val="auto"/>
                      <w:sz w:val="21"/>
                      <w:szCs w:val="21"/>
                      <w:highlight w:val="none"/>
                      <w:u w:val="single"/>
                    </w:rPr>
                    <w:t>供水</w:t>
                  </w:r>
                  <w:r>
                    <w:rPr>
                      <w:rFonts w:hint="eastAsia" w:cs="Times New Roman"/>
                      <w:bCs/>
                      <w:color w:val="auto"/>
                      <w:sz w:val="21"/>
                      <w:szCs w:val="21"/>
                      <w:highlight w:val="none"/>
                      <w:u w:val="single"/>
                      <w:lang w:val="en-US" w:eastAsia="zh-CN"/>
                    </w:rPr>
                    <w:t>管网</w:t>
                  </w:r>
                </w:p>
              </w:tc>
              <w:tc>
                <w:tcPr>
                  <w:tcW w:w="1064" w:type="dxa"/>
                  <w:vAlign w:val="center"/>
                </w:tcPr>
                <w:p w14:paraId="39D5A71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依托现有</w:t>
                  </w:r>
                </w:p>
              </w:tc>
            </w:tr>
            <w:tr w14:paraId="35A3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496DEB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Align w:val="center"/>
                </w:tcPr>
                <w:p w14:paraId="046B785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排水</w:t>
                  </w:r>
                </w:p>
              </w:tc>
              <w:tc>
                <w:tcPr>
                  <w:tcW w:w="4868" w:type="dxa"/>
                  <w:vAlign w:val="center"/>
                </w:tcPr>
                <w:p w14:paraId="151E0A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r>
                    <w:rPr>
                      <w:rFonts w:hint="eastAsia" w:ascii="Times New Roman" w:hAnsi="Times New Roman" w:eastAsia="宋体" w:cs="Times New Roman"/>
                      <w:color w:val="auto"/>
                      <w:sz w:val="21"/>
                      <w:szCs w:val="21"/>
                      <w:highlight w:val="none"/>
                      <w:u w:val="single"/>
                      <w:lang w:val="en-US" w:eastAsia="zh-CN"/>
                    </w:rPr>
                    <w:t>设置</w:t>
                  </w:r>
                  <w:r>
                    <w:rPr>
                      <w:rFonts w:hint="eastAsia" w:cs="Times New Roman"/>
                      <w:bCs/>
                      <w:color w:val="auto"/>
                      <w:sz w:val="21"/>
                      <w:szCs w:val="21"/>
                      <w:highlight w:val="none"/>
                      <w:u w:val="single"/>
                      <w:lang w:val="en-US" w:eastAsia="zh-CN"/>
                    </w:rPr>
                    <w:t>截洪沟、</w:t>
                  </w:r>
                  <w:r>
                    <w:rPr>
                      <w:rFonts w:hint="eastAsia" w:ascii="Times New Roman" w:hAnsi="Times New Roman" w:eastAsia="宋体" w:cs="Times New Roman"/>
                      <w:color w:val="auto"/>
                      <w:sz w:val="21"/>
                      <w:szCs w:val="21"/>
                      <w:highlight w:val="none"/>
                      <w:u w:val="single"/>
                      <w:lang w:val="en-US" w:eastAsia="zh-CN"/>
                    </w:rPr>
                    <w:t>沉淀池</w:t>
                  </w:r>
                  <w:r>
                    <w:rPr>
                      <w:rFonts w:hint="eastAsia" w:cs="Times New Roman"/>
                      <w:color w:val="auto"/>
                      <w:sz w:val="21"/>
                      <w:szCs w:val="21"/>
                      <w:highlight w:val="none"/>
                      <w:u w:val="single"/>
                      <w:lang w:val="en-US" w:eastAsia="zh-CN"/>
                    </w:rPr>
                    <w:t>，雨水收集经沉淀处理后</w:t>
                  </w:r>
                  <w:r>
                    <w:rPr>
                      <w:rFonts w:hint="eastAsia" w:ascii="Times New Roman" w:hAnsi="Times New Roman" w:eastAsia="宋体" w:cs="Times New Roman"/>
                      <w:color w:val="auto"/>
                      <w:sz w:val="21"/>
                      <w:szCs w:val="21"/>
                      <w:highlight w:val="none"/>
                      <w:u w:val="single"/>
                      <w:lang w:val="en-US" w:eastAsia="zh-CN"/>
                    </w:rPr>
                    <w:t>回用于洒水降尘，不外排</w:t>
                  </w:r>
                  <w:r>
                    <w:rPr>
                      <w:rFonts w:hint="eastAsia" w:cs="Times New Roman"/>
                      <w:color w:val="auto"/>
                      <w:sz w:val="21"/>
                      <w:szCs w:val="21"/>
                      <w:highlight w:val="none"/>
                      <w:u w:val="single"/>
                      <w:lang w:val="en-US" w:eastAsia="zh-CN"/>
                    </w:rPr>
                    <w:t>；</w:t>
                  </w:r>
                  <w:r>
                    <w:rPr>
                      <w:rFonts w:hint="default" w:ascii="Times New Roman" w:hAnsi="Times New Roman" w:eastAsia="宋体" w:cs="Times New Roman"/>
                      <w:color w:val="auto"/>
                      <w:sz w:val="21"/>
                      <w:szCs w:val="21"/>
                      <w:highlight w:val="none"/>
                      <w:u w:val="single"/>
                    </w:rPr>
                    <w:t>生活污水经化粪池处理后用于周边</w:t>
                  </w:r>
                  <w:r>
                    <w:rPr>
                      <w:rFonts w:hint="eastAsia" w:ascii="Times New Roman" w:hAnsi="Times New Roman" w:eastAsia="宋体" w:cs="Times New Roman"/>
                      <w:color w:val="auto"/>
                      <w:sz w:val="21"/>
                      <w:szCs w:val="21"/>
                      <w:highlight w:val="none"/>
                      <w:u w:val="single"/>
                      <w:lang w:val="en-US" w:eastAsia="zh-CN"/>
                    </w:rPr>
                    <w:t>农业灌溉</w:t>
                  </w:r>
                  <w:r>
                    <w:rPr>
                      <w:rFonts w:hint="eastAsia" w:cs="Times New Roman"/>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rPr>
                    <w:t>洗车废</w:t>
                  </w:r>
                  <w:r>
                    <w:rPr>
                      <w:rFonts w:hint="default" w:ascii="Times New Roman" w:hAnsi="Times New Roman" w:cs="Times New Roman"/>
                      <w:color w:val="auto"/>
                      <w:sz w:val="21"/>
                      <w:szCs w:val="21"/>
                      <w:highlight w:val="none"/>
                      <w:u w:val="single"/>
                    </w:rPr>
                    <w:t>水</w:t>
                  </w:r>
                  <w:r>
                    <w:rPr>
                      <w:rFonts w:hint="eastAsia" w:cs="Times New Roman"/>
                      <w:color w:val="auto"/>
                      <w:sz w:val="21"/>
                      <w:szCs w:val="21"/>
                      <w:highlight w:val="none"/>
                      <w:u w:val="single"/>
                      <w:lang w:val="en-US" w:eastAsia="zh-CN"/>
                    </w:rPr>
                    <w:t>经</w:t>
                  </w:r>
                  <w:r>
                    <w:rPr>
                      <w:rFonts w:hint="default" w:ascii="Times New Roman" w:hAnsi="Times New Roman" w:cs="Times New Roman"/>
                      <w:color w:val="auto"/>
                      <w:sz w:val="21"/>
                      <w:szCs w:val="21"/>
                      <w:highlight w:val="none"/>
                      <w:u w:val="single"/>
                    </w:rPr>
                    <w:t>沉淀</w:t>
                  </w:r>
                  <w:r>
                    <w:rPr>
                      <w:rFonts w:hint="eastAsia" w:cs="Times New Roman"/>
                      <w:color w:val="auto"/>
                      <w:sz w:val="21"/>
                      <w:szCs w:val="21"/>
                      <w:highlight w:val="none"/>
                      <w:u w:val="single"/>
                      <w:lang w:val="en-US" w:eastAsia="zh-CN"/>
                    </w:rPr>
                    <w:t>后</w:t>
                  </w:r>
                  <w:r>
                    <w:rPr>
                      <w:rFonts w:hint="default" w:ascii="Times New Roman" w:hAnsi="Times New Roman" w:cs="Times New Roman"/>
                      <w:color w:val="auto"/>
                      <w:sz w:val="21"/>
                      <w:szCs w:val="21"/>
                      <w:highlight w:val="none"/>
                      <w:u w:val="single"/>
                    </w:rPr>
                    <w:t>回用</w:t>
                  </w:r>
                  <w:r>
                    <w:rPr>
                      <w:rFonts w:hint="eastAsia" w:cs="Times New Roman"/>
                      <w:color w:val="auto"/>
                      <w:sz w:val="21"/>
                      <w:szCs w:val="21"/>
                      <w:highlight w:val="none"/>
                      <w:u w:val="single"/>
                      <w:lang w:val="en-US" w:eastAsia="zh-CN"/>
                    </w:rPr>
                    <w:t>。</w:t>
                  </w:r>
                </w:p>
              </w:tc>
              <w:tc>
                <w:tcPr>
                  <w:tcW w:w="1064" w:type="dxa"/>
                  <w:vAlign w:val="center"/>
                </w:tcPr>
                <w:p w14:paraId="7614BDB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cs="Times New Roman"/>
                      <w:bCs/>
                      <w:color w:val="auto"/>
                      <w:sz w:val="21"/>
                      <w:szCs w:val="21"/>
                      <w:highlight w:val="none"/>
                      <w:u w:val="single"/>
                      <w:lang w:val="en-US" w:eastAsia="zh-CN"/>
                    </w:rPr>
                    <w:t>新建</w:t>
                  </w:r>
                </w:p>
              </w:tc>
            </w:tr>
            <w:tr w14:paraId="381B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restart"/>
                  <w:vAlign w:val="center"/>
                </w:tcPr>
                <w:p w14:paraId="616090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环保工程</w:t>
                  </w:r>
                </w:p>
              </w:tc>
              <w:tc>
                <w:tcPr>
                  <w:tcW w:w="892" w:type="dxa"/>
                  <w:vMerge w:val="restart"/>
                  <w:vAlign w:val="center"/>
                </w:tcPr>
                <w:p w14:paraId="0A62F0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废气</w:t>
                  </w:r>
                </w:p>
              </w:tc>
              <w:tc>
                <w:tcPr>
                  <w:tcW w:w="4868" w:type="dxa"/>
                  <w:vAlign w:val="center"/>
                </w:tcPr>
                <w:p w14:paraId="65F81C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①</w:t>
                  </w:r>
                  <w:r>
                    <w:rPr>
                      <w:rFonts w:hint="eastAsia"/>
                      <w:color w:val="auto"/>
                      <w:sz w:val="21"/>
                      <w:szCs w:val="21"/>
                      <w:u w:val="single"/>
                    </w:rPr>
                    <w:t>碎石场建设封闭式钢结构厂房，厂房地面硬化，厂房内各设备处、落料点安装喷雾酒水装置</w:t>
                  </w:r>
                  <w:r>
                    <w:rPr>
                      <w:rFonts w:hint="eastAsia"/>
                      <w:color w:val="auto"/>
                      <w:sz w:val="21"/>
                      <w:szCs w:val="21"/>
                      <w:u w:val="single"/>
                      <w:lang w:eastAsia="zh-CN"/>
                    </w:rPr>
                    <w:t>，</w:t>
                  </w:r>
                  <w:r>
                    <w:rPr>
                      <w:rFonts w:hint="eastAsia"/>
                      <w:color w:val="auto"/>
                      <w:sz w:val="21"/>
                      <w:szCs w:val="21"/>
                      <w:u w:val="single"/>
                      <w:lang w:val="en-US" w:eastAsia="zh-CN"/>
                    </w:rPr>
                    <w:t>厂房内顶棚每2m安装雾化洒水装置</w:t>
                  </w:r>
                  <w:r>
                    <w:rPr>
                      <w:rFonts w:hint="eastAsia" w:cs="Times New Roman"/>
                      <w:b w:val="0"/>
                      <w:bCs w:val="0"/>
                      <w:color w:val="auto"/>
                      <w:sz w:val="21"/>
                      <w:szCs w:val="21"/>
                      <w:highlight w:val="none"/>
                      <w:u w:val="single"/>
                      <w:lang w:val="en-US" w:eastAsia="zh-CN"/>
                    </w:rPr>
                    <w:t>；</w:t>
                  </w:r>
                </w:p>
              </w:tc>
              <w:tc>
                <w:tcPr>
                  <w:tcW w:w="1064" w:type="dxa"/>
                  <w:vAlign w:val="center"/>
                </w:tcPr>
                <w:p w14:paraId="4E3B38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cs="Times New Roman"/>
                      <w:bCs/>
                      <w:color w:val="auto"/>
                      <w:sz w:val="21"/>
                      <w:szCs w:val="21"/>
                      <w:highlight w:val="none"/>
                      <w:u w:val="single"/>
                      <w:lang w:val="en-US" w:eastAsia="zh-CN"/>
                    </w:rPr>
                    <w:t>依托现有</w:t>
                  </w:r>
                </w:p>
              </w:tc>
            </w:tr>
            <w:tr w14:paraId="6DB1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6E3A40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Merge w:val="continue"/>
                  <w:vAlign w:val="center"/>
                </w:tcPr>
                <w:p w14:paraId="342BDE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4868" w:type="dxa"/>
                  <w:vAlign w:val="center"/>
                </w:tcPr>
                <w:p w14:paraId="3B5F81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②</w:t>
                  </w:r>
                  <w:r>
                    <w:rPr>
                      <w:rFonts w:hint="eastAsia"/>
                      <w:color w:val="auto"/>
                      <w:sz w:val="21"/>
                      <w:szCs w:val="21"/>
                      <w:u w:val="single"/>
                    </w:rPr>
                    <w:t>给料机设置封闭式车间，安装喷雾酒水装置</w:t>
                  </w:r>
                  <w:r>
                    <w:rPr>
                      <w:rFonts w:hint="eastAsia"/>
                      <w:color w:val="auto"/>
                      <w:sz w:val="21"/>
                      <w:szCs w:val="21"/>
                      <w:u w:val="single"/>
                      <w:lang w:eastAsia="zh-CN"/>
                    </w:rPr>
                    <w:t>。</w:t>
                  </w:r>
                </w:p>
              </w:tc>
              <w:tc>
                <w:tcPr>
                  <w:tcW w:w="1064" w:type="dxa"/>
                  <w:vAlign w:val="center"/>
                </w:tcPr>
                <w:p w14:paraId="6A646D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依托现有</w:t>
                  </w:r>
                </w:p>
              </w:tc>
            </w:tr>
            <w:tr w14:paraId="7C76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3A7BE6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Merge w:val="continue"/>
                  <w:vAlign w:val="center"/>
                </w:tcPr>
                <w:p w14:paraId="3334BB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4868" w:type="dxa"/>
                  <w:vAlign w:val="center"/>
                </w:tcPr>
                <w:p w14:paraId="0DF0A78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③</w:t>
                  </w:r>
                  <w:r>
                    <w:rPr>
                      <w:rFonts w:hint="eastAsia" w:cs="Times New Roman"/>
                      <w:b w:val="0"/>
                      <w:bCs w:val="0"/>
                      <w:color w:val="auto"/>
                      <w:sz w:val="21"/>
                      <w:szCs w:val="21"/>
                      <w:highlight w:val="none"/>
                      <w:u w:val="single"/>
                      <w:lang w:val="en-US" w:eastAsia="zh-CN"/>
                    </w:rPr>
                    <w:t>加工粉尘：</w:t>
                  </w:r>
                  <w:r>
                    <w:rPr>
                      <w:rFonts w:hint="eastAsia" w:cs="Times New Roman"/>
                      <w:bCs/>
                      <w:color w:val="auto"/>
                      <w:sz w:val="21"/>
                      <w:szCs w:val="21"/>
                      <w:highlight w:val="none"/>
                      <w:u w:val="single"/>
                      <w:lang w:val="en-US" w:eastAsia="zh-CN"/>
                    </w:rPr>
                    <w:t>破碎机及筛分机出料口安装风机收集后经布袋除尘器+15m排气筒处理；</w:t>
                  </w:r>
                </w:p>
              </w:tc>
              <w:tc>
                <w:tcPr>
                  <w:tcW w:w="1064" w:type="dxa"/>
                  <w:vAlign w:val="center"/>
                </w:tcPr>
                <w:p w14:paraId="7A7A64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依托现有</w:t>
                  </w:r>
                </w:p>
              </w:tc>
            </w:tr>
            <w:tr w14:paraId="46D5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363C4D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Merge w:val="continue"/>
                  <w:vAlign w:val="center"/>
                </w:tcPr>
                <w:p w14:paraId="53ADD8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4868" w:type="dxa"/>
                  <w:vAlign w:val="center"/>
                </w:tcPr>
                <w:p w14:paraId="7E4871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fldChar w:fldCharType="begin"/>
                  </w:r>
                  <w:r>
                    <w:rPr>
                      <w:rFonts w:hint="eastAsia" w:ascii="Times New Roman" w:hAnsi="Times New Roman" w:cs="Times New Roman"/>
                      <w:color w:val="auto"/>
                      <w:sz w:val="21"/>
                      <w:szCs w:val="21"/>
                      <w:highlight w:val="none"/>
                      <w:u w:val="single"/>
                      <w:lang w:val="en-US" w:eastAsia="zh-CN"/>
                    </w:rPr>
                    <w:instrText xml:space="preserve"> = 4 \* GB3 \* MERGEFORMAT </w:instrText>
                  </w:r>
                  <w:r>
                    <w:rPr>
                      <w:rFonts w:hint="eastAsia" w:ascii="Times New Roman" w:hAnsi="Times New Roman" w:cs="Times New Roman"/>
                      <w:color w:val="auto"/>
                      <w:sz w:val="21"/>
                      <w:szCs w:val="21"/>
                      <w:highlight w:val="none"/>
                      <w:u w:val="single"/>
                      <w:lang w:val="en-US" w:eastAsia="zh-CN"/>
                    </w:rPr>
                    <w:fldChar w:fldCharType="separate"/>
                  </w:r>
                  <w:r>
                    <w:rPr>
                      <w:rFonts w:hint="default" w:ascii="Times New Roman" w:hAnsi="Times New Roman" w:cs="Times New Roman"/>
                      <w:color w:val="auto"/>
                      <w:sz w:val="21"/>
                      <w:szCs w:val="21"/>
                      <w:highlight w:val="none"/>
                      <w:u w:val="single"/>
                    </w:rPr>
                    <w:t>④</w:t>
                  </w:r>
                  <w:r>
                    <w:rPr>
                      <w:rFonts w:hint="eastAsia" w:ascii="Times New Roman" w:hAnsi="Times New Roman" w:cs="Times New Roman"/>
                      <w:color w:val="auto"/>
                      <w:sz w:val="21"/>
                      <w:szCs w:val="21"/>
                      <w:highlight w:val="none"/>
                      <w:u w:val="single"/>
                      <w:lang w:val="en-US" w:eastAsia="zh-CN"/>
                    </w:rPr>
                    <w:fldChar w:fldCharType="end"/>
                  </w:r>
                  <w:r>
                    <w:rPr>
                      <w:rFonts w:hint="eastAsia" w:cs="Times New Roman"/>
                      <w:bCs/>
                      <w:color w:val="auto"/>
                      <w:sz w:val="21"/>
                      <w:szCs w:val="21"/>
                      <w:highlight w:val="none"/>
                      <w:u w:val="single"/>
                      <w:lang w:val="en-US" w:eastAsia="zh-CN"/>
                    </w:rPr>
                    <w:t>传送带采取封闭措施、</w:t>
                  </w:r>
                  <w:r>
                    <w:rPr>
                      <w:rFonts w:hint="eastAsia" w:cs="Times New Roman"/>
                      <w:color w:val="auto"/>
                      <w:sz w:val="21"/>
                      <w:szCs w:val="21"/>
                      <w:highlight w:val="none"/>
                      <w:u w:val="single"/>
                      <w:lang w:val="en-US" w:eastAsia="zh-CN"/>
                    </w:rPr>
                    <w:t>喷水抑尘</w:t>
                  </w:r>
                  <w:r>
                    <w:rPr>
                      <w:rFonts w:hint="eastAsia" w:cs="Times New Roman"/>
                      <w:bCs/>
                      <w:color w:val="auto"/>
                      <w:sz w:val="21"/>
                      <w:szCs w:val="21"/>
                      <w:highlight w:val="none"/>
                      <w:u w:val="single"/>
                      <w:lang w:val="en-US" w:eastAsia="zh-CN"/>
                    </w:rPr>
                    <w:t>；</w:t>
                  </w:r>
                </w:p>
              </w:tc>
              <w:tc>
                <w:tcPr>
                  <w:tcW w:w="1064" w:type="dxa"/>
                  <w:vAlign w:val="center"/>
                </w:tcPr>
                <w:p w14:paraId="3214D1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新建</w:t>
                  </w:r>
                </w:p>
              </w:tc>
            </w:tr>
            <w:tr w14:paraId="323D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042E90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Merge w:val="continue"/>
                  <w:vAlign w:val="center"/>
                </w:tcPr>
                <w:p w14:paraId="7B09437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4868" w:type="dxa"/>
                  <w:vAlign w:val="center"/>
                </w:tcPr>
                <w:p w14:paraId="32B569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fldChar w:fldCharType="begin"/>
                  </w:r>
                  <w:r>
                    <w:rPr>
                      <w:rFonts w:hint="default" w:ascii="Times New Roman" w:hAnsi="Times New Roman" w:cs="Times New Roman"/>
                      <w:color w:val="auto"/>
                      <w:sz w:val="21"/>
                      <w:szCs w:val="21"/>
                      <w:highlight w:val="none"/>
                      <w:u w:val="single"/>
                    </w:rPr>
                    <w:instrText xml:space="preserve"> = 5 \* GB3 \* MERGEFORMAT </w:instrText>
                  </w:r>
                  <w:r>
                    <w:rPr>
                      <w:rFonts w:hint="default" w:ascii="Times New Roman" w:hAnsi="Times New Roman" w:cs="Times New Roman"/>
                      <w:color w:val="auto"/>
                      <w:sz w:val="21"/>
                      <w:szCs w:val="21"/>
                      <w:highlight w:val="none"/>
                      <w:u w:val="single"/>
                    </w:rPr>
                    <w:fldChar w:fldCharType="separate"/>
                  </w:r>
                  <w:r>
                    <w:rPr>
                      <w:rFonts w:hint="default" w:ascii="Times New Roman" w:hAnsi="Times New Roman" w:cs="Times New Roman"/>
                      <w:color w:val="auto"/>
                      <w:sz w:val="21"/>
                      <w:szCs w:val="21"/>
                      <w:highlight w:val="none"/>
                      <w:u w:val="single"/>
                    </w:rPr>
                    <w:t>⑤</w:t>
                  </w:r>
                  <w:r>
                    <w:rPr>
                      <w:rFonts w:hint="default" w:ascii="Times New Roman" w:hAnsi="Times New Roman" w:cs="Times New Roman"/>
                      <w:color w:val="auto"/>
                      <w:sz w:val="21"/>
                      <w:szCs w:val="21"/>
                      <w:highlight w:val="none"/>
                      <w:u w:val="single"/>
                    </w:rPr>
                    <w:fldChar w:fldCharType="end"/>
                  </w:r>
                  <w:r>
                    <w:rPr>
                      <w:rFonts w:hint="eastAsia" w:ascii="Times New Roman" w:hAnsi="Times New Roman" w:cs="Times New Roman"/>
                      <w:color w:val="auto"/>
                      <w:sz w:val="21"/>
                      <w:szCs w:val="21"/>
                      <w:highlight w:val="none"/>
                      <w:u w:val="single"/>
                      <w:lang w:val="en-US" w:eastAsia="zh-CN"/>
                    </w:rPr>
                    <w:t>堆场粉尘：</w:t>
                  </w:r>
                  <w:r>
                    <w:rPr>
                      <w:rFonts w:hint="eastAsia"/>
                      <w:color w:val="auto"/>
                      <w:sz w:val="21"/>
                      <w:szCs w:val="21"/>
                      <w:u w:val="single"/>
                      <w:lang w:val="en-US" w:eastAsia="zh-CN"/>
                    </w:rPr>
                    <w:t>堆场</w:t>
                  </w:r>
                  <w:r>
                    <w:rPr>
                      <w:rFonts w:hint="eastAsia"/>
                      <w:color w:val="auto"/>
                      <w:sz w:val="21"/>
                      <w:szCs w:val="21"/>
                      <w:u w:val="single"/>
                    </w:rPr>
                    <w:t>建设封闭式钢结构厂房，厂房地面硬化，</w:t>
                  </w:r>
                  <w:r>
                    <w:rPr>
                      <w:rFonts w:hint="eastAsia"/>
                      <w:color w:val="auto"/>
                      <w:sz w:val="21"/>
                      <w:szCs w:val="21"/>
                      <w:u w:val="single"/>
                      <w:lang w:val="en-US" w:eastAsia="zh-CN"/>
                    </w:rPr>
                    <w:t>洒水抑尘</w:t>
                  </w:r>
                  <w:r>
                    <w:rPr>
                      <w:rFonts w:hint="eastAsia" w:ascii="Times New Roman" w:hAnsi="Times New Roman" w:cs="Times New Roman"/>
                      <w:color w:val="auto"/>
                      <w:sz w:val="21"/>
                      <w:szCs w:val="21"/>
                      <w:highlight w:val="none"/>
                      <w:u w:val="single"/>
                      <w:lang w:val="en-US" w:eastAsia="zh-CN"/>
                    </w:rPr>
                    <w:t>；</w:t>
                  </w:r>
                </w:p>
              </w:tc>
              <w:tc>
                <w:tcPr>
                  <w:tcW w:w="1064" w:type="dxa"/>
                  <w:vAlign w:val="center"/>
                </w:tcPr>
                <w:p w14:paraId="12ECA8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新建</w:t>
                  </w:r>
                </w:p>
              </w:tc>
            </w:tr>
            <w:tr w14:paraId="06AF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679C40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Merge w:val="continue"/>
                  <w:vAlign w:val="center"/>
                </w:tcPr>
                <w:p w14:paraId="096357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4868" w:type="dxa"/>
                  <w:vAlign w:val="center"/>
                </w:tcPr>
                <w:p w14:paraId="7C1C4EC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Times New Roman" w:hAnsi="Times New Roman" w:eastAsia="宋体" w:cs="Times New Roman"/>
                      <w:color w:val="auto"/>
                      <w:sz w:val="21"/>
                      <w:szCs w:val="21"/>
                      <w:highlight w:val="none"/>
                      <w:u w:val="single"/>
                      <w:lang w:val="en-US" w:eastAsia="zh-CN"/>
                    </w:rPr>
                  </w:pPr>
                  <w:r>
                    <w:rPr>
                      <w:rFonts w:hint="default"/>
                      <w:color w:val="auto"/>
                      <w:sz w:val="21"/>
                      <w:szCs w:val="21"/>
                      <w:u w:val="single"/>
                      <w:lang w:val="en-US" w:eastAsia="zh-CN"/>
                    </w:rPr>
                    <w:fldChar w:fldCharType="begin"/>
                  </w:r>
                  <w:r>
                    <w:rPr>
                      <w:rFonts w:hint="default"/>
                      <w:color w:val="auto"/>
                      <w:sz w:val="21"/>
                      <w:szCs w:val="21"/>
                      <w:u w:val="single"/>
                      <w:lang w:val="en-US" w:eastAsia="zh-CN"/>
                    </w:rPr>
                    <w:instrText xml:space="preserve"> = 6 \* GB3 \* MERGEFORMAT </w:instrText>
                  </w:r>
                  <w:r>
                    <w:rPr>
                      <w:rFonts w:hint="default"/>
                      <w:color w:val="auto"/>
                      <w:sz w:val="21"/>
                      <w:szCs w:val="21"/>
                      <w:u w:val="single"/>
                      <w:lang w:val="en-US" w:eastAsia="zh-CN"/>
                    </w:rPr>
                    <w:fldChar w:fldCharType="separate"/>
                  </w:r>
                  <w:r>
                    <w:rPr>
                      <w:rFonts w:hint="eastAsia"/>
                      <w:color w:val="auto"/>
                      <w:sz w:val="21"/>
                      <w:szCs w:val="21"/>
                      <w:u w:val="single"/>
                      <w:lang w:val="en-US" w:eastAsia="zh-CN"/>
                    </w:rPr>
                    <w:t>⑥</w:t>
                  </w:r>
                  <w:r>
                    <w:rPr>
                      <w:rFonts w:hint="default"/>
                      <w:color w:val="auto"/>
                      <w:sz w:val="21"/>
                      <w:szCs w:val="21"/>
                      <w:u w:val="single"/>
                      <w:lang w:val="en-US" w:eastAsia="zh-CN"/>
                    </w:rPr>
                    <w:fldChar w:fldCharType="end"/>
                  </w:r>
                  <w:r>
                    <w:rPr>
                      <w:rFonts w:hint="default" w:ascii="Times New Roman" w:hAnsi="Times New Roman" w:cs="Times New Roman"/>
                      <w:color w:val="auto"/>
                      <w:sz w:val="21"/>
                      <w:szCs w:val="21"/>
                      <w:highlight w:val="none"/>
                      <w:u w:val="single"/>
                    </w:rPr>
                    <w:t>运输粉尘：</w:t>
                  </w:r>
                  <w:r>
                    <w:rPr>
                      <w:rFonts w:hint="eastAsia"/>
                      <w:color w:val="auto"/>
                      <w:sz w:val="21"/>
                      <w:szCs w:val="21"/>
                      <w:u w:val="single"/>
                    </w:rPr>
                    <w:t>道路硬化、绿化，安排专人酒水清扫</w:t>
                  </w:r>
                  <w:r>
                    <w:rPr>
                      <w:rFonts w:hint="eastAsia"/>
                      <w:color w:val="auto"/>
                      <w:sz w:val="21"/>
                      <w:szCs w:val="21"/>
                      <w:u w:val="single"/>
                      <w:lang w:eastAsia="zh-CN"/>
                    </w:rPr>
                    <w:t>；</w:t>
                  </w:r>
                  <w:r>
                    <w:rPr>
                      <w:rFonts w:hint="eastAsia"/>
                      <w:color w:val="auto"/>
                      <w:sz w:val="21"/>
                      <w:szCs w:val="21"/>
                      <w:u w:val="single"/>
                    </w:rPr>
                    <w:t>运输车辆限速，产品运输车辆覆盖遮盖物，出场前清洗</w:t>
                  </w:r>
                  <w:r>
                    <w:rPr>
                      <w:rFonts w:hint="eastAsia" w:ascii="Times New Roman" w:hAnsi="Times New Roman" w:cs="Times New Roman"/>
                      <w:color w:val="auto"/>
                      <w:sz w:val="21"/>
                      <w:szCs w:val="21"/>
                      <w:highlight w:val="none"/>
                      <w:u w:val="single"/>
                      <w:lang w:eastAsia="zh-CN"/>
                    </w:rPr>
                    <w:t>。</w:t>
                  </w:r>
                </w:p>
              </w:tc>
              <w:tc>
                <w:tcPr>
                  <w:tcW w:w="1064" w:type="dxa"/>
                  <w:vAlign w:val="center"/>
                </w:tcPr>
                <w:p w14:paraId="523650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依托现有</w:t>
                  </w:r>
                </w:p>
              </w:tc>
            </w:tr>
            <w:tr w14:paraId="6574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3D6393E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Align w:val="center"/>
                </w:tcPr>
                <w:p w14:paraId="476884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废水</w:t>
                  </w:r>
                </w:p>
              </w:tc>
              <w:tc>
                <w:tcPr>
                  <w:tcW w:w="4868" w:type="dxa"/>
                  <w:vAlign w:val="center"/>
                </w:tcPr>
                <w:p w14:paraId="245046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bCs/>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r>
                    <w:rPr>
                      <w:rFonts w:hint="eastAsia" w:ascii="Times New Roman" w:hAnsi="Times New Roman" w:eastAsia="宋体" w:cs="Times New Roman"/>
                      <w:color w:val="auto"/>
                      <w:sz w:val="21"/>
                      <w:szCs w:val="21"/>
                      <w:highlight w:val="none"/>
                      <w:u w:val="single"/>
                      <w:lang w:val="en-US" w:eastAsia="zh-CN"/>
                    </w:rPr>
                    <w:t>设置</w:t>
                  </w:r>
                  <w:r>
                    <w:rPr>
                      <w:rFonts w:hint="eastAsia" w:cs="Times New Roman"/>
                      <w:bCs/>
                      <w:color w:val="auto"/>
                      <w:sz w:val="21"/>
                      <w:szCs w:val="21"/>
                      <w:highlight w:val="none"/>
                      <w:u w:val="single"/>
                      <w:lang w:val="en-US" w:eastAsia="zh-CN"/>
                    </w:rPr>
                    <w:t>截洪沟、</w:t>
                  </w:r>
                  <w:r>
                    <w:rPr>
                      <w:rFonts w:hint="eastAsia" w:ascii="Times New Roman" w:hAnsi="Times New Roman" w:eastAsia="宋体" w:cs="Times New Roman"/>
                      <w:color w:val="auto"/>
                      <w:sz w:val="21"/>
                      <w:szCs w:val="21"/>
                      <w:highlight w:val="none"/>
                      <w:u w:val="single"/>
                      <w:lang w:val="en-US" w:eastAsia="zh-CN"/>
                    </w:rPr>
                    <w:t>沉淀池</w:t>
                  </w:r>
                  <w:r>
                    <w:rPr>
                      <w:rFonts w:hint="eastAsia" w:cs="Times New Roman"/>
                      <w:color w:val="auto"/>
                      <w:sz w:val="21"/>
                      <w:szCs w:val="21"/>
                      <w:highlight w:val="none"/>
                      <w:u w:val="single"/>
                      <w:lang w:val="en-US" w:eastAsia="zh-CN"/>
                    </w:rPr>
                    <w:t>，雨水收集经沉淀处理后</w:t>
                  </w:r>
                  <w:r>
                    <w:rPr>
                      <w:rFonts w:hint="eastAsia" w:ascii="Times New Roman" w:hAnsi="Times New Roman" w:eastAsia="宋体" w:cs="Times New Roman"/>
                      <w:color w:val="auto"/>
                      <w:sz w:val="21"/>
                      <w:szCs w:val="21"/>
                      <w:highlight w:val="none"/>
                      <w:u w:val="single"/>
                      <w:lang w:val="en-US" w:eastAsia="zh-CN"/>
                    </w:rPr>
                    <w:t>回用于洒水降尘，不外排</w:t>
                  </w:r>
                  <w:r>
                    <w:rPr>
                      <w:rFonts w:hint="eastAsia" w:cs="Times New Roman"/>
                      <w:color w:val="auto"/>
                      <w:sz w:val="21"/>
                      <w:szCs w:val="21"/>
                      <w:highlight w:val="none"/>
                      <w:u w:val="single"/>
                      <w:lang w:val="en-US" w:eastAsia="zh-CN"/>
                    </w:rPr>
                    <w:t>；</w:t>
                  </w:r>
                  <w:r>
                    <w:rPr>
                      <w:rFonts w:hint="default" w:ascii="Times New Roman" w:hAnsi="Times New Roman" w:eastAsia="宋体" w:cs="Times New Roman"/>
                      <w:color w:val="auto"/>
                      <w:sz w:val="21"/>
                      <w:szCs w:val="21"/>
                      <w:highlight w:val="none"/>
                      <w:u w:val="single"/>
                    </w:rPr>
                    <w:t>生活污水经化粪池处理后用于周边</w:t>
                  </w:r>
                  <w:r>
                    <w:rPr>
                      <w:rFonts w:hint="eastAsia" w:ascii="Times New Roman" w:hAnsi="Times New Roman" w:eastAsia="宋体" w:cs="Times New Roman"/>
                      <w:color w:val="auto"/>
                      <w:sz w:val="21"/>
                      <w:szCs w:val="21"/>
                      <w:highlight w:val="none"/>
                      <w:u w:val="single"/>
                      <w:lang w:val="en-US" w:eastAsia="zh-CN"/>
                    </w:rPr>
                    <w:t>农业灌溉</w:t>
                  </w:r>
                  <w:r>
                    <w:rPr>
                      <w:rFonts w:hint="eastAsia" w:cs="Times New Roman"/>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rPr>
                    <w:t>洗车废</w:t>
                  </w:r>
                  <w:r>
                    <w:rPr>
                      <w:rFonts w:hint="default" w:ascii="Times New Roman" w:hAnsi="Times New Roman" w:cs="Times New Roman"/>
                      <w:color w:val="auto"/>
                      <w:sz w:val="21"/>
                      <w:szCs w:val="21"/>
                      <w:highlight w:val="none"/>
                      <w:u w:val="single"/>
                    </w:rPr>
                    <w:t>水</w:t>
                  </w:r>
                  <w:r>
                    <w:rPr>
                      <w:rFonts w:hint="eastAsia" w:cs="Times New Roman"/>
                      <w:color w:val="auto"/>
                      <w:sz w:val="21"/>
                      <w:szCs w:val="21"/>
                      <w:highlight w:val="none"/>
                      <w:u w:val="single"/>
                      <w:lang w:val="en-US" w:eastAsia="zh-CN"/>
                    </w:rPr>
                    <w:t>经</w:t>
                  </w:r>
                  <w:r>
                    <w:rPr>
                      <w:rFonts w:hint="default" w:ascii="Times New Roman" w:hAnsi="Times New Roman" w:cs="Times New Roman"/>
                      <w:color w:val="auto"/>
                      <w:sz w:val="21"/>
                      <w:szCs w:val="21"/>
                      <w:highlight w:val="none"/>
                      <w:u w:val="single"/>
                    </w:rPr>
                    <w:t>沉淀</w:t>
                  </w:r>
                  <w:r>
                    <w:rPr>
                      <w:rFonts w:hint="eastAsia" w:cs="Times New Roman"/>
                      <w:color w:val="auto"/>
                      <w:sz w:val="21"/>
                      <w:szCs w:val="21"/>
                      <w:highlight w:val="none"/>
                      <w:u w:val="single"/>
                      <w:lang w:val="en-US" w:eastAsia="zh-CN"/>
                    </w:rPr>
                    <w:t>后</w:t>
                  </w:r>
                  <w:r>
                    <w:rPr>
                      <w:rFonts w:hint="default" w:ascii="Times New Roman" w:hAnsi="Times New Roman" w:cs="Times New Roman"/>
                      <w:color w:val="auto"/>
                      <w:sz w:val="21"/>
                      <w:szCs w:val="21"/>
                      <w:highlight w:val="none"/>
                      <w:u w:val="single"/>
                    </w:rPr>
                    <w:t>回用</w:t>
                  </w:r>
                  <w:r>
                    <w:rPr>
                      <w:rFonts w:hint="eastAsia" w:cs="Times New Roman"/>
                      <w:color w:val="auto"/>
                      <w:sz w:val="21"/>
                      <w:szCs w:val="21"/>
                      <w:highlight w:val="none"/>
                      <w:u w:val="single"/>
                      <w:lang w:val="en-US" w:eastAsia="zh-CN"/>
                    </w:rPr>
                    <w:t>。</w:t>
                  </w:r>
                </w:p>
              </w:tc>
              <w:tc>
                <w:tcPr>
                  <w:tcW w:w="1064" w:type="dxa"/>
                  <w:vAlign w:val="center"/>
                </w:tcPr>
                <w:p w14:paraId="25F629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cs="Times New Roman"/>
                      <w:bCs/>
                      <w:color w:val="auto"/>
                      <w:sz w:val="21"/>
                      <w:szCs w:val="21"/>
                      <w:highlight w:val="none"/>
                      <w:u w:val="single"/>
                      <w:lang w:val="en-US" w:eastAsia="zh-CN"/>
                    </w:rPr>
                    <w:t>新建</w:t>
                  </w:r>
                </w:p>
              </w:tc>
            </w:tr>
            <w:tr w14:paraId="689B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02DA74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Align w:val="center"/>
                </w:tcPr>
                <w:p w14:paraId="45E9EB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噪声</w:t>
                  </w:r>
                </w:p>
              </w:tc>
              <w:tc>
                <w:tcPr>
                  <w:tcW w:w="4868" w:type="dxa"/>
                  <w:vAlign w:val="center"/>
                </w:tcPr>
                <w:p w14:paraId="2A7524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对高噪声设备进行密闭；设备基础减振；维护保养；加强绿化等</w:t>
                  </w:r>
                  <w:r>
                    <w:rPr>
                      <w:rFonts w:hint="eastAsia" w:cs="Times New Roman"/>
                      <w:bCs/>
                      <w:color w:val="auto"/>
                      <w:sz w:val="21"/>
                      <w:szCs w:val="21"/>
                      <w:highlight w:val="none"/>
                      <w:u w:val="single"/>
                      <w:lang w:eastAsia="zh-CN"/>
                    </w:rPr>
                    <w:t>。</w:t>
                  </w:r>
                </w:p>
              </w:tc>
              <w:tc>
                <w:tcPr>
                  <w:tcW w:w="1064" w:type="dxa"/>
                  <w:vAlign w:val="center"/>
                </w:tcPr>
                <w:p w14:paraId="2AD8DA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新建</w:t>
                  </w:r>
                </w:p>
              </w:tc>
            </w:tr>
            <w:tr w14:paraId="64A7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567532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Align w:val="center"/>
                </w:tcPr>
                <w:p w14:paraId="2EB636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固废</w:t>
                  </w:r>
                </w:p>
              </w:tc>
              <w:tc>
                <w:tcPr>
                  <w:tcW w:w="4868" w:type="dxa"/>
                  <w:vAlign w:val="center"/>
                </w:tcPr>
                <w:p w14:paraId="35F164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rPr>
                    <w:t>沉淀池</w:t>
                  </w:r>
                  <w:r>
                    <w:rPr>
                      <w:rFonts w:hint="eastAsia" w:cs="Times New Roman"/>
                      <w:bCs/>
                      <w:color w:val="auto"/>
                      <w:sz w:val="21"/>
                      <w:szCs w:val="21"/>
                      <w:highlight w:val="none"/>
                      <w:u w:val="single"/>
                      <w:lang w:val="en-US" w:eastAsia="zh-CN"/>
                    </w:rPr>
                    <w:t>产生</w:t>
                  </w:r>
                  <w:r>
                    <w:rPr>
                      <w:rFonts w:hint="default" w:ascii="Times New Roman" w:hAnsi="Times New Roman" w:cs="Times New Roman"/>
                      <w:bCs/>
                      <w:color w:val="auto"/>
                      <w:sz w:val="21"/>
                      <w:szCs w:val="21"/>
                      <w:highlight w:val="none"/>
                      <w:u w:val="single"/>
                    </w:rPr>
                    <w:t>的污泥</w:t>
                  </w:r>
                  <w:r>
                    <w:rPr>
                      <w:rFonts w:hint="eastAsia" w:cs="Times New Roman"/>
                      <w:bCs/>
                      <w:color w:val="auto"/>
                      <w:sz w:val="21"/>
                      <w:szCs w:val="21"/>
                      <w:highlight w:val="none"/>
                      <w:u w:val="single"/>
                      <w:lang w:val="en-US" w:eastAsia="zh-CN"/>
                    </w:rPr>
                    <w:t>直接利用装载机运输至排土场，后期</w:t>
                  </w:r>
                  <w:r>
                    <w:rPr>
                      <w:rFonts w:hint="default" w:ascii="Times New Roman" w:hAnsi="Times New Roman" w:cs="Times New Roman"/>
                      <w:bCs/>
                      <w:color w:val="auto"/>
                      <w:sz w:val="21"/>
                      <w:szCs w:val="21"/>
                      <w:highlight w:val="none"/>
                      <w:u w:val="single"/>
                    </w:rPr>
                    <w:t>用于厂区覆绿和采场回填</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该部分污泥应与矿山剥离物分区堆放，便于后期生态修复过程中直接用于复垦</w:t>
                  </w:r>
                  <w:r>
                    <w:rPr>
                      <w:rFonts w:hint="eastAsia"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生活垃圾经收集后委托环卫部门统一处理；废机油等危险废物暂存于危废暂存间</w:t>
                  </w:r>
                  <w:r>
                    <w:rPr>
                      <w:rFonts w:hint="eastAsia"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面积5m</w:t>
                  </w:r>
                  <w:r>
                    <w:rPr>
                      <w:rFonts w:hint="default" w:ascii="Times New Roman" w:hAnsi="Times New Roman" w:cs="Times New Roman"/>
                      <w:bCs/>
                      <w:color w:val="auto"/>
                      <w:sz w:val="21"/>
                      <w:szCs w:val="21"/>
                      <w:highlight w:val="none"/>
                      <w:u w:val="single"/>
                      <w:vertAlign w:val="superscript"/>
                    </w:rPr>
                    <w:t>2</w:t>
                  </w:r>
                  <w:r>
                    <w:rPr>
                      <w:rFonts w:hint="eastAsia"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交由有资质的单位处理</w:t>
                  </w:r>
                  <w:r>
                    <w:rPr>
                      <w:rFonts w:hint="eastAsia" w:cs="Times New Roman"/>
                      <w:bCs/>
                      <w:color w:val="auto"/>
                      <w:sz w:val="21"/>
                      <w:szCs w:val="21"/>
                      <w:highlight w:val="none"/>
                      <w:u w:val="single"/>
                      <w:lang w:val="en-US" w:eastAsia="zh-CN"/>
                    </w:rPr>
                    <w:t>。</w:t>
                  </w:r>
                </w:p>
              </w:tc>
              <w:tc>
                <w:tcPr>
                  <w:tcW w:w="1064" w:type="dxa"/>
                  <w:vAlign w:val="center"/>
                </w:tcPr>
                <w:p w14:paraId="54682B7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cs="Times New Roman"/>
                      <w:bCs/>
                      <w:color w:val="auto"/>
                      <w:sz w:val="21"/>
                      <w:szCs w:val="21"/>
                      <w:highlight w:val="none"/>
                      <w:u w:val="single"/>
                      <w:lang w:val="en-US" w:eastAsia="zh-CN"/>
                    </w:rPr>
                    <w:t>新建</w:t>
                  </w:r>
                </w:p>
              </w:tc>
            </w:tr>
          </w:tbl>
          <w:p w14:paraId="7337087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工程主要经济技术指标见下表。</w:t>
            </w:r>
          </w:p>
          <w:p w14:paraId="17A4FD6B">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矿山综合经济技术指标表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795"/>
              <w:gridCol w:w="1814"/>
              <w:gridCol w:w="1039"/>
              <w:gridCol w:w="3622"/>
            </w:tblGrid>
            <w:tr w14:paraId="3328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641" w:type="dxa"/>
                  <w:vAlign w:val="center"/>
                </w:tcPr>
                <w:p w14:paraId="042A14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609" w:type="dxa"/>
                  <w:gridSpan w:val="2"/>
                  <w:vAlign w:val="center"/>
                </w:tcPr>
                <w:p w14:paraId="65B3FB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039" w:type="dxa"/>
                  <w:vAlign w:val="center"/>
                </w:tcPr>
                <w:p w14:paraId="38B741E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单位</w:t>
                  </w:r>
                </w:p>
              </w:tc>
              <w:tc>
                <w:tcPr>
                  <w:tcW w:w="3622" w:type="dxa"/>
                  <w:vAlign w:val="center"/>
                </w:tcPr>
                <w:p w14:paraId="5D5282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指标</w:t>
                  </w:r>
                </w:p>
              </w:tc>
            </w:tr>
            <w:tr w14:paraId="4CBC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42389E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795" w:type="dxa"/>
                  <w:vMerge w:val="restart"/>
                  <w:vAlign w:val="center"/>
                </w:tcPr>
                <w:p w14:paraId="4FC9F2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矿山范围</w:t>
                  </w:r>
                </w:p>
              </w:tc>
              <w:tc>
                <w:tcPr>
                  <w:tcW w:w="1814" w:type="dxa"/>
                  <w:vAlign w:val="center"/>
                </w:tcPr>
                <w:p w14:paraId="273DBA8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矿山拐点组成</w:t>
                  </w:r>
                </w:p>
              </w:tc>
              <w:tc>
                <w:tcPr>
                  <w:tcW w:w="1039" w:type="dxa"/>
                  <w:vAlign w:val="center"/>
                </w:tcPr>
                <w:p w14:paraId="17742C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w:t>
                  </w:r>
                </w:p>
              </w:tc>
              <w:tc>
                <w:tcPr>
                  <w:tcW w:w="3622" w:type="dxa"/>
                  <w:vAlign w:val="center"/>
                </w:tcPr>
                <w:p w14:paraId="6BA555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r>
            <w:tr w14:paraId="4A59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4D9E9F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4234B1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6DE371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准采标高</w:t>
                  </w:r>
                </w:p>
              </w:tc>
              <w:tc>
                <w:tcPr>
                  <w:tcW w:w="1039" w:type="dxa"/>
                  <w:vAlign w:val="center"/>
                </w:tcPr>
                <w:p w14:paraId="0AEB60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w:t>
                  </w:r>
                </w:p>
              </w:tc>
              <w:tc>
                <w:tcPr>
                  <w:tcW w:w="3622" w:type="dxa"/>
                  <w:vAlign w:val="center"/>
                </w:tcPr>
                <w:p w14:paraId="6A903F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eastAsiaTheme="majorEastAsia"/>
                      <w:color w:val="auto"/>
                      <w:kern w:val="0"/>
                      <w:sz w:val="21"/>
                      <w:szCs w:val="21"/>
                      <w:highlight w:val="none"/>
                      <w:lang w:val="en-US" w:eastAsia="zh-CN"/>
                    </w:rPr>
                  </w:pPr>
                  <w:r>
                    <w:rPr>
                      <w:rFonts w:hint="eastAsia" w:cs="Times New Roman" w:eastAsiaTheme="majorEastAsia"/>
                      <w:color w:val="auto"/>
                      <w:sz w:val="21"/>
                      <w:szCs w:val="21"/>
                      <w:highlight w:val="none"/>
                      <w:lang w:eastAsia="zh-CN"/>
                    </w:rPr>
                    <w:t>+198～+110</w:t>
                  </w:r>
                </w:p>
              </w:tc>
            </w:tr>
            <w:tr w14:paraId="62D9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627CBD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789358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4AB9D3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矿山面积</w:t>
                  </w:r>
                </w:p>
              </w:tc>
              <w:tc>
                <w:tcPr>
                  <w:tcW w:w="1039" w:type="dxa"/>
                  <w:vAlign w:val="center"/>
                </w:tcPr>
                <w:p w14:paraId="5E288D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vertAlign w:val="superscript"/>
                    </w:rPr>
                  </w:pPr>
                  <w:r>
                    <w:rPr>
                      <w:rFonts w:hint="default" w:ascii="Times New Roman" w:hAnsi="Times New Roman" w:cs="Times New Roman"/>
                      <w:color w:val="auto"/>
                      <w:kern w:val="0"/>
                      <w:sz w:val="21"/>
                      <w:szCs w:val="21"/>
                      <w:highlight w:val="none"/>
                    </w:rPr>
                    <w:t>km</w:t>
                  </w:r>
                  <w:r>
                    <w:rPr>
                      <w:rFonts w:hint="default" w:ascii="Times New Roman" w:hAnsi="Times New Roman" w:cs="Times New Roman"/>
                      <w:color w:val="auto"/>
                      <w:kern w:val="0"/>
                      <w:sz w:val="21"/>
                      <w:szCs w:val="21"/>
                      <w:highlight w:val="none"/>
                      <w:vertAlign w:val="superscript"/>
                    </w:rPr>
                    <w:t>2</w:t>
                  </w:r>
                </w:p>
              </w:tc>
              <w:tc>
                <w:tcPr>
                  <w:tcW w:w="3622" w:type="dxa"/>
                  <w:vAlign w:val="center"/>
                </w:tcPr>
                <w:p w14:paraId="3B6FD9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0.2578</w:t>
                  </w:r>
                </w:p>
              </w:tc>
            </w:tr>
            <w:tr w14:paraId="4933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2047F7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795" w:type="dxa"/>
                  <w:vMerge w:val="restart"/>
                  <w:vAlign w:val="center"/>
                </w:tcPr>
                <w:p w14:paraId="6F60CF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矿体特征</w:t>
                  </w:r>
                </w:p>
              </w:tc>
              <w:tc>
                <w:tcPr>
                  <w:tcW w:w="2853" w:type="dxa"/>
                  <w:gridSpan w:val="2"/>
                  <w:vAlign w:val="center"/>
                </w:tcPr>
                <w:p w14:paraId="0C2894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矿种</w:t>
                  </w:r>
                </w:p>
              </w:tc>
              <w:tc>
                <w:tcPr>
                  <w:tcW w:w="3622" w:type="dxa"/>
                  <w:vAlign w:val="center"/>
                </w:tcPr>
                <w:p w14:paraId="7A0955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 xml:space="preserve"> </w:t>
                  </w:r>
                  <w:r>
                    <w:rPr>
                      <w:rFonts w:hint="default" w:ascii="Times New Roman" w:hAnsi="Times New Roman" w:cs="Times New Roman"/>
                      <w:color w:val="auto"/>
                      <w:kern w:val="0"/>
                      <w:sz w:val="21"/>
                      <w:szCs w:val="21"/>
                      <w:highlight w:val="none"/>
                    </w:rPr>
                    <w:t>建筑石料用灰岩矿</w:t>
                  </w:r>
                </w:p>
              </w:tc>
            </w:tr>
            <w:tr w14:paraId="2844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0AD056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5A19D9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1F4A1E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可采矿体</w:t>
                  </w:r>
                </w:p>
              </w:tc>
              <w:tc>
                <w:tcPr>
                  <w:tcW w:w="1039" w:type="dxa"/>
                  <w:vAlign w:val="center"/>
                </w:tcPr>
                <w:p w14:paraId="7F8FDAC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个（层）</w:t>
                  </w:r>
                </w:p>
              </w:tc>
              <w:tc>
                <w:tcPr>
                  <w:tcW w:w="3622" w:type="dxa"/>
                  <w:vAlign w:val="center"/>
                </w:tcPr>
                <w:p w14:paraId="5A4A24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rPr>
                    <w:t>（Ⅰ 矿层</w:t>
                  </w:r>
                  <w:r>
                    <w:rPr>
                      <w:rFonts w:hint="eastAsia" w:cs="Times New Roman"/>
                      <w:color w:val="auto"/>
                      <w:kern w:val="0"/>
                      <w:sz w:val="21"/>
                      <w:szCs w:val="21"/>
                      <w:highlight w:val="none"/>
                      <w:lang w:eastAsia="zh-CN"/>
                    </w:rPr>
                    <w:t>、Ⅱ矿层</w:t>
                  </w:r>
                  <w:r>
                    <w:rPr>
                      <w:rFonts w:hint="default" w:ascii="Times New Roman" w:hAnsi="Times New Roman" w:cs="Times New Roman"/>
                      <w:color w:val="auto"/>
                      <w:kern w:val="0"/>
                      <w:sz w:val="21"/>
                      <w:szCs w:val="21"/>
                      <w:highlight w:val="none"/>
                    </w:rPr>
                    <w:t>）</w:t>
                  </w:r>
                </w:p>
              </w:tc>
            </w:tr>
            <w:tr w14:paraId="5E51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7C73A9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6C51AE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20ACEA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矿体走向长</w:t>
                  </w:r>
                </w:p>
              </w:tc>
              <w:tc>
                <w:tcPr>
                  <w:tcW w:w="1039" w:type="dxa"/>
                  <w:vAlign w:val="center"/>
                </w:tcPr>
                <w:p w14:paraId="17B9CD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w:t>
                  </w:r>
                </w:p>
              </w:tc>
              <w:tc>
                <w:tcPr>
                  <w:tcW w:w="3622" w:type="dxa"/>
                  <w:vAlign w:val="center"/>
                </w:tcPr>
                <w:p w14:paraId="2367FF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eastAsia" w:cs="Times New Roman" w:eastAsiaTheme="minorEastAsia"/>
                      <w:color w:val="auto"/>
                      <w:sz w:val="21"/>
                      <w:szCs w:val="21"/>
                      <w:highlight w:val="none"/>
                      <w:lang w:val="en-US" w:eastAsia="zh-CN"/>
                    </w:rPr>
                    <w:t>400</w:t>
                  </w:r>
                </w:p>
              </w:tc>
            </w:tr>
            <w:tr w14:paraId="365A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08F9B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173AEF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78DB83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矿体倾斜宽</w:t>
                  </w:r>
                </w:p>
              </w:tc>
              <w:tc>
                <w:tcPr>
                  <w:tcW w:w="1039" w:type="dxa"/>
                  <w:vAlign w:val="center"/>
                </w:tcPr>
                <w:p w14:paraId="75C293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w:t>
                  </w:r>
                </w:p>
              </w:tc>
              <w:tc>
                <w:tcPr>
                  <w:tcW w:w="3622" w:type="dxa"/>
                  <w:vAlign w:val="center"/>
                </w:tcPr>
                <w:p w14:paraId="070581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750</w:t>
                  </w:r>
                </w:p>
              </w:tc>
            </w:tr>
            <w:tr w14:paraId="15E1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384D5D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A3D46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3973AF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矿体</w:t>
                  </w:r>
                  <w:r>
                    <w:rPr>
                      <w:rFonts w:hint="eastAsia" w:cs="Times New Roman"/>
                      <w:color w:val="auto"/>
                      <w:kern w:val="0"/>
                      <w:sz w:val="21"/>
                      <w:szCs w:val="21"/>
                      <w:highlight w:val="none"/>
                      <w:lang w:val="en-US" w:eastAsia="zh-CN"/>
                    </w:rPr>
                    <w:t>平均厚度</w:t>
                  </w:r>
                </w:p>
              </w:tc>
              <w:tc>
                <w:tcPr>
                  <w:tcW w:w="1039" w:type="dxa"/>
                  <w:vAlign w:val="center"/>
                </w:tcPr>
                <w:p w14:paraId="0B000D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w:t>
                  </w:r>
                </w:p>
              </w:tc>
              <w:tc>
                <w:tcPr>
                  <w:tcW w:w="3622" w:type="dxa"/>
                  <w:vAlign w:val="center"/>
                </w:tcPr>
                <w:p w14:paraId="1E16C7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w:t>
                  </w:r>
                  <w:r>
                    <w:rPr>
                      <w:rFonts w:hint="eastAsia" w:cs="Times New Roman" w:eastAsiaTheme="minorEastAsia"/>
                      <w:color w:val="auto"/>
                      <w:spacing w:val="-8"/>
                      <w:sz w:val="21"/>
                      <w:szCs w:val="21"/>
                      <w:highlight w:val="none"/>
                      <w:lang w:val="en-US" w:eastAsia="zh-CN"/>
                    </w:rPr>
                    <w:t>96</w:t>
                  </w:r>
                </w:p>
              </w:tc>
            </w:tr>
            <w:tr w14:paraId="3B6A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306DE5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04701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1562CA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矿体</w:t>
                  </w:r>
                  <w:r>
                    <w:rPr>
                      <w:rFonts w:hint="eastAsia" w:cs="Times New Roman"/>
                      <w:color w:val="auto"/>
                      <w:kern w:val="0"/>
                      <w:sz w:val="21"/>
                      <w:szCs w:val="21"/>
                      <w:highlight w:val="none"/>
                      <w:lang w:val="en-US" w:eastAsia="zh-CN"/>
                    </w:rPr>
                    <w:t>平均</w:t>
                  </w:r>
                  <w:r>
                    <w:rPr>
                      <w:rFonts w:hint="default" w:ascii="Times New Roman" w:hAnsi="Times New Roman" w:cs="Times New Roman"/>
                      <w:color w:val="auto"/>
                      <w:kern w:val="0"/>
                      <w:sz w:val="21"/>
                      <w:szCs w:val="21"/>
                      <w:highlight w:val="none"/>
                    </w:rPr>
                    <w:t>倾角</w:t>
                  </w:r>
                </w:p>
              </w:tc>
              <w:tc>
                <w:tcPr>
                  <w:tcW w:w="1039" w:type="dxa"/>
                  <w:vAlign w:val="center"/>
                </w:tcPr>
                <w:p w14:paraId="7D4CA2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度</w:t>
                  </w:r>
                </w:p>
              </w:tc>
              <w:tc>
                <w:tcPr>
                  <w:tcW w:w="3622" w:type="dxa"/>
                  <w:vAlign w:val="center"/>
                </w:tcPr>
                <w:p w14:paraId="010403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4</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12</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14</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16</w:t>
                  </w:r>
                  <w:r>
                    <w:rPr>
                      <w:rFonts w:hint="default" w:ascii="Times New Roman" w:hAnsi="Times New Roman" w:cs="Times New Roman"/>
                      <w:color w:val="auto"/>
                      <w:kern w:val="0"/>
                      <w:sz w:val="21"/>
                      <w:szCs w:val="21"/>
                      <w:highlight w:val="none"/>
                    </w:rPr>
                    <w:t>°</w:t>
                  </w:r>
                </w:p>
              </w:tc>
            </w:tr>
            <w:tr w14:paraId="58A5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9F50A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4DCA02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0818A8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矿石结构、构造</w:t>
                  </w:r>
                </w:p>
              </w:tc>
              <w:tc>
                <w:tcPr>
                  <w:tcW w:w="1039" w:type="dxa"/>
                  <w:vAlign w:val="center"/>
                </w:tcPr>
                <w:p w14:paraId="1DE30D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3622" w:type="dxa"/>
                  <w:vAlign w:val="center"/>
                </w:tcPr>
                <w:p w14:paraId="6684E04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rPr>
                      <w:rFonts w:hint="eastAsia" w:cs="Times New Roman"/>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微晶结构、粉晶</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细晶结构，厚层构造</w:t>
                  </w:r>
                </w:p>
              </w:tc>
            </w:tr>
            <w:tr w14:paraId="65BF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4D9E1F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147187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3D7450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矿石体重</w:t>
                  </w:r>
                </w:p>
              </w:tc>
              <w:tc>
                <w:tcPr>
                  <w:tcW w:w="1039" w:type="dxa"/>
                  <w:vAlign w:val="center"/>
                </w:tcPr>
                <w:p w14:paraId="5A77EF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t/m</w:t>
                  </w:r>
                  <w:r>
                    <w:rPr>
                      <w:rFonts w:hint="eastAsia" w:cs="Times New Roman"/>
                      <w:color w:val="auto"/>
                      <w:kern w:val="0"/>
                      <w:sz w:val="21"/>
                      <w:szCs w:val="21"/>
                      <w:highlight w:val="none"/>
                      <w:vertAlign w:val="superscript"/>
                      <w:lang w:val="en-US" w:eastAsia="zh-CN"/>
                    </w:rPr>
                    <w:t>3</w:t>
                  </w:r>
                </w:p>
              </w:tc>
              <w:tc>
                <w:tcPr>
                  <w:tcW w:w="3622" w:type="dxa"/>
                  <w:vAlign w:val="center"/>
                </w:tcPr>
                <w:p w14:paraId="13B4A37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rPr>
                      <w:rFonts w:hint="default" w:ascii="宋体" w:hAnsi="宋体" w:eastAsia="宋体" w:cs="宋体"/>
                      <w:color w:val="auto"/>
                      <w:kern w:val="0"/>
                      <w:sz w:val="21"/>
                      <w:szCs w:val="21"/>
                      <w:highlight w:val="none"/>
                      <w:lang w:val="en-US" w:eastAsia="zh-CN" w:bidi="ar"/>
                    </w:rPr>
                  </w:pPr>
                  <w:r>
                    <w:rPr>
                      <w:rFonts w:hint="eastAsia" w:cs="Times New Roman"/>
                      <w:color w:val="auto"/>
                      <w:kern w:val="0"/>
                      <w:sz w:val="21"/>
                      <w:szCs w:val="21"/>
                      <w:highlight w:val="none"/>
                      <w:lang w:val="en-US" w:eastAsia="zh-CN"/>
                    </w:rPr>
                    <w:t>2.71</w:t>
                  </w:r>
                </w:p>
              </w:tc>
            </w:tr>
            <w:tr w14:paraId="37FA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22C877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944DC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54FFD3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矿石质量</w:t>
                  </w:r>
                </w:p>
              </w:tc>
              <w:tc>
                <w:tcPr>
                  <w:tcW w:w="1039" w:type="dxa"/>
                  <w:vAlign w:val="center"/>
                </w:tcPr>
                <w:p w14:paraId="297DE1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3622" w:type="dxa"/>
                  <w:vAlign w:val="center"/>
                </w:tcPr>
                <w:p w14:paraId="5DB091B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属</w:t>
                  </w:r>
                  <w:r>
                    <w:rPr>
                      <w:rFonts w:hint="default" w:ascii="Times New Roman" w:hAnsi="Times New Roman" w:eastAsia="宋体" w:cs="Times New Roman"/>
                      <w:color w:val="auto"/>
                      <w:kern w:val="0"/>
                      <w:sz w:val="21"/>
                      <w:szCs w:val="21"/>
                      <w:highlight w:val="none"/>
                      <w:lang w:val="en-US" w:eastAsia="zh-CN" w:bidi="ar"/>
                    </w:rPr>
                    <w:t>Ⅱ</w:t>
                  </w:r>
                  <w:r>
                    <w:rPr>
                      <w:rFonts w:hint="eastAsia" w:ascii="宋体" w:hAnsi="宋体" w:eastAsia="宋体" w:cs="宋体"/>
                      <w:color w:val="auto"/>
                      <w:kern w:val="0"/>
                      <w:sz w:val="21"/>
                      <w:szCs w:val="21"/>
                      <w:highlight w:val="none"/>
                      <w:lang w:val="en-US" w:eastAsia="zh-CN" w:bidi="ar"/>
                    </w:rPr>
                    <w:t>类质量等级</w:t>
                  </w:r>
                </w:p>
              </w:tc>
            </w:tr>
            <w:tr w14:paraId="0E14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7AB8DE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20925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67B7AE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矿体稳定性</w:t>
                  </w:r>
                </w:p>
              </w:tc>
              <w:tc>
                <w:tcPr>
                  <w:tcW w:w="1039" w:type="dxa"/>
                  <w:vAlign w:val="center"/>
                </w:tcPr>
                <w:p w14:paraId="2AF306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3622" w:type="dxa"/>
                  <w:vAlign w:val="center"/>
                </w:tcPr>
                <w:p w14:paraId="7B7E9D0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矿体呈层状产出且连续性好，与地层产状一致，岩溶较发育</w:t>
                  </w:r>
                </w:p>
              </w:tc>
            </w:tr>
            <w:tr w14:paraId="0CA6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3DE6F9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795" w:type="dxa"/>
                  <w:vMerge w:val="restart"/>
                  <w:vAlign w:val="center"/>
                </w:tcPr>
                <w:p w14:paraId="5B02527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资源储量及开采条件</w:t>
                  </w:r>
                </w:p>
              </w:tc>
              <w:tc>
                <w:tcPr>
                  <w:tcW w:w="1814" w:type="dxa"/>
                  <w:vMerge w:val="restart"/>
                  <w:vAlign w:val="center"/>
                </w:tcPr>
                <w:p w14:paraId="1374B3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备案资源</w:t>
                  </w:r>
                  <w:r>
                    <w:rPr>
                      <w:rFonts w:hint="default" w:ascii="Times New Roman" w:hAnsi="Times New Roman" w:cs="Times New Roman"/>
                      <w:color w:val="auto"/>
                      <w:kern w:val="0"/>
                      <w:sz w:val="21"/>
                      <w:szCs w:val="21"/>
                      <w:highlight w:val="none"/>
                    </w:rPr>
                    <w:t>储量</w:t>
                  </w:r>
                </w:p>
              </w:tc>
              <w:tc>
                <w:tcPr>
                  <w:tcW w:w="1039" w:type="dxa"/>
                  <w:vAlign w:val="center"/>
                </w:tcPr>
                <w:p w14:paraId="7E1C2F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万吨</w:t>
                  </w:r>
                </w:p>
              </w:tc>
              <w:tc>
                <w:tcPr>
                  <w:tcW w:w="3622" w:type="dxa"/>
                  <w:vAlign w:val="center"/>
                </w:tcPr>
                <w:p w14:paraId="7E43B73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2242.4</w:t>
                  </w:r>
                </w:p>
              </w:tc>
            </w:tr>
            <w:tr w14:paraId="48C9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7AE76A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620F19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continue"/>
                  <w:vAlign w:val="center"/>
                </w:tcPr>
                <w:p w14:paraId="422113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039" w:type="dxa"/>
                  <w:vAlign w:val="center"/>
                </w:tcPr>
                <w:p w14:paraId="307B53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万m</w:t>
                  </w:r>
                  <w:r>
                    <w:rPr>
                      <w:rFonts w:hint="eastAsia" w:cs="Times New Roman"/>
                      <w:color w:val="auto"/>
                      <w:kern w:val="0"/>
                      <w:sz w:val="21"/>
                      <w:szCs w:val="21"/>
                      <w:highlight w:val="none"/>
                      <w:vertAlign w:val="superscript"/>
                      <w:lang w:val="en-US" w:eastAsia="zh-CN"/>
                    </w:rPr>
                    <w:t>3</w:t>
                  </w:r>
                </w:p>
              </w:tc>
              <w:tc>
                <w:tcPr>
                  <w:tcW w:w="3622" w:type="dxa"/>
                  <w:vAlign w:val="center"/>
                </w:tcPr>
                <w:p w14:paraId="04EB94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827.5</w:t>
                  </w:r>
                </w:p>
              </w:tc>
            </w:tr>
            <w:tr w14:paraId="781D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61591D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39EACF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restart"/>
                  <w:vAlign w:val="center"/>
                </w:tcPr>
                <w:p w14:paraId="12BCAA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设计利用资源</w:t>
                  </w:r>
                </w:p>
              </w:tc>
              <w:tc>
                <w:tcPr>
                  <w:tcW w:w="1039" w:type="dxa"/>
                  <w:vAlign w:val="center"/>
                </w:tcPr>
                <w:p w14:paraId="200729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万吨</w:t>
                  </w:r>
                </w:p>
              </w:tc>
              <w:tc>
                <w:tcPr>
                  <w:tcW w:w="3622" w:type="dxa"/>
                  <w:vAlign w:val="center"/>
                </w:tcPr>
                <w:p w14:paraId="4FB806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2242.4</w:t>
                  </w:r>
                </w:p>
              </w:tc>
            </w:tr>
            <w:tr w14:paraId="3411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07D97F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9DB9F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continue"/>
                  <w:vAlign w:val="center"/>
                </w:tcPr>
                <w:p w14:paraId="62E3E9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039" w:type="dxa"/>
                  <w:vAlign w:val="center"/>
                </w:tcPr>
                <w:p w14:paraId="44C891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万m</w:t>
                  </w:r>
                  <w:r>
                    <w:rPr>
                      <w:rFonts w:hint="eastAsia" w:cs="Times New Roman"/>
                      <w:color w:val="auto"/>
                      <w:kern w:val="0"/>
                      <w:sz w:val="21"/>
                      <w:szCs w:val="21"/>
                      <w:highlight w:val="none"/>
                      <w:vertAlign w:val="superscript"/>
                      <w:lang w:val="en-US" w:eastAsia="zh-CN"/>
                    </w:rPr>
                    <w:t>3</w:t>
                  </w:r>
                </w:p>
              </w:tc>
              <w:tc>
                <w:tcPr>
                  <w:tcW w:w="3622" w:type="dxa"/>
                  <w:vAlign w:val="center"/>
                </w:tcPr>
                <w:p w14:paraId="469DCA7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827.5</w:t>
                  </w:r>
                </w:p>
              </w:tc>
            </w:tr>
            <w:tr w14:paraId="3DDF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244D7D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1A319E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restart"/>
                  <w:vAlign w:val="center"/>
                </w:tcPr>
                <w:p w14:paraId="3C1407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挂帮损失量</w:t>
                  </w:r>
                </w:p>
              </w:tc>
              <w:tc>
                <w:tcPr>
                  <w:tcW w:w="1039" w:type="dxa"/>
                  <w:vAlign w:val="center"/>
                </w:tcPr>
                <w:p w14:paraId="3D9B1E2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万吨</w:t>
                  </w:r>
                </w:p>
              </w:tc>
              <w:tc>
                <w:tcPr>
                  <w:tcW w:w="3622" w:type="dxa"/>
                  <w:vAlign w:val="center"/>
                </w:tcPr>
                <w:p w14:paraId="24A653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47.0</w:t>
                  </w:r>
                </w:p>
              </w:tc>
            </w:tr>
            <w:tr w14:paraId="61F0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3C27C8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7B9713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continue"/>
                  <w:vAlign w:val="center"/>
                </w:tcPr>
                <w:p w14:paraId="07814A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039" w:type="dxa"/>
                  <w:vAlign w:val="center"/>
                </w:tcPr>
                <w:p w14:paraId="7FD5E4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万m</w:t>
                  </w:r>
                  <w:r>
                    <w:rPr>
                      <w:rFonts w:hint="eastAsia" w:cs="Times New Roman"/>
                      <w:color w:val="auto"/>
                      <w:kern w:val="0"/>
                      <w:sz w:val="21"/>
                      <w:szCs w:val="21"/>
                      <w:highlight w:val="none"/>
                      <w:vertAlign w:val="superscript"/>
                      <w:lang w:val="en-US" w:eastAsia="zh-CN"/>
                    </w:rPr>
                    <w:t>3</w:t>
                  </w:r>
                </w:p>
              </w:tc>
              <w:tc>
                <w:tcPr>
                  <w:tcW w:w="3622" w:type="dxa"/>
                  <w:vAlign w:val="center"/>
                </w:tcPr>
                <w:p w14:paraId="7E40DA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17.4</w:t>
                  </w:r>
                </w:p>
              </w:tc>
            </w:tr>
            <w:tr w14:paraId="7E48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26301B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380412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restart"/>
                  <w:vAlign w:val="center"/>
                </w:tcPr>
                <w:p w14:paraId="30C97B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可采储量</w:t>
                  </w:r>
                </w:p>
              </w:tc>
              <w:tc>
                <w:tcPr>
                  <w:tcW w:w="1039" w:type="dxa"/>
                  <w:vAlign w:val="center"/>
                </w:tcPr>
                <w:p w14:paraId="0E5EE3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万吨</w:t>
                  </w:r>
                </w:p>
              </w:tc>
              <w:tc>
                <w:tcPr>
                  <w:tcW w:w="3622" w:type="dxa"/>
                  <w:vAlign w:val="center"/>
                </w:tcPr>
                <w:p w14:paraId="4B3DCD2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2151.3</w:t>
                  </w:r>
                </w:p>
              </w:tc>
            </w:tr>
            <w:tr w14:paraId="6C78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224C0F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442EF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continue"/>
                  <w:vAlign w:val="center"/>
                </w:tcPr>
                <w:p w14:paraId="4514D8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039" w:type="dxa"/>
                  <w:vAlign w:val="center"/>
                </w:tcPr>
                <w:p w14:paraId="0E5420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万m</w:t>
                  </w:r>
                  <w:r>
                    <w:rPr>
                      <w:rFonts w:hint="eastAsia" w:cs="Times New Roman"/>
                      <w:color w:val="auto"/>
                      <w:kern w:val="0"/>
                      <w:sz w:val="21"/>
                      <w:szCs w:val="21"/>
                      <w:highlight w:val="none"/>
                      <w:vertAlign w:val="superscript"/>
                      <w:lang w:val="en-US" w:eastAsia="zh-CN"/>
                    </w:rPr>
                    <w:t>3</w:t>
                  </w:r>
                </w:p>
              </w:tc>
              <w:tc>
                <w:tcPr>
                  <w:tcW w:w="3622" w:type="dxa"/>
                  <w:vAlign w:val="center"/>
                </w:tcPr>
                <w:p w14:paraId="769AD00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793.9</w:t>
                  </w:r>
                </w:p>
              </w:tc>
            </w:tr>
            <w:tr w14:paraId="3438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6A74E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BC6A5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24C962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水文地质条件</w:t>
                  </w:r>
                </w:p>
              </w:tc>
              <w:tc>
                <w:tcPr>
                  <w:tcW w:w="3622" w:type="dxa"/>
                  <w:vAlign w:val="center"/>
                </w:tcPr>
                <w:p w14:paraId="500C4E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中等</w:t>
                  </w:r>
                </w:p>
              </w:tc>
            </w:tr>
            <w:tr w14:paraId="2145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26E1FA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1AB294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088811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工程地质条件</w:t>
                  </w:r>
                </w:p>
              </w:tc>
              <w:tc>
                <w:tcPr>
                  <w:tcW w:w="3622" w:type="dxa"/>
                  <w:vAlign w:val="center"/>
                </w:tcPr>
                <w:p w14:paraId="35A8FC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中等</w:t>
                  </w:r>
                </w:p>
              </w:tc>
            </w:tr>
            <w:tr w14:paraId="3977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05050C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98BA7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7A7EF6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环境地质条件</w:t>
                  </w:r>
                </w:p>
              </w:tc>
              <w:tc>
                <w:tcPr>
                  <w:tcW w:w="3622" w:type="dxa"/>
                  <w:vAlign w:val="center"/>
                </w:tcPr>
                <w:p w14:paraId="33F5AE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中等</w:t>
                  </w:r>
                </w:p>
              </w:tc>
            </w:tr>
            <w:tr w14:paraId="3A19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27C3B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F7BAF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5E9F03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其他开采技术条件</w:t>
                  </w:r>
                </w:p>
              </w:tc>
              <w:tc>
                <w:tcPr>
                  <w:tcW w:w="3622" w:type="dxa"/>
                  <w:vAlign w:val="center"/>
                </w:tcPr>
                <w:p w14:paraId="50DE37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适宜</w:t>
                  </w:r>
                </w:p>
              </w:tc>
            </w:tr>
            <w:tr w14:paraId="02DF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076547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795" w:type="dxa"/>
                  <w:vMerge w:val="restart"/>
                  <w:vAlign w:val="center"/>
                </w:tcPr>
                <w:p w14:paraId="6A6D82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生产规模</w:t>
                  </w:r>
                </w:p>
              </w:tc>
              <w:tc>
                <w:tcPr>
                  <w:tcW w:w="1814" w:type="dxa"/>
                  <w:vAlign w:val="center"/>
                </w:tcPr>
                <w:p w14:paraId="7D9588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设计生产能力</w:t>
                  </w:r>
                </w:p>
              </w:tc>
              <w:tc>
                <w:tcPr>
                  <w:tcW w:w="1039" w:type="dxa"/>
                  <w:vAlign w:val="center"/>
                </w:tcPr>
                <w:p w14:paraId="2803CF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万吨/年</w:t>
                  </w:r>
                </w:p>
              </w:tc>
              <w:tc>
                <w:tcPr>
                  <w:tcW w:w="3622" w:type="dxa"/>
                  <w:vAlign w:val="center"/>
                </w:tcPr>
                <w:p w14:paraId="5500F9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120</w:t>
                  </w:r>
                </w:p>
              </w:tc>
            </w:tr>
            <w:tr w14:paraId="2F18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7364AC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28FE0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376A42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矿山服务年限</w:t>
                  </w:r>
                </w:p>
              </w:tc>
              <w:tc>
                <w:tcPr>
                  <w:tcW w:w="1039" w:type="dxa"/>
                  <w:vAlign w:val="center"/>
                </w:tcPr>
                <w:p w14:paraId="40FF17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w:t>
                  </w:r>
                </w:p>
              </w:tc>
              <w:tc>
                <w:tcPr>
                  <w:tcW w:w="3622" w:type="dxa"/>
                  <w:vAlign w:val="center"/>
                </w:tcPr>
                <w:p w14:paraId="083B1E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17.9</w:t>
                  </w:r>
                </w:p>
              </w:tc>
            </w:tr>
            <w:tr w14:paraId="47AE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64BCE8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795" w:type="dxa"/>
                  <w:vMerge w:val="restart"/>
                  <w:vAlign w:val="center"/>
                </w:tcPr>
                <w:p w14:paraId="39CA10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开采方案</w:t>
                  </w:r>
                </w:p>
              </w:tc>
              <w:tc>
                <w:tcPr>
                  <w:tcW w:w="2853" w:type="dxa"/>
                  <w:gridSpan w:val="2"/>
                  <w:vAlign w:val="center"/>
                </w:tcPr>
                <w:p w14:paraId="788F67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开采方式</w:t>
                  </w:r>
                </w:p>
              </w:tc>
              <w:tc>
                <w:tcPr>
                  <w:tcW w:w="3622" w:type="dxa"/>
                  <w:vAlign w:val="center"/>
                </w:tcPr>
                <w:p w14:paraId="19A44F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山坡露天开采</w:t>
                  </w:r>
                </w:p>
              </w:tc>
            </w:tr>
            <w:tr w14:paraId="7611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322690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4A05F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7C170A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开拓方式</w:t>
                  </w:r>
                </w:p>
              </w:tc>
              <w:tc>
                <w:tcPr>
                  <w:tcW w:w="3622" w:type="dxa"/>
                  <w:vAlign w:val="center"/>
                </w:tcPr>
                <w:p w14:paraId="173D4E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公路</w:t>
                  </w:r>
                </w:p>
              </w:tc>
            </w:tr>
            <w:tr w14:paraId="7999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6DA012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3F0EA0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6D3D15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采矿方法</w:t>
                  </w:r>
                </w:p>
              </w:tc>
              <w:tc>
                <w:tcPr>
                  <w:tcW w:w="3622" w:type="dxa"/>
                  <w:vAlign w:val="center"/>
                </w:tcPr>
                <w:p w14:paraId="3AD18BDA">
                  <w:pPr>
                    <w:keepNext w:val="0"/>
                    <w:keepLines w:val="0"/>
                    <w:widowControl/>
                    <w:suppressLineNumbers w:val="0"/>
                    <w:ind w:left="0" w:leftChars="0" w:firstLine="0" w:firstLineChars="0"/>
                    <w:jc w:val="center"/>
                    <w:rPr>
                      <w:rFonts w:hint="default" w:ascii="Times New Roman" w:hAnsi="Times New Roman"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自上而下分水平台阶式</w:t>
                  </w:r>
                </w:p>
              </w:tc>
            </w:tr>
            <w:tr w14:paraId="3026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05257E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309A9F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0CEEAC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运输方式</w:t>
                  </w:r>
                </w:p>
              </w:tc>
              <w:tc>
                <w:tcPr>
                  <w:tcW w:w="3622" w:type="dxa"/>
                  <w:vAlign w:val="center"/>
                </w:tcPr>
                <w:p w14:paraId="5EFDBA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汽车运输</w:t>
                  </w:r>
                </w:p>
              </w:tc>
            </w:tr>
            <w:tr w14:paraId="13D7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940C17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4D4DE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20DE6E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采矿损失率</w:t>
                  </w:r>
                </w:p>
              </w:tc>
              <w:tc>
                <w:tcPr>
                  <w:tcW w:w="1039" w:type="dxa"/>
                  <w:vAlign w:val="center"/>
                </w:tcPr>
                <w:p w14:paraId="11BDA4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3622" w:type="dxa"/>
                  <w:vAlign w:val="center"/>
                </w:tcPr>
                <w:p w14:paraId="0BA618A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r>
            <w:tr w14:paraId="4587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523F28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572331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0CE31D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矿山回采率</w:t>
                  </w:r>
                </w:p>
              </w:tc>
              <w:tc>
                <w:tcPr>
                  <w:tcW w:w="1039" w:type="dxa"/>
                  <w:vAlign w:val="center"/>
                </w:tcPr>
                <w:p w14:paraId="5C04C9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3622" w:type="dxa"/>
                  <w:vAlign w:val="center"/>
                </w:tcPr>
                <w:p w14:paraId="7897A69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98</w:t>
                  </w:r>
                </w:p>
              </w:tc>
            </w:tr>
            <w:tr w14:paraId="0021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67EB67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62F59B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6B760E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贫化率</w:t>
                  </w:r>
                </w:p>
              </w:tc>
              <w:tc>
                <w:tcPr>
                  <w:tcW w:w="1039" w:type="dxa"/>
                  <w:vAlign w:val="center"/>
                </w:tcPr>
                <w:p w14:paraId="7F31B2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3622" w:type="dxa"/>
                  <w:vAlign w:val="center"/>
                </w:tcPr>
                <w:p w14:paraId="222A55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r w14:paraId="4250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491E29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w:t>
                  </w:r>
                </w:p>
              </w:tc>
              <w:tc>
                <w:tcPr>
                  <w:tcW w:w="795" w:type="dxa"/>
                  <w:vMerge w:val="restart"/>
                  <w:vAlign w:val="center"/>
                </w:tcPr>
                <w:p w14:paraId="7E3256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经济指标</w:t>
                  </w:r>
                </w:p>
              </w:tc>
              <w:tc>
                <w:tcPr>
                  <w:tcW w:w="1814" w:type="dxa"/>
                  <w:vAlign w:val="center"/>
                </w:tcPr>
                <w:p w14:paraId="3929AE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年收入</w:t>
                  </w:r>
                </w:p>
              </w:tc>
              <w:tc>
                <w:tcPr>
                  <w:tcW w:w="1039" w:type="dxa"/>
                  <w:vAlign w:val="center"/>
                </w:tcPr>
                <w:p w14:paraId="2796DE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万元</w:t>
                  </w:r>
                </w:p>
              </w:tc>
              <w:tc>
                <w:tcPr>
                  <w:tcW w:w="3622" w:type="dxa"/>
                  <w:vAlign w:val="center"/>
                </w:tcPr>
                <w:p w14:paraId="2921AF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6060</w:t>
                  </w:r>
                  <w:r>
                    <w:rPr>
                      <w:rFonts w:hint="default" w:ascii="Times New Roman" w:hAnsi="Times New Roman" w:cs="Times New Roman"/>
                      <w:color w:val="auto"/>
                      <w:kern w:val="0"/>
                      <w:sz w:val="21"/>
                      <w:szCs w:val="21"/>
                      <w:highlight w:val="none"/>
                    </w:rPr>
                    <w:t>.00</w:t>
                  </w:r>
                </w:p>
              </w:tc>
            </w:tr>
            <w:tr w14:paraId="7289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083F95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C50B6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6D892B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年净利润</w:t>
                  </w:r>
                </w:p>
              </w:tc>
              <w:tc>
                <w:tcPr>
                  <w:tcW w:w="1039" w:type="dxa"/>
                  <w:vAlign w:val="center"/>
                </w:tcPr>
                <w:p w14:paraId="2215CE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万元</w:t>
                  </w:r>
                </w:p>
              </w:tc>
              <w:tc>
                <w:tcPr>
                  <w:tcW w:w="3622" w:type="dxa"/>
                  <w:vAlign w:val="center"/>
                </w:tcPr>
                <w:p w14:paraId="36AE22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1109.14</w:t>
                  </w:r>
                </w:p>
              </w:tc>
            </w:tr>
            <w:tr w14:paraId="3227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BED8E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72E9C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4625E3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年税费</w:t>
                  </w:r>
                </w:p>
              </w:tc>
              <w:tc>
                <w:tcPr>
                  <w:tcW w:w="1039" w:type="dxa"/>
                  <w:vAlign w:val="center"/>
                </w:tcPr>
                <w:p w14:paraId="0CF4F7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万元</w:t>
                  </w:r>
                </w:p>
              </w:tc>
              <w:tc>
                <w:tcPr>
                  <w:tcW w:w="3622" w:type="dxa"/>
                  <w:vAlign w:val="center"/>
                </w:tcPr>
                <w:p w14:paraId="6E9AE6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369.72</w:t>
                  </w:r>
                </w:p>
              </w:tc>
            </w:tr>
            <w:tr w14:paraId="16F0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79CDB6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335DB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666EE3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投资回收期</w:t>
                  </w:r>
                </w:p>
              </w:tc>
              <w:tc>
                <w:tcPr>
                  <w:tcW w:w="1039" w:type="dxa"/>
                  <w:vAlign w:val="center"/>
                </w:tcPr>
                <w:p w14:paraId="27F117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w:t>
                  </w:r>
                </w:p>
              </w:tc>
              <w:tc>
                <w:tcPr>
                  <w:tcW w:w="3622" w:type="dxa"/>
                  <w:vAlign w:val="center"/>
                </w:tcPr>
                <w:p w14:paraId="05C88D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6.66</w:t>
                  </w:r>
                </w:p>
              </w:tc>
            </w:tr>
          </w:tbl>
          <w:p w14:paraId="49B6C116">
            <w:pPr>
              <w:ind w:firstLine="0" w:firstLineChars="0"/>
              <w:rPr>
                <w:rFonts w:hint="default" w:cs="Times New Roman"/>
                <w:b/>
                <w:bCs/>
                <w:color w:val="auto"/>
                <w:highlight w:val="none"/>
                <w:lang w:val="en-US" w:eastAsia="zh-CN"/>
              </w:rPr>
            </w:pPr>
            <w:r>
              <w:rPr>
                <w:rFonts w:hint="eastAsia" w:cs="Times New Roman"/>
                <w:b/>
                <w:bCs/>
                <w:color w:val="auto"/>
                <w:highlight w:val="none"/>
                <w:lang w:val="en-US" w:eastAsia="zh-CN"/>
              </w:rPr>
              <w:t>4</w:t>
            </w:r>
            <w:r>
              <w:rPr>
                <w:rFonts w:hint="default" w:cs="Times New Roman"/>
                <w:b/>
                <w:bCs/>
                <w:color w:val="auto"/>
                <w:highlight w:val="none"/>
                <w:lang w:val="en-US" w:eastAsia="zh-CN"/>
              </w:rPr>
              <w:t>、产品方案</w:t>
            </w:r>
          </w:p>
          <w:p w14:paraId="2237F11A">
            <w:pPr>
              <w:keepNext w:val="0"/>
              <w:keepLines w:val="0"/>
              <w:widowControl/>
              <w:suppressLineNumbers w:val="0"/>
              <w:jc w:val="left"/>
              <w:rPr>
                <w:rFonts w:hint="default" w:ascii="Times New Roman" w:hAnsi="Times New Roman" w:cs="Times New Roman"/>
                <w:color w:val="auto"/>
                <w:highlight w:val="none"/>
                <w:lang w:val="en-US"/>
              </w:rPr>
            </w:pPr>
            <w:r>
              <w:rPr>
                <w:rFonts w:hint="eastAsia" w:ascii="宋体" w:hAnsi="宋体" w:eastAsia="宋体" w:cs="宋体"/>
                <w:color w:val="auto"/>
                <w:kern w:val="0"/>
                <w:sz w:val="24"/>
                <w:szCs w:val="24"/>
                <w:highlight w:val="none"/>
                <w:u w:val="single"/>
                <w:lang w:val="en-US" w:eastAsia="zh-CN" w:bidi="ar"/>
              </w:rPr>
              <w:t>区内矿石致密、性脆，易爆破、机械破碎性能好，矿石经爆破后通过装载机、卡车等运输到料仓，然后大块灰岩原石由振动给料机均匀喂送到破碎机，经破碎筛分加工成不同规格的碎石销售，产品为碎石、机制砂，用作普通建筑石料、公路路面材料等，可广泛用于地方城镇基础建设与道路填筑。项目产品方案如下：</w:t>
            </w:r>
          </w:p>
          <w:p w14:paraId="739C65CB">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w:t>
            </w:r>
            <w:r>
              <w:rPr>
                <w:rFonts w:hint="eastAsia" w:cs="Times New Roman"/>
                <w:b/>
                <w:bCs/>
                <w:color w:val="auto"/>
                <w:sz w:val="21"/>
                <w:szCs w:val="21"/>
                <w:highlight w:val="none"/>
                <w:u w:val="single"/>
                <w:lang w:val="en-US" w:eastAsia="zh-CN"/>
              </w:rPr>
              <w:t>2</w:t>
            </w:r>
            <w:r>
              <w:rPr>
                <w:rFonts w:hint="default" w:ascii="Times New Roman" w:hAnsi="Times New Roman" w:cs="Times New Roman"/>
                <w:b/>
                <w:bCs/>
                <w:color w:val="auto"/>
                <w:sz w:val="21"/>
                <w:szCs w:val="21"/>
                <w:highlight w:val="none"/>
                <w:u w:val="single"/>
              </w:rPr>
              <w:t>-</w:t>
            </w:r>
            <w:r>
              <w:rPr>
                <w:rFonts w:hint="eastAsia" w:cs="Times New Roman"/>
                <w:b/>
                <w:bCs/>
                <w:color w:val="auto"/>
                <w:sz w:val="21"/>
                <w:szCs w:val="21"/>
                <w:highlight w:val="none"/>
                <w:u w:val="single"/>
                <w:lang w:val="en-US" w:eastAsia="zh-CN"/>
              </w:rPr>
              <w:t>5</w:t>
            </w:r>
            <w:r>
              <w:rPr>
                <w:rFonts w:hint="default" w:ascii="Times New Roman" w:hAnsi="Times New Roman" w:cs="Times New Roman"/>
                <w:b/>
                <w:bCs/>
                <w:color w:val="auto"/>
                <w:sz w:val="21"/>
                <w:szCs w:val="21"/>
                <w:highlight w:val="none"/>
                <w:u w:val="single"/>
              </w:rPr>
              <w:t xml:space="preserve"> </w:t>
            </w:r>
            <w:r>
              <w:rPr>
                <w:rFonts w:hint="eastAsia" w:cs="Times New Roman"/>
                <w:b/>
                <w:bCs/>
                <w:color w:val="auto"/>
                <w:sz w:val="21"/>
                <w:szCs w:val="21"/>
                <w:highlight w:val="none"/>
                <w:u w:val="single"/>
                <w:lang w:val="en-US" w:eastAsia="zh-CN"/>
              </w:rPr>
              <w:t xml:space="preserve"> </w:t>
            </w:r>
            <w:r>
              <w:rPr>
                <w:rFonts w:hint="default" w:ascii="Times New Roman" w:hAnsi="Times New Roman" w:cs="Times New Roman"/>
                <w:b/>
                <w:bCs/>
                <w:color w:val="auto"/>
                <w:sz w:val="21"/>
                <w:szCs w:val="21"/>
                <w:highlight w:val="none"/>
                <w:u w:val="single"/>
              </w:rPr>
              <w:t>产品方案一览表</w:t>
            </w:r>
          </w:p>
          <w:tbl>
            <w:tblPr>
              <w:tblStyle w:val="22"/>
              <w:tblW w:w="7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774"/>
              <w:gridCol w:w="1783"/>
              <w:gridCol w:w="2214"/>
              <w:gridCol w:w="1020"/>
            </w:tblGrid>
            <w:tr w14:paraId="21D2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5F7358B7">
                  <w:pPr>
                    <w:spacing w:line="276" w:lineRule="auto"/>
                    <w:ind w:firstLine="0" w:firstLineChars="0"/>
                    <w:jc w:val="center"/>
                    <w:textAlignment w:val="center"/>
                    <w:rPr>
                      <w:rFonts w:hint="default"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产品名称</w:t>
                  </w:r>
                </w:p>
              </w:tc>
              <w:tc>
                <w:tcPr>
                  <w:tcW w:w="1774" w:type="dxa"/>
                  <w:vAlign w:val="center"/>
                </w:tcPr>
                <w:p w14:paraId="577DE917">
                  <w:pPr>
                    <w:spacing w:line="276" w:lineRule="auto"/>
                    <w:ind w:firstLine="0" w:firstLineChars="0"/>
                    <w:jc w:val="center"/>
                    <w:textAlignment w:val="center"/>
                    <w:rPr>
                      <w:rFonts w:hint="default"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产品规格</w:t>
                  </w:r>
                </w:p>
              </w:tc>
              <w:tc>
                <w:tcPr>
                  <w:tcW w:w="1783" w:type="dxa"/>
                  <w:vAlign w:val="center"/>
                </w:tcPr>
                <w:p w14:paraId="009593DD">
                  <w:pPr>
                    <w:spacing w:line="276" w:lineRule="auto"/>
                    <w:ind w:firstLine="0" w:firstLineChars="0"/>
                    <w:jc w:val="center"/>
                    <w:textAlignment w:val="center"/>
                    <w:rPr>
                      <w:rFonts w:hint="default"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产率（%）</w:t>
                  </w:r>
                </w:p>
              </w:tc>
              <w:tc>
                <w:tcPr>
                  <w:tcW w:w="2214" w:type="dxa"/>
                  <w:vAlign w:val="center"/>
                </w:tcPr>
                <w:p w14:paraId="3CBE53BF">
                  <w:pPr>
                    <w:spacing w:line="276" w:lineRule="auto"/>
                    <w:ind w:firstLine="0" w:firstLineChars="0"/>
                    <w:jc w:val="center"/>
                    <w:textAlignment w:val="center"/>
                    <w:rPr>
                      <w:rFonts w:hint="eastAsia"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产量（万吨/年）</w:t>
                  </w:r>
                </w:p>
              </w:tc>
              <w:tc>
                <w:tcPr>
                  <w:tcW w:w="1020" w:type="dxa"/>
                  <w:vAlign w:val="center"/>
                </w:tcPr>
                <w:p w14:paraId="2B56DA9D">
                  <w:pPr>
                    <w:spacing w:line="276" w:lineRule="auto"/>
                    <w:ind w:firstLine="0" w:firstLineChars="0"/>
                    <w:jc w:val="center"/>
                    <w:textAlignment w:val="center"/>
                    <w:rPr>
                      <w:rFonts w:hint="default"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去向</w:t>
                  </w:r>
                </w:p>
              </w:tc>
            </w:tr>
            <w:tr w14:paraId="2EB0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5BB8599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13#骨料</w:t>
                  </w:r>
                </w:p>
              </w:tc>
              <w:tc>
                <w:tcPr>
                  <w:tcW w:w="1774" w:type="dxa"/>
                  <w:vAlign w:val="center"/>
                </w:tcPr>
                <w:p w14:paraId="30611FF1">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16-31.5</w:t>
                  </w:r>
                  <w:r>
                    <w:rPr>
                      <w:rFonts w:hint="default" w:cs="Times New Roman"/>
                      <w:color w:val="auto"/>
                      <w:kern w:val="0"/>
                      <w:sz w:val="21"/>
                      <w:szCs w:val="21"/>
                      <w:highlight w:val="none"/>
                      <w:u w:val="single"/>
                      <w:lang w:val="en-US" w:eastAsia="zh-CN"/>
                    </w:rPr>
                    <w:t>mm</w:t>
                  </w:r>
                </w:p>
              </w:tc>
              <w:tc>
                <w:tcPr>
                  <w:tcW w:w="1783" w:type="dxa"/>
                  <w:vMerge w:val="restart"/>
                  <w:vAlign w:val="center"/>
                </w:tcPr>
                <w:p w14:paraId="32EBDCB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75</w:t>
                  </w:r>
                </w:p>
              </w:tc>
              <w:tc>
                <w:tcPr>
                  <w:tcW w:w="2214" w:type="dxa"/>
                  <w:vMerge w:val="restart"/>
                  <w:vAlign w:val="center"/>
                </w:tcPr>
                <w:p w14:paraId="384C8A1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90</w:t>
                  </w:r>
                </w:p>
              </w:tc>
              <w:tc>
                <w:tcPr>
                  <w:tcW w:w="1020" w:type="dxa"/>
                  <w:vMerge w:val="restart"/>
                  <w:vAlign w:val="center"/>
                </w:tcPr>
                <w:p w14:paraId="0F976968">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外售</w:t>
                  </w:r>
                </w:p>
              </w:tc>
            </w:tr>
            <w:tr w14:paraId="32DF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59D4D2E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12#骨料</w:t>
                  </w:r>
                </w:p>
              </w:tc>
              <w:tc>
                <w:tcPr>
                  <w:tcW w:w="1774" w:type="dxa"/>
                  <w:vAlign w:val="center"/>
                </w:tcPr>
                <w:p w14:paraId="2BE622E8">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10</w:t>
                  </w:r>
                  <w:r>
                    <w:rPr>
                      <w:rFonts w:hint="default" w:cs="Times New Roman"/>
                      <w:color w:val="auto"/>
                      <w:kern w:val="0"/>
                      <w:sz w:val="21"/>
                      <w:szCs w:val="21"/>
                      <w:highlight w:val="none"/>
                      <w:u w:val="single"/>
                      <w:lang w:val="en-US" w:eastAsia="zh-CN"/>
                    </w:rPr>
                    <w:t>-</w:t>
                  </w:r>
                  <w:r>
                    <w:rPr>
                      <w:rFonts w:hint="eastAsia" w:cs="Times New Roman"/>
                      <w:color w:val="auto"/>
                      <w:kern w:val="0"/>
                      <w:sz w:val="21"/>
                      <w:szCs w:val="21"/>
                      <w:highlight w:val="none"/>
                      <w:u w:val="single"/>
                      <w:lang w:val="en-US" w:eastAsia="zh-CN"/>
                    </w:rPr>
                    <w:t>20</w:t>
                  </w:r>
                  <w:r>
                    <w:rPr>
                      <w:rFonts w:hint="default" w:cs="Times New Roman"/>
                      <w:color w:val="auto"/>
                      <w:kern w:val="0"/>
                      <w:sz w:val="21"/>
                      <w:szCs w:val="21"/>
                      <w:highlight w:val="none"/>
                      <w:u w:val="single"/>
                      <w:lang w:val="en-US" w:eastAsia="zh-CN"/>
                    </w:rPr>
                    <w:t>mm</w:t>
                  </w:r>
                </w:p>
              </w:tc>
              <w:tc>
                <w:tcPr>
                  <w:tcW w:w="1783" w:type="dxa"/>
                  <w:vMerge w:val="continue"/>
                  <w:vAlign w:val="center"/>
                </w:tcPr>
                <w:p w14:paraId="6597A81D">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c>
                <w:tcPr>
                  <w:tcW w:w="2214" w:type="dxa"/>
                  <w:vMerge w:val="continue"/>
                  <w:vAlign w:val="center"/>
                </w:tcPr>
                <w:p w14:paraId="7AE88BB6">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c>
                <w:tcPr>
                  <w:tcW w:w="1020" w:type="dxa"/>
                  <w:vMerge w:val="continue"/>
                  <w:vAlign w:val="center"/>
                </w:tcPr>
                <w:p w14:paraId="617E2ED1">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r>
            <w:tr w14:paraId="5F75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5E9A23D5">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51#骨料</w:t>
                  </w:r>
                </w:p>
              </w:tc>
              <w:tc>
                <w:tcPr>
                  <w:tcW w:w="1774" w:type="dxa"/>
                  <w:vAlign w:val="center"/>
                </w:tcPr>
                <w:p w14:paraId="52427CED">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5-10</w:t>
                  </w:r>
                  <w:r>
                    <w:rPr>
                      <w:rFonts w:hint="default" w:cs="Times New Roman"/>
                      <w:color w:val="auto"/>
                      <w:kern w:val="0"/>
                      <w:sz w:val="21"/>
                      <w:szCs w:val="21"/>
                      <w:highlight w:val="none"/>
                      <w:u w:val="single"/>
                      <w:lang w:val="en-US" w:eastAsia="zh-CN"/>
                    </w:rPr>
                    <w:t>mm</w:t>
                  </w:r>
                </w:p>
              </w:tc>
              <w:tc>
                <w:tcPr>
                  <w:tcW w:w="1783" w:type="dxa"/>
                  <w:vMerge w:val="continue"/>
                  <w:vAlign w:val="center"/>
                </w:tcPr>
                <w:p w14:paraId="39C57EBD">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c>
                <w:tcPr>
                  <w:tcW w:w="2214" w:type="dxa"/>
                  <w:vMerge w:val="continue"/>
                  <w:vAlign w:val="center"/>
                </w:tcPr>
                <w:p w14:paraId="7914A74C">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c>
                <w:tcPr>
                  <w:tcW w:w="1020" w:type="dxa"/>
                  <w:vMerge w:val="continue"/>
                  <w:vAlign w:val="center"/>
                </w:tcPr>
                <w:p w14:paraId="20BF8546">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r>
            <w:tr w14:paraId="1F04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38BAA0D8">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机制砂</w:t>
                  </w:r>
                </w:p>
              </w:tc>
              <w:tc>
                <w:tcPr>
                  <w:tcW w:w="1774" w:type="dxa"/>
                  <w:vAlign w:val="center"/>
                </w:tcPr>
                <w:p w14:paraId="4690A1C8">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default" w:ascii="Times New Roman" w:hAnsi="Times New Roman" w:cs="Times New Roman"/>
                      <w:color w:val="auto"/>
                      <w:kern w:val="0"/>
                      <w:sz w:val="21"/>
                      <w:szCs w:val="21"/>
                      <w:highlight w:val="none"/>
                      <w:u w:val="single"/>
                      <w:lang w:val="en-US" w:eastAsia="zh-CN"/>
                    </w:rPr>
                    <w:t>&lt;</w:t>
                  </w:r>
                  <w:r>
                    <w:rPr>
                      <w:rFonts w:hint="default" w:cs="Times New Roman"/>
                      <w:color w:val="auto"/>
                      <w:kern w:val="0"/>
                      <w:sz w:val="21"/>
                      <w:szCs w:val="21"/>
                      <w:highlight w:val="none"/>
                      <w:u w:val="single"/>
                      <w:lang w:val="en-US" w:eastAsia="zh-CN"/>
                    </w:rPr>
                    <w:t>5mm</w:t>
                  </w:r>
                </w:p>
              </w:tc>
              <w:tc>
                <w:tcPr>
                  <w:tcW w:w="1783" w:type="dxa"/>
                  <w:vAlign w:val="center"/>
                </w:tcPr>
                <w:p w14:paraId="4CE6B606">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25</w:t>
                  </w:r>
                </w:p>
              </w:tc>
              <w:tc>
                <w:tcPr>
                  <w:tcW w:w="2214" w:type="dxa"/>
                  <w:vAlign w:val="center"/>
                </w:tcPr>
                <w:p w14:paraId="689A2540">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30</w:t>
                  </w:r>
                </w:p>
              </w:tc>
              <w:tc>
                <w:tcPr>
                  <w:tcW w:w="1020" w:type="dxa"/>
                  <w:vMerge w:val="continue"/>
                  <w:vAlign w:val="center"/>
                </w:tcPr>
                <w:p w14:paraId="793F0511">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r>
            <w:tr w14:paraId="67F7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4" w:type="dxa"/>
                  <w:gridSpan w:val="2"/>
                  <w:vAlign w:val="center"/>
                </w:tcPr>
                <w:p w14:paraId="31C1FF9A">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合计</w:t>
                  </w:r>
                </w:p>
              </w:tc>
              <w:tc>
                <w:tcPr>
                  <w:tcW w:w="1783" w:type="dxa"/>
                  <w:vAlign w:val="center"/>
                </w:tcPr>
                <w:p w14:paraId="0BB5916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100</w:t>
                  </w:r>
                </w:p>
              </w:tc>
              <w:tc>
                <w:tcPr>
                  <w:tcW w:w="2214" w:type="dxa"/>
                  <w:vAlign w:val="center"/>
                </w:tcPr>
                <w:p w14:paraId="087B869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120</w:t>
                  </w:r>
                </w:p>
              </w:tc>
              <w:tc>
                <w:tcPr>
                  <w:tcW w:w="1020" w:type="dxa"/>
                  <w:vMerge w:val="continue"/>
                  <w:vAlign w:val="center"/>
                </w:tcPr>
                <w:p w14:paraId="5AD7ECDA">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r>
          </w:tbl>
          <w:p w14:paraId="20D3AC95">
            <w:pPr>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（1）矿石矿物成分</w:t>
            </w:r>
          </w:p>
          <w:p w14:paraId="1E77F12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Ⅰ矿层灰岩：矿物成分主要由方解石，次为燧石、白云石、铁泥质组成。方解石：细晶粒状，0.005 mm-0.05mm，它形为主，矿石含量一般为93.63～97.64%；白云石：大小与方解石相当，结晶程度稍好，部分呈自形、半自形晶状，矿石中一般含量0.63～4.41%%。分布分散；燧石：主要为隐晶质石英，次棱角状、棱角状，分散分布，一般含量为0.89～3.05%；铁泥质：多呈浸染状分布，不透明，含量为0.51%。</w:t>
            </w:r>
          </w:p>
          <w:p w14:paraId="13B905B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Ⅱ矿层含燧石灰岩：矿物成分主要由方解石，次为燧石、白云石、铁泥质组成。方解石：细晶粒状，它形为主，矿石含量一般为57.09～87.02%；白云石：大小与方解石相当，结晶程度稍好，部分呈自形、半自形晶状，矿石中一般含量1.26～7.03%，分布分散；燧石：主要为隐晶质石英，次棱角状、棱角状，分散分布，一般含量为11.20～37.88%；铁泥质：多呈浸染状分布，不透明，含量为0.26%～1.92%。</w:t>
            </w:r>
          </w:p>
          <w:p w14:paraId="6BE013B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（2）矿石结构、构造</w:t>
            </w:r>
          </w:p>
          <w:p w14:paraId="468453B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Ⅰ矿层矿石为细晶结构，中～厚层状构造，中厚层～厚层状间界面清晰，风化表面光滑。致密、较坚硬。</w:t>
            </w:r>
          </w:p>
          <w:p w14:paraId="2712DB6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Ⅱ矿层矿石为细晶结构，以薄层～中厚层状为主，少量厚层状。薄层～中厚层状灰岩间多夹深灰色～灰黑色薄层条带状燧石，呈互层状。厚层状灰岩间多夹燧石团块。风化表面光滑。致密、较坚硬。</w:t>
            </w:r>
          </w:p>
          <w:p w14:paraId="07370FC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（3）矿石的化学成分</w:t>
            </w:r>
          </w:p>
          <w:p w14:paraId="18F4EB5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eastAsia" w:cs="Times New Roman"/>
                <w:color w:val="auto"/>
                <w:highlight w:val="none"/>
                <w:lang w:eastAsia="zh-CN"/>
              </w:rPr>
              <w:t>湖南省澧县屠夫垭矿区建筑石料用灰岩矿</w:t>
            </w:r>
            <w:r>
              <w:rPr>
                <w:rFonts w:hint="default" w:ascii="Times New Roman" w:hAnsi="Times New Roman" w:cs="Times New Roman"/>
                <w:color w:val="auto"/>
                <w:highlight w:val="none"/>
              </w:rPr>
              <w:t>勘查报告》，矿石化学成分以SiO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、CaO为主，次为MgO，其他Al</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、Fe</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、K</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O、Na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O、SO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、Cl</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、TiO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w:t>
            </w:r>
          </w:p>
          <w:p w14:paraId="2186B962">
            <w:pPr>
              <w:ind w:firstLine="0" w:firstLineChars="0"/>
              <w:jc w:val="center"/>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6</w:t>
            </w:r>
            <w:r>
              <w:rPr>
                <w:rFonts w:hint="default" w:cs="Times New Roman"/>
                <w:b/>
                <w:bCs/>
                <w:color w:val="auto"/>
                <w:sz w:val="21"/>
                <w:szCs w:val="21"/>
                <w:highlight w:val="none"/>
                <w:lang w:val="en-US" w:eastAsia="zh-CN"/>
              </w:rPr>
              <w:t xml:space="preserve">  各矿层矿石化学成分及含量表</w:t>
            </w:r>
          </w:p>
          <w:tbl>
            <w:tblPr>
              <w:tblStyle w:val="2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1369"/>
              <w:gridCol w:w="1508"/>
              <w:gridCol w:w="1452"/>
              <w:gridCol w:w="1287"/>
            </w:tblGrid>
            <w:tr w14:paraId="4CCF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Merge w:val="restart"/>
                  <w:tcBorders>
                    <w:tl2br w:val="single" w:color="auto" w:sz="4" w:space="0"/>
                  </w:tcBorders>
                  <w:vAlign w:val="center"/>
                </w:tcPr>
                <w:p w14:paraId="6F708757">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 xml:space="preserve">              样号</w:t>
                  </w:r>
                </w:p>
                <w:p w14:paraId="4199E59B">
                  <w:pPr>
                    <w:spacing w:line="240" w:lineRule="auto"/>
                    <w:ind w:firstLine="0" w:firstLineChars="0"/>
                    <w:jc w:val="right"/>
                    <w:rPr>
                      <w:rFonts w:hint="default" w:ascii="Times New Roman" w:hAnsi="Times New Roman" w:cs="Times New Roman"/>
                      <w:b/>
                      <w:bCs/>
                      <w:color w:val="auto"/>
                      <w:sz w:val="21"/>
                      <w:szCs w:val="21"/>
                      <w:highlight w:val="none"/>
                    </w:rPr>
                  </w:pPr>
                </w:p>
                <w:p w14:paraId="78240553">
                  <w:pPr>
                    <w:spacing w:line="240" w:lineRule="auto"/>
                    <w:ind w:firstLine="0" w:firstLineChars="0"/>
                    <w:jc w:val="lef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组分（%）</w:t>
                  </w:r>
                </w:p>
              </w:tc>
              <w:tc>
                <w:tcPr>
                  <w:tcW w:w="5616" w:type="dxa"/>
                  <w:gridSpan w:val="4"/>
                  <w:vAlign w:val="center"/>
                </w:tcPr>
                <w:p w14:paraId="619B8709">
                  <w:pPr>
                    <w:spacing w:line="276" w:lineRule="auto"/>
                    <w:ind w:firstLine="0" w:firstLineChars="0"/>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灰岩矿</w:t>
                  </w:r>
                </w:p>
              </w:tc>
            </w:tr>
            <w:tr w14:paraId="5447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1" w:type="dxa"/>
                  <w:vMerge w:val="continue"/>
                  <w:tcBorders>
                    <w:tl2br w:val="single" w:color="auto" w:sz="4" w:space="0"/>
                  </w:tcBorders>
                  <w:vAlign w:val="center"/>
                </w:tcPr>
                <w:p w14:paraId="12AEEDAF">
                  <w:pPr>
                    <w:ind w:firstLine="0" w:firstLineChars="0"/>
                    <w:jc w:val="center"/>
                    <w:rPr>
                      <w:rFonts w:hint="default" w:ascii="Times New Roman" w:hAnsi="Times New Roman" w:cs="Times New Roman"/>
                      <w:b/>
                      <w:bCs/>
                      <w:color w:val="auto"/>
                      <w:sz w:val="21"/>
                      <w:szCs w:val="21"/>
                      <w:highlight w:val="none"/>
                    </w:rPr>
                  </w:pPr>
                </w:p>
              </w:tc>
              <w:tc>
                <w:tcPr>
                  <w:tcW w:w="1369" w:type="dxa"/>
                  <w:vAlign w:val="center"/>
                </w:tcPr>
                <w:p w14:paraId="2DE7F293">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CC2-Z1</w:t>
                  </w:r>
                </w:p>
              </w:tc>
              <w:tc>
                <w:tcPr>
                  <w:tcW w:w="1508" w:type="dxa"/>
                  <w:vAlign w:val="center"/>
                </w:tcPr>
                <w:p w14:paraId="31A4868B">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BT10-Z2</w:t>
                  </w:r>
                </w:p>
              </w:tc>
              <w:tc>
                <w:tcPr>
                  <w:tcW w:w="1452" w:type="dxa"/>
                  <w:vAlign w:val="center"/>
                </w:tcPr>
                <w:p w14:paraId="34E4DD66">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ZK201-Z1</w:t>
                  </w:r>
                </w:p>
              </w:tc>
              <w:tc>
                <w:tcPr>
                  <w:tcW w:w="1287" w:type="dxa"/>
                  <w:vAlign w:val="center"/>
                </w:tcPr>
                <w:p w14:paraId="2F3EFA15">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BT10-Z2</w:t>
                  </w:r>
                </w:p>
              </w:tc>
            </w:tr>
            <w:tr w14:paraId="1783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61E62DAD">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CaO</w:t>
                  </w:r>
                </w:p>
              </w:tc>
              <w:tc>
                <w:tcPr>
                  <w:tcW w:w="1369" w:type="dxa"/>
                  <w:vAlign w:val="center"/>
                </w:tcPr>
                <w:p w14:paraId="38411DAD">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54.15</w:t>
                  </w:r>
                </w:p>
              </w:tc>
              <w:tc>
                <w:tcPr>
                  <w:tcW w:w="1508" w:type="dxa"/>
                  <w:vAlign w:val="center"/>
                </w:tcPr>
                <w:p w14:paraId="2DA57914">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52.58</w:t>
                  </w:r>
                </w:p>
              </w:tc>
              <w:tc>
                <w:tcPr>
                  <w:tcW w:w="1452" w:type="dxa"/>
                  <w:vAlign w:val="center"/>
                </w:tcPr>
                <w:p w14:paraId="0D85A45B">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37.09</w:t>
                  </w:r>
                </w:p>
              </w:tc>
              <w:tc>
                <w:tcPr>
                  <w:tcW w:w="1287" w:type="dxa"/>
                  <w:vAlign w:val="center"/>
                </w:tcPr>
                <w:p w14:paraId="21B3F5A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33.53</w:t>
                  </w:r>
                </w:p>
              </w:tc>
            </w:tr>
            <w:tr w14:paraId="6BE0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D0A92C6">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MgO</w:t>
                  </w:r>
                </w:p>
              </w:tc>
              <w:tc>
                <w:tcPr>
                  <w:tcW w:w="1369" w:type="dxa"/>
                  <w:vAlign w:val="center"/>
                </w:tcPr>
                <w:p w14:paraId="00A5C984">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0.57</w:t>
                  </w:r>
                </w:p>
              </w:tc>
              <w:tc>
                <w:tcPr>
                  <w:tcW w:w="1508" w:type="dxa"/>
                  <w:vAlign w:val="center"/>
                </w:tcPr>
                <w:p w14:paraId="432E199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2.01</w:t>
                  </w:r>
                </w:p>
              </w:tc>
              <w:tc>
                <w:tcPr>
                  <w:tcW w:w="1452" w:type="dxa"/>
                  <w:vAlign w:val="center"/>
                </w:tcPr>
                <w:p w14:paraId="5B57626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1.71</w:t>
                  </w:r>
                </w:p>
              </w:tc>
              <w:tc>
                <w:tcPr>
                  <w:tcW w:w="1287" w:type="dxa"/>
                  <w:vAlign w:val="center"/>
                </w:tcPr>
                <w:p w14:paraId="797A961D">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1.91</w:t>
                  </w:r>
                </w:p>
              </w:tc>
            </w:tr>
            <w:tr w14:paraId="2AD3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1D5A13F8">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SiO</w:t>
                  </w:r>
                  <w:r>
                    <w:rPr>
                      <w:rFonts w:hint="default" w:ascii="Times New Roman" w:hAnsi="Times New Roman" w:cs="Times New Roman"/>
                      <w:color w:val="auto"/>
                      <w:highlight w:val="none"/>
                      <w:vertAlign w:val="subscript"/>
                    </w:rPr>
                    <w:t>2</w:t>
                  </w:r>
                </w:p>
              </w:tc>
              <w:tc>
                <w:tcPr>
                  <w:tcW w:w="1369" w:type="dxa"/>
                  <w:vAlign w:val="center"/>
                </w:tcPr>
                <w:p w14:paraId="637049C5">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1.35</w:t>
                  </w:r>
                </w:p>
              </w:tc>
              <w:tc>
                <w:tcPr>
                  <w:tcW w:w="1508" w:type="dxa"/>
                  <w:vAlign w:val="center"/>
                </w:tcPr>
                <w:p w14:paraId="6A1D6DBE">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1.18</w:t>
                  </w:r>
                </w:p>
              </w:tc>
              <w:tc>
                <w:tcPr>
                  <w:tcW w:w="1452" w:type="dxa"/>
                  <w:vAlign w:val="center"/>
                </w:tcPr>
                <w:p w14:paraId="24443DA2">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28.67</w:t>
                  </w:r>
                </w:p>
              </w:tc>
              <w:tc>
                <w:tcPr>
                  <w:tcW w:w="1287" w:type="dxa"/>
                  <w:vAlign w:val="center"/>
                </w:tcPr>
                <w:p w14:paraId="2410F02C">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33.26</w:t>
                  </w:r>
                </w:p>
              </w:tc>
            </w:tr>
            <w:tr w14:paraId="50E2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78B59705">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Al</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1369" w:type="dxa"/>
                  <w:vAlign w:val="center"/>
                </w:tcPr>
                <w:p w14:paraId="0CD3414C">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1.68</w:t>
                  </w:r>
                </w:p>
              </w:tc>
              <w:tc>
                <w:tcPr>
                  <w:tcW w:w="1508" w:type="dxa"/>
                  <w:vAlign w:val="center"/>
                </w:tcPr>
                <w:p w14:paraId="2B57450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1.72</w:t>
                  </w:r>
                </w:p>
              </w:tc>
              <w:tc>
                <w:tcPr>
                  <w:tcW w:w="1452" w:type="dxa"/>
                  <w:vAlign w:val="center"/>
                </w:tcPr>
                <w:p w14:paraId="5E3D7E5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1.95</w:t>
                  </w:r>
                </w:p>
              </w:tc>
              <w:tc>
                <w:tcPr>
                  <w:tcW w:w="1287" w:type="dxa"/>
                  <w:vAlign w:val="center"/>
                </w:tcPr>
                <w:p w14:paraId="505A465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1.93</w:t>
                  </w:r>
                </w:p>
              </w:tc>
            </w:tr>
            <w:tr w14:paraId="3326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B9D3FB6">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Fe</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1369" w:type="dxa"/>
                  <w:vAlign w:val="center"/>
                </w:tcPr>
                <w:p w14:paraId="43A15B1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0.70</w:t>
                  </w:r>
                </w:p>
              </w:tc>
              <w:tc>
                <w:tcPr>
                  <w:tcW w:w="1508" w:type="dxa"/>
                  <w:vAlign w:val="center"/>
                </w:tcPr>
                <w:p w14:paraId="016297E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0.61</w:t>
                  </w:r>
                </w:p>
              </w:tc>
              <w:tc>
                <w:tcPr>
                  <w:tcW w:w="1452" w:type="dxa"/>
                  <w:vAlign w:val="center"/>
                </w:tcPr>
                <w:p w14:paraId="68BEF56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0.92</w:t>
                  </w:r>
                </w:p>
              </w:tc>
              <w:tc>
                <w:tcPr>
                  <w:tcW w:w="1287" w:type="dxa"/>
                  <w:vAlign w:val="center"/>
                </w:tcPr>
                <w:p w14:paraId="371C5AC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0.75</w:t>
                  </w:r>
                </w:p>
              </w:tc>
            </w:tr>
            <w:tr w14:paraId="73E2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13B24CD">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K</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p>
              </w:tc>
              <w:tc>
                <w:tcPr>
                  <w:tcW w:w="1369" w:type="dxa"/>
                  <w:vAlign w:val="center"/>
                </w:tcPr>
                <w:p w14:paraId="3C46E56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0.71</w:t>
                  </w:r>
                </w:p>
              </w:tc>
              <w:tc>
                <w:tcPr>
                  <w:tcW w:w="1508" w:type="dxa"/>
                  <w:vAlign w:val="center"/>
                </w:tcPr>
                <w:p w14:paraId="5FE20D64">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0.60</w:t>
                  </w:r>
                </w:p>
              </w:tc>
              <w:tc>
                <w:tcPr>
                  <w:tcW w:w="1452" w:type="dxa"/>
                  <w:vAlign w:val="center"/>
                </w:tcPr>
                <w:p w14:paraId="71F8F87A">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0.68</w:t>
                  </w:r>
                </w:p>
              </w:tc>
              <w:tc>
                <w:tcPr>
                  <w:tcW w:w="1287" w:type="dxa"/>
                  <w:vAlign w:val="center"/>
                </w:tcPr>
                <w:p w14:paraId="090B842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0.77</w:t>
                  </w:r>
                </w:p>
              </w:tc>
            </w:tr>
            <w:tr w14:paraId="55A6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0BC8789A">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p>
              </w:tc>
              <w:tc>
                <w:tcPr>
                  <w:tcW w:w="1369" w:type="dxa"/>
                  <w:vAlign w:val="center"/>
                </w:tcPr>
                <w:p w14:paraId="6446C8A6">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1508" w:type="dxa"/>
                  <w:vAlign w:val="center"/>
                </w:tcPr>
                <w:p w14:paraId="1EB8ED55">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0.19</w:t>
                  </w:r>
                </w:p>
              </w:tc>
              <w:tc>
                <w:tcPr>
                  <w:tcW w:w="1452" w:type="dxa"/>
                  <w:vAlign w:val="center"/>
                </w:tcPr>
                <w:p w14:paraId="100BB8CB">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287" w:type="dxa"/>
                  <w:vAlign w:val="center"/>
                </w:tcPr>
                <w:p w14:paraId="14CA56DB">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0.26</w:t>
                  </w:r>
                </w:p>
              </w:tc>
            </w:tr>
            <w:tr w14:paraId="2A44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7985977">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3</w:t>
                  </w:r>
                </w:p>
              </w:tc>
              <w:tc>
                <w:tcPr>
                  <w:tcW w:w="1369" w:type="dxa"/>
                  <w:vAlign w:val="center"/>
                </w:tcPr>
                <w:p w14:paraId="1EB2E64B">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0.038</w:t>
                  </w:r>
                </w:p>
              </w:tc>
              <w:tc>
                <w:tcPr>
                  <w:tcW w:w="1508" w:type="dxa"/>
                  <w:vAlign w:val="center"/>
                </w:tcPr>
                <w:p w14:paraId="4B5FC61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0.041</w:t>
                  </w:r>
                </w:p>
              </w:tc>
              <w:tc>
                <w:tcPr>
                  <w:tcW w:w="1452" w:type="dxa"/>
                  <w:vAlign w:val="center"/>
                </w:tcPr>
                <w:p w14:paraId="43062691">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0.096</w:t>
                  </w:r>
                </w:p>
              </w:tc>
              <w:tc>
                <w:tcPr>
                  <w:tcW w:w="1287" w:type="dxa"/>
                  <w:vAlign w:val="center"/>
                </w:tcPr>
                <w:p w14:paraId="54744FDF">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w:t>
                  </w:r>
                </w:p>
              </w:tc>
            </w:tr>
            <w:tr w14:paraId="19A0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AD69015">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Cl</w:t>
                  </w:r>
                  <w:r>
                    <w:rPr>
                      <w:rFonts w:hint="default" w:ascii="Times New Roman" w:hAnsi="Times New Roman" w:cs="Times New Roman"/>
                      <w:color w:val="auto"/>
                      <w:highlight w:val="none"/>
                      <w:vertAlign w:val="superscript"/>
                    </w:rPr>
                    <w:t>-</w:t>
                  </w:r>
                </w:p>
              </w:tc>
              <w:tc>
                <w:tcPr>
                  <w:tcW w:w="1369" w:type="dxa"/>
                  <w:vAlign w:val="center"/>
                </w:tcPr>
                <w:p w14:paraId="767AF313">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508" w:type="dxa"/>
                  <w:vAlign w:val="center"/>
                </w:tcPr>
                <w:p w14:paraId="6AF44464">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452" w:type="dxa"/>
                  <w:vAlign w:val="center"/>
                </w:tcPr>
                <w:p w14:paraId="7C86CBEF">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1287" w:type="dxa"/>
                  <w:vAlign w:val="center"/>
                </w:tcPr>
                <w:p w14:paraId="1C5A4AF2">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w:t>
                  </w:r>
                </w:p>
              </w:tc>
            </w:tr>
            <w:tr w14:paraId="0007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4A708D55">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5</w:t>
                  </w:r>
                </w:p>
              </w:tc>
              <w:tc>
                <w:tcPr>
                  <w:tcW w:w="1369" w:type="dxa"/>
                  <w:vAlign w:val="center"/>
                </w:tcPr>
                <w:p w14:paraId="10AD5123">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w:t>
                  </w:r>
                </w:p>
              </w:tc>
              <w:tc>
                <w:tcPr>
                  <w:tcW w:w="1508" w:type="dxa"/>
                  <w:vAlign w:val="center"/>
                </w:tcPr>
                <w:p w14:paraId="1350D37C">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0.014</w:t>
                  </w:r>
                </w:p>
              </w:tc>
              <w:tc>
                <w:tcPr>
                  <w:tcW w:w="1452" w:type="dxa"/>
                  <w:vAlign w:val="center"/>
                </w:tcPr>
                <w:p w14:paraId="7915B524">
                  <w:pPr>
                    <w:spacing w:line="276"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0.020</w:t>
                  </w:r>
                </w:p>
              </w:tc>
              <w:tc>
                <w:tcPr>
                  <w:tcW w:w="1287" w:type="dxa"/>
                  <w:vAlign w:val="center"/>
                </w:tcPr>
                <w:p w14:paraId="29C82D2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w:t>
                  </w:r>
                </w:p>
              </w:tc>
            </w:tr>
            <w:tr w14:paraId="0C8D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AEFAC2B">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TiO</w:t>
                  </w:r>
                  <w:r>
                    <w:rPr>
                      <w:rFonts w:hint="default" w:ascii="Times New Roman" w:hAnsi="Times New Roman" w:cs="Times New Roman"/>
                      <w:color w:val="auto"/>
                      <w:highlight w:val="none"/>
                      <w:vertAlign w:val="subscript"/>
                    </w:rPr>
                    <w:t>2</w:t>
                  </w:r>
                </w:p>
              </w:tc>
              <w:tc>
                <w:tcPr>
                  <w:tcW w:w="1369" w:type="dxa"/>
                  <w:vAlign w:val="center"/>
                </w:tcPr>
                <w:p w14:paraId="62C1735C">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1508" w:type="dxa"/>
                  <w:vAlign w:val="center"/>
                </w:tcPr>
                <w:p w14:paraId="3D86E2F5">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w:t>
                  </w:r>
                </w:p>
              </w:tc>
              <w:tc>
                <w:tcPr>
                  <w:tcW w:w="1452" w:type="dxa"/>
                  <w:vAlign w:val="center"/>
                </w:tcPr>
                <w:p w14:paraId="59AEE04A">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1287" w:type="dxa"/>
                  <w:vAlign w:val="center"/>
                </w:tcPr>
                <w:p w14:paraId="43F434D4">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r>
            <w:tr w14:paraId="37A6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49F6BC82">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烧失量</w:t>
                  </w:r>
                </w:p>
              </w:tc>
              <w:tc>
                <w:tcPr>
                  <w:tcW w:w="1369" w:type="dxa"/>
                  <w:vAlign w:val="center"/>
                </w:tcPr>
                <w:p w14:paraId="25DAA01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33.74</w:t>
                  </w:r>
                </w:p>
              </w:tc>
              <w:tc>
                <w:tcPr>
                  <w:tcW w:w="1508" w:type="dxa"/>
                  <w:vAlign w:val="center"/>
                </w:tcPr>
                <w:p w14:paraId="55D741FD">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32.99</w:t>
                  </w:r>
                </w:p>
              </w:tc>
              <w:tc>
                <w:tcPr>
                  <w:tcW w:w="1452" w:type="dxa"/>
                  <w:vAlign w:val="center"/>
                </w:tcPr>
                <w:p w14:paraId="66A4558D">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30.29</w:t>
                  </w:r>
                </w:p>
              </w:tc>
              <w:tc>
                <w:tcPr>
                  <w:tcW w:w="1287" w:type="dxa"/>
                  <w:vAlign w:val="center"/>
                </w:tcPr>
                <w:p w14:paraId="33EFD3BB">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28.82</w:t>
                  </w:r>
                </w:p>
              </w:tc>
            </w:tr>
          </w:tbl>
          <w:p w14:paraId="1FA4D572">
            <w:pPr>
              <w:ind w:firstLine="0" w:firstLineChars="0"/>
              <w:rPr>
                <w:rFonts w:hint="default" w:cs="Times New Roman"/>
                <w:b/>
                <w:bCs/>
                <w:color w:val="auto"/>
                <w:highlight w:val="none"/>
                <w:lang w:val="en-US" w:eastAsia="zh-CN"/>
              </w:rPr>
            </w:pPr>
            <w:r>
              <w:rPr>
                <w:rFonts w:hint="eastAsia" w:cs="Times New Roman"/>
                <w:b/>
                <w:bCs/>
                <w:color w:val="auto"/>
                <w:highlight w:val="none"/>
                <w:lang w:val="en-US" w:eastAsia="zh-CN"/>
              </w:rPr>
              <w:t>5</w:t>
            </w:r>
            <w:r>
              <w:rPr>
                <w:rFonts w:hint="default" w:cs="Times New Roman"/>
                <w:b/>
                <w:bCs/>
                <w:color w:val="auto"/>
                <w:highlight w:val="none"/>
                <w:lang w:val="en-US" w:eastAsia="zh-CN"/>
              </w:rPr>
              <w:t>、主要设备</w:t>
            </w:r>
          </w:p>
          <w:p w14:paraId="5661576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项目主要设备清单见下表。</w:t>
            </w:r>
          </w:p>
          <w:p w14:paraId="05F9AE33">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表2-</w:t>
            </w:r>
            <w:r>
              <w:rPr>
                <w:rFonts w:hint="eastAsia" w:cs="Times New Roman"/>
                <w:b/>
                <w:bCs/>
                <w:color w:val="auto"/>
                <w:sz w:val="21"/>
                <w:szCs w:val="21"/>
                <w:highlight w:val="none"/>
                <w:u w:val="single"/>
                <w:lang w:val="en-US" w:eastAsia="zh-CN"/>
              </w:rPr>
              <w:t>7</w:t>
            </w:r>
            <w:r>
              <w:rPr>
                <w:rFonts w:hint="default" w:ascii="Times New Roman" w:hAnsi="Times New Roman" w:cs="Times New Roman"/>
                <w:b/>
                <w:bCs/>
                <w:color w:val="auto"/>
                <w:sz w:val="21"/>
                <w:szCs w:val="21"/>
                <w:highlight w:val="none"/>
                <w:u w:val="single"/>
              </w:rPr>
              <w:t xml:space="preserve">  项目主要设备一览表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560"/>
              <w:gridCol w:w="1885"/>
              <w:gridCol w:w="986"/>
              <w:gridCol w:w="1286"/>
              <w:gridCol w:w="1470"/>
            </w:tblGrid>
            <w:tr w14:paraId="5ED1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7B58316C">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序号</w:t>
                  </w:r>
                </w:p>
              </w:tc>
              <w:tc>
                <w:tcPr>
                  <w:tcW w:w="1560" w:type="dxa"/>
                  <w:vAlign w:val="center"/>
                </w:tcPr>
                <w:p w14:paraId="1217B7E1">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名称</w:t>
                  </w:r>
                </w:p>
              </w:tc>
              <w:tc>
                <w:tcPr>
                  <w:tcW w:w="1885" w:type="dxa"/>
                  <w:vAlign w:val="center"/>
                </w:tcPr>
                <w:p w14:paraId="1504AB15">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规格</w:t>
                  </w:r>
                </w:p>
              </w:tc>
              <w:tc>
                <w:tcPr>
                  <w:tcW w:w="986" w:type="dxa"/>
                  <w:vAlign w:val="center"/>
                </w:tcPr>
                <w:p w14:paraId="485CAD74">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数量</w:t>
                  </w:r>
                </w:p>
              </w:tc>
              <w:tc>
                <w:tcPr>
                  <w:tcW w:w="1286" w:type="dxa"/>
                  <w:vAlign w:val="center"/>
                </w:tcPr>
                <w:p w14:paraId="1423BEF3">
                  <w:pPr>
                    <w:spacing w:line="276"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工序</w:t>
                  </w:r>
                </w:p>
              </w:tc>
              <w:tc>
                <w:tcPr>
                  <w:tcW w:w="1470" w:type="dxa"/>
                  <w:vAlign w:val="center"/>
                </w:tcPr>
                <w:p w14:paraId="348666E6">
                  <w:pPr>
                    <w:spacing w:line="276" w:lineRule="auto"/>
                    <w:ind w:firstLine="0" w:firstLineChars="0"/>
                    <w:jc w:val="center"/>
                    <w:rPr>
                      <w:rFonts w:hint="eastAsia"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备注</w:t>
                  </w:r>
                </w:p>
              </w:tc>
            </w:tr>
            <w:tr w14:paraId="6582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06" w:type="dxa"/>
                  <w:gridSpan w:val="6"/>
                  <w:vAlign w:val="center"/>
                </w:tcPr>
                <w:p w14:paraId="6B7F0F24">
                  <w:pPr>
                    <w:spacing w:line="276" w:lineRule="auto"/>
                    <w:ind w:firstLine="0" w:firstLineChars="0"/>
                    <w:jc w:val="center"/>
                    <w:rPr>
                      <w:rFonts w:hint="eastAsia"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采矿过程设备</w:t>
                  </w:r>
                </w:p>
              </w:tc>
            </w:tr>
            <w:tr w14:paraId="31A3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22935635">
                  <w:pPr>
                    <w:spacing w:line="276" w:lineRule="auto"/>
                    <w:ind w:firstLine="0" w:firstLineChars="0"/>
                    <w:jc w:val="center"/>
                    <w:textAlignment w:val="center"/>
                    <w:rPr>
                      <w:rFonts w:hint="default" w:ascii="Times New Roman" w:hAnsi="Times New Roman" w:cs="Times New Roman"/>
                      <w:color w:val="auto"/>
                      <w:kern w:val="0"/>
                      <w:sz w:val="21"/>
                      <w:szCs w:val="21"/>
                      <w:highlight w:val="none"/>
                      <w:u w:val="single"/>
                    </w:rPr>
                  </w:pPr>
                  <w:r>
                    <w:rPr>
                      <w:rFonts w:hint="default" w:ascii="Times New Roman" w:hAnsi="Times New Roman" w:cs="Times New Roman"/>
                      <w:color w:val="auto"/>
                      <w:sz w:val="21"/>
                      <w:szCs w:val="21"/>
                      <w:highlight w:val="none"/>
                      <w:u w:val="single"/>
                      <w:lang w:bidi="ar"/>
                    </w:rPr>
                    <w:t>1</w:t>
                  </w:r>
                </w:p>
              </w:tc>
              <w:tc>
                <w:tcPr>
                  <w:tcW w:w="1560" w:type="dxa"/>
                  <w:vAlign w:val="center"/>
                </w:tcPr>
                <w:p w14:paraId="60CFC48C">
                  <w:pPr>
                    <w:spacing w:line="276" w:lineRule="auto"/>
                    <w:ind w:firstLine="0" w:firstLineChars="0"/>
                    <w:jc w:val="center"/>
                    <w:textAlignment w:val="center"/>
                    <w:rPr>
                      <w:rFonts w:hint="eastAsia"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液压挖掘机</w:t>
                  </w:r>
                </w:p>
              </w:tc>
              <w:tc>
                <w:tcPr>
                  <w:tcW w:w="1885" w:type="dxa"/>
                  <w:vAlign w:val="center"/>
                </w:tcPr>
                <w:p w14:paraId="19FE2958">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2m</w:t>
                  </w:r>
                  <w:r>
                    <w:rPr>
                      <w:rFonts w:hint="eastAsia" w:cs="Times New Roman"/>
                      <w:color w:val="auto"/>
                      <w:kern w:val="0"/>
                      <w:sz w:val="21"/>
                      <w:szCs w:val="21"/>
                      <w:highlight w:val="none"/>
                      <w:u w:val="single"/>
                      <w:vertAlign w:val="superscript"/>
                      <w:lang w:val="en-US" w:eastAsia="zh-CN"/>
                    </w:rPr>
                    <w:t xml:space="preserve">3 </w:t>
                  </w:r>
                </w:p>
              </w:tc>
              <w:tc>
                <w:tcPr>
                  <w:tcW w:w="986" w:type="dxa"/>
                  <w:vAlign w:val="center"/>
                </w:tcPr>
                <w:p w14:paraId="114D21E5">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2台</w:t>
                  </w:r>
                </w:p>
              </w:tc>
              <w:tc>
                <w:tcPr>
                  <w:tcW w:w="1286" w:type="dxa"/>
                  <w:vAlign w:val="center"/>
                </w:tcPr>
                <w:p w14:paraId="7581F300">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铲装</w:t>
                  </w:r>
                </w:p>
              </w:tc>
              <w:tc>
                <w:tcPr>
                  <w:tcW w:w="1470" w:type="dxa"/>
                  <w:vAlign w:val="center"/>
                </w:tcPr>
                <w:p w14:paraId="52A782DF">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1FCC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6C807706">
                  <w:pPr>
                    <w:spacing w:line="276" w:lineRule="auto"/>
                    <w:ind w:firstLine="0" w:firstLineChars="0"/>
                    <w:jc w:val="center"/>
                    <w:textAlignment w:val="center"/>
                    <w:rPr>
                      <w:rFonts w:hint="default" w:ascii="Times New Roman" w:hAnsi="Times New Roman" w:cs="Times New Roman"/>
                      <w:color w:val="auto"/>
                      <w:sz w:val="21"/>
                      <w:szCs w:val="21"/>
                      <w:highlight w:val="none"/>
                      <w:u w:val="single"/>
                      <w:lang w:bidi="ar"/>
                    </w:rPr>
                  </w:pPr>
                  <w:r>
                    <w:rPr>
                      <w:rFonts w:hint="default" w:ascii="Times New Roman" w:hAnsi="Times New Roman" w:cs="Times New Roman"/>
                      <w:color w:val="auto"/>
                      <w:sz w:val="21"/>
                      <w:szCs w:val="21"/>
                      <w:highlight w:val="none"/>
                      <w:u w:val="single"/>
                      <w:lang w:bidi="ar"/>
                    </w:rPr>
                    <w:t>2</w:t>
                  </w:r>
                </w:p>
              </w:tc>
              <w:tc>
                <w:tcPr>
                  <w:tcW w:w="1560" w:type="dxa"/>
                  <w:vAlign w:val="center"/>
                </w:tcPr>
                <w:p w14:paraId="329B4D05">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潜孔钻机</w:t>
                  </w:r>
                </w:p>
              </w:tc>
              <w:tc>
                <w:tcPr>
                  <w:tcW w:w="1885" w:type="dxa"/>
                  <w:vAlign w:val="center"/>
                </w:tcPr>
                <w:p w14:paraId="09CD67A7">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Φ110mm</w:t>
                  </w:r>
                </w:p>
              </w:tc>
              <w:tc>
                <w:tcPr>
                  <w:tcW w:w="986" w:type="dxa"/>
                  <w:vAlign w:val="center"/>
                </w:tcPr>
                <w:p w14:paraId="031F53DC">
                  <w:pPr>
                    <w:spacing w:line="276" w:lineRule="auto"/>
                    <w:ind w:firstLine="0" w:firstLineChars="0"/>
                    <w:jc w:val="center"/>
                    <w:textAlignment w:val="center"/>
                    <w:rPr>
                      <w:rFonts w:hint="eastAsia"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3台</w:t>
                  </w:r>
                </w:p>
              </w:tc>
              <w:tc>
                <w:tcPr>
                  <w:tcW w:w="1286" w:type="dxa"/>
                  <w:vAlign w:val="center"/>
                </w:tcPr>
                <w:p w14:paraId="2CEA9ABD">
                  <w:pPr>
                    <w:spacing w:line="276" w:lineRule="auto"/>
                    <w:ind w:firstLine="0" w:firstLineChars="0"/>
                    <w:jc w:val="center"/>
                    <w:textAlignment w:val="center"/>
                    <w:rPr>
                      <w:rFonts w:hint="default" w:ascii="Times New Roman" w:hAnsi="Times New Roman" w:cs="Times New Roman"/>
                      <w:color w:val="auto"/>
                      <w:sz w:val="21"/>
                      <w:szCs w:val="21"/>
                      <w:highlight w:val="none"/>
                      <w:u w:val="single"/>
                      <w:lang w:val="en-US" w:bidi="ar"/>
                    </w:rPr>
                  </w:pPr>
                  <w:r>
                    <w:rPr>
                      <w:rFonts w:hint="eastAsia" w:cs="Times New Roman"/>
                      <w:color w:val="auto"/>
                      <w:sz w:val="21"/>
                      <w:szCs w:val="21"/>
                      <w:highlight w:val="none"/>
                      <w:u w:val="single"/>
                      <w:lang w:val="en-US" w:eastAsia="zh-CN" w:bidi="ar"/>
                    </w:rPr>
                    <w:t>穿孔作业</w:t>
                  </w:r>
                </w:p>
              </w:tc>
              <w:tc>
                <w:tcPr>
                  <w:tcW w:w="1470" w:type="dxa"/>
                  <w:vAlign w:val="center"/>
                </w:tcPr>
                <w:p w14:paraId="229CFA16">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430D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2D9D870A">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3</w:t>
                  </w:r>
                </w:p>
              </w:tc>
              <w:tc>
                <w:tcPr>
                  <w:tcW w:w="1560" w:type="dxa"/>
                  <w:vAlign w:val="center"/>
                </w:tcPr>
                <w:p w14:paraId="31ABE8CC">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破碎锤</w:t>
                  </w:r>
                </w:p>
              </w:tc>
              <w:tc>
                <w:tcPr>
                  <w:tcW w:w="1885" w:type="dxa"/>
                  <w:vAlign w:val="center"/>
                </w:tcPr>
                <w:p w14:paraId="42D438C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HB2000</w:t>
                  </w:r>
                </w:p>
              </w:tc>
              <w:tc>
                <w:tcPr>
                  <w:tcW w:w="986" w:type="dxa"/>
                  <w:vAlign w:val="center"/>
                </w:tcPr>
                <w:p w14:paraId="3DCD732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1个</w:t>
                  </w:r>
                </w:p>
              </w:tc>
              <w:tc>
                <w:tcPr>
                  <w:tcW w:w="1286" w:type="dxa"/>
                  <w:vAlign w:val="center"/>
                </w:tcPr>
                <w:p w14:paraId="42C00B97">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二次破碎</w:t>
                  </w:r>
                </w:p>
              </w:tc>
              <w:tc>
                <w:tcPr>
                  <w:tcW w:w="1470" w:type="dxa"/>
                  <w:vAlign w:val="center"/>
                </w:tcPr>
                <w:p w14:paraId="5555CE3E">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51B0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632936DA">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4</w:t>
                  </w:r>
                </w:p>
              </w:tc>
              <w:tc>
                <w:tcPr>
                  <w:tcW w:w="1560" w:type="dxa"/>
                  <w:vAlign w:val="center"/>
                </w:tcPr>
                <w:p w14:paraId="78EAFDF5">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自卸汽车</w:t>
                  </w:r>
                </w:p>
              </w:tc>
              <w:tc>
                <w:tcPr>
                  <w:tcW w:w="1885" w:type="dxa"/>
                  <w:vAlign w:val="center"/>
                </w:tcPr>
                <w:p w14:paraId="21FA475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载重20t</w:t>
                  </w:r>
                </w:p>
              </w:tc>
              <w:tc>
                <w:tcPr>
                  <w:tcW w:w="986" w:type="dxa"/>
                  <w:vAlign w:val="center"/>
                </w:tcPr>
                <w:p w14:paraId="3BCB5EB6">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7辆</w:t>
                  </w:r>
                </w:p>
              </w:tc>
              <w:tc>
                <w:tcPr>
                  <w:tcW w:w="1286" w:type="dxa"/>
                  <w:vAlign w:val="center"/>
                </w:tcPr>
                <w:p w14:paraId="0CAF131B">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运输</w:t>
                  </w:r>
                </w:p>
              </w:tc>
              <w:tc>
                <w:tcPr>
                  <w:tcW w:w="1470" w:type="dxa"/>
                  <w:vAlign w:val="center"/>
                </w:tcPr>
                <w:p w14:paraId="290AABBD">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144F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48A056AC">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5</w:t>
                  </w:r>
                </w:p>
              </w:tc>
              <w:tc>
                <w:tcPr>
                  <w:tcW w:w="1560" w:type="dxa"/>
                  <w:vAlign w:val="center"/>
                </w:tcPr>
                <w:p w14:paraId="28D28482">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推土机</w:t>
                  </w:r>
                </w:p>
              </w:tc>
              <w:tc>
                <w:tcPr>
                  <w:tcW w:w="1885" w:type="dxa"/>
                  <w:vAlign w:val="center"/>
                </w:tcPr>
                <w:p w14:paraId="3A9A6BB9">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220马力</w:t>
                  </w:r>
                </w:p>
              </w:tc>
              <w:tc>
                <w:tcPr>
                  <w:tcW w:w="986" w:type="dxa"/>
                  <w:vAlign w:val="center"/>
                </w:tcPr>
                <w:p w14:paraId="445A51B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1台</w:t>
                  </w:r>
                </w:p>
              </w:tc>
              <w:tc>
                <w:tcPr>
                  <w:tcW w:w="1286" w:type="dxa"/>
                  <w:vAlign w:val="center"/>
                </w:tcPr>
                <w:p w14:paraId="5978406F">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平整场地</w:t>
                  </w:r>
                </w:p>
              </w:tc>
              <w:tc>
                <w:tcPr>
                  <w:tcW w:w="1470" w:type="dxa"/>
                  <w:vAlign w:val="center"/>
                </w:tcPr>
                <w:p w14:paraId="3A07B299">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027E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0CBAE5F2">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7</w:t>
                  </w:r>
                </w:p>
              </w:tc>
              <w:tc>
                <w:tcPr>
                  <w:tcW w:w="1560" w:type="dxa"/>
                  <w:vAlign w:val="center"/>
                </w:tcPr>
                <w:p w14:paraId="380C1C39">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洒水车</w:t>
                  </w:r>
                </w:p>
              </w:tc>
              <w:tc>
                <w:tcPr>
                  <w:tcW w:w="1885" w:type="dxa"/>
                  <w:vAlign w:val="center"/>
                </w:tcPr>
                <w:p w14:paraId="5937890D">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10m</w:t>
                  </w:r>
                  <w:r>
                    <w:rPr>
                      <w:rFonts w:hint="eastAsia" w:cs="Times New Roman"/>
                      <w:color w:val="auto"/>
                      <w:kern w:val="0"/>
                      <w:sz w:val="21"/>
                      <w:szCs w:val="21"/>
                      <w:highlight w:val="none"/>
                      <w:u w:val="single"/>
                      <w:vertAlign w:val="superscript"/>
                      <w:lang w:val="en-US" w:eastAsia="zh-CN"/>
                    </w:rPr>
                    <w:t>3</w:t>
                  </w:r>
                </w:p>
              </w:tc>
              <w:tc>
                <w:tcPr>
                  <w:tcW w:w="986" w:type="dxa"/>
                  <w:vAlign w:val="center"/>
                </w:tcPr>
                <w:p w14:paraId="2DE62996">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1台</w:t>
                  </w:r>
                </w:p>
              </w:tc>
              <w:tc>
                <w:tcPr>
                  <w:tcW w:w="1286" w:type="dxa"/>
                  <w:vAlign w:val="center"/>
                </w:tcPr>
                <w:p w14:paraId="223A00ED">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除尘</w:t>
                  </w:r>
                </w:p>
              </w:tc>
              <w:tc>
                <w:tcPr>
                  <w:tcW w:w="1470" w:type="dxa"/>
                  <w:vAlign w:val="center"/>
                </w:tcPr>
                <w:p w14:paraId="544C024B">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3AB8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06" w:type="dxa"/>
                  <w:gridSpan w:val="6"/>
                  <w:vAlign w:val="center"/>
                </w:tcPr>
                <w:p w14:paraId="68E6854C">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b/>
                      <w:bCs/>
                      <w:color w:val="auto"/>
                      <w:sz w:val="21"/>
                      <w:szCs w:val="21"/>
                      <w:highlight w:val="none"/>
                      <w:u w:val="single"/>
                      <w:lang w:val="en-US" w:eastAsia="zh-CN" w:bidi="ar"/>
                    </w:rPr>
                    <w:t>加工过程设备</w:t>
                  </w:r>
                </w:p>
              </w:tc>
            </w:tr>
            <w:tr w14:paraId="6AEE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264DB201">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8</w:t>
                  </w:r>
                </w:p>
              </w:tc>
              <w:tc>
                <w:tcPr>
                  <w:tcW w:w="1560" w:type="dxa"/>
                  <w:vAlign w:val="center"/>
                </w:tcPr>
                <w:p w14:paraId="6E377912">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振动喂料机</w:t>
                  </w:r>
                </w:p>
              </w:tc>
              <w:tc>
                <w:tcPr>
                  <w:tcW w:w="1885" w:type="dxa"/>
                  <w:vAlign w:val="center"/>
                </w:tcPr>
                <w:p w14:paraId="2CDDF260">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GZD-1300</w:t>
                  </w:r>
                  <w:r>
                    <w:rPr>
                      <w:rFonts w:hint="default" w:ascii="Times New Roman" w:hAnsi="Times New Roman" w:eastAsia="宋体" w:cs="Times New Roman"/>
                      <w:color w:val="auto"/>
                      <w:kern w:val="0"/>
                      <w:sz w:val="21"/>
                      <w:szCs w:val="21"/>
                      <w:highlight w:val="none"/>
                      <w:u w:val="single"/>
                      <w:lang w:val="en-US" w:eastAsia="zh-CN"/>
                    </w:rPr>
                    <w:t>X</w:t>
                  </w:r>
                  <w:r>
                    <w:rPr>
                      <w:rFonts w:hint="eastAsia" w:cs="Times New Roman"/>
                      <w:color w:val="auto"/>
                      <w:kern w:val="0"/>
                      <w:sz w:val="21"/>
                      <w:szCs w:val="21"/>
                      <w:highlight w:val="none"/>
                      <w:u w:val="single"/>
                      <w:lang w:val="en-US" w:eastAsia="zh-CN"/>
                    </w:rPr>
                    <w:t>4900</w:t>
                  </w:r>
                </w:p>
              </w:tc>
              <w:tc>
                <w:tcPr>
                  <w:tcW w:w="986" w:type="dxa"/>
                  <w:vAlign w:val="center"/>
                </w:tcPr>
                <w:p w14:paraId="1FF2EF68">
                  <w:pPr>
                    <w:spacing w:line="276" w:lineRule="auto"/>
                    <w:ind w:firstLine="0" w:firstLineChars="0"/>
                    <w:jc w:val="center"/>
                    <w:textAlignment w:val="center"/>
                    <w:rPr>
                      <w:rFonts w:hint="eastAsia"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2台</w:t>
                  </w:r>
                </w:p>
              </w:tc>
              <w:tc>
                <w:tcPr>
                  <w:tcW w:w="1286" w:type="dxa"/>
                  <w:vAlign w:val="center"/>
                </w:tcPr>
                <w:p w14:paraId="1853D7EF">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上料</w:t>
                  </w:r>
                </w:p>
              </w:tc>
              <w:tc>
                <w:tcPr>
                  <w:tcW w:w="1470" w:type="dxa"/>
                  <w:vAlign w:val="center"/>
                </w:tcPr>
                <w:p w14:paraId="11CE4F13">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7277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32920D67">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9</w:t>
                  </w:r>
                </w:p>
              </w:tc>
              <w:tc>
                <w:tcPr>
                  <w:tcW w:w="1560" w:type="dxa"/>
                  <w:vAlign w:val="center"/>
                </w:tcPr>
                <w:p w14:paraId="5F84FAF1">
                  <w:pPr>
                    <w:spacing w:line="276" w:lineRule="auto"/>
                    <w:ind w:firstLine="0" w:firstLineChars="0"/>
                    <w:jc w:val="center"/>
                    <w:textAlignment w:val="center"/>
                    <w:rPr>
                      <w:rFonts w:hint="eastAsia"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鄂式破碎机</w:t>
                  </w:r>
                </w:p>
              </w:tc>
              <w:tc>
                <w:tcPr>
                  <w:tcW w:w="1885" w:type="dxa"/>
                  <w:vAlign w:val="center"/>
                </w:tcPr>
                <w:p w14:paraId="409F4035">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JC96</w:t>
                  </w:r>
                </w:p>
              </w:tc>
              <w:tc>
                <w:tcPr>
                  <w:tcW w:w="986" w:type="dxa"/>
                  <w:vAlign w:val="center"/>
                </w:tcPr>
                <w:p w14:paraId="2E0E9B32">
                  <w:pPr>
                    <w:spacing w:line="276" w:lineRule="auto"/>
                    <w:ind w:firstLine="0" w:firstLineChars="0"/>
                    <w:jc w:val="center"/>
                    <w:textAlignment w:val="center"/>
                    <w:rPr>
                      <w:rFonts w:hint="eastAsia"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1台</w:t>
                  </w:r>
                </w:p>
              </w:tc>
              <w:tc>
                <w:tcPr>
                  <w:tcW w:w="1286" w:type="dxa"/>
                  <w:vAlign w:val="center"/>
                </w:tcPr>
                <w:p w14:paraId="51D1010A">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破碎</w:t>
                  </w:r>
                </w:p>
              </w:tc>
              <w:tc>
                <w:tcPr>
                  <w:tcW w:w="1470" w:type="dxa"/>
                  <w:vAlign w:val="center"/>
                </w:tcPr>
                <w:p w14:paraId="6485413C">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6721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56C2F22A">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sz w:val="21"/>
                      <w:szCs w:val="21"/>
                      <w:highlight w:val="none"/>
                      <w:u w:val="single"/>
                      <w:lang w:val="en-US" w:eastAsia="zh-CN" w:bidi="ar"/>
                    </w:rPr>
                    <w:t>10</w:t>
                  </w:r>
                </w:p>
              </w:tc>
              <w:tc>
                <w:tcPr>
                  <w:tcW w:w="1560" w:type="dxa"/>
                  <w:vAlign w:val="center"/>
                </w:tcPr>
                <w:p w14:paraId="60896106">
                  <w:pPr>
                    <w:spacing w:line="276" w:lineRule="auto"/>
                    <w:ind w:firstLine="0" w:firstLineChars="0"/>
                    <w:jc w:val="center"/>
                    <w:textAlignment w:val="center"/>
                    <w:rPr>
                      <w:rFonts w:hint="eastAsia"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圆锥破碎机</w:t>
                  </w:r>
                </w:p>
              </w:tc>
              <w:tc>
                <w:tcPr>
                  <w:tcW w:w="1885" w:type="dxa"/>
                  <w:vAlign w:val="center"/>
                </w:tcPr>
                <w:p w14:paraId="372EA547">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HPT500</w:t>
                  </w:r>
                </w:p>
              </w:tc>
              <w:tc>
                <w:tcPr>
                  <w:tcW w:w="986" w:type="dxa"/>
                  <w:vAlign w:val="center"/>
                </w:tcPr>
                <w:p w14:paraId="26DC0CB3">
                  <w:pPr>
                    <w:spacing w:line="276" w:lineRule="auto"/>
                    <w:ind w:firstLine="0" w:firstLineChars="0"/>
                    <w:jc w:val="center"/>
                    <w:textAlignment w:val="center"/>
                    <w:rPr>
                      <w:rFonts w:hint="default" w:ascii="Times New Roman" w:hAnsi="Times New Roman" w:cs="Times New Roman"/>
                      <w:color w:val="auto"/>
                      <w:kern w:val="0"/>
                      <w:sz w:val="21"/>
                      <w:szCs w:val="21"/>
                      <w:highlight w:val="none"/>
                      <w:u w:val="single"/>
                    </w:rPr>
                  </w:pPr>
                  <w:r>
                    <w:rPr>
                      <w:rFonts w:hint="eastAsia" w:cs="Times New Roman"/>
                      <w:color w:val="auto"/>
                      <w:kern w:val="0"/>
                      <w:sz w:val="21"/>
                      <w:szCs w:val="21"/>
                      <w:highlight w:val="none"/>
                      <w:u w:val="single"/>
                      <w:lang w:val="en-US" w:eastAsia="zh-CN"/>
                    </w:rPr>
                    <w:t>2台</w:t>
                  </w:r>
                </w:p>
              </w:tc>
              <w:tc>
                <w:tcPr>
                  <w:tcW w:w="1286" w:type="dxa"/>
                  <w:vAlign w:val="center"/>
                </w:tcPr>
                <w:p w14:paraId="5570B220">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破碎</w:t>
                  </w:r>
                </w:p>
              </w:tc>
              <w:tc>
                <w:tcPr>
                  <w:tcW w:w="1470" w:type="dxa"/>
                  <w:vAlign w:val="center"/>
                </w:tcPr>
                <w:p w14:paraId="3BC42BA9">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2D03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7CD312DF">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11</w:t>
                  </w:r>
                </w:p>
              </w:tc>
              <w:tc>
                <w:tcPr>
                  <w:tcW w:w="1560" w:type="dxa"/>
                  <w:vAlign w:val="center"/>
                </w:tcPr>
                <w:p w14:paraId="3E451A2D">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振动筛</w:t>
                  </w:r>
                </w:p>
              </w:tc>
              <w:tc>
                <w:tcPr>
                  <w:tcW w:w="1885" w:type="dxa"/>
                  <w:vAlign w:val="center"/>
                </w:tcPr>
                <w:p w14:paraId="612A882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2570型</w:t>
                  </w:r>
                </w:p>
              </w:tc>
              <w:tc>
                <w:tcPr>
                  <w:tcW w:w="986" w:type="dxa"/>
                  <w:vAlign w:val="center"/>
                </w:tcPr>
                <w:p w14:paraId="135BA19F">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2台</w:t>
                  </w:r>
                </w:p>
              </w:tc>
              <w:tc>
                <w:tcPr>
                  <w:tcW w:w="1286" w:type="dxa"/>
                  <w:vAlign w:val="center"/>
                </w:tcPr>
                <w:p w14:paraId="12E36752">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筛分</w:t>
                  </w:r>
                </w:p>
              </w:tc>
              <w:tc>
                <w:tcPr>
                  <w:tcW w:w="1470" w:type="dxa"/>
                  <w:vAlign w:val="center"/>
                </w:tcPr>
                <w:p w14:paraId="193880DF">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71BA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257A548E">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12</w:t>
                  </w:r>
                </w:p>
              </w:tc>
              <w:tc>
                <w:tcPr>
                  <w:tcW w:w="1560" w:type="dxa"/>
                  <w:vAlign w:val="center"/>
                </w:tcPr>
                <w:p w14:paraId="5B652518">
                  <w:pPr>
                    <w:spacing w:line="276" w:lineRule="auto"/>
                    <w:ind w:firstLine="0" w:firstLineChars="0"/>
                    <w:jc w:val="center"/>
                    <w:textAlignment w:val="center"/>
                    <w:rPr>
                      <w:rFonts w:hint="default"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制砂机</w:t>
                  </w:r>
                </w:p>
              </w:tc>
              <w:tc>
                <w:tcPr>
                  <w:tcW w:w="1885" w:type="dxa"/>
                  <w:vAlign w:val="center"/>
                </w:tcPr>
                <w:p w14:paraId="0EA57CAD">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1214型</w:t>
                  </w:r>
                </w:p>
              </w:tc>
              <w:tc>
                <w:tcPr>
                  <w:tcW w:w="986" w:type="dxa"/>
                  <w:vAlign w:val="center"/>
                </w:tcPr>
                <w:p w14:paraId="1260B5EC">
                  <w:pPr>
                    <w:spacing w:line="276" w:lineRule="auto"/>
                    <w:ind w:firstLine="0" w:firstLineChars="0"/>
                    <w:jc w:val="center"/>
                    <w:textAlignment w:val="center"/>
                    <w:rPr>
                      <w:rFonts w:hint="default" w:ascii="Times New Roman" w:hAnsi="Times New Roman" w:cs="Times New Roman"/>
                      <w:color w:val="auto"/>
                      <w:sz w:val="21"/>
                      <w:szCs w:val="21"/>
                      <w:highlight w:val="none"/>
                      <w:u w:val="single"/>
                      <w:lang w:bidi="ar"/>
                    </w:rPr>
                  </w:pPr>
                  <w:r>
                    <w:rPr>
                      <w:rFonts w:hint="eastAsia" w:cs="Times New Roman"/>
                      <w:color w:val="auto"/>
                      <w:kern w:val="0"/>
                      <w:sz w:val="21"/>
                      <w:szCs w:val="21"/>
                      <w:highlight w:val="none"/>
                      <w:u w:val="single"/>
                      <w:lang w:val="en-US" w:eastAsia="zh-CN"/>
                    </w:rPr>
                    <w:t>1台</w:t>
                  </w:r>
                </w:p>
              </w:tc>
              <w:tc>
                <w:tcPr>
                  <w:tcW w:w="1286" w:type="dxa"/>
                  <w:vAlign w:val="center"/>
                </w:tcPr>
                <w:p w14:paraId="5A5E2721">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制砂</w:t>
                  </w:r>
                </w:p>
              </w:tc>
              <w:tc>
                <w:tcPr>
                  <w:tcW w:w="1470" w:type="dxa"/>
                  <w:vAlign w:val="center"/>
                </w:tcPr>
                <w:p w14:paraId="4055BE03">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5296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461F4B7C">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13</w:t>
                  </w:r>
                </w:p>
              </w:tc>
              <w:tc>
                <w:tcPr>
                  <w:tcW w:w="1560" w:type="dxa"/>
                  <w:vAlign w:val="center"/>
                </w:tcPr>
                <w:p w14:paraId="7C1AA362">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装载机</w:t>
                  </w:r>
                </w:p>
              </w:tc>
              <w:tc>
                <w:tcPr>
                  <w:tcW w:w="1885" w:type="dxa"/>
                  <w:vAlign w:val="center"/>
                </w:tcPr>
                <w:p w14:paraId="77AAA529">
                  <w:pPr>
                    <w:spacing w:line="276" w:lineRule="auto"/>
                    <w:ind w:firstLine="0" w:firstLineChars="0"/>
                    <w:jc w:val="center"/>
                    <w:textAlignment w:val="center"/>
                    <w:rPr>
                      <w:rFonts w:hint="default"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CLG855</w:t>
                  </w:r>
                </w:p>
              </w:tc>
              <w:tc>
                <w:tcPr>
                  <w:tcW w:w="986" w:type="dxa"/>
                  <w:vAlign w:val="center"/>
                </w:tcPr>
                <w:p w14:paraId="41B3EF8F">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6</w:t>
                  </w:r>
                  <w:r>
                    <w:rPr>
                      <w:rFonts w:hint="eastAsia" w:cs="Times New Roman"/>
                      <w:color w:val="auto"/>
                      <w:kern w:val="0"/>
                      <w:sz w:val="21"/>
                      <w:szCs w:val="21"/>
                      <w:highlight w:val="none"/>
                      <w:u w:val="single"/>
                      <w:lang w:val="en-US" w:eastAsia="zh-CN"/>
                    </w:rPr>
                    <w:t>台</w:t>
                  </w:r>
                </w:p>
              </w:tc>
              <w:tc>
                <w:tcPr>
                  <w:tcW w:w="1286" w:type="dxa"/>
                  <w:vAlign w:val="center"/>
                </w:tcPr>
                <w:p w14:paraId="3C3040D8">
                  <w:pPr>
                    <w:spacing w:line="276" w:lineRule="auto"/>
                    <w:ind w:firstLine="0" w:firstLineChars="0"/>
                    <w:jc w:val="center"/>
                    <w:textAlignment w:val="center"/>
                    <w:rPr>
                      <w:rFonts w:hint="default" w:ascii="Times New Roman" w:hAnsi="Times New Roman" w:cs="Times New Roman"/>
                      <w:color w:val="auto"/>
                      <w:sz w:val="21"/>
                      <w:szCs w:val="21"/>
                      <w:highlight w:val="none"/>
                      <w:u w:val="single"/>
                      <w:lang w:bidi="ar"/>
                    </w:rPr>
                  </w:pPr>
                  <w:r>
                    <w:rPr>
                      <w:rFonts w:hint="eastAsia" w:cs="Times New Roman"/>
                      <w:color w:val="auto"/>
                      <w:sz w:val="21"/>
                      <w:szCs w:val="21"/>
                      <w:highlight w:val="none"/>
                      <w:u w:val="single"/>
                      <w:lang w:val="en-US" w:eastAsia="zh-CN" w:bidi="ar"/>
                    </w:rPr>
                    <w:t>装载</w:t>
                  </w:r>
                </w:p>
              </w:tc>
              <w:tc>
                <w:tcPr>
                  <w:tcW w:w="1470" w:type="dxa"/>
                  <w:vAlign w:val="center"/>
                </w:tcPr>
                <w:p w14:paraId="00D341DA">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6184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0936B82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14</w:t>
                  </w:r>
                </w:p>
              </w:tc>
              <w:tc>
                <w:tcPr>
                  <w:tcW w:w="1560" w:type="dxa"/>
                  <w:vAlign w:val="center"/>
                </w:tcPr>
                <w:p w14:paraId="210005AA">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除尘器</w:t>
                  </w:r>
                </w:p>
              </w:tc>
              <w:tc>
                <w:tcPr>
                  <w:tcW w:w="1885" w:type="dxa"/>
                  <w:vAlign w:val="center"/>
                </w:tcPr>
                <w:p w14:paraId="547DBA53">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布袋除尘</w:t>
                  </w:r>
                </w:p>
              </w:tc>
              <w:tc>
                <w:tcPr>
                  <w:tcW w:w="986" w:type="dxa"/>
                  <w:vAlign w:val="center"/>
                </w:tcPr>
                <w:p w14:paraId="40A8F43C">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1</w:t>
                  </w:r>
                  <w:r>
                    <w:rPr>
                      <w:rFonts w:hint="eastAsia" w:cs="Times New Roman"/>
                      <w:color w:val="auto"/>
                      <w:kern w:val="0"/>
                      <w:sz w:val="21"/>
                      <w:szCs w:val="21"/>
                      <w:highlight w:val="none"/>
                      <w:u w:val="single"/>
                      <w:lang w:val="en-US" w:eastAsia="zh-CN"/>
                    </w:rPr>
                    <w:t>套</w:t>
                  </w:r>
                </w:p>
              </w:tc>
              <w:tc>
                <w:tcPr>
                  <w:tcW w:w="1286" w:type="dxa"/>
                  <w:vAlign w:val="center"/>
                </w:tcPr>
                <w:p w14:paraId="391CD4FC">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废气处理</w:t>
                  </w:r>
                </w:p>
              </w:tc>
              <w:tc>
                <w:tcPr>
                  <w:tcW w:w="1470" w:type="dxa"/>
                  <w:vAlign w:val="center"/>
                </w:tcPr>
                <w:p w14:paraId="1994B21E">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36CA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3B627262">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15</w:t>
                  </w:r>
                </w:p>
              </w:tc>
              <w:tc>
                <w:tcPr>
                  <w:tcW w:w="1560" w:type="dxa"/>
                  <w:vAlign w:val="center"/>
                </w:tcPr>
                <w:p w14:paraId="39D2B858">
                  <w:pPr>
                    <w:spacing w:line="276" w:lineRule="auto"/>
                    <w:ind w:firstLine="0" w:firstLineChars="0"/>
                    <w:jc w:val="center"/>
                    <w:textAlignment w:val="center"/>
                    <w:rPr>
                      <w:rFonts w:hint="default" w:eastAsia="宋体" w:cs="Times New Roman"/>
                      <w:color w:val="auto"/>
                      <w:sz w:val="21"/>
                      <w:szCs w:val="21"/>
                      <w:highlight w:val="none"/>
                      <w:u w:val="single"/>
                      <w:lang w:val="en-US" w:eastAsia="zh-CN" w:bidi="ar"/>
                    </w:rPr>
                  </w:pPr>
                  <w:r>
                    <w:rPr>
                      <w:rFonts w:hint="eastAsia" w:cs="Times New Roman"/>
                      <w:color w:val="auto"/>
                      <w:kern w:val="0"/>
                      <w:sz w:val="21"/>
                      <w:szCs w:val="21"/>
                      <w:highlight w:val="none"/>
                      <w:u w:val="single"/>
                      <w:lang w:val="en-US" w:eastAsia="zh-CN"/>
                    </w:rPr>
                    <w:t>自卸汽车</w:t>
                  </w:r>
                </w:p>
              </w:tc>
              <w:tc>
                <w:tcPr>
                  <w:tcW w:w="1885" w:type="dxa"/>
                  <w:vAlign w:val="center"/>
                </w:tcPr>
                <w:p w14:paraId="0EFF38FB">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kern w:val="0"/>
                      <w:sz w:val="21"/>
                      <w:szCs w:val="21"/>
                      <w:highlight w:val="none"/>
                      <w:u w:val="single"/>
                      <w:lang w:val="en-US" w:eastAsia="zh-CN"/>
                    </w:rPr>
                    <w:t>载重20t</w:t>
                  </w:r>
                </w:p>
              </w:tc>
              <w:tc>
                <w:tcPr>
                  <w:tcW w:w="986" w:type="dxa"/>
                  <w:vAlign w:val="center"/>
                </w:tcPr>
                <w:p w14:paraId="019D05E2">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kern w:val="0"/>
                      <w:sz w:val="21"/>
                      <w:szCs w:val="21"/>
                      <w:highlight w:val="none"/>
                      <w:u w:val="single"/>
                      <w:lang w:val="en-US" w:eastAsia="zh-CN"/>
                    </w:rPr>
                    <w:t>7辆</w:t>
                  </w:r>
                </w:p>
              </w:tc>
              <w:tc>
                <w:tcPr>
                  <w:tcW w:w="1286" w:type="dxa"/>
                  <w:vAlign w:val="center"/>
                </w:tcPr>
                <w:p w14:paraId="347E7BC2">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运输</w:t>
                  </w:r>
                </w:p>
              </w:tc>
              <w:tc>
                <w:tcPr>
                  <w:tcW w:w="1470" w:type="dxa"/>
                  <w:vAlign w:val="center"/>
                </w:tcPr>
                <w:p w14:paraId="21DC8E22">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bl>
          <w:p w14:paraId="6D506E57">
            <w:pPr>
              <w:ind w:firstLine="0" w:firstLineChars="0"/>
              <w:rPr>
                <w:rFonts w:hint="default" w:cs="Times New Roman"/>
                <w:b/>
                <w:bCs/>
                <w:color w:val="auto"/>
                <w:highlight w:val="none"/>
                <w:lang w:val="en-US" w:eastAsia="zh-CN"/>
              </w:rPr>
            </w:pPr>
            <w:r>
              <w:rPr>
                <w:rFonts w:hint="eastAsia" w:cs="Times New Roman"/>
                <w:b/>
                <w:bCs/>
                <w:color w:val="auto"/>
                <w:highlight w:val="none"/>
                <w:lang w:val="en-US" w:eastAsia="zh-CN"/>
              </w:rPr>
              <w:t>6</w:t>
            </w:r>
            <w:r>
              <w:rPr>
                <w:rFonts w:hint="default" w:cs="Times New Roman"/>
                <w:b/>
                <w:bCs/>
                <w:color w:val="auto"/>
                <w:highlight w:val="none"/>
                <w:lang w:val="en-US" w:eastAsia="zh-CN"/>
              </w:rPr>
              <w:t>、主要原辅材料及能源消耗</w:t>
            </w:r>
          </w:p>
          <w:p w14:paraId="3796B76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本项目主要原辅材料及能源消耗情况见下表。</w:t>
            </w:r>
          </w:p>
          <w:p w14:paraId="6D18E6B3">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eastAsia"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 xml:space="preserve">  主要原辅材料及能源消耗一览表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89"/>
              <w:gridCol w:w="1960"/>
              <w:gridCol w:w="3770"/>
            </w:tblGrid>
            <w:tr w14:paraId="6C46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243FAF74">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289" w:type="dxa"/>
                  <w:vAlign w:val="center"/>
                </w:tcPr>
                <w:p w14:paraId="1E4DED69">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960" w:type="dxa"/>
                  <w:vAlign w:val="center"/>
                </w:tcPr>
                <w:p w14:paraId="77909A5B">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用量</w:t>
                  </w:r>
                </w:p>
              </w:tc>
              <w:tc>
                <w:tcPr>
                  <w:tcW w:w="3770" w:type="dxa"/>
                  <w:vAlign w:val="center"/>
                </w:tcPr>
                <w:p w14:paraId="3FA5C7B0">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来源</w:t>
                  </w:r>
                </w:p>
              </w:tc>
            </w:tr>
            <w:tr w14:paraId="41B9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425B835B">
                  <w:pPr>
                    <w:spacing w:line="276"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289" w:type="dxa"/>
                  <w:vAlign w:val="center"/>
                </w:tcPr>
                <w:p w14:paraId="2814DCEA">
                  <w:pPr>
                    <w:spacing w:line="276"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灰岩矿</w:t>
                  </w:r>
                </w:p>
              </w:tc>
              <w:tc>
                <w:tcPr>
                  <w:tcW w:w="1960" w:type="dxa"/>
                  <w:vAlign w:val="center"/>
                </w:tcPr>
                <w:p w14:paraId="5C98B64F">
                  <w:pPr>
                    <w:spacing w:line="276"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120万t/a</w:t>
                  </w:r>
                </w:p>
              </w:tc>
              <w:tc>
                <w:tcPr>
                  <w:tcW w:w="3770" w:type="dxa"/>
                  <w:vAlign w:val="center"/>
                </w:tcPr>
                <w:p w14:paraId="2EF24A40">
                  <w:pPr>
                    <w:spacing w:line="276"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开采</w:t>
                  </w:r>
                </w:p>
              </w:tc>
            </w:tr>
            <w:tr w14:paraId="723B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458A0CB7">
                  <w:pPr>
                    <w:spacing w:line="276" w:lineRule="auto"/>
                    <w:ind w:firstLine="0" w:firstLineChars="0"/>
                    <w:jc w:val="center"/>
                    <w:textAlignment w:val="center"/>
                    <w:rPr>
                      <w:rFonts w:hint="eastAsia"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1289" w:type="dxa"/>
                  <w:vAlign w:val="center"/>
                </w:tcPr>
                <w:p w14:paraId="116560EA">
                  <w:pPr>
                    <w:spacing w:line="276" w:lineRule="auto"/>
                    <w:ind w:firstLine="0" w:firstLineChars="0"/>
                    <w:jc w:val="center"/>
                    <w:textAlignment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钻头</w:t>
                  </w:r>
                </w:p>
              </w:tc>
              <w:tc>
                <w:tcPr>
                  <w:tcW w:w="1960" w:type="dxa"/>
                  <w:vAlign w:val="center"/>
                </w:tcPr>
                <w:p w14:paraId="4AD7AB83">
                  <w:pPr>
                    <w:spacing w:line="276" w:lineRule="auto"/>
                    <w:ind w:firstLine="0" w:firstLineChars="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r>
                    <w:rPr>
                      <w:rFonts w:hint="eastAsia" w:ascii="Times New Roman" w:hAnsi="Times New Roman" w:cs="Times New Roman"/>
                      <w:color w:val="auto"/>
                      <w:kern w:val="0"/>
                      <w:sz w:val="21"/>
                      <w:szCs w:val="21"/>
                      <w:highlight w:val="none"/>
                      <w:lang w:val="en-US" w:eastAsia="zh-CN"/>
                    </w:rPr>
                    <w:t>50个/</w:t>
                  </w:r>
                  <w:r>
                    <w:rPr>
                      <w:rFonts w:hint="eastAsia" w:cs="Times New Roman"/>
                      <w:color w:val="auto"/>
                      <w:kern w:val="0"/>
                      <w:sz w:val="21"/>
                      <w:szCs w:val="21"/>
                      <w:highlight w:val="none"/>
                      <w:lang w:val="en-US" w:eastAsia="zh-CN"/>
                    </w:rPr>
                    <w:t>a</w:t>
                  </w:r>
                </w:p>
              </w:tc>
              <w:tc>
                <w:tcPr>
                  <w:tcW w:w="3770" w:type="dxa"/>
                  <w:vAlign w:val="center"/>
                </w:tcPr>
                <w:p w14:paraId="2D20EF1A">
                  <w:pPr>
                    <w:spacing w:line="276" w:lineRule="auto"/>
                    <w:ind w:firstLine="0" w:firstLineChars="0"/>
                    <w:jc w:val="center"/>
                    <w:textAlignment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市场采购</w:t>
                  </w:r>
                </w:p>
              </w:tc>
            </w:tr>
            <w:tr w14:paraId="3321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57E8ABC6">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u w:val="none"/>
                      <w:lang w:eastAsia="zh-CN" w:bidi="ar"/>
                    </w:rPr>
                  </w:pPr>
                  <w:r>
                    <w:rPr>
                      <w:rFonts w:hint="eastAsia" w:cs="Times New Roman"/>
                      <w:color w:val="auto"/>
                      <w:sz w:val="21"/>
                      <w:szCs w:val="21"/>
                      <w:highlight w:val="none"/>
                      <w:u w:val="none"/>
                      <w:lang w:val="en-US" w:eastAsia="zh-CN" w:bidi="ar"/>
                    </w:rPr>
                    <w:t>3</w:t>
                  </w:r>
                </w:p>
              </w:tc>
              <w:tc>
                <w:tcPr>
                  <w:tcW w:w="1289" w:type="dxa"/>
                  <w:vAlign w:val="center"/>
                </w:tcPr>
                <w:p w14:paraId="70CD7AB7">
                  <w:pPr>
                    <w:spacing w:line="276" w:lineRule="auto"/>
                    <w:ind w:firstLine="0" w:firstLineChars="0"/>
                    <w:jc w:val="center"/>
                    <w:textAlignment w:val="center"/>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柴油</w:t>
                  </w:r>
                </w:p>
              </w:tc>
              <w:tc>
                <w:tcPr>
                  <w:tcW w:w="1960" w:type="dxa"/>
                  <w:vAlign w:val="center"/>
                </w:tcPr>
                <w:p w14:paraId="35A9E694">
                  <w:pPr>
                    <w:spacing w:line="276" w:lineRule="auto"/>
                    <w:ind w:firstLine="0" w:firstLineChars="0"/>
                    <w:jc w:val="center"/>
                    <w:textAlignment w:val="center"/>
                    <w:rPr>
                      <w:rFonts w:hint="default" w:ascii="Times New Roman" w:hAnsi="Times New Roman" w:cs="Times New Roman"/>
                      <w:color w:val="auto"/>
                      <w:kern w:val="0"/>
                      <w:sz w:val="21"/>
                      <w:szCs w:val="21"/>
                      <w:highlight w:val="none"/>
                      <w:u w:val="none"/>
                    </w:rPr>
                  </w:pPr>
                  <w:r>
                    <w:rPr>
                      <w:rFonts w:hint="eastAsia" w:cs="Times New Roman"/>
                      <w:color w:val="auto"/>
                      <w:kern w:val="0"/>
                      <w:sz w:val="21"/>
                      <w:szCs w:val="21"/>
                      <w:highlight w:val="none"/>
                      <w:u w:val="none"/>
                      <w:lang w:val="en-US" w:eastAsia="zh-CN"/>
                    </w:rPr>
                    <w:t>130</w:t>
                  </w:r>
                  <w:r>
                    <w:rPr>
                      <w:rFonts w:hint="default" w:ascii="Times New Roman" w:hAnsi="Times New Roman" w:cs="Times New Roman"/>
                      <w:color w:val="auto"/>
                      <w:kern w:val="0"/>
                      <w:sz w:val="21"/>
                      <w:szCs w:val="21"/>
                      <w:highlight w:val="none"/>
                      <w:u w:val="none"/>
                    </w:rPr>
                    <w:t>t/a</w:t>
                  </w:r>
                </w:p>
              </w:tc>
              <w:tc>
                <w:tcPr>
                  <w:tcW w:w="3770" w:type="dxa"/>
                  <w:vAlign w:val="center"/>
                </w:tcPr>
                <w:p w14:paraId="199B3D05">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不设柴油储罐</w:t>
                  </w:r>
                </w:p>
              </w:tc>
            </w:tr>
            <w:tr w14:paraId="06C0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4669F7BE">
                  <w:pPr>
                    <w:spacing w:line="276" w:lineRule="auto"/>
                    <w:ind w:firstLine="0" w:firstLineChars="0"/>
                    <w:jc w:val="center"/>
                    <w:textAlignment w:val="center"/>
                    <w:rPr>
                      <w:rFonts w:hint="default" w:cs="Times New Roman"/>
                      <w:color w:val="auto"/>
                      <w:sz w:val="21"/>
                      <w:szCs w:val="21"/>
                      <w:highlight w:val="none"/>
                      <w:u w:val="none"/>
                      <w:lang w:val="en-US" w:eastAsia="zh-CN" w:bidi="ar"/>
                    </w:rPr>
                  </w:pPr>
                  <w:r>
                    <w:rPr>
                      <w:rFonts w:hint="eastAsia" w:cs="Times New Roman"/>
                      <w:color w:val="auto"/>
                      <w:sz w:val="21"/>
                      <w:szCs w:val="21"/>
                      <w:highlight w:val="none"/>
                      <w:u w:val="none"/>
                      <w:lang w:val="en-US" w:eastAsia="zh-CN" w:bidi="ar"/>
                    </w:rPr>
                    <w:t>4</w:t>
                  </w:r>
                </w:p>
              </w:tc>
              <w:tc>
                <w:tcPr>
                  <w:tcW w:w="1289" w:type="dxa"/>
                  <w:vAlign w:val="center"/>
                </w:tcPr>
                <w:p w14:paraId="3892D50B">
                  <w:pPr>
                    <w:spacing w:line="276" w:lineRule="auto"/>
                    <w:ind w:firstLine="0" w:firstLineChars="0"/>
                    <w:jc w:val="center"/>
                    <w:textAlignment w:val="center"/>
                    <w:rPr>
                      <w:rFonts w:hint="eastAsia"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炸药</w:t>
                  </w:r>
                </w:p>
              </w:tc>
              <w:tc>
                <w:tcPr>
                  <w:tcW w:w="1960" w:type="dxa"/>
                  <w:vAlign w:val="center"/>
                </w:tcPr>
                <w:p w14:paraId="05CBFE7A">
                  <w:pPr>
                    <w:spacing w:line="276" w:lineRule="auto"/>
                    <w:ind w:firstLine="0" w:firstLineChars="0"/>
                    <w:jc w:val="center"/>
                    <w:textAlignment w:val="center"/>
                    <w:rPr>
                      <w:rFonts w:hint="default"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190t/a</w:t>
                  </w:r>
                </w:p>
              </w:tc>
              <w:tc>
                <w:tcPr>
                  <w:tcW w:w="3770" w:type="dxa"/>
                  <w:vMerge w:val="restart"/>
                  <w:vAlign w:val="center"/>
                </w:tcPr>
                <w:p w14:paraId="02658328">
                  <w:pPr>
                    <w:spacing w:line="276" w:lineRule="auto"/>
                    <w:ind w:firstLine="0" w:firstLineChars="0"/>
                    <w:jc w:val="center"/>
                    <w:textAlignment w:val="center"/>
                    <w:rPr>
                      <w:rFonts w:hint="default"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不设炸药库</w:t>
                  </w:r>
                </w:p>
              </w:tc>
            </w:tr>
            <w:tr w14:paraId="3914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25B912F7">
                  <w:pPr>
                    <w:spacing w:line="276" w:lineRule="auto"/>
                    <w:ind w:firstLine="0" w:firstLineChars="0"/>
                    <w:jc w:val="center"/>
                    <w:textAlignment w:val="center"/>
                    <w:rPr>
                      <w:rFonts w:hint="default" w:cs="Times New Roman"/>
                      <w:color w:val="auto"/>
                      <w:sz w:val="21"/>
                      <w:szCs w:val="21"/>
                      <w:highlight w:val="none"/>
                      <w:u w:val="none"/>
                      <w:lang w:val="en-US" w:eastAsia="zh-CN" w:bidi="ar"/>
                    </w:rPr>
                  </w:pPr>
                  <w:r>
                    <w:rPr>
                      <w:rFonts w:hint="eastAsia" w:cs="Times New Roman"/>
                      <w:color w:val="auto"/>
                      <w:sz w:val="21"/>
                      <w:szCs w:val="21"/>
                      <w:highlight w:val="none"/>
                      <w:u w:val="none"/>
                      <w:lang w:val="en-US" w:eastAsia="zh-CN" w:bidi="ar"/>
                    </w:rPr>
                    <w:t>5</w:t>
                  </w:r>
                </w:p>
              </w:tc>
              <w:tc>
                <w:tcPr>
                  <w:tcW w:w="1289" w:type="dxa"/>
                  <w:vAlign w:val="center"/>
                </w:tcPr>
                <w:p w14:paraId="55E4309A">
                  <w:pPr>
                    <w:spacing w:line="276" w:lineRule="auto"/>
                    <w:ind w:firstLine="0" w:firstLineChars="0"/>
                    <w:jc w:val="center"/>
                    <w:textAlignment w:val="center"/>
                    <w:rPr>
                      <w:rFonts w:hint="eastAsia"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雷管</w:t>
                  </w:r>
                </w:p>
              </w:tc>
              <w:tc>
                <w:tcPr>
                  <w:tcW w:w="1960" w:type="dxa"/>
                  <w:vAlign w:val="center"/>
                </w:tcPr>
                <w:p w14:paraId="1E913778">
                  <w:pPr>
                    <w:spacing w:line="276" w:lineRule="auto"/>
                    <w:ind w:firstLine="0" w:firstLineChars="0"/>
                    <w:jc w:val="center"/>
                    <w:textAlignment w:val="center"/>
                    <w:rPr>
                      <w:rFonts w:hint="default"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1.2万发/a</w:t>
                  </w:r>
                </w:p>
              </w:tc>
              <w:tc>
                <w:tcPr>
                  <w:tcW w:w="3770" w:type="dxa"/>
                  <w:vMerge w:val="continue"/>
                  <w:vAlign w:val="center"/>
                </w:tcPr>
                <w:p w14:paraId="7878A958">
                  <w:pPr>
                    <w:spacing w:line="276" w:lineRule="auto"/>
                    <w:ind w:firstLine="0" w:firstLineChars="0"/>
                    <w:jc w:val="center"/>
                    <w:textAlignment w:val="center"/>
                    <w:rPr>
                      <w:rFonts w:hint="eastAsia" w:cs="Times New Roman"/>
                      <w:color w:val="auto"/>
                      <w:kern w:val="0"/>
                      <w:sz w:val="21"/>
                      <w:szCs w:val="21"/>
                      <w:highlight w:val="none"/>
                      <w:u w:val="none"/>
                      <w:lang w:val="en-US" w:eastAsia="zh-CN"/>
                    </w:rPr>
                  </w:pPr>
                </w:p>
              </w:tc>
            </w:tr>
            <w:tr w14:paraId="4149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7A25B326">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lang w:eastAsia="zh-CN" w:bidi="ar"/>
                    </w:rPr>
                  </w:pPr>
                  <w:r>
                    <w:rPr>
                      <w:rFonts w:hint="eastAsia" w:cs="Times New Roman"/>
                      <w:color w:val="auto"/>
                      <w:sz w:val="21"/>
                      <w:szCs w:val="21"/>
                      <w:highlight w:val="none"/>
                      <w:lang w:val="en-US" w:eastAsia="zh-CN" w:bidi="ar"/>
                    </w:rPr>
                    <w:t>6</w:t>
                  </w:r>
                </w:p>
              </w:tc>
              <w:tc>
                <w:tcPr>
                  <w:tcW w:w="1289" w:type="dxa"/>
                  <w:vAlign w:val="center"/>
                </w:tcPr>
                <w:p w14:paraId="38F98A5C">
                  <w:pPr>
                    <w:spacing w:line="276"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w:t>
                  </w:r>
                </w:p>
              </w:tc>
              <w:tc>
                <w:tcPr>
                  <w:tcW w:w="1960" w:type="dxa"/>
                  <w:vAlign w:val="center"/>
                </w:tcPr>
                <w:p w14:paraId="0500182E">
                  <w:pPr>
                    <w:spacing w:line="276"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2596.9</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/a</w:t>
                  </w:r>
                </w:p>
              </w:tc>
              <w:tc>
                <w:tcPr>
                  <w:tcW w:w="3770" w:type="dxa"/>
                  <w:vAlign w:val="center"/>
                </w:tcPr>
                <w:p w14:paraId="2EAB0D48">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当地自来水网</w:t>
                  </w:r>
                </w:p>
              </w:tc>
            </w:tr>
            <w:tr w14:paraId="2835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3D9F35F7">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lang w:eastAsia="zh-CN" w:bidi="ar"/>
                    </w:rPr>
                  </w:pPr>
                  <w:r>
                    <w:rPr>
                      <w:rFonts w:hint="eastAsia" w:cs="Times New Roman"/>
                      <w:color w:val="auto"/>
                      <w:sz w:val="21"/>
                      <w:szCs w:val="21"/>
                      <w:highlight w:val="none"/>
                      <w:lang w:val="en-US" w:eastAsia="zh-CN" w:bidi="ar"/>
                    </w:rPr>
                    <w:t>7</w:t>
                  </w:r>
                </w:p>
              </w:tc>
              <w:tc>
                <w:tcPr>
                  <w:tcW w:w="1289" w:type="dxa"/>
                  <w:vAlign w:val="center"/>
                </w:tcPr>
                <w:p w14:paraId="0D7F57CF">
                  <w:pPr>
                    <w:spacing w:line="276"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电</w:t>
                  </w:r>
                </w:p>
              </w:tc>
              <w:tc>
                <w:tcPr>
                  <w:tcW w:w="1960" w:type="dxa"/>
                  <w:vAlign w:val="center"/>
                </w:tcPr>
                <w:p w14:paraId="2447D762">
                  <w:pPr>
                    <w:spacing w:line="276"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100</w:t>
                  </w:r>
                  <w:r>
                    <w:rPr>
                      <w:rFonts w:hint="default" w:ascii="Times New Roman" w:hAnsi="Times New Roman" w:cs="Times New Roman"/>
                      <w:color w:val="auto"/>
                      <w:kern w:val="0"/>
                      <w:sz w:val="21"/>
                      <w:szCs w:val="21"/>
                      <w:highlight w:val="none"/>
                    </w:rPr>
                    <w:t>万kw·h/a</w:t>
                  </w:r>
                </w:p>
              </w:tc>
              <w:tc>
                <w:tcPr>
                  <w:tcW w:w="3770" w:type="dxa"/>
                  <w:vAlign w:val="center"/>
                </w:tcPr>
                <w:p w14:paraId="3F90A336">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乡镇电网</w:t>
                  </w:r>
                </w:p>
              </w:tc>
            </w:tr>
          </w:tbl>
          <w:p w14:paraId="48FAE6C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原辅材料介绍： </w:t>
            </w:r>
          </w:p>
          <w:p w14:paraId="009748E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）石灰岩 </w:t>
            </w:r>
          </w:p>
          <w:p w14:paraId="7193F2D9">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石灰岩即灰岩的俗称，项目矿区内石灰岩主要赋存于二叠系阳新统茅口组和栖霞组，由一套浅海沉积的灰色中</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厚层微晶～细晶灰岩和灰色～灰黑色中厚层瘤状灰岩组成。主要化学成分为 </w:t>
            </w:r>
            <w:r>
              <w:rPr>
                <w:rFonts w:hint="default" w:ascii="Times New Roman" w:hAnsi="Times New Roman" w:eastAsia="宋体" w:cs="Times New Roman"/>
                <w:color w:val="auto"/>
                <w:kern w:val="0"/>
                <w:sz w:val="24"/>
                <w:szCs w:val="24"/>
                <w:highlight w:val="none"/>
                <w:lang w:val="en-US" w:eastAsia="zh-CN" w:bidi="ar"/>
              </w:rPr>
              <w:t xml:space="preserve">CaO </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SiO</w:t>
            </w:r>
            <w:r>
              <w:rPr>
                <w:rFonts w:hint="default" w:ascii="Times New Roman" w:hAnsi="Times New Roman" w:eastAsia="宋体" w:cs="Times New Roman"/>
                <w:color w:val="auto"/>
                <w:kern w:val="0"/>
                <w:sz w:val="15"/>
                <w:szCs w:val="15"/>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MgO </w:t>
            </w:r>
            <w:r>
              <w:rPr>
                <w:rFonts w:hint="eastAsia" w:ascii="宋体" w:hAnsi="宋体" w:eastAsia="宋体" w:cs="宋体"/>
                <w:color w:val="auto"/>
                <w:kern w:val="0"/>
                <w:sz w:val="24"/>
                <w:szCs w:val="24"/>
                <w:highlight w:val="none"/>
                <w:lang w:val="en-US" w:eastAsia="zh-CN" w:bidi="ar"/>
              </w:rPr>
              <w:t xml:space="preserve">等，含少量 </w:t>
            </w:r>
            <w:r>
              <w:rPr>
                <w:rFonts w:hint="default" w:ascii="Times New Roman" w:hAnsi="Times New Roman" w:eastAsia="宋体" w:cs="Times New Roman"/>
                <w:color w:val="auto"/>
                <w:kern w:val="0"/>
                <w:sz w:val="24"/>
                <w:szCs w:val="24"/>
                <w:highlight w:val="none"/>
                <w:lang w:val="en-US" w:eastAsia="zh-CN" w:bidi="ar"/>
              </w:rPr>
              <w:t>Al</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O</w:t>
            </w:r>
            <w:r>
              <w:rPr>
                <w:rFonts w:hint="default" w:ascii="Times New Roman" w:hAnsi="Times New Roman" w:eastAsia="宋体" w:cs="Times New Roman"/>
                <w:color w:val="auto"/>
                <w:kern w:val="0"/>
                <w:sz w:val="15"/>
                <w:szCs w:val="15"/>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K2O</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Na</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O</w:t>
            </w:r>
            <w:r>
              <w:rPr>
                <w:rFonts w:hint="eastAsia" w:ascii="宋体" w:hAnsi="宋体" w:eastAsia="宋体" w:cs="宋体"/>
                <w:color w:val="auto"/>
                <w:kern w:val="0"/>
                <w:sz w:val="24"/>
                <w:szCs w:val="24"/>
                <w:highlight w:val="none"/>
                <w:lang w:val="en-US" w:eastAsia="zh-CN" w:bidi="ar"/>
              </w:rPr>
              <w:t>等。石灰岩密度在</w:t>
            </w:r>
            <w:r>
              <w:rPr>
                <w:rFonts w:hint="default" w:ascii="Times New Roman" w:hAnsi="Times New Roman" w:eastAsia="宋体" w:cs="Times New Roman"/>
                <w:color w:val="auto"/>
                <w:kern w:val="0"/>
                <w:sz w:val="24"/>
                <w:szCs w:val="24"/>
                <w:highlight w:val="none"/>
                <w:lang w:val="en-US" w:eastAsia="zh-CN" w:bidi="ar"/>
              </w:rPr>
              <w:t>2.7t/m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 xml:space="preserve">左右，孔隙度 </w:t>
            </w:r>
            <w:r>
              <w:rPr>
                <w:rFonts w:hint="default" w:ascii="Times New Roman" w:hAnsi="Times New Roman" w:eastAsia="宋体" w:cs="Times New Roman"/>
                <w:color w:val="auto"/>
                <w:kern w:val="0"/>
                <w:sz w:val="24"/>
                <w:szCs w:val="24"/>
                <w:highlight w:val="none"/>
                <w:lang w:val="en-US" w:eastAsia="zh-CN" w:bidi="ar"/>
              </w:rPr>
              <w:t>0.53%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13.36%</w:t>
            </w:r>
            <w:r>
              <w:rPr>
                <w:rFonts w:hint="eastAsia" w:ascii="宋体" w:hAnsi="宋体" w:eastAsia="宋体" w:cs="宋体"/>
                <w:color w:val="auto"/>
                <w:kern w:val="0"/>
                <w:sz w:val="24"/>
                <w:szCs w:val="24"/>
                <w:highlight w:val="none"/>
                <w:lang w:val="en-US" w:eastAsia="zh-CN" w:bidi="ar"/>
              </w:rPr>
              <w:t>，吸水率</w:t>
            </w:r>
            <w:r>
              <w:rPr>
                <w:rFonts w:hint="default" w:ascii="Times New Roman" w:hAnsi="Times New Roman" w:eastAsia="宋体" w:cs="Times New Roman"/>
                <w:color w:val="auto"/>
                <w:kern w:val="0"/>
                <w:sz w:val="24"/>
                <w:szCs w:val="24"/>
                <w:highlight w:val="none"/>
                <w:lang w:val="en-US" w:eastAsia="zh-CN" w:bidi="ar"/>
              </w:rPr>
              <w:t>0.06%</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0.2%</w:t>
            </w:r>
            <w:r>
              <w:rPr>
                <w:rFonts w:hint="eastAsia" w:ascii="宋体" w:hAnsi="宋体" w:eastAsia="宋体" w:cs="宋体"/>
                <w:color w:val="auto"/>
                <w:kern w:val="0"/>
                <w:sz w:val="24"/>
                <w:szCs w:val="24"/>
                <w:highlight w:val="none"/>
                <w:lang w:val="en-US" w:eastAsia="zh-CN" w:bidi="ar"/>
              </w:rPr>
              <w:t xml:space="preserve">。 </w:t>
            </w:r>
          </w:p>
          <w:p w14:paraId="78FC6EEA">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）柴油属于轻质石油产品，主要为复杂烃类（碳原子数约 </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22</w:t>
            </w:r>
            <w:r>
              <w:rPr>
                <w:rFonts w:hint="eastAsia" w:ascii="宋体" w:hAnsi="宋体" w:eastAsia="宋体" w:cs="宋体"/>
                <w:color w:val="auto"/>
                <w:kern w:val="0"/>
                <w:sz w:val="24"/>
                <w:szCs w:val="24"/>
                <w:highlight w:val="none"/>
                <w:lang w:val="en-US" w:eastAsia="zh-CN" w:bidi="ar"/>
              </w:rPr>
              <w:t xml:space="preserve">）混合物。危险性类别：易燃易爆。英文名：及 </w:t>
            </w:r>
            <w:r>
              <w:rPr>
                <w:rFonts w:hint="default" w:ascii="Times New Roman" w:hAnsi="Times New Roman" w:eastAsia="宋体" w:cs="Times New Roman"/>
                <w:color w:val="auto"/>
                <w:kern w:val="0"/>
                <w:sz w:val="24"/>
                <w:szCs w:val="24"/>
                <w:highlight w:val="none"/>
                <w:lang w:val="en-US" w:eastAsia="zh-CN" w:bidi="ar"/>
              </w:rPr>
              <w:t>Dieseloil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CAS </w:t>
            </w:r>
            <w:r>
              <w:rPr>
                <w:rFonts w:hint="eastAsia" w:ascii="宋体" w:hAnsi="宋体" w:eastAsia="宋体" w:cs="宋体"/>
                <w:color w:val="auto"/>
                <w:kern w:val="0"/>
                <w:sz w:val="24"/>
                <w:szCs w:val="24"/>
                <w:highlight w:val="none"/>
                <w:lang w:val="en-US" w:eastAsia="zh-CN" w:bidi="ar"/>
              </w:rPr>
              <w:t>号：</w:t>
            </w:r>
            <w:r>
              <w:rPr>
                <w:rFonts w:hint="default" w:ascii="Times New Roman" w:hAnsi="Times New Roman" w:eastAsia="宋体" w:cs="Times New Roman"/>
                <w:color w:val="auto"/>
                <w:kern w:val="0"/>
                <w:sz w:val="24"/>
                <w:szCs w:val="24"/>
                <w:highlight w:val="none"/>
                <w:lang w:val="en-US" w:eastAsia="zh-CN" w:bidi="ar"/>
              </w:rPr>
              <w:t>68334-30-5</w:t>
            </w:r>
            <w:r>
              <w:rPr>
                <w:rFonts w:hint="eastAsia" w:ascii="宋体" w:hAnsi="宋体" w:eastAsia="宋体" w:cs="宋体"/>
                <w:color w:val="auto"/>
                <w:kern w:val="0"/>
                <w:sz w:val="24"/>
                <w:szCs w:val="24"/>
                <w:highlight w:val="none"/>
                <w:lang w:val="en-US" w:eastAsia="zh-CN" w:bidi="ar"/>
              </w:rPr>
              <w:t>。危险特性：遇明火、高热或与氧化剂接触，有引燃烧爆炸的危险。若遇高热，容器压增大，有开裂和爆炸的危险。有害燃烧产物：一氧化碳、二氧化碳。理化性质：熔点（</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3-5℃</w:t>
            </w:r>
            <w:r>
              <w:rPr>
                <w:rFonts w:hint="eastAsia" w:ascii="宋体" w:hAnsi="宋体" w:eastAsia="宋体" w:cs="宋体"/>
                <w:color w:val="auto"/>
                <w:kern w:val="0"/>
                <w:sz w:val="24"/>
                <w:szCs w:val="24"/>
                <w:highlight w:val="none"/>
                <w:lang w:val="en-US" w:eastAsia="zh-CN" w:bidi="ar"/>
              </w:rPr>
              <w:t>；沸点（</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180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370℃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350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410℃</w:t>
            </w:r>
            <w:r>
              <w:rPr>
                <w:rFonts w:hint="eastAsia" w:ascii="宋体" w:hAnsi="宋体" w:eastAsia="宋体" w:cs="宋体"/>
                <w:color w:val="auto"/>
                <w:kern w:val="0"/>
                <w:sz w:val="24"/>
                <w:szCs w:val="24"/>
                <w:highlight w:val="none"/>
                <w:lang w:val="en-US" w:eastAsia="zh-CN" w:bidi="ar"/>
              </w:rPr>
              <w:t>；相对密度（水＝</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0.835</w:t>
            </w:r>
            <w:r>
              <w:rPr>
                <w:rFonts w:hint="eastAsia" w:ascii="宋体" w:hAnsi="宋体" w:eastAsia="宋体" w:cs="宋体"/>
                <w:color w:val="auto"/>
                <w:kern w:val="0"/>
                <w:sz w:val="24"/>
                <w:szCs w:val="24"/>
                <w:highlight w:val="none"/>
                <w:lang w:val="en-US" w:eastAsia="zh-CN" w:bidi="ar"/>
              </w:rPr>
              <w:t>。根据《普通柴油》（</w:t>
            </w:r>
            <w:r>
              <w:rPr>
                <w:rFonts w:hint="default" w:ascii="Times New Roman" w:hAnsi="Times New Roman" w:eastAsia="宋体" w:cs="Times New Roman"/>
                <w:color w:val="auto"/>
                <w:kern w:val="0"/>
                <w:sz w:val="24"/>
                <w:szCs w:val="24"/>
                <w:highlight w:val="none"/>
                <w:lang w:val="en-US" w:eastAsia="zh-CN" w:bidi="ar"/>
              </w:rPr>
              <w:t>GB252-2015</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 xml:space="preserve">柴油闪电不得低于 </w:t>
            </w:r>
            <w:r>
              <w:rPr>
                <w:rFonts w:hint="default" w:ascii="Times New Roman" w:hAnsi="Times New Roman" w:eastAsia="宋体" w:cs="Times New Roman"/>
                <w:color w:val="auto"/>
                <w:kern w:val="0"/>
                <w:sz w:val="24"/>
                <w:szCs w:val="24"/>
                <w:highlight w:val="none"/>
                <w:lang w:val="en-US" w:eastAsia="zh-CN" w:bidi="ar"/>
              </w:rPr>
              <w:t>55℃</w:t>
            </w:r>
            <w:r>
              <w:rPr>
                <w:rFonts w:hint="eastAsia" w:ascii="宋体" w:hAnsi="宋体" w:eastAsia="宋体" w:cs="宋体"/>
                <w:color w:val="auto"/>
                <w:kern w:val="0"/>
                <w:sz w:val="24"/>
                <w:szCs w:val="24"/>
                <w:highlight w:val="none"/>
                <w:lang w:val="en-US" w:eastAsia="zh-CN" w:bidi="ar"/>
              </w:rPr>
              <w:t>，硫含量不得高于</w:t>
            </w:r>
            <w:r>
              <w:rPr>
                <w:rFonts w:hint="default" w:ascii="Times New Roman" w:hAnsi="Times New Roman" w:eastAsia="宋体" w:cs="Times New Roman"/>
                <w:color w:val="auto"/>
                <w:kern w:val="0"/>
                <w:sz w:val="24"/>
                <w:szCs w:val="24"/>
                <w:highlight w:val="none"/>
                <w:lang w:val="en-US" w:eastAsia="zh-CN" w:bidi="ar"/>
              </w:rPr>
              <w:t>10mg/kg</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2018 </w:t>
            </w:r>
            <w:r>
              <w:rPr>
                <w:rFonts w:hint="eastAsia" w:ascii="宋体" w:hAnsi="宋体" w:eastAsia="宋体" w:cs="宋体"/>
                <w:color w:val="auto"/>
                <w:kern w:val="0"/>
                <w:sz w:val="24"/>
                <w:szCs w:val="24"/>
                <w:highlight w:val="none"/>
                <w:lang w:val="en-US" w:eastAsia="zh-CN" w:bidi="ar"/>
              </w:rPr>
              <w:t xml:space="preserve">年 </w:t>
            </w:r>
            <w:r>
              <w:rPr>
                <w:rFonts w:hint="default" w:ascii="Times New Roman" w:hAnsi="Times New Roman" w:eastAsia="宋体" w:cs="Times New Roman"/>
                <w:color w:val="auto"/>
                <w:kern w:val="0"/>
                <w:sz w:val="24"/>
                <w:szCs w:val="24"/>
                <w:highlight w:val="none"/>
                <w:lang w:val="en-US" w:eastAsia="zh-CN" w:bidi="ar"/>
              </w:rPr>
              <w:t xml:space="preserve">1 </w:t>
            </w:r>
            <w:r>
              <w:rPr>
                <w:rFonts w:hint="eastAsia" w:ascii="宋体" w:hAnsi="宋体" w:eastAsia="宋体" w:cs="宋体"/>
                <w:color w:val="auto"/>
                <w:kern w:val="0"/>
                <w:sz w:val="24"/>
                <w:szCs w:val="24"/>
                <w:highlight w:val="none"/>
                <w:lang w:val="en-US" w:eastAsia="zh-CN" w:bidi="ar"/>
              </w:rPr>
              <w:t xml:space="preserve">月 </w:t>
            </w:r>
            <w:r>
              <w:rPr>
                <w:rFonts w:hint="default" w:ascii="Times New Roman" w:hAnsi="Times New Roman" w:eastAsia="宋体" w:cs="Times New Roman"/>
                <w:color w:val="auto"/>
                <w:kern w:val="0"/>
                <w:sz w:val="24"/>
                <w:szCs w:val="24"/>
                <w:highlight w:val="none"/>
                <w:lang w:val="en-US" w:eastAsia="zh-CN" w:bidi="ar"/>
              </w:rPr>
              <w:t xml:space="preserve">1 </w:t>
            </w:r>
            <w:r>
              <w:rPr>
                <w:rFonts w:hint="eastAsia" w:ascii="宋体" w:hAnsi="宋体" w:eastAsia="宋体" w:cs="宋体"/>
                <w:color w:val="auto"/>
                <w:kern w:val="0"/>
                <w:sz w:val="24"/>
                <w:szCs w:val="24"/>
                <w:highlight w:val="none"/>
                <w:lang w:val="en-US" w:eastAsia="zh-CN" w:bidi="ar"/>
              </w:rPr>
              <w:t xml:space="preserve">日起）。项目 </w:t>
            </w:r>
            <w:r>
              <w:rPr>
                <w:rFonts w:hint="default" w:ascii="Times New Roman" w:hAnsi="Times New Roman" w:eastAsia="宋体" w:cs="Times New Roman"/>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 xml:space="preserve">柴油闪电为 </w:t>
            </w:r>
            <w:r>
              <w:rPr>
                <w:rFonts w:hint="default" w:ascii="Times New Roman" w:hAnsi="Times New Roman" w:eastAsia="宋体" w:cs="Times New Roman"/>
                <w:color w:val="auto"/>
                <w:kern w:val="0"/>
                <w:sz w:val="24"/>
                <w:szCs w:val="24"/>
                <w:highlight w:val="none"/>
                <w:lang w:val="en-US" w:eastAsia="zh-CN" w:bidi="ar"/>
              </w:rPr>
              <w:t>56℃</w:t>
            </w:r>
            <w:r>
              <w:rPr>
                <w:rFonts w:hint="eastAsia" w:ascii="宋体" w:hAnsi="宋体" w:eastAsia="宋体" w:cs="宋体"/>
                <w:color w:val="auto"/>
                <w:kern w:val="0"/>
                <w:sz w:val="24"/>
                <w:szCs w:val="24"/>
                <w:highlight w:val="none"/>
                <w:lang w:val="en-US" w:eastAsia="zh-CN" w:bidi="ar"/>
              </w:rPr>
              <w:t>，根据《危险化学品重大危险源辨识》（</w:t>
            </w:r>
            <w:r>
              <w:rPr>
                <w:rFonts w:hint="default" w:ascii="Times New Roman" w:hAnsi="Times New Roman" w:eastAsia="宋体" w:cs="Times New Roman"/>
                <w:color w:val="auto"/>
                <w:kern w:val="0"/>
                <w:sz w:val="24"/>
                <w:szCs w:val="24"/>
                <w:highlight w:val="none"/>
                <w:lang w:val="en-US" w:eastAsia="zh-CN" w:bidi="ar"/>
              </w:rPr>
              <w:t>GB18218-2009</w:t>
            </w:r>
            <w:r>
              <w:rPr>
                <w:rFonts w:hint="eastAsia" w:ascii="宋体" w:hAnsi="宋体" w:eastAsia="宋体" w:cs="宋体"/>
                <w:color w:val="auto"/>
                <w:kern w:val="0"/>
                <w:sz w:val="24"/>
                <w:szCs w:val="24"/>
                <w:highlight w:val="none"/>
                <w:lang w:val="en-US" w:eastAsia="zh-CN" w:bidi="ar"/>
              </w:rPr>
              <w:t xml:space="preserve">），项目柴油属于表 </w:t>
            </w:r>
            <w:r>
              <w:rPr>
                <w:rFonts w:hint="default" w:ascii="Times New Roman" w:hAnsi="Times New Roman" w:eastAsia="宋体" w:cs="Times New Roman"/>
                <w:color w:val="auto"/>
                <w:kern w:val="0"/>
                <w:sz w:val="24"/>
                <w:szCs w:val="24"/>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中易燃液体：</w:t>
            </w:r>
            <w:r>
              <w:rPr>
                <w:rFonts w:hint="default" w:ascii="Times New Roman" w:hAnsi="Times New Roman" w:eastAsia="宋体" w:cs="Times New Roman"/>
                <w:color w:val="auto"/>
                <w:kern w:val="0"/>
                <w:sz w:val="24"/>
                <w:szCs w:val="24"/>
                <w:highlight w:val="none"/>
                <w:lang w:val="en-US" w:eastAsia="zh-CN" w:bidi="ar"/>
              </w:rPr>
              <w:t>23℃≤</w:t>
            </w:r>
            <w:r>
              <w:rPr>
                <w:rFonts w:hint="eastAsia" w:ascii="宋体" w:hAnsi="宋体" w:eastAsia="宋体" w:cs="宋体"/>
                <w:color w:val="auto"/>
                <w:kern w:val="0"/>
                <w:sz w:val="24"/>
                <w:szCs w:val="24"/>
                <w:highlight w:val="none"/>
                <w:lang w:val="en-US" w:eastAsia="zh-CN" w:bidi="ar"/>
              </w:rPr>
              <w:t>闪点＜</w:t>
            </w:r>
            <w:r>
              <w:rPr>
                <w:rFonts w:hint="default" w:ascii="Times New Roman" w:hAnsi="Times New Roman" w:eastAsia="宋体" w:cs="Times New Roman"/>
                <w:color w:val="auto"/>
                <w:kern w:val="0"/>
                <w:sz w:val="24"/>
                <w:szCs w:val="24"/>
                <w:highlight w:val="none"/>
                <w:lang w:val="en-US" w:eastAsia="zh-CN" w:bidi="ar"/>
              </w:rPr>
              <w:t>61℃</w:t>
            </w:r>
            <w:r>
              <w:rPr>
                <w:rFonts w:hint="eastAsia" w:ascii="宋体" w:hAnsi="宋体" w:eastAsia="宋体" w:cs="宋体"/>
                <w:color w:val="auto"/>
                <w:kern w:val="0"/>
                <w:sz w:val="24"/>
                <w:szCs w:val="24"/>
                <w:highlight w:val="none"/>
                <w:lang w:val="en-US" w:eastAsia="zh-CN" w:bidi="ar"/>
              </w:rPr>
              <w:t xml:space="preserve">的液体，其临界量为 </w:t>
            </w:r>
            <w:r>
              <w:rPr>
                <w:rFonts w:hint="default" w:ascii="Times New Roman" w:hAnsi="Times New Roman" w:eastAsia="宋体" w:cs="Times New Roman"/>
                <w:color w:val="auto"/>
                <w:kern w:val="0"/>
                <w:sz w:val="24"/>
                <w:szCs w:val="24"/>
                <w:highlight w:val="none"/>
                <w:lang w:val="en-US" w:eastAsia="zh-CN" w:bidi="ar"/>
              </w:rPr>
              <w:t>5000t</w:t>
            </w:r>
            <w:r>
              <w:rPr>
                <w:rFonts w:hint="eastAsia" w:ascii="宋体" w:hAnsi="宋体" w:eastAsia="宋体" w:cs="宋体"/>
                <w:color w:val="auto"/>
                <w:kern w:val="0"/>
                <w:sz w:val="24"/>
                <w:szCs w:val="24"/>
                <w:highlight w:val="none"/>
                <w:lang w:val="en-US" w:eastAsia="zh-CN" w:bidi="ar"/>
              </w:rPr>
              <w:t>，本项目柴油由加油站小罐油车临时补给，厂内不设置柴油储罐，因此项目柴油不构成重大危险源。</w:t>
            </w:r>
          </w:p>
          <w:p w14:paraId="0D920F53">
            <w:pPr>
              <w:ind w:firstLine="0" w:firstLineChars="0"/>
              <w:rPr>
                <w:rFonts w:hint="default" w:cs="Times New Roman"/>
                <w:b/>
                <w:bCs/>
                <w:color w:val="auto"/>
                <w:highlight w:val="none"/>
                <w:lang w:val="en-US" w:eastAsia="zh-CN"/>
              </w:rPr>
            </w:pPr>
            <w:r>
              <w:rPr>
                <w:rFonts w:hint="eastAsia" w:cs="Times New Roman"/>
                <w:b/>
                <w:bCs/>
                <w:color w:val="auto"/>
                <w:highlight w:val="none"/>
                <w:lang w:val="en-US" w:eastAsia="zh-CN"/>
              </w:rPr>
              <w:t>7</w:t>
            </w:r>
            <w:r>
              <w:rPr>
                <w:rFonts w:hint="default" w:cs="Times New Roman"/>
                <w:b/>
                <w:bCs/>
                <w:color w:val="auto"/>
                <w:highlight w:val="none"/>
                <w:lang w:val="en-US" w:eastAsia="zh-CN"/>
              </w:rPr>
              <w:t>、公用工程</w:t>
            </w:r>
          </w:p>
          <w:p w14:paraId="7C9E9E8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（1）供电工程</w:t>
            </w:r>
          </w:p>
          <w:p w14:paraId="528ABA2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乡镇电网，从当地变电站接专用电路。</w:t>
            </w:r>
          </w:p>
          <w:p w14:paraId="35D7519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（2）供水工程</w:t>
            </w:r>
          </w:p>
          <w:p w14:paraId="04CE701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生活用水来自自来水管网；生产用水使用沉淀池收集的雨水，雨水不足时使用</w:t>
            </w:r>
            <w:r>
              <w:rPr>
                <w:rFonts w:hint="eastAsia" w:cs="Times New Roman"/>
                <w:color w:val="auto"/>
                <w:highlight w:val="none"/>
                <w:lang w:val="en-US" w:eastAsia="zh-CN"/>
              </w:rPr>
              <w:t>当地水厂</w:t>
            </w:r>
            <w:r>
              <w:rPr>
                <w:rFonts w:hint="default" w:ascii="Times New Roman" w:hAnsi="Times New Roman" w:cs="Times New Roman"/>
                <w:color w:val="auto"/>
                <w:highlight w:val="none"/>
              </w:rPr>
              <w:t>供水系统</w:t>
            </w:r>
            <w:r>
              <w:rPr>
                <w:rFonts w:hint="eastAsia" w:cs="Times New Roman"/>
                <w:color w:val="auto"/>
                <w:highlight w:val="none"/>
                <w:lang w:val="en-US" w:eastAsia="zh-CN"/>
              </w:rPr>
              <w:t>进行补充</w:t>
            </w:r>
            <w:r>
              <w:rPr>
                <w:rFonts w:hint="default" w:ascii="Times New Roman" w:hAnsi="Times New Roman" w:cs="Times New Roman"/>
                <w:color w:val="auto"/>
                <w:highlight w:val="none"/>
              </w:rPr>
              <w:t>。</w:t>
            </w:r>
          </w:p>
          <w:p w14:paraId="225A471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（3）排水工程</w:t>
            </w:r>
          </w:p>
          <w:p w14:paraId="615A567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项目废水主要为</w:t>
            </w:r>
            <w:r>
              <w:rPr>
                <w:rFonts w:hint="eastAsia" w:cs="Times New Roman"/>
                <w:color w:val="auto"/>
                <w:highlight w:val="none"/>
                <w:lang w:val="en-US" w:eastAsia="zh-CN"/>
              </w:rPr>
              <w:t>地表径流雨水</w:t>
            </w:r>
            <w:r>
              <w:rPr>
                <w:rFonts w:hint="default" w:ascii="Times New Roman" w:hAnsi="Times New Roman" w:cs="Times New Roman"/>
                <w:color w:val="auto"/>
                <w:highlight w:val="none"/>
              </w:rPr>
              <w:t>、</w:t>
            </w:r>
            <w:r>
              <w:rPr>
                <w:rFonts w:hint="eastAsia" w:cs="Times New Roman"/>
                <w:color w:val="auto"/>
                <w:highlight w:val="none"/>
                <w:lang w:val="en-US" w:eastAsia="zh-CN"/>
              </w:rPr>
              <w:t>车辆冲洗废水及</w:t>
            </w:r>
            <w:r>
              <w:rPr>
                <w:rFonts w:hint="default" w:ascii="Times New Roman" w:hAnsi="Times New Roman" w:cs="Times New Roman"/>
                <w:color w:val="auto"/>
                <w:highlight w:val="none"/>
              </w:rPr>
              <w:t>生活污水</w:t>
            </w:r>
            <w:r>
              <w:rPr>
                <w:rFonts w:hint="eastAsia" w:cs="Times New Roman"/>
                <w:color w:val="auto"/>
                <w:highlight w:val="none"/>
                <w:lang w:eastAsia="zh-CN"/>
              </w:rPr>
              <w:t>。</w:t>
            </w:r>
            <w:r>
              <w:rPr>
                <w:rFonts w:hint="eastAsia" w:cs="Times New Roman"/>
                <w:color w:val="auto"/>
                <w:highlight w:val="none"/>
                <w:lang w:val="en-US" w:eastAsia="zh-CN"/>
              </w:rPr>
              <w:t>工业场地</w:t>
            </w:r>
            <w:r>
              <w:rPr>
                <w:rFonts w:hint="default" w:ascii="Times New Roman" w:hAnsi="Times New Roman" w:cs="Times New Roman"/>
                <w:color w:val="auto"/>
                <w:highlight w:val="none"/>
              </w:rPr>
              <w:t>以及露天采场通过在周围设置挡土板，导流沟，可自流排水不会形成积水，矿区雨水流至</w:t>
            </w:r>
            <w:r>
              <w:rPr>
                <w:rFonts w:hint="eastAsia" w:cs="Times New Roman"/>
                <w:color w:val="auto"/>
                <w:highlight w:val="none"/>
                <w:lang w:val="en-US" w:eastAsia="zh-CN"/>
              </w:rPr>
              <w:t>矿区矿坑内沉淀池</w:t>
            </w:r>
            <w:r>
              <w:rPr>
                <w:rFonts w:hint="default" w:ascii="Times New Roman" w:hAnsi="Times New Roman" w:cs="Times New Roman"/>
                <w:color w:val="auto"/>
                <w:highlight w:val="none"/>
              </w:rPr>
              <w:t>进行沉淀后回用，</w:t>
            </w:r>
            <w:r>
              <w:rPr>
                <w:rFonts w:hint="eastAsia" w:cs="Times New Roman"/>
                <w:color w:val="auto"/>
                <w:highlight w:val="none"/>
                <w:lang w:val="en-US" w:eastAsia="zh-CN"/>
              </w:rPr>
              <w:t>工业场地</w:t>
            </w:r>
            <w:r>
              <w:rPr>
                <w:rFonts w:hint="default" w:ascii="Times New Roman" w:hAnsi="Times New Roman" w:cs="Times New Roman"/>
                <w:color w:val="auto"/>
                <w:highlight w:val="none"/>
              </w:rPr>
              <w:t>雨水通过导流沟汇入沉淀池进行沉淀回用，生活污水经化粪池处理</w:t>
            </w:r>
            <w:r>
              <w:rPr>
                <w:rFonts w:hint="eastAsia" w:cs="Times New Roman"/>
                <w:color w:val="auto"/>
                <w:highlight w:val="none"/>
                <w:lang w:val="en-US" w:eastAsia="zh-CN"/>
              </w:rPr>
              <w:t>后</w:t>
            </w:r>
            <w:r>
              <w:rPr>
                <w:rFonts w:hint="default" w:ascii="Times New Roman" w:hAnsi="Times New Roman" w:cs="Times New Roman"/>
                <w:color w:val="auto"/>
                <w:highlight w:val="none"/>
              </w:rPr>
              <w:t>用于周边农田灌溉</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项目整体无废水外排。</w:t>
            </w:r>
          </w:p>
          <w:p w14:paraId="74C2DB4D">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8</w:t>
            </w:r>
            <w:r>
              <w:rPr>
                <w:rFonts w:hint="default" w:ascii="Times New Roman" w:hAnsi="Times New Roman" w:cs="Times New Roman"/>
                <w:b/>
                <w:bCs/>
                <w:color w:val="auto"/>
                <w:highlight w:val="none"/>
              </w:rPr>
              <w:t>、劳动定员及工作制度</w:t>
            </w:r>
          </w:p>
          <w:p w14:paraId="5FA04F6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u w:val="none"/>
              </w:rPr>
              <w:t>本项目</w:t>
            </w:r>
            <w:r>
              <w:rPr>
                <w:rFonts w:hint="eastAsia" w:cs="Times New Roman"/>
                <w:color w:val="auto"/>
                <w:highlight w:val="none"/>
                <w:u w:val="none"/>
                <w:lang w:val="en-US" w:eastAsia="zh-CN"/>
              </w:rPr>
              <w:t>矿区及工业场地劳动定员总人数为20</w:t>
            </w:r>
            <w:r>
              <w:rPr>
                <w:rFonts w:hint="default" w:ascii="Times New Roman" w:hAnsi="Times New Roman" w:cs="Times New Roman"/>
                <w:color w:val="auto"/>
                <w:highlight w:val="none"/>
                <w:u w:val="none"/>
              </w:rPr>
              <w:t>人，</w:t>
            </w:r>
            <w:r>
              <w:rPr>
                <w:rFonts w:hint="eastAsia" w:cs="Times New Roman"/>
                <w:color w:val="auto"/>
                <w:highlight w:val="none"/>
                <w:u w:val="none"/>
                <w:lang w:eastAsia="zh-CN"/>
              </w:rPr>
              <w:t>矿山开采及碎石加工</w:t>
            </w:r>
            <w:r>
              <w:rPr>
                <w:rFonts w:hint="default" w:ascii="Times New Roman" w:hAnsi="Times New Roman" w:cs="Times New Roman"/>
                <w:color w:val="auto"/>
                <w:highlight w:val="none"/>
                <w:u w:val="none"/>
              </w:rPr>
              <w:t>年生产时间</w:t>
            </w:r>
            <w:r>
              <w:rPr>
                <w:rFonts w:hint="eastAsia" w:cs="Times New Roman"/>
                <w:color w:val="auto"/>
                <w:highlight w:val="none"/>
                <w:u w:val="none"/>
                <w:lang w:eastAsia="zh-CN"/>
              </w:rPr>
              <w:t>均</w:t>
            </w:r>
            <w:r>
              <w:rPr>
                <w:rFonts w:hint="default" w:ascii="Times New Roman" w:hAnsi="Times New Roman" w:cs="Times New Roman"/>
                <w:color w:val="auto"/>
                <w:highlight w:val="none"/>
                <w:u w:val="none"/>
              </w:rPr>
              <w:t>为</w:t>
            </w:r>
            <w:r>
              <w:rPr>
                <w:rFonts w:hint="eastAsia" w:cs="Times New Roman"/>
                <w:color w:val="auto"/>
                <w:highlight w:val="none"/>
                <w:u w:val="none"/>
                <w:lang w:val="en-US" w:eastAsia="zh-CN"/>
              </w:rPr>
              <w:t>300</w:t>
            </w:r>
            <w:r>
              <w:rPr>
                <w:rFonts w:hint="default" w:ascii="Times New Roman" w:hAnsi="Times New Roman" w:cs="Times New Roman"/>
                <w:color w:val="auto"/>
                <w:highlight w:val="none"/>
                <w:u w:val="none"/>
              </w:rPr>
              <w:t>天，每天工作</w:t>
            </w:r>
            <w:r>
              <w:rPr>
                <w:rFonts w:hint="eastAsia" w:cs="Times New Roman"/>
                <w:color w:val="auto"/>
                <w:highlight w:val="none"/>
                <w:u w:val="none"/>
                <w:lang w:val="en-US" w:eastAsia="zh-CN"/>
              </w:rPr>
              <w:t>8</w:t>
            </w:r>
            <w:r>
              <w:rPr>
                <w:rFonts w:hint="default" w:ascii="Times New Roman" w:hAnsi="Times New Roman" w:cs="Times New Roman"/>
                <w:color w:val="auto"/>
                <w:highlight w:val="none"/>
                <w:u w:val="none"/>
              </w:rPr>
              <w:t>个小时。</w:t>
            </w:r>
          </w:p>
        </w:tc>
      </w:tr>
      <w:tr w14:paraId="578D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641AA1EC">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总平面及现场布置</w:t>
            </w:r>
          </w:p>
        </w:tc>
        <w:tc>
          <w:tcPr>
            <w:tcW w:w="8137" w:type="dxa"/>
          </w:tcPr>
          <w:p w14:paraId="03ED9217">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u w:val="none"/>
              </w:rPr>
              <w:t>本工程</w:t>
            </w:r>
            <w:r>
              <w:rPr>
                <w:rFonts w:hint="eastAsia" w:cs="Times New Roman"/>
                <w:color w:val="auto"/>
                <w:szCs w:val="24"/>
                <w:highlight w:val="none"/>
                <w:u w:val="none"/>
                <w:lang w:val="en-US" w:eastAsia="zh-CN"/>
              </w:rPr>
              <w:t>矿区0.2578k</w:t>
            </w:r>
            <w:r>
              <w:rPr>
                <w:rFonts w:hint="default" w:ascii="Times New Roman" w:hAnsi="Times New Roman" w:cs="Times New Roman"/>
                <w:color w:val="auto"/>
                <w:szCs w:val="24"/>
                <w:highlight w:val="none"/>
                <w:u w:val="none"/>
              </w:rPr>
              <w:t>m</w:t>
            </w:r>
            <w:r>
              <w:rPr>
                <w:rFonts w:hint="default" w:ascii="Times New Roman" w:hAnsi="Times New Roman" w:cs="Times New Roman"/>
                <w:color w:val="auto"/>
                <w:szCs w:val="24"/>
                <w:highlight w:val="none"/>
                <w:u w:val="none"/>
                <w:vertAlign w:val="superscript"/>
              </w:rPr>
              <w:t>2</w:t>
            </w:r>
            <w:r>
              <w:rPr>
                <w:rFonts w:hint="eastAsia" w:cs="Times New Roman"/>
                <w:color w:val="auto"/>
                <w:szCs w:val="24"/>
                <w:highlight w:val="none"/>
                <w:u w:val="none"/>
                <w:lang w:eastAsia="zh-CN"/>
              </w:rPr>
              <w:t>，工业场地</w:t>
            </w:r>
            <w:r>
              <w:rPr>
                <w:rFonts w:hint="eastAsia" w:cs="Times New Roman"/>
                <w:color w:val="auto"/>
                <w:szCs w:val="24"/>
                <w:highlight w:val="none"/>
                <w:u w:val="none"/>
                <w:lang w:val="en-US" w:eastAsia="zh-CN"/>
              </w:rPr>
              <w:t>占地9000m</w:t>
            </w:r>
            <w:r>
              <w:rPr>
                <w:rFonts w:hint="eastAsia" w:cs="Times New Roman"/>
                <w:color w:val="auto"/>
                <w:szCs w:val="24"/>
                <w:highlight w:val="none"/>
                <w:u w:val="none"/>
                <w:vertAlign w:val="superscript"/>
                <w:lang w:val="en-US" w:eastAsia="zh-CN"/>
              </w:rPr>
              <w:t>2</w:t>
            </w:r>
            <w:r>
              <w:rPr>
                <w:rFonts w:hint="eastAsia" w:cs="Times New Roman"/>
                <w:color w:val="auto"/>
                <w:szCs w:val="24"/>
                <w:highlight w:val="none"/>
                <w:u w:val="none"/>
                <w:lang w:val="en-US" w:eastAsia="zh-CN"/>
              </w:rPr>
              <w:t>，</w:t>
            </w:r>
            <w:r>
              <w:rPr>
                <w:rFonts w:hint="eastAsia" w:cs="Times New Roman"/>
                <w:color w:val="auto"/>
                <w:highlight w:val="none"/>
                <w:u w:val="none"/>
                <w:lang w:eastAsia="zh-CN"/>
              </w:rPr>
              <w:t>排土场</w:t>
            </w:r>
            <w:r>
              <w:rPr>
                <w:rFonts w:hint="eastAsia" w:cs="Times New Roman"/>
                <w:color w:val="auto"/>
                <w:highlight w:val="none"/>
                <w:u w:val="none"/>
                <w:lang w:val="en-US" w:eastAsia="zh-CN"/>
              </w:rPr>
              <w:t>面积238</w:t>
            </w:r>
            <w:r>
              <w:rPr>
                <w:rFonts w:hint="eastAsia" w:cs="Times New Roman"/>
                <w:color w:val="auto"/>
                <w:highlight w:val="none"/>
                <w:u w:val="none"/>
                <w:lang w:eastAsia="zh-CN"/>
              </w:rPr>
              <w:t>00</w:t>
            </w:r>
            <w:r>
              <w:rPr>
                <w:rFonts w:hint="eastAsia" w:ascii="Times New Roman" w:hAnsi="Times New Roman" w:cs="Times New Roman"/>
                <w:color w:val="auto"/>
                <w:highlight w:val="none"/>
                <w:u w:val="none"/>
              </w:rPr>
              <w:t>m</w:t>
            </w:r>
            <w:r>
              <w:rPr>
                <w:rFonts w:hint="eastAsia" w:ascii="Times New Roman" w:hAnsi="Times New Roman" w:cs="Times New Roman"/>
                <w:color w:val="auto"/>
                <w:highlight w:val="none"/>
                <w:u w:val="none"/>
                <w:vertAlign w:val="superscript"/>
              </w:rPr>
              <w:t>2</w:t>
            </w:r>
            <w:r>
              <w:rPr>
                <w:rFonts w:hint="default" w:ascii="Times New Roman" w:hAnsi="Times New Roman" w:cs="Times New Roman"/>
                <w:color w:val="auto"/>
                <w:szCs w:val="24"/>
                <w:highlight w:val="none"/>
                <w:u w:val="none"/>
              </w:rPr>
              <w:t>。</w:t>
            </w:r>
            <w:r>
              <w:rPr>
                <w:rFonts w:hint="eastAsia" w:cs="Times New Roman"/>
                <w:color w:val="auto"/>
                <w:szCs w:val="24"/>
                <w:highlight w:val="none"/>
                <w:u w:val="none"/>
                <w:lang w:val="en-US" w:eastAsia="zh-CN"/>
              </w:rPr>
              <w:t>开采区</w:t>
            </w:r>
            <w:r>
              <w:rPr>
                <w:rFonts w:hint="default" w:ascii="Times New Roman" w:hAnsi="Times New Roman" w:cs="Times New Roman"/>
                <w:color w:val="auto"/>
                <w:szCs w:val="24"/>
                <w:highlight w:val="none"/>
                <w:u w:val="none"/>
              </w:rPr>
              <w:t>位于</w:t>
            </w:r>
            <w:r>
              <w:rPr>
                <w:rFonts w:hint="eastAsia" w:cs="Times New Roman"/>
                <w:color w:val="auto"/>
                <w:szCs w:val="24"/>
                <w:highlight w:val="none"/>
                <w:u w:val="none"/>
                <w:lang w:val="en-US" w:eastAsia="zh-CN"/>
              </w:rPr>
              <w:t>整个地块</w:t>
            </w:r>
            <w:r>
              <w:rPr>
                <w:rFonts w:hint="eastAsia" w:cs="Times New Roman"/>
                <w:color w:val="auto"/>
                <w:szCs w:val="24"/>
                <w:highlight w:val="none"/>
                <w:lang w:val="en-US" w:eastAsia="zh-CN"/>
              </w:rPr>
              <w:t>中部</w:t>
            </w:r>
            <w:r>
              <w:rPr>
                <w:rFonts w:hint="eastAsia" w:cs="Times New Roman"/>
                <w:color w:val="auto"/>
                <w:szCs w:val="24"/>
                <w:highlight w:val="none"/>
                <w:lang w:eastAsia="zh-CN"/>
              </w:rPr>
              <w:t>；</w:t>
            </w:r>
            <w:r>
              <w:rPr>
                <w:rFonts w:hint="eastAsia" w:cs="Times New Roman"/>
                <w:color w:val="auto"/>
                <w:szCs w:val="24"/>
                <w:highlight w:val="none"/>
                <w:lang w:val="en-US" w:eastAsia="zh-CN"/>
              </w:rPr>
              <w:t>工业场地位于矿区东北侧，与矿区相邻；排土场位于矿区西侧；</w:t>
            </w:r>
            <w:r>
              <w:rPr>
                <w:rFonts w:hint="default" w:ascii="Times New Roman" w:hAnsi="Times New Roman" w:cs="Times New Roman"/>
                <w:color w:val="auto"/>
                <w:szCs w:val="24"/>
                <w:highlight w:val="none"/>
              </w:rPr>
              <w:t>办公生活区布置于</w:t>
            </w:r>
            <w:r>
              <w:rPr>
                <w:rFonts w:hint="eastAsia" w:cs="Times New Roman"/>
                <w:color w:val="auto"/>
                <w:szCs w:val="24"/>
                <w:highlight w:val="none"/>
                <w:lang w:val="en-US" w:eastAsia="zh-CN"/>
              </w:rPr>
              <w:t>矿区</w:t>
            </w:r>
            <w:r>
              <w:rPr>
                <w:rFonts w:hint="default" w:ascii="Times New Roman" w:hAnsi="Times New Roman" w:cs="Times New Roman"/>
                <w:color w:val="auto"/>
                <w:szCs w:val="24"/>
                <w:highlight w:val="none"/>
              </w:rPr>
              <w:t>东</w:t>
            </w:r>
            <w:r>
              <w:rPr>
                <w:rFonts w:hint="eastAsia" w:cs="Times New Roman"/>
                <w:color w:val="auto"/>
                <w:szCs w:val="24"/>
                <w:highlight w:val="none"/>
                <w:lang w:val="en-US" w:eastAsia="zh-CN"/>
              </w:rPr>
              <w:t>面</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工业场地</w:t>
            </w:r>
            <w:r>
              <w:rPr>
                <w:rFonts w:hint="eastAsia" w:cs="Times New Roman"/>
                <w:color w:val="auto"/>
                <w:szCs w:val="24"/>
                <w:highlight w:val="none"/>
                <w:lang w:val="en-US" w:eastAsia="zh-CN"/>
              </w:rPr>
              <w:t>南</w:t>
            </w:r>
            <w:r>
              <w:rPr>
                <w:rFonts w:hint="default" w:ascii="Times New Roman" w:hAnsi="Times New Roman" w:cs="Times New Roman"/>
                <w:color w:val="auto"/>
                <w:szCs w:val="24"/>
                <w:highlight w:val="none"/>
              </w:rPr>
              <w:t>面地块布置</w:t>
            </w:r>
            <w:r>
              <w:rPr>
                <w:rFonts w:hint="eastAsia" w:cs="Times New Roman"/>
                <w:color w:val="auto"/>
                <w:szCs w:val="24"/>
                <w:highlight w:val="none"/>
                <w:lang w:val="en-US" w:eastAsia="zh-CN"/>
              </w:rPr>
              <w:t>加工车间，西面地块布置有除尘设施，北</w:t>
            </w:r>
            <w:r>
              <w:rPr>
                <w:rFonts w:hint="default" w:ascii="Times New Roman" w:hAnsi="Times New Roman" w:cs="Times New Roman"/>
                <w:color w:val="auto"/>
                <w:szCs w:val="24"/>
                <w:highlight w:val="none"/>
              </w:rPr>
              <w:t>面地块布置成品堆场</w:t>
            </w:r>
            <w:r>
              <w:rPr>
                <w:rFonts w:hint="eastAsia" w:cs="Times New Roman"/>
                <w:color w:val="auto"/>
                <w:szCs w:val="24"/>
                <w:highlight w:val="none"/>
                <w:lang w:eastAsia="zh-CN"/>
              </w:rPr>
              <w:t>，</w:t>
            </w:r>
            <w:r>
              <w:rPr>
                <w:rFonts w:hint="eastAsia" w:cs="Times New Roman"/>
                <w:color w:val="auto"/>
                <w:szCs w:val="24"/>
                <w:highlight w:val="none"/>
                <w:lang w:val="en-US" w:eastAsia="zh-CN"/>
              </w:rPr>
              <w:t>东面地块布置有沉淀池</w:t>
            </w:r>
            <w:r>
              <w:rPr>
                <w:rFonts w:hint="default" w:ascii="Times New Roman" w:hAnsi="Times New Roman" w:cs="Times New Roman"/>
                <w:color w:val="auto"/>
                <w:szCs w:val="24"/>
                <w:highlight w:val="none"/>
              </w:rPr>
              <w:t>。项目厂区平面布置结合厂区实际情况及生产需求，布局紧凑，土地利用率高，运输线路短，保证生产各工序紧密结合、流畅运行，矿区、</w:t>
            </w:r>
            <w:r>
              <w:rPr>
                <w:rFonts w:hint="eastAsia" w:cs="Times New Roman"/>
                <w:color w:val="auto"/>
                <w:szCs w:val="24"/>
                <w:highlight w:val="none"/>
                <w:lang w:eastAsia="zh-CN"/>
              </w:rPr>
              <w:t>工业场地</w:t>
            </w:r>
            <w:r>
              <w:rPr>
                <w:rFonts w:hint="default" w:ascii="Times New Roman" w:hAnsi="Times New Roman" w:cs="Times New Roman"/>
                <w:color w:val="auto"/>
                <w:szCs w:val="24"/>
                <w:highlight w:val="none"/>
              </w:rPr>
              <w:t>均位于远离办公区、周边居民的西面，将项目破碎加工等过程中对周边影响降到最低，项目平面布置合理。</w:t>
            </w:r>
          </w:p>
        </w:tc>
      </w:tr>
      <w:tr w14:paraId="7AA2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6E9E9A6E">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施工方案</w:t>
            </w:r>
          </w:p>
        </w:tc>
        <w:tc>
          <w:tcPr>
            <w:tcW w:w="8137" w:type="dxa"/>
          </w:tcPr>
          <w:p w14:paraId="1F75EA51">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1、施工期工艺流程简述</w:t>
            </w:r>
          </w:p>
          <w:p w14:paraId="0102EA9E">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（1）</w:t>
            </w:r>
            <w:r>
              <w:rPr>
                <w:rFonts w:hint="default" w:ascii="Times New Roman" w:hAnsi="Times New Roman" w:cs="Times New Roman"/>
                <w:color w:val="auto"/>
                <w:highlight w:val="none"/>
              </w:rPr>
              <w:t>矿山设计开采方案</w:t>
            </w:r>
          </w:p>
          <w:p w14:paraId="4358895A">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根据矿体的埋藏条件、矿区地形要求，设计采用从上往下、分水平台段开采的台阶式采矿方法。 </w:t>
            </w:r>
          </w:p>
          <w:p w14:paraId="218378E6">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矿岩段主要采用孔径</w:t>
            </w:r>
            <w:r>
              <w:rPr>
                <w:rFonts w:hint="default" w:ascii="Times New Roman" w:hAnsi="Times New Roman" w:eastAsia="宋体" w:cs="Times New Roman"/>
                <w:color w:val="auto"/>
                <w:kern w:val="0"/>
                <w:sz w:val="24"/>
                <w:szCs w:val="24"/>
                <w:highlight w:val="none"/>
                <w:lang w:val="en-US" w:eastAsia="zh-CN" w:bidi="ar"/>
              </w:rPr>
              <w:t>110mm</w:t>
            </w:r>
            <w:r>
              <w:rPr>
                <w:rFonts w:hint="eastAsia" w:ascii="宋体" w:hAnsi="宋体" w:eastAsia="宋体" w:cs="宋体"/>
                <w:color w:val="auto"/>
                <w:kern w:val="0"/>
                <w:sz w:val="24"/>
                <w:szCs w:val="24"/>
                <w:highlight w:val="none"/>
                <w:lang w:val="en-US" w:eastAsia="zh-CN" w:bidi="ar"/>
              </w:rPr>
              <w:t>潜孔钻机钻凿深孔爆破，挖掘机装载，自卸汽车运输。采剥工作主要包括剥离、穿孔、爆破、装载及辅助作业（二次破碎、平场、清道、洒水、集堆）等作业。采剥工艺流程为：剥离</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凿岩钻孔</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装药爆破</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液压挖掘机装载</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矿用自卸汽车运输。采用潜孔钻机凿岩，岩石乳化炸药爆破，爆破后的矿石通过</w:t>
            </w:r>
            <w:r>
              <w:rPr>
                <w:rFonts w:hint="default" w:ascii="Times New Roman" w:hAnsi="Times New Roman" w:eastAsia="宋体" w:cs="Times New Roman"/>
                <w:color w:val="auto"/>
                <w:kern w:val="0"/>
                <w:sz w:val="24"/>
                <w:szCs w:val="24"/>
                <w:highlight w:val="none"/>
                <w:lang w:val="en-US" w:eastAsia="zh-CN" w:bidi="ar"/>
              </w:rPr>
              <w:t>2.0m³</w:t>
            </w:r>
            <w:r>
              <w:rPr>
                <w:rFonts w:hint="eastAsia" w:ascii="宋体" w:hAnsi="宋体" w:eastAsia="宋体" w:cs="宋体"/>
                <w:color w:val="auto"/>
                <w:kern w:val="0"/>
                <w:sz w:val="24"/>
                <w:szCs w:val="24"/>
                <w:highlight w:val="none"/>
                <w:lang w:val="en-US" w:eastAsia="zh-CN" w:bidi="ar"/>
              </w:rPr>
              <w:t>液压铲铲装至</w:t>
            </w:r>
            <w:r>
              <w:rPr>
                <w:rFonts w:hint="default" w:ascii="Times New Roman" w:hAnsi="Times New Roman" w:eastAsia="宋体" w:cs="Times New Roman"/>
                <w:color w:val="auto"/>
                <w:kern w:val="0"/>
                <w:sz w:val="24"/>
                <w:szCs w:val="24"/>
                <w:highlight w:val="none"/>
                <w:lang w:val="en-US" w:eastAsia="zh-CN" w:bidi="ar"/>
              </w:rPr>
              <w:t>20t</w:t>
            </w:r>
            <w:r>
              <w:rPr>
                <w:rFonts w:hint="eastAsia" w:ascii="宋体" w:hAnsi="宋体" w:eastAsia="宋体" w:cs="宋体"/>
                <w:color w:val="auto"/>
                <w:kern w:val="0"/>
                <w:sz w:val="24"/>
                <w:szCs w:val="24"/>
                <w:highlight w:val="none"/>
                <w:lang w:val="en-US" w:eastAsia="zh-CN" w:bidi="ar"/>
              </w:rPr>
              <w:t>自卸汽车运至加工场粗破碎站处理。</w:t>
            </w:r>
          </w:p>
          <w:p w14:paraId="11B23D71">
            <w:pPr>
              <w:keepNext w:val="0"/>
              <w:keepLines w:val="0"/>
              <w:widowControl/>
              <w:suppressLineNumbers w:val="0"/>
              <w:jc w:val="left"/>
              <w:rPr>
                <w:rFonts w:hint="eastAsia" w:cs="Times New Roman"/>
                <w:color w:val="auto"/>
                <w:highlight w:val="none"/>
                <w:u w:val="none"/>
                <w:lang w:eastAsia="zh-CN"/>
              </w:rPr>
            </w:pPr>
            <w:r>
              <w:rPr>
                <w:rFonts w:hint="eastAsia" w:ascii="宋体" w:hAnsi="宋体" w:eastAsia="宋体" w:cs="宋体"/>
                <w:color w:val="auto"/>
                <w:kern w:val="0"/>
                <w:sz w:val="24"/>
                <w:szCs w:val="24"/>
                <w:highlight w:val="none"/>
                <w:lang w:val="en-US" w:eastAsia="zh-CN" w:bidi="ar"/>
              </w:rPr>
              <w:t>由于加工厂部分构筑物在爆破危险警戒线</w:t>
            </w:r>
            <w:r>
              <w:rPr>
                <w:rFonts w:hint="default" w:ascii="Times New Roman" w:hAnsi="Times New Roman" w:eastAsia="宋体" w:cs="Times New Roman"/>
                <w:color w:val="auto"/>
                <w:kern w:val="0"/>
                <w:sz w:val="24"/>
                <w:szCs w:val="24"/>
                <w:highlight w:val="none"/>
                <w:lang w:val="en-US" w:eastAsia="zh-CN" w:bidi="ar"/>
              </w:rPr>
              <w:t>300m</w:t>
            </w:r>
            <w:r>
              <w:rPr>
                <w:rFonts w:hint="eastAsia" w:ascii="宋体" w:hAnsi="宋体" w:eastAsia="宋体" w:cs="宋体"/>
                <w:color w:val="auto"/>
                <w:kern w:val="0"/>
                <w:sz w:val="24"/>
                <w:szCs w:val="24"/>
                <w:highlight w:val="none"/>
                <w:lang w:val="en-US" w:eastAsia="zh-CN" w:bidi="ar"/>
              </w:rPr>
              <w:t>内，为保证生产的安全，在开采距加工厂小于</w:t>
            </w:r>
            <w:r>
              <w:rPr>
                <w:rFonts w:hint="default" w:ascii="Times New Roman" w:hAnsi="Times New Roman" w:eastAsia="宋体" w:cs="Times New Roman"/>
                <w:color w:val="auto"/>
                <w:kern w:val="0"/>
                <w:sz w:val="24"/>
                <w:szCs w:val="24"/>
                <w:highlight w:val="none"/>
                <w:lang w:val="en-US" w:eastAsia="zh-CN" w:bidi="ar"/>
              </w:rPr>
              <w:t>300m</w:t>
            </w:r>
            <w:r>
              <w:rPr>
                <w:rFonts w:hint="eastAsia" w:ascii="宋体" w:hAnsi="宋体" w:eastAsia="宋体" w:cs="宋体"/>
                <w:color w:val="auto"/>
                <w:kern w:val="0"/>
                <w:sz w:val="24"/>
                <w:szCs w:val="24"/>
                <w:highlight w:val="none"/>
                <w:lang w:val="en-US" w:eastAsia="zh-CN" w:bidi="ar"/>
              </w:rPr>
              <w:t>区域时，爆破时段严格进行警戒，将范围内所有无关人员进行撤离确认后方能起爆。</w:t>
            </w:r>
          </w:p>
          <w:p w14:paraId="65FC809C">
            <w:pPr>
              <w:ind w:firstLine="480"/>
              <w:rPr>
                <w:rFonts w:hint="default" w:cs="Times New Roman"/>
                <w:color w:val="auto"/>
                <w:highlight w:val="none"/>
                <w:u w:val="none"/>
                <w:lang w:val="en-US" w:eastAsia="zh-CN"/>
              </w:rPr>
            </w:pPr>
            <w:r>
              <w:rPr>
                <w:rFonts w:hint="eastAsia" w:cs="Times New Roman"/>
                <w:color w:val="auto"/>
                <w:highlight w:val="none"/>
                <w:u w:val="none"/>
                <w:lang w:val="en-US" w:eastAsia="zh-CN"/>
              </w:rPr>
              <w:t>（2）首采工作面及</w:t>
            </w:r>
            <w:r>
              <w:rPr>
                <w:rFonts w:hint="default" w:cs="Times New Roman"/>
                <w:color w:val="auto"/>
                <w:highlight w:val="none"/>
                <w:u w:val="none"/>
                <w:lang w:val="en-US" w:eastAsia="zh-CN"/>
              </w:rPr>
              <w:t>开采顺序</w:t>
            </w:r>
          </w:p>
          <w:p w14:paraId="6F93063F">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矿山首采区主要根据矿区地形地貌、资源量分布、矿山生产规模等条件确定，本方案选择矿权北部196.76m山头进行剥土揭露，+182m以上为基建削顶工程，+182m至+170m为基建采准工程，基建剥离结束时形成+182m和+170m两工作平台正式投入生产，其中+182m为穿孔平台，+170m为铲装平台，投产后按“从上而下，采剥并举，剥离先行”的原则依次逐台阶进行剥离，设计开采工作线沿矿体走向布置，由东北往西南逐层推进。</w:t>
            </w:r>
          </w:p>
          <w:p w14:paraId="66C0DCE5">
            <w:pPr>
              <w:ind w:firstLine="480"/>
              <w:rPr>
                <w:rFonts w:hint="eastAsia"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（3）</w:t>
            </w:r>
            <w:r>
              <w:rPr>
                <w:rFonts w:hint="eastAsia" w:ascii="Times New Roman" w:hAnsi="Times New Roman" w:cs="Times New Roman"/>
                <w:color w:val="auto"/>
                <w:highlight w:val="none"/>
                <w:u w:val="none"/>
                <w:lang w:val="en-US" w:eastAsia="zh-CN"/>
              </w:rPr>
              <w:t>矿山排土</w:t>
            </w:r>
          </w:p>
          <w:p w14:paraId="36A004CE">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本矿主要剥离物为上部第四系残坡积物，根据 </w:t>
            </w:r>
            <w:r>
              <w:rPr>
                <w:rFonts w:hint="default" w:ascii="Times New Roman" w:hAnsi="Times New Roman" w:eastAsia="宋体" w:cs="Times New Roman"/>
                <w:color w:val="auto"/>
                <w:kern w:val="0"/>
                <w:sz w:val="24"/>
                <w:szCs w:val="24"/>
                <w:highlight w:val="none"/>
                <w:lang w:val="en-US" w:eastAsia="zh-CN" w:bidi="ar"/>
              </w:rPr>
              <w:t xml:space="preserve">2023 </w:t>
            </w:r>
            <w:r>
              <w:rPr>
                <w:rFonts w:hint="eastAsia" w:ascii="宋体" w:hAnsi="宋体" w:eastAsia="宋体" w:cs="宋体"/>
                <w:color w:val="auto"/>
                <w:kern w:val="0"/>
                <w:sz w:val="24"/>
                <w:szCs w:val="24"/>
                <w:highlight w:val="none"/>
                <w:lang w:val="en-US" w:eastAsia="zh-CN" w:bidi="ar"/>
              </w:rPr>
              <w:t xml:space="preserve">年 </w:t>
            </w:r>
            <w:r>
              <w:rPr>
                <w:rFonts w:hint="default" w:ascii="Times New Roman" w:hAnsi="Times New Roman" w:eastAsia="宋体" w:cs="Times New Roman"/>
                <w:color w:val="auto"/>
                <w:kern w:val="0"/>
                <w:sz w:val="24"/>
                <w:szCs w:val="24"/>
                <w:highlight w:val="none"/>
                <w:lang w:val="en-US" w:eastAsia="zh-CN" w:bidi="ar"/>
              </w:rPr>
              <w:t xml:space="preserve">7 </w:t>
            </w:r>
            <w:r>
              <w:rPr>
                <w:rFonts w:hint="eastAsia" w:ascii="宋体" w:hAnsi="宋体" w:eastAsia="宋体" w:cs="宋体"/>
                <w:color w:val="auto"/>
                <w:kern w:val="0"/>
                <w:sz w:val="24"/>
                <w:szCs w:val="24"/>
                <w:highlight w:val="none"/>
                <w:lang w:val="en-US" w:eastAsia="zh-CN" w:bidi="ar"/>
              </w:rPr>
              <w:t xml:space="preserve">月湖南省城市地质调查监测所编制《湖南省澧县屠夫垭矿区建筑石料用灰岩矿勘查报告》，经露天境界圈定后计算境界内需剥离表土量为 </w:t>
            </w:r>
            <w:r>
              <w:rPr>
                <w:rFonts w:hint="default" w:ascii="Times New Roman" w:hAnsi="Times New Roman" w:eastAsia="宋体" w:cs="Times New Roman"/>
                <w:color w:val="auto"/>
                <w:kern w:val="0"/>
                <w:sz w:val="24"/>
                <w:szCs w:val="24"/>
                <w:highlight w:val="none"/>
                <w:lang w:val="en-US" w:eastAsia="zh-CN" w:bidi="ar"/>
              </w:rPr>
              <w:t xml:space="preserve">21.1 </w:t>
            </w:r>
            <w:r>
              <w:rPr>
                <w:rFonts w:hint="eastAsia" w:ascii="宋体" w:hAnsi="宋体" w:eastAsia="宋体" w:cs="宋体"/>
                <w:color w:val="auto"/>
                <w:kern w:val="0"/>
                <w:sz w:val="24"/>
                <w:szCs w:val="24"/>
                <w:highlight w:val="none"/>
                <w:lang w:val="en-US" w:eastAsia="zh-CN" w:bidi="ar"/>
              </w:rPr>
              <w:t xml:space="preserve">万 </w:t>
            </w:r>
            <w:r>
              <w:rPr>
                <w:rFonts w:hint="default" w:ascii="Times New Roman" w:hAnsi="Times New Roman" w:eastAsia="宋体" w:cs="Times New Roman"/>
                <w:color w:val="auto"/>
                <w:kern w:val="0"/>
                <w:sz w:val="24"/>
                <w:szCs w:val="24"/>
                <w:highlight w:val="none"/>
                <w:lang w:val="en-US" w:eastAsia="zh-CN" w:bidi="ar"/>
              </w:rPr>
              <w:t>m³</w:t>
            </w:r>
            <w:r>
              <w:rPr>
                <w:rFonts w:hint="eastAsia" w:ascii="宋体" w:hAnsi="宋体" w:eastAsia="宋体" w:cs="宋体"/>
                <w:color w:val="auto"/>
                <w:kern w:val="0"/>
                <w:sz w:val="24"/>
                <w:szCs w:val="24"/>
                <w:highlight w:val="none"/>
                <w:lang w:val="en-US" w:eastAsia="zh-CN" w:bidi="ar"/>
              </w:rPr>
              <w:t xml:space="preserve">，所需排土场的容积和计算公式如下： </w:t>
            </w:r>
          </w:p>
          <w:p w14:paraId="46AB5A78">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V</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×V</w:t>
            </w:r>
            <w:r>
              <w:rPr>
                <w:rFonts w:hint="default" w:ascii="Times New Roman" w:hAnsi="Times New Roman" w:eastAsia="宋体" w:cs="Times New Roman"/>
                <w:color w:val="auto"/>
                <w:kern w:val="0"/>
                <w:sz w:val="16"/>
                <w:szCs w:val="16"/>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 </w:t>
            </w:r>
          </w:p>
          <w:p w14:paraId="2D85D422">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1.05×1.2×21.1÷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0.15</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≈23.12 </w:t>
            </w:r>
            <w:r>
              <w:rPr>
                <w:rFonts w:hint="eastAsia" w:ascii="宋体" w:hAnsi="宋体" w:eastAsia="宋体" w:cs="宋体"/>
                <w:color w:val="auto"/>
                <w:kern w:val="0"/>
                <w:sz w:val="24"/>
                <w:szCs w:val="24"/>
                <w:highlight w:val="none"/>
                <w:lang w:val="en-US" w:eastAsia="zh-CN" w:bidi="ar"/>
              </w:rPr>
              <w:t xml:space="preserve">万 </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16"/>
                <w:szCs w:val="16"/>
                <w:highlight w:val="none"/>
                <w:lang w:val="en-US" w:eastAsia="zh-CN" w:bidi="ar"/>
              </w:rPr>
              <w:t xml:space="preserve">3 </w:t>
            </w:r>
            <w:r>
              <w:rPr>
                <w:rFonts w:hint="eastAsia" w:ascii="宋体" w:hAnsi="宋体" w:eastAsia="宋体" w:cs="宋体"/>
                <w:color w:val="auto"/>
                <w:kern w:val="0"/>
                <w:sz w:val="24"/>
                <w:szCs w:val="24"/>
                <w:highlight w:val="none"/>
                <w:lang w:val="en-US" w:eastAsia="zh-CN" w:bidi="ar"/>
              </w:rPr>
              <w:t xml:space="preserve">。 </w:t>
            </w:r>
          </w:p>
          <w:p w14:paraId="7E3D7040">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式中：</w:t>
            </w:r>
            <w:r>
              <w:rPr>
                <w:rFonts w:hint="default" w:ascii="Times New Roman" w:hAnsi="Times New Roman" w:eastAsia="宋体" w:cs="Times New Roman"/>
                <w:color w:val="auto"/>
                <w:kern w:val="0"/>
                <w:sz w:val="24"/>
                <w:szCs w:val="24"/>
                <w:highlight w:val="none"/>
                <w:lang w:val="en-US" w:eastAsia="zh-CN" w:bidi="ar"/>
              </w:rPr>
              <w:t>V—</w:t>
            </w:r>
            <w:r>
              <w:rPr>
                <w:rFonts w:hint="eastAsia" w:ascii="宋体" w:hAnsi="宋体" w:eastAsia="宋体" w:cs="宋体"/>
                <w:color w:val="auto"/>
                <w:kern w:val="0"/>
                <w:sz w:val="24"/>
                <w:szCs w:val="24"/>
                <w:highlight w:val="none"/>
                <w:lang w:val="en-US" w:eastAsia="zh-CN" w:bidi="ar"/>
              </w:rPr>
              <w:t xml:space="preserve">排土场的容积（万 </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16"/>
                <w:szCs w:val="16"/>
                <w:highlight w:val="none"/>
                <w:lang w:val="en-US" w:eastAsia="zh-CN" w:bidi="ar"/>
              </w:rPr>
              <w:t xml:space="preserve">3 </w:t>
            </w:r>
            <w:r>
              <w:rPr>
                <w:rFonts w:hint="eastAsia" w:ascii="宋体" w:hAnsi="宋体" w:eastAsia="宋体" w:cs="宋体"/>
                <w:color w:val="auto"/>
                <w:kern w:val="0"/>
                <w:sz w:val="24"/>
                <w:szCs w:val="24"/>
                <w:highlight w:val="none"/>
                <w:lang w:val="en-US" w:eastAsia="zh-CN" w:bidi="ar"/>
              </w:rPr>
              <w:t xml:space="preserve">）； </w:t>
            </w:r>
          </w:p>
          <w:p w14:paraId="59FBE57D">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V</w:t>
            </w:r>
            <w:r>
              <w:rPr>
                <w:rFonts w:hint="default" w:ascii="Times New Roman" w:hAnsi="Times New Roman" w:eastAsia="宋体" w:cs="Times New Roman"/>
                <w:color w:val="auto"/>
                <w:kern w:val="0"/>
                <w:sz w:val="16"/>
                <w:szCs w:val="16"/>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计划在排土场排弃的剥离量（</w:t>
            </w:r>
            <w:r>
              <w:rPr>
                <w:rFonts w:hint="default" w:ascii="Times New Roman" w:hAnsi="Times New Roman" w:eastAsia="宋体" w:cs="Times New Roman"/>
                <w:color w:val="auto"/>
                <w:kern w:val="0"/>
                <w:sz w:val="24"/>
                <w:szCs w:val="24"/>
                <w:highlight w:val="none"/>
                <w:lang w:val="en-US" w:eastAsia="zh-CN" w:bidi="ar"/>
              </w:rPr>
              <w:t xml:space="preserve">21.1 </w:t>
            </w:r>
            <w:r>
              <w:rPr>
                <w:rFonts w:hint="eastAsia" w:ascii="宋体" w:hAnsi="宋体" w:eastAsia="宋体" w:cs="宋体"/>
                <w:color w:val="auto"/>
                <w:kern w:val="0"/>
                <w:sz w:val="24"/>
                <w:szCs w:val="24"/>
                <w:highlight w:val="none"/>
                <w:lang w:val="en-US" w:eastAsia="zh-CN" w:bidi="ar"/>
              </w:rPr>
              <w:t xml:space="preserve">万 </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16"/>
                <w:szCs w:val="16"/>
                <w:highlight w:val="none"/>
                <w:lang w:val="en-US" w:eastAsia="zh-CN" w:bidi="ar"/>
              </w:rPr>
              <w:t xml:space="preserve">3 </w:t>
            </w:r>
            <w:r>
              <w:rPr>
                <w:rFonts w:hint="eastAsia" w:ascii="宋体" w:hAnsi="宋体" w:eastAsia="宋体" w:cs="宋体"/>
                <w:color w:val="auto"/>
                <w:kern w:val="0"/>
                <w:sz w:val="24"/>
                <w:szCs w:val="24"/>
                <w:highlight w:val="none"/>
                <w:lang w:val="en-US" w:eastAsia="zh-CN" w:bidi="ar"/>
              </w:rPr>
              <w:t xml:space="preserve">）； </w:t>
            </w:r>
          </w:p>
          <w:p w14:paraId="62E7A060">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富余系数（</w:t>
            </w:r>
            <w:r>
              <w:rPr>
                <w:rFonts w:hint="default" w:ascii="Times New Roman" w:hAnsi="Times New Roman" w:eastAsia="宋体" w:cs="Times New Roman"/>
                <w:color w:val="auto"/>
                <w:kern w:val="0"/>
                <w:sz w:val="24"/>
                <w:szCs w:val="24"/>
                <w:highlight w:val="none"/>
                <w:lang w:val="en-US" w:eastAsia="zh-CN" w:bidi="ar"/>
              </w:rPr>
              <w:t>1.05</w:t>
            </w:r>
            <w:r>
              <w:rPr>
                <w:rFonts w:hint="eastAsia" w:ascii="宋体" w:hAnsi="宋体" w:eastAsia="宋体" w:cs="宋体"/>
                <w:color w:val="auto"/>
                <w:kern w:val="0"/>
                <w:sz w:val="24"/>
                <w:szCs w:val="24"/>
                <w:highlight w:val="none"/>
                <w:lang w:val="en-US" w:eastAsia="zh-CN" w:bidi="ar"/>
              </w:rPr>
              <w:t xml:space="preserve">）； </w:t>
            </w:r>
          </w:p>
          <w:p w14:paraId="5E3C655B">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土松散系数（</w:t>
            </w:r>
            <w:r>
              <w:rPr>
                <w:rFonts w:hint="default" w:ascii="Times New Roman" w:hAnsi="Times New Roman" w:eastAsia="宋体" w:cs="Times New Roman"/>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val="en-US" w:eastAsia="zh-CN" w:bidi="ar"/>
              </w:rPr>
              <w:t xml:space="preserve">）； </w:t>
            </w:r>
          </w:p>
          <w:p w14:paraId="3780A36A">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土下沉系数（</w:t>
            </w:r>
            <w:r>
              <w:rPr>
                <w:rFonts w:hint="default" w:ascii="Times New Roman" w:hAnsi="Times New Roman" w:eastAsia="宋体" w:cs="Times New Roman"/>
                <w:color w:val="auto"/>
                <w:kern w:val="0"/>
                <w:sz w:val="24"/>
                <w:szCs w:val="24"/>
                <w:highlight w:val="none"/>
                <w:lang w:val="en-US" w:eastAsia="zh-CN" w:bidi="ar"/>
              </w:rPr>
              <w:t>0.15</w:t>
            </w:r>
            <w:r>
              <w:rPr>
                <w:rFonts w:hint="eastAsia" w:ascii="宋体" w:hAnsi="宋体" w:eastAsia="宋体" w:cs="宋体"/>
                <w:color w:val="auto"/>
                <w:kern w:val="0"/>
                <w:sz w:val="24"/>
                <w:szCs w:val="24"/>
                <w:highlight w:val="none"/>
                <w:lang w:val="en-US" w:eastAsia="zh-CN" w:bidi="ar"/>
              </w:rPr>
              <w:t xml:space="preserve">）。 </w:t>
            </w:r>
          </w:p>
          <w:p w14:paraId="614B162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根据现场实际情况，排土场布置在采场西部 </w:t>
            </w:r>
            <w:r>
              <w:rPr>
                <w:rFonts w:hint="default" w:ascii="Times New Roman" w:hAnsi="Times New Roman" w:eastAsia="宋体" w:cs="Times New Roman"/>
                <w:color w:val="auto"/>
                <w:kern w:val="0"/>
                <w:sz w:val="24"/>
                <w:szCs w:val="24"/>
                <w:highlight w:val="none"/>
                <w:lang w:val="en-US" w:eastAsia="zh-CN" w:bidi="ar"/>
              </w:rPr>
              <w:t xml:space="preserve">7 </w:t>
            </w:r>
            <w:r>
              <w:rPr>
                <w:rFonts w:hint="eastAsia" w:ascii="宋体" w:hAnsi="宋体" w:eastAsia="宋体" w:cs="宋体"/>
                <w:color w:val="auto"/>
                <w:kern w:val="0"/>
                <w:sz w:val="24"/>
                <w:szCs w:val="24"/>
                <w:highlight w:val="none"/>
                <w:lang w:val="en-US" w:eastAsia="zh-CN" w:bidi="ar"/>
              </w:rPr>
              <w:t xml:space="preserve">号拐点外洼地处，可排土面积约 </w:t>
            </w:r>
            <w:r>
              <w:rPr>
                <w:rFonts w:hint="default" w:ascii="Times New Roman" w:hAnsi="Times New Roman" w:eastAsia="宋体" w:cs="Times New Roman"/>
                <w:color w:val="auto"/>
                <w:kern w:val="0"/>
                <w:sz w:val="24"/>
                <w:szCs w:val="24"/>
                <w:highlight w:val="none"/>
                <w:lang w:val="en-US" w:eastAsia="zh-CN" w:bidi="ar"/>
              </w:rPr>
              <w:t xml:space="preserve">2.38 </w:t>
            </w:r>
            <w:r>
              <w:rPr>
                <w:rFonts w:hint="eastAsia" w:ascii="宋体" w:hAnsi="宋体" w:eastAsia="宋体" w:cs="宋体"/>
                <w:color w:val="auto"/>
                <w:kern w:val="0"/>
                <w:sz w:val="24"/>
                <w:szCs w:val="24"/>
                <w:highlight w:val="none"/>
                <w:lang w:val="en-US" w:eastAsia="zh-CN" w:bidi="ar"/>
              </w:rPr>
              <w:t xml:space="preserve">万 </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6"/>
                <w:szCs w:val="16"/>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，堆高约 </w:t>
            </w:r>
            <w:r>
              <w:rPr>
                <w:rFonts w:hint="default" w:ascii="Times New Roman" w:hAnsi="Times New Roman" w:eastAsia="宋体" w:cs="Times New Roman"/>
                <w:color w:val="auto"/>
                <w:kern w:val="0"/>
                <w:sz w:val="24"/>
                <w:szCs w:val="24"/>
                <w:highlight w:val="none"/>
                <w:lang w:val="en-US" w:eastAsia="zh-CN" w:bidi="ar"/>
              </w:rPr>
              <w:t>15m</w:t>
            </w:r>
            <w:r>
              <w:rPr>
                <w:rFonts w:hint="eastAsia" w:ascii="宋体" w:hAnsi="宋体" w:eastAsia="宋体" w:cs="宋体"/>
                <w:color w:val="auto"/>
                <w:kern w:val="0"/>
                <w:sz w:val="24"/>
                <w:szCs w:val="24"/>
                <w:highlight w:val="none"/>
                <w:lang w:val="en-US" w:eastAsia="zh-CN" w:bidi="ar"/>
              </w:rPr>
              <w:t xml:space="preserve">，总容积约 </w:t>
            </w:r>
            <w:r>
              <w:rPr>
                <w:rFonts w:hint="default" w:ascii="Times New Roman" w:hAnsi="Times New Roman" w:eastAsia="宋体" w:cs="Times New Roman"/>
                <w:color w:val="auto"/>
                <w:kern w:val="0"/>
                <w:sz w:val="24"/>
                <w:szCs w:val="24"/>
                <w:highlight w:val="none"/>
                <w:lang w:val="en-US" w:eastAsia="zh-CN" w:bidi="ar"/>
              </w:rPr>
              <w:t xml:space="preserve">23.44 </w:t>
            </w:r>
            <w:r>
              <w:rPr>
                <w:rFonts w:hint="eastAsia" w:ascii="宋体" w:hAnsi="宋体" w:eastAsia="宋体" w:cs="宋体"/>
                <w:color w:val="auto"/>
                <w:kern w:val="0"/>
                <w:sz w:val="24"/>
                <w:szCs w:val="24"/>
                <w:highlight w:val="none"/>
                <w:lang w:val="en-US" w:eastAsia="zh-CN" w:bidi="ar"/>
              </w:rPr>
              <w:t xml:space="preserve">万 </w:t>
            </w:r>
            <w:r>
              <w:rPr>
                <w:rFonts w:hint="default" w:ascii="Times New Roman" w:hAnsi="Times New Roman" w:eastAsia="宋体" w:cs="Times New Roman"/>
                <w:color w:val="auto"/>
                <w:kern w:val="0"/>
                <w:sz w:val="24"/>
                <w:szCs w:val="24"/>
                <w:highlight w:val="none"/>
                <w:lang w:val="en-US" w:eastAsia="zh-CN" w:bidi="ar"/>
              </w:rPr>
              <w:t>m</w:t>
            </w:r>
            <w:r>
              <w:rPr>
                <w:rFonts w:hint="eastAsia" w:ascii="宋体" w:hAnsi="宋体" w:eastAsia="宋体" w:cs="宋体"/>
                <w:color w:val="auto"/>
                <w:kern w:val="0"/>
                <w:sz w:val="24"/>
                <w:szCs w:val="24"/>
                <w:highlight w:val="none"/>
                <w:lang w:val="en-US" w:eastAsia="zh-CN" w:bidi="ar"/>
              </w:rPr>
              <w:t xml:space="preserve">³，未来矿山根据采剥计划可将剥离覆土堆放于排土场内，总体上排土场与剥离量能够匹配，不致造成堆土高度过高。 </w:t>
            </w:r>
          </w:p>
          <w:p w14:paraId="4FEDAE41">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矿山采用露天开采方式，开采时先对覆盖土进行剥离，从剥离体成分和种类看，主要是粘土，后续可用于矿区的道路建设、复绿、复垦，尽可能充分利用，可有效降低排土场的实际排土量。 </w:t>
            </w:r>
          </w:p>
          <w:p w14:paraId="3DD53870">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排土采用汽车</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推土机作业方式；汽车运输至排土场，通过推土机转排、逐层压实，最终边坡和分层平台自下而上堆积，排弃堆置。 </w:t>
            </w:r>
          </w:p>
          <w:p w14:paraId="39A98A5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排土场水土保持措施： </w:t>
            </w:r>
          </w:p>
          <w:p w14:paraId="45E70032">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）清除原始植被层，底板铺垫大块废石垫层厚</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1.5m</w:t>
            </w:r>
            <w:r>
              <w:rPr>
                <w:rFonts w:hint="eastAsia" w:ascii="宋体" w:hAnsi="宋体" w:eastAsia="宋体" w:cs="宋体"/>
                <w:color w:val="auto"/>
                <w:kern w:val="0"/>
                <w:sz w:val="24"/>
                <w:szCs w:val="24"/>
                <w:highlight w:val="none"/>
                <w:lang w:val="en-US" w:eastAsia="zh-CN" w:bidi="ar"/>
              </w:rPr>
              <w:t xml:space="preserve">，以利于渗水和预防泥石流； </w:t>
            </w:r>
          </w:p>
          <w:p w14:paraId="1C6F96C6">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）坡底修筑挡土墙，防止泥砂外溢； </w:t>
            </w:r>
          </w:p>
          <w:p w14:paraId="67DC613A">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）排土场上游修筑截水沟，防止外部山坡径流侵袭排土场； </w:t>
            </w:r>
          </w:p>
          <w:p w14:paraId="4713AF8D">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 xml:space="preserve">）最终边坡的平台，均要设置排水沟，与境界外截排水沟贯通，防止形成边坡径流； </w:t>
            </w:r>
          </w:p>
          <w:p w14:paraId="0EAD8478">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）排土场下游修筑透水拦截坝，高</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5m</w:t>
            </w:r>
            <w:r>
              <w:rPr>
                <w:rFonts w:hint="eastAsia" w:ascii="宋体" w:hAnsi="宋体" w:eastAsia="宋体" w:cs="宋体"/>
                <w:color w:val="auto"/>
                <w:kern w:val="0"/>
                <w:sz w:val="24"/>
                <w:szCs w:val="24"/>
                <w:highlight w:val="none"/>
                <w:lang w:val="en-US" w:eastAsia="zh-CN" w:bidi="ar"/>
              </w:rPr>
              <w:t xml:space="preserve">； </w:t>
            </w:r>
          </w:p>
          <w:p w14:paraId="10633CBC">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 xml:space="preserve">）下部设沉淀池，排土场土场渗水经沉淀达标后方能外排。 </w:t>
            </w:r>
          </w:p>
          <w:p w14:paraId="1DB9E54C">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挡土墙设计： </w:t>
            </w:r>
          </w:p>
          <w:p w14:paraId="6BF10E6C">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设计在排土场下方（北侧）设置挡土墙，长度约</w:t>
            </w:r>
            <w:r>
              <w:rPr>
                <w:rFonts w:hint="default" w:ascii="Times New Roman" w:hAnsi="Times New Roman" w:eastAsia="宋体" w:cs="Times New Roman"/>
                <w:color w:val="auto"/>
                <w:kern w:val="0"/>
                <w:sz w:val="24"/>
                <w:szCs w:val="24"/>
                <w:highlight w:val="none"/>
                <w:lang w:val="en-US" w:eastAsia="zh-CN" w:bidi="ar"/>
              </w:rPr>
              <w:t>114m</w:t>
            </w:r>
            <w:r>
              <w:rPr>
                <w:rFonts w:hint="eastAsia" w:ascii="宋体" w:hAnsi="宋体" w:eastAsia="宋体" w:cs="宋体"/>
                <w:color w:val="auto"/>
                <w:kern w:val="0"/>
                <w:sz w:val="24"/>
                <w:szCs w:val="24"/>
                <w:highlight w:val="none"/>
                <w:lang w:val="en-US" w:eastAsia="zh-CN" w:bidi="ar"/>
              </w:rPr>
              <w:t>。挡土墙设置按照《滑坡防治工程设计与施工技术规范》</w:t>
            </w:r>
            <w:r>
              <w:rPr>
                <w:rFonts w:hint="default" w:ascii="Times New Roman" w:hAnsi="Times New Roman" w:eastAsia="宋体" w:cs="Times New Roman"/>
                <w:color w:val="auto"/>
                <w:kern w:val="0"/>
                <w:sz w:val="24"/>
                <w:szCs w:val="24"/>
                <w:highlight w:val="none"/>
                <w:lang w:val="en-US" w:eastAsia="zh-CN" w:bidi="ar"/>
              </w:rPr>
              <w:t>DZ/T0219-2006</w:t>
            </w:r>
            <w:r>
              <w:rPr>
                <w:rFonts w:hint="eastAsia" w:ascii="宋体" w:hAnsi="宋体" w:eastAsia="宋体" w:cs="宋体"/>
                <w:color w:val="auto"/>
                <w:kern w:val="0"/>
                <w:sz w:val="24"/>
                <w:szCs w:val="24"/>
                <w:highlight w:val="none"/>
                <w:lang w:val="en-US" w:eastAsia="zh-CN" w:bidi="ar"/>
              </w:rPr>
              <w:t>要求，需经安全应急部门的审批。采用仰斜式结构重力式挡土墙，墙体采用浆砌石砌体，外侧竖直，内侧面坡比</w:t>
            </w:r>
            <w:r>
              <w:rPr>
                <w:rFonts w:hint="default" w:ascii="Times New Roman" w:hAnsi="Times New Roman" w:eastAsia="宋体" w:cs="Times New Roman"/>
                <w:color w:val="auto"/>
                <w:kern w:val="0"/>
                <w:sz w:val="24"/>
                <w:szCs w:val="24"/>
                <w:highlight w:val="none"/>
                <w:lang w:val="en-US" w:eastAsia="zh-CN" w:bidi="ar"/>
              </w:rPr>
              <w:t>1:0.33</w:t>
            </w:r>
            <w:r>
              <w:rPr>
                <w:rFonts w:hint="eastAsia" w:ascii="宋体" w:hAnsi="宋体" w:eastAsia="宋体" w:cs="宋体"/>
                <w:color w:val="auto"/>
                <w:kern w:val="0"/>
                <w:sz w:val="24"/>
                <w:szCs w:val="24"/>
                <w:highlight w:val="none"/>
                <w:lang w:val="en-US" w:eastAsia="zh-CN" w:bidi="ar"/>
              </w:rPr>
              <w:t>，墙体高</w:t>
            </w:r>
            <w:r>
              <w:rPr>
                <w:rFonts w:hint="default" w:ascii="Times New Roman" w:hAnsi="Times New Roman" w:eastAsia="宋体" w:cs="Times New Roman"/>
                <w:color w:val="auto"/>
                <w:kern w:val="0"/>
                <w:sz w:val="24"/>
                <w:szCs w:val="24"/>
                <w:highlight w:val="none"/>
                <w:lang w:val="en-US" w:eastAsia="zh-CN" w:bidi="ar"/>
              </w:rPr>
              <w:t>3~5m</w:t>
            </w:r>
            <w:r>
              <w:rPr>
                <w:rFonts w:hint="eastAsia" w:ascii="宋体" w:hAnsi="宋体" w:eastAsia="宋体" w:cs="宋体"/>
                <w:color w:val="auto"/>
                <w:kern w:val="0"/>
                <w:sz w:val="24"/>
                <w:szCs w:val="24"/>
                <w:highlight w:val="none"/>
                <w:lang w:val="en-US" w:eastAsia="zh-CN" w:bidi="ar"/>
              </w:rPr>
              <w:t>（具体高度视实际情况而定），基础埋深</w:t>
            </w:r>
            <w:r>
              <w:rPr>
                <w:rFonts w:hint="default" w:ascii="Times New Roman" w:hAnsi="Times New Roman" w:eastAsia="宋体" w:cs="Times New Roman"/>
                <w:color w:val="auto"/>
                <w:kern w:val="0"/>
                <w:sz w:val="24"/>
                <w:szCs w:val="24"/>
                <w:highlight w:val="none"/>
                <w:lang w:val="en-US" w:eastAsia="zh-CN" w:bidi="ar"/>
              </w:rPr>
              <w:t>≥0.6m</w:t>
            </w:r>
            <w:r>
              <w:rPr>
                <w:rFonts w:hint="eastAsia" w:ascii="宋体" w:hAnsi="宋体" w:eastAsia="宋体" w:cs="宋体"/>
                <w:color w:val="auto"/>
                <w:kern w:val="0"/>
                <w:sz w:val="24"/>
                <w:szCs w:val="24"/>
                <w:highlight w:val="none"/>
                <w:lang w:val="en-US" w:eastAsia="zh-CN" w:bidi="ar"/>
              </w:rPr>
              <w:t>；在挡土墙体内每隔</w:t>
            </w:r>
            <w:r>
              <w:rPr>
                <w:rFonts w:hint="default" w:ascii="Times New Roman" w:hAnsi="Times New Roman" w:eastAsia="宋体" w:cs="Times New Roman"/>
                <w:color w:val="auto"/>
                <w:kern w:val="0"/>
                <w:sz w:val="24"/>
                <w:szCs w:val="24"/>
                <w:highlight w:val="none"/>
                <w:lang w:val="en-US" w:eastAsia="zh-CN" w:bidi="ar"/>
              </w:rPr>
              <w:t>2.5m</w:t>
            </w:r>
            <w:r>
              <w:rPr>
                <w:rFonts w:hint="eastAsia" w:ascii="宋体" w:hAnsi="宋体" w:eastAsia="宋体" w:cs="宋体"/>
                <w:color w:val="auto"/>
                <w:kern w:val="0"/>
                <w:sz w:val="24"/>
                <w:szCs w:val="24"/>
                <w:highlight w:val="none"/>
                <w:lang w:val="en-US" w:eastAsia="zh-CN" w:bidi="ar"/>
              </w:rPr>
              <w:t>设置泄水孔，呈梅花状布置，设置</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排，泄水孔采用</w:t>
            </w:r>
            <w:r>
              <w:rPr>
                <w:rFonts w:hint="default" w:ascii="Times New Roman" w:hAnsi="Times New Roman" w:eastAsia="宋体" w:cs="Times New Roman"/>
                <w:color w:val="auto"/>
                <w:kern w:val="0"/>
                <w:sz w:val="24"/>
                <w:szCs w:val="24"/>
                <w:highlight w:val="none"/>
                <w:lang w:val="en-US" w:eastAsia="zh-CN" w:bidi="ar"/>
              </w:rPr>
              <w:t>φ110mmPVC</w:t>
            </w:r>
            <w:r>
              <w:rPr>
                <w:rFonts w:hint="eastAsia" w:ascii="宋体" w:hAnsi="宋体" w:eastAsia="宋体" w:cs="宋体"/>
                <w:color w:val="auto"/>
                <w:kern w:val="0"/>
                <w:sz w:val="24"/>
                <w:szCs w:val="24"/>
                <w:highlight w:val="none"/>
                <w:lang w:val="en-US" w:eastAsia="zh-CN" w:bidi="ar"/>
              </w:rPr>
              <w:t>管，进水口铺设</w:t>
            </w:r>
            <w:r>
              <w:rPr>
                <w:rFonts w:hint="default" w:ascii="Times New Roman" w:hAnsi="Times New Roman" w:eastAsia="宋体" w:cs="Times New Roman"/>
                <w:color w:val="auto"/>
                <w:kern w:val="0"/>
                <w:sz w:val="24"/>
                <w:szCs w:val="24"/>
                <w:highlight w:val="none"/>
                <w:lang w:val="en-US" w:eastAsia="zh-CN" w:bidi="ar"/>
              </w:rPr>
              <w:t>300mm×300m</w:t>
            </w:r>
            <w:r>
              <w:rPr>
                <w:rFonts w:hint="eastAsia" w:ascii="宋体" w:hAnsi="宋体" w:eastAsia="宋体" w:cs="宋体"/>
                <w:color w:val="auto"/>
                <w:kern w:val="0"/>
                <w:sz w:val="24"/>
                <w:szCs w:val="24"/>
                <w:highlight w:val="none"/>
                <w:lang w:val="en-US" w:eastAsia="zh-CN" w:bidi="ar"/>
              </w:rPr>
              <w:t>砂卵石滤层，以防堵塞；每隔</w:t>
            </w:r>
            <w:r>
              <w:rPr>
                <w:rFonts w:hint="default" w:ascii="Times New Roman" w:hAnsi="Times New Roman" w:eastAsia="宋体" w:cs="Times New Roman"/>
                <w:color w:val="auto"/>
                <w:kern w:val="0"/>
                <w:sz w:val="24"/>
                <w:szCs w:val="24"/>
                <w:highlight w:val="none"/>
                <w:lang w:val="en-US" w:eastAsia="zh-CN" w:bidi="ar"/>
              </w:rPr>
              <w:t>10m</w:t>
            </w:r>
            <w:r>
              <w:rPr>
                <w:rFonts w:hint="eastAsia" w:ascii="宋体" w:hAnsi="宋体" w:eastAsia="宋体" w:cs="宋体"/>
                <w:color w:val="auto"/>
                <w:kern w:val="0"/>
                <w:sz w:val="24"/>
                <w:szCs w:val="24"/>
                <w:highlight w:val="none"/>
                <w:lang w:val="en-US" w:eastAsia="zh-CN" w:bidi="ar"/>
              </w:rPr>
              <w:t>留一条伸缩缝，下游设计泄水涵洞。</w:t>
            </w:r>
          </w:p>
          <w:p w14:paraId="43E1B7C9">
            <w:pPr>
              <w:ind w:left="0" w:leftChars="0" w:firstLine="0" w:firstLineChars="0"/>
              <w:jc w:val="center"/>
              <w:rPr>
                <w:color w:val="auto"/>
                <w:highlight w:val="none"/>
              </w:rPr>
            </w:pPr>
            <w:r>
              <w:rPr>
                <w:color w:val="auto"/>
                <w:highlight w:val="none"/>
              </w:rPr>
              <w:drawing>
                <wp:inline distT="0" distB="0" distL="114300" distR="114300">
                  <wp:extent cx="4333875" cy="4006850"/>
                  <wp:effectExtent l="0" t="0" r="9525" b="127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4"/>
                          <a:stretch>
                            <a:fillRect/>
                          </a:stretch>
                        </pic:blipFill>
                        <pic:spPr>
                          <a:xfrm>
                            <a:off x="0" y="0"/>
                            <a:ext cx="4333875" cy="4006850"/>
                          </a:xfrm>
                          <a:prstGeom prst="rect">
                            <a:avLst/>
                          </a:prstGeom>
                          <a:noFill/>
                          <a:ln>
                            <a:noFill/>
                          </a:ln>
                        </pic:spPr>
                      </pic:pic>
                    </a:graphicData>
                  </a:graphic>
                </wp:inline>
              </w:drawing>
            </w:r>
          </w:p>
          <w:p w14:paraId="5D9E65C0">
            <w:pPr>
              <w:ind w:left="0" w:leftChars="0" w:firstLine="0" w:firstLineChars="0"/>
              <w:jc w:val="center"/>
              <w:rPr>
                <w:rFonts w:hint="default" w:ascii="Times New Roman" w:hAnsi="Times New Roman" w:cs="Times New Roman"/>
                <w:color w:val="auto"/>
                <w:highlight w:val="none"/>
              </w:rPr>
            </w:pPr>
            <w:r>
              <w:rPr>
                <w:rFonts w:hint="eastAsia" w:cs="Times New Roman"/>
                <w:b/>
                <w:bCs/>
                <w:i w:val="0"/>
                <w:iCs w:val="0"/>
                <w:color w:val="auto"/>
                <w:sz w:val="21"/>
                <w:szCs w:val="21"/>
                <w:highlight w:val="none"/>
                <w:lang w:val="en-US" w:eastAsia="zh-CN"/>
              </w:rPr>
              <w:t xml:space="preserve">图2-2  </w:t>
            </w:r>
            <w:r>
              <w:rPr>
                <w:rFonts w:hint="eastAsia" w:ascii="宋体" w:hAnsi="宋体" w:eastAsia="宋体" w:cs="宋体"/>
                <w:b/>
                <w:bCs/>
                <w:color w:val="auto"/>
                <w:kern w:val="0"/>
                <w:sz w:val="21"/>
                <w:szCs w:val="21"/>
                <w:highlight w:val="none"/>
                <w:lang w:val="en-US" w:eastAsia="zh-CN" w:bidi="ar"/>
              </w:rPr>
              <w:t>挡土墙设计断面示意图（单位：mm）</w:t>
            </w:r>
          </w:p>
          <w:p w14:paraId="15676B91">
            <w:pPr>
              <w:ind w:firstLine="0" w:firstLineChars="0"/>
              <w:rPr>
                <w:rFonts w:hint="eastAsia" w:ascii="Times New Roman" w:hAnsi="Times New Roman" w:cs="Times New Roman"/>
                <w:b/>
                <w:bCs/>
                <w:color w:val="auto"/>
                <w:highlight w:val="none"/>
                <w:lang w:val="en-US" w:eastAsia="zh-CN"/>
              </w:rPr>
            </w:pPr>
            <w:r>
              <w:rPr>
                <w:rFonts w:hint="eastAsia" w:cs="Times New Roman"/>
                <w:b/>
                <w:bCs/>
                <w:color w:val="auto"/>
                <w:highlight w:val="none"/>
                <w:lang w:val="en-US" w:eastAsia="zh-CN"/>
              </w:rPr>
              <w:t>1</w:t>
            </w:r>
            <w:r>
              <w:rPr>
                <w:rFonts w:hint="eastAsia" w:ascii="Times New Roman" w:hAnsi="Times New Roman" w:cs="Times New Roman"/>
                <w:b/>
                <w:bCs/>
                <w:color w:val="auto"/>
                <w:highlight w:val="none"/>
                <w:lang w:val="en-US" w:eastAsia="zh-CN"/>
              </w:rPr>
              <w:t>、</w:t>
            </w:r>
            <w:r>
              <w:rPr>
                <w:rFonts w:hint="eastAsia" w:cs="Times New Roman"/>
                <w:b/>
                <w:bCs/>
                <w:color w:val="auto"/>
                <w:highlight w:val="none"/>
                <w:lang w:val="en-US" w:eastAsia="zh-CN"/>
              </w:rPr>
              <w:t>施工</w:t>
            </w:r>
            <w:r>
              <w:rPr>
                <w:rFonts w:hint="eastAsia" w:ascii="Times New Roman" w:hAnsi="Times New Roman" w:cs="Times New Roman"/>
                <w:b/>
                <w:bCs/>
                <w:color w:val="auto"/>
                <w:highlight w:val="none"/>
                <w:lang w:val="en-US" w:eastAsia="zh-CN"/>
              </w:rPr>
              <w:t>期工艺流程</w:t>
            </w:r>
          </w:p>
          <w:p w14:paraId="1D96869E">
            <w:pP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石灰岩矿山露天开采工程，主要包括矿区工作平台、截排水沟等配套设施建设。因此，施工期对环境的影响主要表现为施工作业对地表水环境、大气环境、声环境、生态环境等的影响，如施工机械噪声，施工弃渣，施工人员生活污水，生活垃圾，以及对建设区的生态破坏等。</w:t>
            </w:r>
          </w:p>
          <w:p w14:paraId="722D5C49">
            <w:pPr>
              <w:ind w:firstLine="0" w:firstLineChars="0"/>
              <w:jc w:val="center"/>
              <w:rPr>
                <w:rFonts w:hint="eastAsia" w:cs="Times New Roman"/>
                <w:b/>
                <w:bCs/>
                <w:color w:val="auto"/>
                <w:highlight w:val="none"/>
                <w:lang w:val="en-US" w:eastAsia="zh-CN"/>
              </w:rPr>
            </w:pPr>
            <w:r>
              <w:rPr>
                <w:rFonts w:hint="eastAsia" w:cs="Times New Roman"/>
                <w:b/>
                <w:bCs/>
                <w:color w:val="auto"/>
                <w:highlight w:val="none"/>
                <w:lang w:val="en-US" w:eastAsia="zh-CN"/>
              </w:rPr>
              <w:object>
                <v:shape id="_x0000_i1025" o:spt="75" type="#_x0000_t75" style="height:181.8pt;width:162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p w14:paraId="110D8F9C">
            <w:pPr>
              <w:ind w:firstLine="0" w:firstLineChars="0"/>
              <w:jc w:val="center"/>
              <w:rPr>
                <w:rFonts w:hint="eastAsia" w:cs="Times New Roman"/>
                <w:b/>
                <w:bCs/>
                <w:i w:val="0"/>
                <w:iCs w:val="0"/>
                <w:color w:val="auto"/>
                <w:sz w:val="21"/>
                <w:szCs w:val="21"/>
                <w:highlight w:val="none"/>
                <w:lang w:val="en-US" w:eastAsia="zh-CN"/>
              </w:rPr>
            </w:pPr>
            <w:r>
              <w:rPr>
                <w:rFonts w:hint="eastAsia" w:cs="Times New Roman"/>
                <w:b/>
                <w:bCs/>
                <w:i w:val="0"/>
                <w:iCs w:val="0"/>
                <w:color w:val="auto"/>
                <w:sz w:val="21"/>
                <w:szCs w:val="21"/>
                <w:highlight w:val="none"/>
                <w:lang w:val="en-US" w:eastAsia="zh-CN"/>
              </w:rPr>
              <w:t>图2-2  施工期工艺流程及产污环节图</w:t>
            </w:r>
          </w:p>
          <w:p w14:paraId="700B0458">
            <w:pPr>
              <w:ind w:firstLine="0" w:firstLineChars="0"/>
              <w:rPr>
                <w:rFonts w:hint="eastAsia" w:cs="Times New Roman"/>
                <w:b/>
                <w:bCs/>
                <w:color w:val="auto"/>
                <w:highlight w:val="none"/>
                <w:lang w:val="en-US" w:eastAsia="zh-CN"/>
              </w:rPr>
            </w:pPr>
            <w:r>
              <w:rPr>
                <w:rFonts w:hint="eastAsia" w:cs="Times New Roman"/>
                <w:b/>
                <w:bCs/>
                <w:color w:val="auto"/>
                <w:highlight w:val="none"/>
                <w:lang w:val="en-US" w:eastAsia="zh-CN"/>
              </w:rPr>
              <w:t>2、施工时序</w:t>
            </w:r>
          </w:p>
          <w:p w14:paraId="4C98A60E">
            <w:pP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施工时序先后为矿区工作平台、矿区截排水沟建设</w:t>
            </w:r>
            <w:r>
              <w:rPr>
                <w:rFonts w:hint="eastAsia" w:cs="Times New Roman"/>
                <w:color w:val="auto"/>
                <w:highlight w:val="none"/>
                <w:lang w:val="en-US" w:eastAsia="zh-CN"/>
              </w:rPr>
              <w:t>，配套进行污水沉淀池建设等</w:t>
            </w:r>
            <w:r>
              <w:rPr>
                <w:rFonts w:hint="eastAsia" w:ascii="Times New Roman" w:hAnsi="Times New Roman" w:cs="Times New Roman"/>
                <w:color w:val="auto"/>
                <w:highlight w:val="none"/>
                <w:lang w:val="en-US" w:eastAsia="zh-CN"/>
              </w:rPr>
              <w:t>。</w:t>
            </w:r>
          </w:p>
          <w:p w14:paraId="0D493459">
            <w:pPr>
              <w:ind w:firstLine="0" w:firstLineChars="0"/>
              <w:rPr>
                <w:rFonts w:hint="eastAsia" w:cs="Times New Roman"/>
                <w:b/>
                <w:bCs/>
                <w:color w:val="auto"/>
                <w:highlight w:val="none"/>
                <w:lang w:val="en-US" w:eastAsia="zh-CN"/>
              </w:rPr>
            </w:pPr>
            <w:r>
              <w:rPr>
                <w:rFonts w:hint="eastAsia" w:cs="Times New Roman"/>
                <w:b/>
                <w:bCs/>
                <w:color w:val="auto"/>
                <w:highlight w:val="none"/>
                <w:lang w:val="en-US" w:eastAsia="zh-CN"/>
              </w:rPr>
              <w:t>3、建设周期</w:t>
            </w:r>
          </w:p>
          <w:p w14:paraId="1B790998">
            <w:pPr>
              <w:ind w:firstLine="48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由于本项目特殊性，采用</w:t>
            </w:r>
            <w:r>
              <w:rPr>
                <w:rFonts w:hint="eastAsia" w:cs="Times New Roman"/>
                <w:color w:val="auto"/>
                <w:highlight w:val="none"/>
                <w:lang w:val="en-US" w:eastAsia="zh-CN"/>
              </w:rPr>
              <w:t>边</w:t>
            </w:r>
            <w:r>
              <w:rPr>
                <w:rFonts w:hint="eastAsia" w:ascii="Times New Roman" w:hAnsi="Times New Roman" w:cs="Times New Roman"/>
                <w:color w:val="auto"/>
                <w:highlight w:val="none"/>
                <w:lang w:val="en-US" w:eastAsia="zh-CN"/>
              </w:rPr>
              <w:t>开采</w:t>
            </w:r>
            <w:r>
              <w:rPr>
                <w:rFonts w:hint="eastAsia" w:cs="Times New Roman"/>
                <w:color w:val="auto"/>
                <w:highlight w:val="none"/>
                <w:lang w:val="en-US" w:eastAsia="zh-CN"/>
              </w:rPr>
              <w:t>边</w:t>
            </w:r>
            <w:r>
              <w:rPr>
                <w:rFonts w:hint="eastAsia" w:ascii="Times New Roman" w:hAnsi="Times New Roman" w:cs="Times New Roman"/>
                <w:color w:val="auto"/>
                <w:highlight w:val="none"/>
                <w:lang w:val="en-US" w:eastAsia="zh-CN"/>
              </w:rPr>
              <w:t>复垦，</w:t>
            </w:r>
            <w:r>
              <w:rPr>
                <w:rFonts w:hint="eastAsia" w:cs="Times New Roman"/>
                <w:color w:val="auto"/>
                <w:highlight w:val="none"/>
                <w:lang w:val="en-US" w:eastAsia="zh-CN"/>
              </w:rPr>
              <w:t>所以</w:t>
            </w:r>
            <w:r>
              <w:rPr>
                <w:rFonts w:hint="eastAsia" w:ascii="Times New Roman" w:hAnsi="Times New Roman" w:cs="Times New Roman"/>
                <w:color w:val="auto"/>
                <w:highlight w:val="none"/>
                <w:lang w:val="en-US" w:eastAsia="zh-CN"/>
              </w:rPr>
              <w:t>建设周期为整个运营期。</w:t>
            </w:r>
          </w:p>
          <w:p w14:paraId="547E859C">
            <w:pPr>
              <w:ind w:firstLine="0" w:firstLineChars="0"/>
              <w:rPr>
                <w:rFonts w:hint="eastAsia" w:ascii="Times New Roman" w:hAnsi="Times New Roman" w:cs="Times New Roman"/>
                <w:b/>
                <w:bCs/>
                <w:color w:val="auto"/>
                <w:highlight w:val="none"/>
                <w:lang w:val="en-US" w:eastAsia="zh-CN"/>
              </w:rPr>
            </w:pPr>
            <w:r>
              <w:rPr>
                <w:rFonts w:hint="eastAsia" w:cs="Times New Roman"/>
                <w:b/>
                <w:bCs/>
                <w:color w:val="auto"/>
                <w:highlight w:val="none"/>
                <w:lang w:val="en-US" w:eastAsia="zh-CN"/>
              </w:rPr>
              <w:t>4</w:t>
            </w:r>
            <w:r>
              <w:rPr>
                <w:rFonts w:hint="eastAsia" w:ascii="Times New Roman" w:hAnsi="Times New Roman" w:cs="Times New Roman"/>
                <w:b/>
                <w:bCs/>
                <w:color w:val="auto"/>
                <w:highlight w:val="none"/>
                <w:lang w:val="en-US" w:eastAsia="zh-CN"/>
              </w:rPr>
              <w:t>、运营期工艺流程</w:t>
            </w:r>
          </w:p>
          <w:p w14:paraId="3A41A04D">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（1）矿山开采工艺流程</w:t>
            </w:r>
          </w:p>
          <w:p w14:paraId="293AEDE3">
            <w:pPr>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6" o:spt="75" type="#_x0000_t75" style="height:323.4pt;width:343.65pt;" o:ole="t" filled="f" o:preferrelative="t" stroked="f" coordsize="21600,21600">
                  <v:path/>
                  <v:fill on="f" focussize="0,0"/>
                  <v:stroke on="f"/>
                  <v:imagedata r:id="rId18" o:title=""/>
                  <o:lock v:ext="edit" aspectratio="f"/>
                  <w10:wrap type="none"/>
                  <w10:anchorlock/>
                </v:shape>
                <o:OLEObject Type="Embed" ProgID="Visio.Drawing.11" ShapeID="_x0000_i1026" DrawAspect="Content" ObjectID="_1468075726" r:id="rId17">
                  <o:LockedField>false</o:LockedField>
                </o:OLEObject>
              </w:object>
            </w:r>
          </w:p>
          <w:p w14:paraId="2D1736B1">
            <w:pPr>
              <w:ind w:left="0" w:leftChars="0" w:firstLine="0" w:firstLineChars="0"/>
              <w:jc w:val="center"/>
              <w:rPr>
                <w:rFonts w:hint="default" w:ascii="Times New Roman" w:hAnsi="Times New Roman" w:cs="Times New Roman"/>
                <w:color w:val="auto"/>
                <w:highlight w:val="none"/>
                <w:u w:val="single"/>
              </w:rPr>
            </w:pPr>
            <w:r>
              <w:rPr>
                <w:rFonts w:hint="default" w:cs="Times New Roman"/>
                <w:b/>
                <w:bCs/>
                <w:color w:val="auto"/>
                <w:sz w:val="21"/>
                <w:szCs w:val="21"/>
                <w:highlight w:val="none"/>
                <w:u w:val="single"/>
                <w:lang w:val="en-US" w:eastAsia="zh-CN"/>
              </w:rPr>
              <w:t>图</w:t>
            </w:r>
            <w:r>
              <w:rPr>
                <w:rFonts w:hint="eastAsia" w:cs="Times New Roman"/>
                <w:b/>
                <w:bCs/>
                <w:color w:val="auto"/>
                <w:sz w:val="21"/>
                <w:szCs w:val="21"/>
                <w:highlight w:val="none"/>
                <w:u w:val="single"/>
                <w:lang w:val="en-US" w:eastAsia="zh-CN"/>
              </w:rPr>
              <w:t>2</w:t>
            </w:r>
            <w:r>
              <w:rPr>
                <w:rFonts w:hint="default" w:cs="Times New Roman"/>
                <w:b/>
                <w:bCs/>
                <w:color w:val="auto"/>
                <w:sz w:val="21"/>
                <w:szCs w:val="21"/>
                <w:highlight w:val="none"/>
                <w:u w:val="single"/>
                <w:lang w:val="en-US" w:eastAsia="zh-CN"/>
              </w:rPr>
              <w:t>-</w:t>
            </w:r>
            <w:r>
              <w:rPr>
                <w:rFonts w:hint="eastAsia" w:cs="Times New Roman"/>
                <w:b/>
                <w:bCs/>
                <w:color w:val="auto"/>
                <w:sz w:val="21"/>
                <w:szCs w:val="21"/>
                <w:highlight w:val="none"/>
                <w:u w:val="single"/>
                <w:lang w:val="en-US" w:eastAsia="zh-CN"/>
              </w:rPr>
              <w:t>3</w:t>
            </w:r>
            <w:r>
              <w:rPr>
                <w:rFonts w:hint="default" w:cs="Times New Roman"/>
                <w:b/>
                <w:bCs/>
                <w:color w:val="auto"/>
                <w:sz w:val="21"/>
                <w:szCs w:val="21"/>
                <w:highlight w:val="none"/>
                <w:u w:val="single"/>
                <w:lang w:val="en-US" w:eastAsia="zh-CN"/>
              </w:rPr>
              <w:t xml:space="preserve"> </w:t>
            </w:r>
            <w:r>
              <w:rPr>
                <w:rFonts w:hint="eastAsia" w:cs="Times New Roman"/>
                <w:b/>
                <w:bCs/>
                <w:color w:val="auto"/>
                <w:sz w:val="21"/>
                <w:szCs w:val="21"/>
                <w:highlight w:val="none"/>
                <w:u w:val="single"/>
                <w:lang w:val="en-US" w:eastAsia="zh-CN"/>
              </w:rPr>
              <w:t xml:space="preserve"> </w:t>
            </w:r>
            <w:r>
              <w:rPr>
                <w:rFonts w:hint="default" w:cs="Times New Roman"/>
                <w:b/>
                <w:bCs/>
                <w:color w:val="auto"/>
                <w:sz w:val="21"/>
                <w:szCs w:val="21"/>
                <w:highlight w:val="none"/>
                <w:u w:val="single"/>
                <w:lang w:val="en-US" w:eastAsia="zh-CN"/>
              </w:rPr>
              <w:t>营运期</w:t>
            </w:r>
            <w:r>
              <w:rPr>
                <w:rFonts w:hint="eastAsia" w:cs="Times New Roman"/>
                <w:b/>
                <w:bCs/>
                <w:color w:val="auto"/>
                <w:sz w:val="21"/>
                <w:szCs w:val="21"/>
                <w:highlight w:val="none"/>
                <w:u w:val="single"/>
                <w:lang w:val="en-US" w:eastAsia="zh-CN"/>
              </w:rPr>
              <w:t>矿山开采</w:t>
            </w:r>
            <w:r>
              <w:rPr>
                <w:rFonts w:hint="default" w:cs="Times New Roman"/>
                <w:b/>
                <w:bCs/>
                <w:color w:val="auto"/>
                <w:sz w:val="21"/>
                <w:szCs w:val="21"/>
                <w:highlight w:val="none"/>
                <w:u w:val="single"/>
                <w:lang w:val="en-US" w:eastAsia="zh-CN"/>
              </w:rPr>
              <w:t>工艺流程及产污环节示意图</w:t>
            </w:r>
          </w:p>
          <w:p w14:paraId="281761D9">
            <w:pPr>
              <w:ind w:firstLine="48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工艺流程说明：</w:t>
            </w:r>
          </w:p>
          <w:p w14:paraId="70BC7EB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表土剥离：项目矿山矿层上部主要为第四系表土，采用挖掘机剥离，剥离产生的表土堆放至</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w:t>
            </w:r>
          </w:p>
          <w:p w14:paraId="494F64B3">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凿岩钻孔：根据矿石机械物理性能及矿山生产能力，采用潜孔钻机进行穿孔作业。</w:t>
            </w:r>
          </w:p>
          <w:p w14:paraId="3FE7114E">
            <w:pPr>
              <w:keepNext w:val="0"/>
              <w:keepLines w:val="0"/>
              <w:widowControl/>
              <w:suppressLineNumbers w:val="0"/>
              <w:jc w:val="left"/>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爆破</w:t>
            </w:r>
            <w:r>
              <w:rPr>
                <w:rFonts w:hint="default" w:ascii="Times New Roman" w:hAnsi="Times New Roman" w:cs="Times New Roman"/>
                <w:color w:val="auto"/>
                <w:highlight w:val="none"/>
                <w:u w:val="single"/>
              </w:rPr>
              <w:t>：</w:t>
            </w:r>
            <w:r>
              <w:rPr>
                <w:rFonts w:hint="eastAsia" w:ascii="宋体" w:hAnsi="宋体" w:eastAsia="宋体" w:cs="宋体"/>
                <w:color w:val="auto"/>
                <w:kern w:val="0"/>
                <w:sz w:val="24"/>
                <w:szCs w:val="24"/>
                <w:highlight w:val="none"/>
                <w:u w:val="single"/>
                <w:lang w:val="en-US" w:eastAsia="zh-CN" w:bidi="ar"/>
              </w:rPr>
              <w:t>计采用深孔爆破，采用倾斜钻孔，布孔方式采用多排孔交错布置。采用毫秒延时爆破方法，起爆方式为数码雷管起爆。采用乳化炸药爆破</w:t>
            </w:r>
            <w:r>
              <w:rPr>
                <w:rFonts w:hint="default" w:ascii="Times New Roman" w:hAnsi="Times New Roman" w:cs="Times New Roman"/>
                <w:color w:val="auto"/>
                <w:highlight w:val="none"/>
                <w:u w:val="single"/>
              </w:rPr>
              <w:t>。</w:t>
            </w:r>
          </w:p>
          <w:p w14:paraId="18F8F196">
            <w:pPr>
              <w:ind w:firstLine="48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破碎锤破碎：针对开采过程中产生的大块矿石需采用破碎锤进行初步破碎，方便铲装及运输。</w:t>
            </w:r>
          </w:p>
          <w:p w14:paraId="7C43A297">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highlight w:val="none"/>
                <w:u w:val="single"/>
              </w:rPr>
              <w:t>铲装、运输：</w:t>
            </w:r>
            <w:r>
              <w:rPr>
                <w:rFonts w:hint="eastAsia" w:cs="Times New Roman"/>
                <w:color w:val="auto"/>
                <w:highlight w:val="none"/>
                <w:u w:val="single"/>
                <w:lang w:val="en-US" w:eastAsia="zh-CN"/>
              </w:rPr>
              <w:t>开采后</w:t>
            </w:r>
            <w:r>
              <w:rPr>
                <w:rFonts w:hint="default" w:ascii="Times New Roman" w:hAnsi="Times New Roman" w:cs="Times New Roman"/>
                <w:color w:val="auto"/>
                <w:highlight w:val="none"/>
                <w:u w:val="single"/>
              </w:rPr>
              <w:t>的石料直接采用挖掘机和装载机进行采装，然后运输至</w:t>
            </w:r>
            <w:r>
              <w:rPr>
                <w:rFonts w:hint="eastAsia" w:cs="Times New Roman"/>
                <w:color w:val="auto"/>
                <w:highlight w:val="none"/>
                <w:u w:val="single"/>
                <w:lang w:eastAsia="zh-CN"/>
              </w:rPr>
              <w:t>工业场地</w:t>
            </w:r>
            <w:r>
              <w:rPr>
                <w:rFonts w:hint="default" w:ascii="Times New Roman" w:hAnsi="Times New Roman" w:cs="Times New Roman"/>
                <w:color w:val="auto"/>
                <w:highlight w:val="none"/>
                <w:u w:val="single"/>
              </w:rPr>
              <w:t>进行后续加工。</w:t>
            </w:r>
          </w:p>
          <w:p w14:paraId="42146A84">
            <w:pPr>
              <w:numPr>
                <w:ilvl w:val="0"/>
                <w:numId w:val="0"/>
              </w:numPr>
              <w:ind w:firstLine="480" w:firstLineChars="20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（2）加工生产</w:t>
            </w:r>
            <w:r>
              <w:rPr>
                <w:rFonts w:hint="eastAsia" w:ascii="Times New Roman" w:hAnsi="Times New Roman" w:cs="Times New Roman"/>
                <w:color w:val="auto"/>
                <w:highlight w:val="none"/>
                <w:lang w:val="en-US" w:eastAsia="zh-CN"/>
              </w:rPr>
              <w:t>工艺流程</w:t>
            </w:r>
          </w:p>
          <w:p w14:paraId="1DA90FE3">
            <w:pPr>
              <w:ind w:left="0" w:leftChars="0"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rPr>
              <w:object>
                <v:shape id="_x0000_i1027" o:spt="75" type="#_x0000_t75" style="height:369.3pt;width:390.35pt;" o:ole="t" filled="f" o:preferrelative="t" stroked="f" coordsize="21600,21600">
                  <v:path/>
                  <v:fill on="f" focussize="0,0"/>
                  <v:stroke on="f"/>
                  <v:imagedata r:id="rId20" cropbottom="2555f" o:title=""/>
                  <o:lock v:ext="edit" aspectratio="f"/>
                  <w10:wrap type="none"/>
                  <w10:anchorlock/>
                </v:shape>
                <o:OLEObject Type="Embed" ProgID="Visio.Drawing.11" ShapeID="_x0000_i1027" DrawAspect="Content" ObjectID="_1468075727" r:id="rId19">
                  <o:LockedField>false</o:LockedField>
                </o:OLEObject>
              </w:object>
            </w:r>
          </w:p>
          <w:p w14:paraId="17509C1E">
            <w:pPr>
              <w:ind w:left="0" w:leftChars="0" w:firstLine="0" w:firstLineChars="0"/>
              <w:jc w:val="center"/>
              <w:rPr>
                <w:rFonts w:hint="default" w:cs="Times New Roman"/>
                <w:b/>
                <w:bCs/>
                <w:color w:val="auto"/>
                <w:sz w:val="21"/>
                <w:szCs w:val="21"/>
                <w:highlight w:val="none"/>
                <w:u w:val="single"/>
                <w:lang w:val="en-US" w:eastAsia="zh-CN"/>
              </w:rPr>
            </w:pPr>
            <w:r>
              <w:rPr>
                <w:rFonts w:hint="default" w:cs="Times New Roman"/>
                <w:b/>
                <w:bCs/>
                <w:color w:val="auto"/>
                <w:sz w:val="21"/>
                <w:szCs w:val="21"/>
                <w:highlight w:val="none"/>
                <w:u w:val="single"/>
                <w:lang w:val="en-US" w:eastAsia="zh-CN"/>
              </w:rPr>
              <w:t>图</w:t>
            </w:r>
            <w:r>
              <w:rPr>
                <w:rFonts w:hint="eastAsia" w:cs="Times New Roman"/>
                <w:b/>
                <w:bCs/>
                <w:color w:val="auto"/>
                <w:sz w:val="21"/>
                <w:szCs w:val="21"/>
                <w:highlight w:val="none"/>
                <w:u w:val="single"/>
                <w:lang w:val="en-US" w:eastAsia="zh-CN"/>
              </w:rPr>
              <w:t xml:space="preserve">2-4 </w:t>
            </w:r>
            <w:r>
              <w:rPr>
                <w:rFonts w:hint="default" w:cs="Times New Roman"/>
                <w:b/>
                <w:bCs/>
                <w:color w:val="auto"/>
                <w:sz w:val="21"/>
                <w:szCs w:val="21"/>
                <w:highlight w:val="none"/>
                <w:u w:val="single"/>
                <w:lang w:val="en-US" w:eastAsia="zh-CN"/>
              </w:rPr>
              <w:t xml:space="preserve"> 营运期</w:t>
            </w:r>
            <w:r>
              <w:rPr>
                <w:rFonts w:hint="eastAsia" w:cs="Times New Roman"/>
                <w:b/>
                <w:bCs/>
                <w:color w:val="auto"/>
                <w:sz w:val="21"/>
                <w:szCs w:val="21"/>
                <w:highlight w:val="none"/>
                <w:u w:val="single"/>
                <w:lang w:val="en-US" w:eastAsia="zh-CN"/>
              </w:rPr>
              <w:t>碎石加工</w:t>
            </w:r>
            <w:r>
              <w:rPr>
                <w:rFonts w:hint="default" w:cs="Times New Roman"/>
                <w:b/>
                <w:bCs/>
                <w:color w:val="auto"/>
                <w:sz w:val="21"/>
                <w:szCs w:val="21"/>
                <w:highlight w:val="none"/>
                <w:u w:val="single"/>
                <w:lang w:val="en-US" w:eastAsia="zh-CN"/>
              </w:rPr>
              <w:t>工艺流程及产污环节示意图</w:t>
            </w:r>
          </w:p>
          <w:p w14:paraId="4D7227C2">
            <w:pPr>
              <w:ind w:firstLine="480"/>
              <w:rPr>
                <w:rFonts w:hint="default" w:ascii="Times New Roman" w:hAnsi="Times New Roman" w:cs="Times New Roman"/>
                <w:b w:val="0"/>
                <w:bCs w:val="0"/>
                <w:color w:val="auto"/>
                <w:szCs w:val="24"/>
                <w:highlight w:val="none"/>
                <w:u w:val="single"/>
              </w:rPr>
            </w:pPr>
            <w:r>
              <w:rPr>
                <w:rFonts w:hint="default" w:ascii="Times New Roman" w:hAnsi="Times New Roman" w:cs="Times New Roman"/>
                <w:b w:val="0"/>
                <w:bCs w:val="0"/>
                <w:color w:val="auto"/>
                <w:szCs w:val="24"/>
                <w:highlight w:val="none"/>
                <w:u w:val="single"/>
              </w:rPr>
              <w:t>工艺流程说明：</w:t>
            </w:r>
          </w:p>
          <w:p w14:paraId="10576E85">
            <w:pPr>
              <w:ind w:firstLine="480"/>
              <w:rPr>
                <w:rFonts w:hint="default" w:ascii="Times New Roman" w:hAnsi="Times New Roman" w:cs="Times New Roman"/>
                <w:b w:val="0"/>
                <w:bCs w:val="0"/>
                <w:color w:val="auto"/>
                <w:szCs w:val="24"/>
                <w:highlight w:val="none"/>
                <w:u w:val="single"/>
              </w:rPr>
            </w:pPr>
            <w:r>
              <w:rPr>
                <w:rFonts w:hint="default" w:ascii="Times New Roman" w:hAnsi="Times New Roman" w:cs="Times New Roman"/>
                <w:b w:val="0"/>
                <w:bCs w:val="0"/>
                <w:color w:val="auto"/>
                <w:szCs w:val="24"/>
                <w:highlight w:val="none"/>
                <w:u w:val="single"/>
              </w:rPr>
              <w:t>对</w:t>
            </w:r>
            <w:r>
              <w:rPr>
                <w:rFonts w:hint="eastAsia" w:cs="Times New Roman"/>
                <w:b w:val="0"/>
                <w:bCs w:val="0"/>
                <w:color w:val="auto"/>
                <w:szCs w:val="24"/>
                <w:highlight w:val="none"/>
                <w:u w:val="single"/>
                <w:lang w:eastAsia="zh-CN"/>
              </w:rPr>
              <w:t>工业场地</w:t>
            </w:r>
            <w:r>
              <w:rPr>
                <w:rFonts w:hint="default" w:ascii="Times New Roman" w:hAnsi="Times New Roman" w:cs="Times New Roman"/>
                <w:b w:val="0"/>
                <w:bCs w:val="0"/>
                <w:color w:val="auto"/>
                <w:szCs w:val="24"/>
                <w:highlight w:val="none"/>
                <w:u w:val="single"/>
              </w:rPr>
              <w:t>内的小块石灰岩进行</w:t>
            </w:r>
            <w:r>
              <w:rPr>
                <w:rFonts w:hint="eastAsia" w:cs="Times New Roman"/>
                <w:b w:val="0"/>
                <w:bCs w:val="0"/>
                <w:color w:val="auto"/>
                <w:szCs w:val="24"/>
                <w:highlight w:val="none"/>
                <w:u w:val="single"/>
                <w:lang w:val="en-US" w:eastAsia="zh-CN"/>
              </w:rPr>
              <w:t>颚式</w:t>
            </w:r>
            <w:r>
              <w:rPr>
                <w:rFonts w:hint="default" w:ascii="Times New Roman" w:hAnsi="Times New Roman" w:cs="Times New Roman"/>
                <w:b w:val="0"/>
                <w:bCs w:val="0"/>
                <w:color w:val="auto"/>
                <w:szCs w:val="24"/>
                <w:highlight w:val="none"/>
                <w:u w:val="single"/>
              </w:rPr>
              <w:t>破碎后成为小石块，小石块再经</w:t>
            </w:r>
            <w:r>
              <w:rPr>
                <w:rFonts w:hint="eastAsia" w:cs="Times New Roman"/>
                <w:b w:val="0"/>
                <w:bCs w:val="0"/>
                <w:color w:val="auto"/>
                <w:szCs w:val="24"/>
                <w:highlight w:val="none"/>
                <w:u w:val="single"/>
                <w:lang w:val="en-US" w:eastAsia="zh-CN"/>
              </w:rPr>
              <w:t>反</w:t>
            </w:r>
            <w:r>
              <w:rPr>
                <w:rFonts w:hint="default" w:ascii="Times New Roman" w:hAnsi="Times New Roman" w:cs="Times New Roman"/>
                <w:b w:val="0"/>
                <w:bCs w:val="0"/>
                <w:color w:val="auto"/>
                <w:szCs w:val="24"/>
                <w:highlight w:val="none"/>
                <w:u w:val="single"/>
              </w:rPr>
              <w:t>破碎后得到不同粒径的石子，经破碎后的石子大小不一，经皮带运输至振动筛进行筛分，可以得到</w:t>
            </w:r>
            <w:r>
              <w:rPr>
                <w:rFonts w:hint="eastAsia" w:cs="Times New Roman"/>
                <w:b w:val="0"/>
                <w:bCs w:val="0"/>
                <w:color w:val="auto"/>
                <w:szCs w:val="24"/>
                <w:highlight w:val="none"/>
                <w:u w:val="single"/>
                <w:lang w:val="en-US" w:eastAsia="zh-CN"/>
              </w:rPr>
              <w:t>16</w:t>
            </w:r>
            <w:r>
              <w:rPr>
                <w:rFonts w:hint="default" w:ascii="Times New Roman" w:hAnsi="Times New Roman" w:cs="Times New Roman"/>
                <w:b w:val="0"/>
                <w:bCs w:val="0"/>
                <w:color w:val="auto"/>
                <w:szCs w:val="24"/>
                <w:highlight w:val="none"/>
                <w:u w:val="single"/>
              </w:rPr>
              <w:t>-</w:t>
            </w:r>
            <w:r>
              <w:rPr>
                <w:rFonts w:hint="eastAsia" w:cs="Times New Roman"/>
                <w:b w:val="0"/>
                <w:bCs w:val="0"/>
                <w:color w:val="auto"/>
                <w:szCs w:val="24"/>
                <w:highlight w:val="none"/>
                <w:u w:val="single"/>
                <w:lang w:val="en-US" w:eastAsia="zh-CN"/>
              </w:rPr>
              <w:t>31.5</w:t>
            </w:r>
            <w:r>
              <w:rPr>
                <w:rFonts w:hint="default" w:ascii="Times New Roman" w:hAnsi="Times New Roman" w:cs="Times New Roman"/>
                <w:b w:val="0"/>
                <w:bCs w:val="0"/>
                <w:color w:val="auto"/>
                <w:szCs w:val="24"/>
                <w:highlight w:val="none"/>
                <w:u w:val="single"/>
              </w:rPr>
              <w:t>mm、</w:t>
            </w:r>
            <w:r>
              <w:rPr>
                <w:rFonts w:hint="eastAsia" w:cs="Times New Roman"/>
                <w:b w:val="0"/>
                <w:bCs w:val="0"/>
                <w:color w:val="auto"/>
                <w:szCs w:val="24"/>
                <w:highlight w:val="none"/>
                <w:u w:val="single"/>
                <w:lang w:val="en-US" w:eastAsia="zh-CN"/>
              </w:rPr>
              <w:t>10</w:t>
            </w:r>
            <w:r>
              <w:rPr>
                <w:rFonts w:hint="default" w:ascii="Times New Roman" w:hAnsi="Times New Roman" w:cs="Times New Roman"/>
                <w:b w:val="0"/>
                <w:bCs w:val="0"/>
                <w:color w:val="auto"/>
                <w:szCs w:val="24"/>
                <w:highlight w:val="none"/>
                <w:u w:val="single"/>
              </w:rPr>
              <w:t>-</w:t>
            </w:r>
            <w:r>
              <w:rPr>
                <w:rFonts w:hint="eastAsia" w:cs="Times New Roman"/>
                <w:b w:val="0"/>
                <w:bCs w:val="0"/>
                <w:color w:val="auto"/>
                <w:szCs w:val="24"/>
                <w:highlight w:val="none"/>
                <w:u w:val="single"/>
                <w:lang w:val="en-US" w:eastAsia="zh-CN"/>
              </w:rPr>
              <w:t>20</w:t>
            </w:r>
            <w:r>
              <w:rPr>
                <w:rFonts w:hint="default" w:ascii="Times New Roman" w:hAnsi="Times New Roman" w:cs="Times New Roman"/>
                <w:b w:val="0"/>
                <w:bCs w:val="0"/>
                <w:color w:val="auto"/>
                <w:szCs w:val="24"/>
                <w:highlight w:val="none"/>
                <w:u w:val="single"/>
              </w:rPr>
              <w:t>mm</w:t>
            </w:r>
            <w:r>
              <w:rPr>
                <w:rFonts w:hint="eastAsia" w:cs="Times New Roman"/>
                <w:b w:val="0"/>
                <w:bCs w:val="0"/>
                <w:color w:val="auto"/>
                <w:szCs w:val="24"/>
                <w:highlight w:val="none"/>
                <w:u w:val="single"/>
                <w:lang w:eastAsia="zh-CN"/>
              </w:rPr>
              <w:t>、</w:t>
            </w:r>
            <w:r>
              <w:rPr>
                <w:rFonts w:hint="eastAsia" w:cs="Times New Roman"/>
                <w:b w:val="0"/>
                <w:bCs w:val="0"/>
                <w:color w:val="auto"/>
                <w:szCs w:val="24"/>
                <w:highlight w:val="none"/>
                <w:u w:val="single"/>
                <w:lang w:val="en-US" w:eastAsia="zh-CN"/>
              </w:rPr>
              <w:t>5-10</w:t>
            </w:r>
            <w:r>
              <w:rPr>
                <w:rFonts w:hint="default" w:ascii="Times New Roman" w:hAnsi="Times New Roman" w:cs="Times New Roman"/>
                <w:b w:val="0"/>
                <w:bCs w:val="0"/>
                <w:color w:val="auto"/>
                <w:szCs w:val="24"/>
                <w:highlight w:val="none"/>
                <w:u w:val="single"/>
              </w:rPr>
              <w:t>mm</w:t>
            </w:r>
            <w:r>
              <w:rPr>
                <w:rFonts w:hint="eastAsia" w:cs="Times New Roman"/>
                <w:b w:val="0"/>
                <w:bCs w:val="0"/>
                <w:color w:val="auto"/>
                <w:szCs w:val="24"/>
                <w:highlight w:val="none"/>
                <w:u w:val="single"/>
                <w:lang w:val="en-US" w:eastAsia="zh-CN"/>
              </w:rPr>
              <w:t>三</w:t>
            </w:r>
            <w:r>
              <w:rPr>
                <w:rFonts w:hint="default" w:ascii="Times New Roman" w:hAnsi="Times New Roman" w:cs="Times New Roman"/>
                <w:b w:val="0"/>
                <w:bCs w:val="0"/>
                <w:color w:val="auto"/>
                <w:szCs w:val="24"/>
                <w:highlight w:val="none"/>
                <w:u w:val="single"/>
              </w:rPr>
              <w:t>种碎石产品</w:t>
            </w:r>
            <w:r>
              <w:rPr>
                <w:rFonts w:hint="eastAsia" w:cs="Times New Roman"/>
                <w:b w:val="0"/>
                <w:bCs w:val="0"/>
                <w:color w:val="auto"/>
                <w:szCs w:val="24"/>
                <w:highlight w:val="none"/>
                <w:u w:val="single"/>
                <w:lang w:eastAsia="zh-CN"/>
              </w:rPr>
              <w:t>，</w:t>
            </w:r>
            <w:r>
              <w:rPr>
                <w:rFonts w:hint="eastAsia" w:cs="Times New Roman"/>
                <w:b w:val="0"/>
                <w:bCs w:val="0"/>
                <w:color w:val="auto"/>
                <w:szCs w:val="24"/>
                <w:highlight w:val="none"/>
                <w:u w:val="single"/>
                <w:lang w:val="en-US" w:eastAsia="zh-CN"/>
              </w:rPr>
              <w:t>可直接外售。部分碎石再进入制砂机，得到小于</w:t>
            </w:r>
            <w:r>
              <w:rPr>
                <w:rFonts w:hint="default" w:ascii="Times New Roman" w:hAnsi="Times New Roman" w:cs="Times New Roman"/>
                <w:b w:val="0"/>
                <w:bCs w:val="0"/>
                <w:color w:val="auto"/>
                <w:szCs w:val="24"/>
                <w:highlight w:val="none"/>
                <w:u w:val="single"/>
              </w:rPr>
              <w:t>5mm</w:t>
            </w:r>
            <w:r>
              <w:rPr>
                <w:rFonts w:hint="eastAsia" w:cs="Times New Roman"/>
                <w:b w:val="0"/>
                <w:bCs w:val="0"/>
                <w:color w:val="auto"/>
                <w:szCs w:val="24"/>
                <w:highlight w:val="none"/>
                <w:u w:val="single"/>
                <w:lang w:eastAsia="zh-CN"/>
              </w:rPr>
              <w:t>的</w:t>
            </w:r>
            <w:r>
              <w:rPr>
                <w:rFonts w:hint="eastAsia" w:cs="Times New Roman"/>
                <w:b w:val="0"/>
                <w:bCs w:val="0"/>
                <w:color w:val="auto"/>
                <w:szCs w:val="24"/>
                <w:highlight w:val="none"/>
                <w:u w:val="single"/>
                <w:lang w:val="en-US" w:eastAsia="zh-CN"/>
              </w:rPr>
              <w:t>机制砂</w:t>
            </w:r>
            <w:r>
              <w:rPr>
                <w:rFonts w:hint="default" w:ascii="Times New Roman" w:hAnsi="Times New Roman" w:cs="Times New Roman"/>
                <w:b w:val="0"/>
                <w:bCs w:val="0"/>
                <w:color w:val="auto"/>
                <w:szCs w:val="24"/>
                <w:highlight w:val="none"/>
                <w:u w:val="single"/>
              </w:rPr>
              <w:t>产品，经传送带送至产品堆场分区堆放</w:t>
            </w:r>
            <w:r>
              <w:rPr>
                <w:rFonts w:hint="eastAsia" w:cs="Times New Roman"/>
                <w:b w:val="0"/>
                <w:bCs w:val="0"/>
                <w:color w:val="auto"/>
                <w:szCs w:val="24"/>
                <w:highlight w:val="none"/>
                <w:u w:val="single"/>
                <w:lang w:val="en-US" w:eastAsia="zh-CN"/>
              </w:rPr>
              <w:t>外售</w:t>
            </w:r>
            <w:r>
              <w:rPr>
                <w:rFonts w:hint="default" w:ascii="Times New Roman" w:hAnsi="Times New Roman" w:cs="Times New Roman"/>
                <w:b w:val="0"/>
                <w:bCs w:val="0"/>
                <w:color w:val="auto"/>
                <w:szCs w:val="24"/>
                <w:highlight w:val="none"/>
                <w:u w:val="single"/>
              </w:rPr>
              <w:t>。</w:t>
            </w:r>
          </w:p>
          <w:p w14:paraId="19C801C3">
            <w:pPr>
              <w:ind w:firstLine="0" w:firstLineChars="0"/>
              <w:jc w:val="center"/>
              <w:rPr>
                <w:rFonts w:hint="eastAsia" w:cs="Times New Roman"/>
                <w:b/>
                <w:bCs/>
                <w:color w:val="auto"/>
                <w:sz w:val="21"/>
                <w:szCs w:val="21"/>
                <w:highlight w:val="none"/>
                <w:lang w:val="en-US" w:eastAsia="zh-CN"/>
              </w:rPr>
            </w:pPr>
          </w:p>
          <w:p w14:paraId="0FA50601">
            <w:pPr>
              <w:ind w:firstLine="0" w:firstLineChars="0"/>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表2-10  运营期</w:t>
            </w:r>
            <w:r>
              <w:rPr>
                <w:rFonts w:hint="default" w:ascii="Times New Roman" w:hAnsi="Times New Roman" w:cs="Times New Roman"/>
                <w:b/>
                <w:bCs/>
                <w:color w:val="auto"/>
                <w:sz w:val="21"/>
                <w:szCs w:val="21"/>
                <w:highlight w:val="none"/>
              </w:rPr>
              <w:t>产污节点一览表</w:t>
            </w:r>
          </w:p>
          <w:tbl>
            <w:tblPr>
              <w:tblStyle w:val="22"/>
              <w:tblW w:w="7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775"/>
              <w:gridCol w:w="3131"/>
            </w:tblGrid>
            <w:tr w14:paraId="7DA5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Align w:val="center"/>
                </w:tcPr>
                <w:p w14:paraId="5F8C1DD3">
                  <w:pPr>
                    <w:spacing w:line="240" w:lineRule="auto"/>
                    <w:ind w:firstLine="0" w:firstLineChars="0"/>
                    <w:jc w:val="center"/>
                    <w:textAlignment w:val="center"/>
                    <w:rPr>
                      <w:rFonts w:hint="eastAsia"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区块</w:t>
                  </w:r>
                </w:p>
              </w:tc>
              <w:tc>
                <w:tcPr>
                  <w:tcW w:w="2775" w:type="dxa"/>
                  <w:vAlign w:val="center"/>
                </w:tcPr>
                <w:p w14:paraId="573AC337">
                  <w:pPr>
                    <w:spacing w:line="240" w:lineRule="auto"/>
                    <w:ind w:firstLine="0" w:firstLineChars="0"/>
                    <w:jc w:val="center"/>
                    <w:textAlignment w:val="center"/>
                    <w:rPr>
                      <w:rFonts w:hint="default"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产污环节</w:t>
                  </w:r>
                </w:p>
              </w:tc>
              <w:tc>
                <w:tcPr>
                  <w:tcW w:w="3131" w:type="dxa"/>
                  <w:vAlign w:val="center"/>
                </w:tcPr>
                <w:p w14:paraId="45855A4A">
                  <w:pPr>
                    <w:spacing w:line="240" w:lineRule="auto"/>
                    <w:ind w:firstLine="0" w:firstLineChars="0"/>
                    <w:jc w:val="center"/>
                    <w:textAlignment w:val="center"/>
                    <w:rPr>
                      <w:rFonts w:hint="default"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产污因子</w:t>
                  </w:r>
                </w:p>
              </w:tc>
            </w:tr>
            <w:tr w14:paraId="3E6D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restart"/>
                  <w:vAlign w:val="center"/>
                </w:tcPr>
                <w:p w14:paraId="042F81DE">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开采区</w:t>
                  </w:r>
                </w:p>
              </w:tc>
              <w:tc>
                <w:tcPr>
                  <w:tcW w:w="2775" w:type="dxa"/>
                  <w:vAlign w:val="center"/>
                </w:tcPr>
                <w:p w14:paraId="607C9F3C">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表土剥离</w:t>
                  </w:r>
                </w:p>
              </w:tc>
              <w:tc>
                <w:tcPr>
                  <w:tcW w:w="3131" w:type="dxa"/>
                  <w:vAlign w:val="center"/>
                </w:tcPr>
                <w:p w14:paraId="1C9BD411">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粉尘、剥离表土</w:t>
                  </w:r>
                  <w:r>
                    <w:rPr>
                      <w:rFonts w:hint="eastAsia" w:cs="Times New Roman"/>
                      <w:color w:val="auto"/>
                      <w:kern w:val="0"/>
                      <w:sz w:val="21"/>
                      <w:szCs w:val="21"/>
                      <w:highlight w:val="none"/>
                      <w:lang w:val="en-US" w:eastAsia="zh-CN"/>
                    </w:rPr>
                    <w:t>、噪声</w:t>
                  </w:r>
                </w:p>
              </w:tc>
            </w:tr>
            <w:tr w14:paraId="1F2C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34F9DAAF">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349C6075">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凿岩钻孔</w:t>
                  </w:r>
                </w:p>
              </w:tc>
              <w:tc>
                <w:tcPr>
                  <w:tcW w:w="3131" w:type="dxa"/>
                  <w:vAlign w:val="center"/>
                </w:tcPr>
                <w:p w14:paraId="7B57F7FA">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粉尘、噪声</w:t>
                  </w:r>
                </w:p>
              </w:tc>
            </w:tr>
            <w:tr w14:paraId="7526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5357DABC">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69F1B4B8">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爆破</w:t>
                  </w:r>
                </w:p>
              </w:tc>
              <w:tc>
                <w:tcPr>
                  <w:tcW w:w="3131" w:type="dxa"/>
                  <w:vAlign w:val="center"/>
                </w:tcPr>
                <w:p w14:paraId="1C8249A7">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粉尘、爆破废气、噪声</w:t>
                  </w:r>
                </w:p>
              </w:tc>
            </w:tr>
            <w:tr w14:paraId="769E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333D203B">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40755132">
                  <w:pPr>
                    <w:spacing w:line="240" w:lineRule="auto"/>
                    <w:ind w:firstLine="0" w:firstLineChars="0"/>
                    <w:jc w:val="center"/>
                    <w:textAlignment w:val="center"/>
                    <w:rPr>
                      <w:rFonts w:hint="default"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破碎锤破碎</w:t>
                  </w:r>
                </w:p>
              </w:tc>
              <w:tc>
                <w:tcPr>
                  <w:tcW w:w="3131" w:type="dxa"/>
                  <w:vAlign w:val="center"/>
                </w:tcPr>
                <w:p w14:paraId="21D6183D">
                  <w:pPr>
                    <w:spacing w:line="240" w:lineRule="auto"/>
                    <w:ind w:firstLine="0" w:firstLineChars="0"/>
                    <w:jc w:val="center"/>
                    <w:textAlignment w:val="center"/>
                    <w:rPr>
                      <w:rFonts w:hint="eastAsia"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粉尘、噪声</w:t>
                  </w:r>
                </w:p>
              </w:tc>
            </w:tr>
            <w:tr w14:paraId="7394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366FB5FC">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3FBBC7BD">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矿石运输</w:t>
                  </w:r>
                </w:p>
              </w:tc>
              <w:tc>
                <w:tcPr>
                  <w:tcW w:w="3131" w:type="dxa"/>
                  <w:vAlign w:val="center"/>
                </w:tcPr>
                <w:p w14:paraId="4CE2819D">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扬尘、噪声</w:t>
                  </w:r>
                </w:p>
              </w:tc>
            </w:tr>
            <w:tr w14:paraId="0D52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restart"/>
                  <w:vAlign w:val="center"/>
                </w:tcPr>
                <w:p w14:paraId="4E8AE55F">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碎石加工</w:t>
                  </w:r>
                </w:p>
              </w:tc>
              <w:tc>
                <w:tcPr>
                  <w:tcW w:w="2775" w:type="dxa"/>
                  <w:vAlign w:val="center"/>
                </w:tcPr>
                <w:p w14:paraId="241E96AD">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一级破碎</w:t>
                  </w:r>
                </w:p>
              </w:tc>
              <w:tc>
                <w:tcPr>
                  <w:tcW w:w="3131" w:type="dxa"/>
                  <w:vAlign w:val="center"/>
                </w:tcPr>
                <w:p w14:paraId="2D7ABAA0">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粉尘、噪声</w:t>
                  </w:r>
                </w:p>
              </w:tc>
            </w:tr>
            <w:tr w14:paraId="3270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7FC9DD07">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188E535A">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二级破碎</w:t>
                  </w:r>
                </w:p>
              </w:tc>
              <w:tc>
                <w:tcPr>
                  <w:tcW w:w="3131" w:type="dxa"/>
                  <w:vAlign w:val="center"/>
                </w:tcPr>
                <w:p w14:paraId="22A2F1CC">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粉尘、噪声</w:t>
                  </w:r>
                </w:p>
              </w:tc>
            </w:tr>
            <w:tr w14:paraId="37A8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57A58701">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0398D87A">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多级筛分</w:t>
                  </w:r>
                </w:p>
              </w:tc>
              <w:tc>
                <w:tcPr>
                  <w:tcW w:w="3131" w:type="dxa"/>
                  <w:vAlign w:val="center"/>
                </w:tcPr>
                <w:p w14:paraId="4C035930">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粉尘、噪声</w:t>
                  </w:r>
                </w:p>
              </w:tc>
            </w:tr>
            <w:tr w14:paraId="110F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512646AF">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4E57ABE2">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传送带运输</w:t>
                  </w:r>
                </w:p>
              </w:tc>
              <w:tc>
                <w:tcPr>
                  <w:tcW w:w="3131" w:type="dxa"/>
                  <w:vAlign w:val="center"/>
                </w:tcPr>
                <w:p w14:paraId="7F269187">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w:t>
                  </w:r>
                </w:p>
              </w:tc>
            </w:tr>
            <w:tr w14:paraId="388C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5403081C">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5F463D14">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装卸</w:t>
                  </w:r>
                </w:p>
              </w:tc>
              <w:tc>
                <w:tcPr>
                  <w:tcW w:w="3131" w:type="dxa"/>
                  <w:vAlign w:val="center"/>
                </w:tcPr>
                <w:p w14:paraId="51212156">
                  <w:pPr>
                    <w:spacing w:line="240" w:lineRule="auto"/>
                    <w:ind w:firstLine="0" w:firstLineChars="0"/>
                    <w:jc w:val="center"/>
                    <w:textAlignment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粉尘、噪声</w:t>
                  </w:r>
                </w:p>
              </w:tc>
            </w:tr>
            <w:tr w14:paraId="36A3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710B89F2">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1EADB7B7">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堆场</w:t>
                  </w:r>
                </w:p>
              </w:tc>
              <w:tc>
                <w:tcPr>
                  <w:tcW w:w="3131" w:type="dxa"/>
                  <w:vAlign w:val="center"/>
                </w:tcPr>
                <w:p w14:paraId="4CE84847">
                  <w:pPr>
                    <w:spacing w:line="240" w:lineRule="auto"/>
                    <w:ind w:firstLine="0" w:firstLineChars="0"/>
                    <w:jc w:val="center"/>
                    <w:textAlignment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w:t>
                  </w:r>
                </w:p>
              </w:tc>
            </w:tr>
          </w:tbl>
          <w:p w14:paraId="41CC4005">
            <w:pPr>
              <w:rPr>
                <w:rFonts w:hint="default" w:ascii="Times New Roman" w:hAnsi="Times New Roman" w:cs="Times New Roman"/>
                <w:color w:val="auto"/>
                <w:highlight w:val="none"/>
              </w:rPr>
            </w:pPr>
          </w:p>
        </w:tc>
      </w:tr>
      <w:tr w14:paraId="0FF7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6D541E5C">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其他</w:t>
            </w:r>
          </w:p>
        </w:tc>
        <w:tc>
          <w:tcPr>
            <w:tcW w:w="8137" w:type="dxa"/>
          </w:tcPr>
          <w:p w14:paraId="68A77CB8">
            <w:pPr>
              <w:ind w:left="0" w:leftChars="0" w:firstLine="480" w:firstLineChars="200"/>
              <w:jc w:val="left"/>
              <w:rPr>
                <w:rFonts w:hint="eastAsia" w:cs="Times New Roman"/>
                <w:color w:val="auto"/>
                <w:highlight w:val="none"/>
                <w:u w:val="single"/>
                <w:lang w:val="en-US" w:eastAsia="zh-CN"/>
              </w:rPr>
            </w:pPr>
            <w:r>
              <w:rPr>
                <w:rFonts w:hint="eastAsia" w:cs="Times New Roman"/>
                <w:color w:val="auto"/>
                <w:highlight w:val="none"/>
                <w:u w:val="single"/>
                <w:lang w:val="en-US" w:eastAsia="zh-CN"/>
              </w:rPr>
              <w:t>本项目工业场地利用芦桥采石场原有工业场地并修缮，根据芦桥采石场环评及现场调查，芦桥采石场原有工业场地废气产生源点及环保措施如下：</w:t>
            </w:r>
          </w:p>
          <w:p w14:paraId="54CA8816">
            <w:pPr>
              <w:jc w:val="center"/>
              <w:rPr>
                <w:rFonts w:hint="eastAsia"/>
                <w:b/>
                <w:bCs/>
                <w:color w:val="auto"/>
                <w:sz w:val="21"/>
                <w:szCs w:val="21"/>
                <w:u w:val="single"/>
              </w:rPr>
            </w:pPr>
            <w:r>
              <w:rPr>
                <w:rFonts w:hint="eastAsia"/>
                <w:b/>
                <w:bCs/>
                <w:color w:val="auto"/>
                <w:sz w:val="21"/>
                <w:szCs w:val="21"/>
                <w:u w:val="single"/>
              </w:rPr>
              <w:t>表</w:t>
            </w:r>
            <w:r>
              <w:rPr>
                <w:rFonts w:hint="eastAsia"/>
                <w:b/>
                <w:bCs/>
                <w:color w:val="auto"/>
                <w:sz w:val="21"/>
                <w:szCs w:val="21"/>
                <w:u w:val="single"/>
                <w:lang w:val="en-US" w:eastAsia="zh-CN"/>
              </w:rPr>
              <w:t>2</w:t>
            </w:r>
            <w:r>
              <w:rPr>
                <w:rFonts w:hint="eastAsia"/>
                <w:b/>
                <w:bCs/>
                <w:color w:val="auto"/>
                <w:sz w:val="21"/>
                <w:szCs w:val="21"/>
                <w:u w:val="single"/>
              </w:rPr>
              <w:t>-</w:t>
            </w:r>
            <w:r>
              <w:rPr>
                <w:rFonts w:hint="eastAsia"/>
                <w:b/>
                <w:bCs/>
                <w:color w:val="auto"/>
                <w:sz w:val="21"/>
                <w:szCs w:val="21"/>
                <w:u w:val="single"/>
                <w:lang w:val="en-US" w:eastAsia="zh-CN"/>
              </w:rPr>
              <w:t>11</w:t>
            </w:r>
            <w:r>
              <w:rPr>
                <w:rFonts w:hint="eastAsia"/>
                <w:b/>
                <w:bCs/>
                <w:color w:val="auto"/>
                <w:sz w:val="21"/>
                <w:szCs w:val="21"/>
                <w:u w:val="single"/>
              </w:rPr>
              <w:t xml:space="preserve">   </w:t>
            </w:r>
            <w:r>
              <w:rPr>
                <w:rFonts w:hint="eastAsia"/>
                <w:b/>
                <w:bCs/>
                <w:color w:val="auto"/>
                <w:sz w:val="21"/>
                <w:szCs w:val="21"/>
                <w:u w:val="single"/>
                <w:lang w:val="en-US" w:eastAsia="zh-CN"/>
              </w:rPr>
              <w:t>芦桥采石场工业场地废气</w:t>
            </w:r>
            <w:r>
              <w:rPr>
                <w:rFonts w:hint="eastAsia"/>
                <w:b/>
                <w:bCs/>
                <w:color w:val="auto"/>
                <w:sz w:val="21"/>
                <w:szCs w:val="21"/>
                <w:u w:val="single"/>
              </w:rPr>
              <w:t>及环保设施情况一览表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165"/>
              <w:gridCol w:w="789"/>
              <w:gridCol w:w="2563"/>
              <w:gridCol w:w="1363"/>
              <w:gridCol w:w="1471"/>
            </w:tblGrid>
            <w:tr w14:paraId="2754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5" w:type="dxa"/>
                  <w:gridSpan w:val="2"/>
                  <w:tcBorders>
                    <w:tl2br w:val="nil"/>
                    <w:tr2bl w:val="nil"/>
                  </w:tcBorders>
                  <w:noWrap w:val="0"/>
                  <w:vAlign w:val="center"/>
                </w:tcPr>
                <w:p w14:paraId="4423A9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u w:val="single"/>
                    </w:rPr>
                  </w:pPr>
                  <w:r>
                    <w:rPr>
                      <w:rFonts w:hint="eastAsia"/>
                      <w:b/>
                      <w:bCs/>
                      <w:color w:val="auto"/>
                      <w:sz w:val="21"/>
                      <w:szCs w:val="21"/>
                      <w:u w:val="single"/>
                    </w:rPr>
                    <w:t>污染源</w:t>
                  </w:r>
                </w:p>
              </w:tc>
              <w:tc>
                <w:tcPr>
                  <w:tcW w:w="789" w:type="dxa"/>
                  <w:tcBorders>
                    <w:tl2br w:val="nil"/>
                    <w:tr2bl w:val="nil"/>
                  </w:tcBorders>
                  <w:noWrap w:val="0"/>
                  <w:vAlign w:val="center"/>
                </w:tcPr>
                <w:p w14:paraId="7CF52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u w:val="single"/>
                    </w:rPr>
                  </w:pPr>
                  <w:r>
                    <w:rPr>
                      <w:rFonts w:hint="eastAsia"/>
                      <w:b/>
                      <w:bCs/>
                      <w:color w:val="auto"/>
                      <w:sz w:val="21"/>
                      <w:szCs w:val="21"/>
                      <w:u w:val="single"/>
                    </w:rPr>
                    <w:t>污染因子</w:t>
                  </w:r>
                </w:p>
              </w:tc>
              <w:tc>
                <w:tcPr>
                  <w:tcW w:w="2563" w:type="dxa"/>
                  <w:tcBorders>
                    <w:tl2br w:val="nil"/>
                    <w:tr2bl w:val="nil"/>
                  </w:tcBorders>
                  <w:noWrap w:val="0"/>
                  <w:vAlign w:val="center"/>
                </w:tcPr>
                <w:p w14:paraId="0978B9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u w:val="single"/>
                    </w:rPr>
                  </w:pPr>
                  <w:r>
                    <w:rPr>
                      <w:rFonts w:hint="eastAsia"/>
                      <w:b/>
                      <w:bCs/>
                      <w:color w:val="auto"/>
                      <w:sz w:val="21"/>
                      <w:szCs w:val="21"/>
                      <w:u w:val="single"/>
                    </w:rPr>
                    <w:t>环保措施</w:t>
                  </w:r>
                </w:p>
              </w:tc>
              <w:tc>
                <w:tcPr>
                  <w:tcW w:w="1363" w:type="dxa"/>
                  <w:tcBorders>
                    <w:tl2br w:val="nil"/>
                    <w:tr2bl w:val="nil"/>
                  </w:tcBorders>
                  <w:noWrap w:val="0"/>
                  <w:vAlign w:val="center"/>
                </w:tcPr>
                <w:p w14:paraId="6FDB1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u w:val="single"/>
                    </w:rPr>
                  </w:pPr>
                  <w:r>
                    <w:rPr>
                      <w:rFonts w:hint="eastAsia"/>
                      <w:b/>
                      <w:bCs/>
                      <w:color w:val="auto"/>
                      <w:sz w:val="21"/>
                      <w:szCs w:val="21"/>
                      <w:u w:val="single"/>
                    </w:rPr>
                    <w:t>排放情况</w:t>
                  </w:r>
                </w:p>
              </w:tc>
              <w:tc>
                <w:tcPr>
                  <w:tcW w:w="1471" w:type="dxa"/>
                  <w:tcBorders>
                    <w:tl2br w:val="nil"/>
                    <w:tr2bl w:val="nil"/>
                  </w:tcBorders>
                  <w:noWrap w:val="0"/>
                  <w:vAlign w:val="center"/>
                </w:tcPr>
                <w:p w14:paraId="3EEE5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u w:val="single"/>
                      <w:lang w:val="en-US" w:eastAsia="zh-CN"/>
                    </w:rPr>
                  </w:pPr>
                  <w:r>
                    <w:rPr>
                      <w:rFonts w:hint="eastAsia"/>
                      <w:b/>
                      <w:bCs/>
                      <w:color w:val="auto"/>
                      <w:sz w:val="21"/>
                      <w:szCs w:val="21"/>
                      <w:u w:val="single"/>
                      <w:lang w:val="en-US" w:eastAsia="zh-CN"/>
                    </w:rPr>
                    <w:t>本项目与芦桥采石场工业场地废气环保措施的关系</w:t>
                  </w:r>
                </w:p>
              </w:tc>
            </w:tr>
            <w:tr w14:paraId="58F6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restart"/>
                  <w:tcBorders>
                    <w:tl2br w:val="nil"/>
                    <w:tr2bl w:val="nil"/>
                  </w:tcBorders>
                  <w:noWrap w:val="0"/>
                  <w:vAlign w:val="center"/>
                </w:tcPr>
                <w:p w14:paraId="16FCD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废气</w:t>
                  </w:r>
                </w:p>
              </w:tc>
              <w:tc>
                <w:tcPr>
                  <w:tcW w:w="1165" w:type="dxa"/>
                  <w:tcBorders>
                    <w:tl2br w:val="nil"/>
                    <w:tr2bl w:val="nil"/>
                  </w:tcBorders>
                  <w:noWrap w:val="0"/>
                  <w:vAlign w:val="center"/>
                </w:tcPr>
                <w:p w14:paraId="1AC285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进料粉尘</w:t>
                  </w:r>
                </w:p>
              </w:tc>
              <w:tc>
                <w:tcPr>
                  <w:tcW w:w="789" w:type="dxa"/>
                  <w:tcBorders>
                    <w:tl2br w:val="nil"/>
                    <w:tr2bl w:val="nil"/>
                  </w:tcBorders>
                  <w:noWrap w:val="0"/>
                  <w:vAlign w:val="center"/>
                </w:tcPr>
                <w:p w14:paraId="0EE361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16C1B8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给料机设置封闭式车间，安装喷雾酒水装置</w:t>
                  </w:r>
                </w:p>
              </w:tc>
              <w:tc>
                <w:tcPr>
                  <w:tcW w:w="1363" w:type="dxa"/>
                  <w:tcBorders>
                    <w:tl2br w:val="nil"/>
                    <w:tr2bl w:val="nil"/>
                  </w:tcBorders>
                  <w:noWrap w:val="0"/>
                  <w:vAlign w:val="center"/>
                </w:tcPr>
                <w:p w14:paraId="6C65C6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无组织排放</w:t>
                  </w:r>
                </w:p>
              </w:tc>
              <w:tc>
                <w:tcPr>
                  <w:tcW w:w="1471" w:type="dxa"/>
                  <w:tcBorders>
                    <w:tl2br w:val="nil"/>
                    <w:tr2bl w:val="nil"/>
                  </w:tcBorders>
                  <w:noWrap w:val="0"/>
                  <w:vAlign w:val="center"/>
                </w:tcPr>
                <w:p w14:paraId="3D1386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依托现有</w:t>
                  </w:r>
                </w:p>
              </w:tc>
            </w:tr>
            <w:tr w14:paraId="7CB5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continue"/>
                  <w:tcBorders>
                    <w:tl2br w:val="nil"/>
                    <w:tr2bl w:val="nil"/>
                  </w:tcBorders>
                  <w:noWrap w:val="0"/>
                  <w:vAlign w:val="center"/>
                </w:tcPr>
                <w:p w14:paraId="2C25AB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p>
              </w:tc>
              <w:tc>
                <w:tcPr>
                  <w:tcW w:w="1165" w:type="dxa"/>
                  <w:tcBorders>
                    <w:tl2br w:val="nil"/>
                    <w:tr2bl w:val="nil"/>
                  </w:tcBorders>
                  <w:noWrap w:val="0"/>
                  <w:vAlign w:val="center"/>
                </w:tcPr>
                <w:p w14:paraId="29AF93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lang w:val="en-US" w:eastAsia="zh-CN"/>
                    </w:rPr>
                  </w:pPr>
                  <w:r>
                    <w:rPr>
                      <w:rFonts w:hint="eastAsia"/>
                      <w:color w:val="auto"/>
                      <w:sz w:val="21"/>
                      <w:szCs w:val="21"/>
                      <w:u w:val="single"/>
                      <w:lang w:val="en-US" w:eastAsia="zh-CN"/>
                    </w:rPr>
                    <w:t>装卸粉尘</w:t>
                  </w:r>
                </w:p>
              </w:tc>
              <w:tc>
                <w:tcPr>
                  <w:tcW w:w="789" w:type="dxa"/>
                  <w:tcBorders>
                    <w:tl2br w:val="nil"/>
                    <w:tr2bl w:val="nil"/>
                  </w:tcBorders>
                  <w:noWrap w:val="0"/>
                  <w:vAlign w:val="center"/>
                </w:tcPr>
                <w:p w14:paraId="29B7D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6045A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lang w:eastAsia="zh-CN"/>
                    </w:rPr>
                  </w:pPr>
                  <w:r>
                    <w:rPr>
                      <w:rFonts w:hint="eastAsia"/>
                      <w:color w:val="auto"/>
                      <w:sz w:val="21"/>
                      <w:szCs w:val="21"/>
                      <w:u w:val="single"/>
                    </w:rPr>
                    <w:t>碎石场建设封闭式钢结构厂房，厂房地面硬化，厂房内各设备处、落料点安装喷雾酒水装置</w:t>
                  </w:r>
                  <w:r>
                    <w:rPr>
                      <w:rFonts w:hint="eastAsia"/>
                      <w:color w:val="auto"/>
                      <w:sz w:val="21"/>
                      <w:szCs w:val="21"/>
                      <w:u w:val="single"/>
                      <w:lang w:eastAsia="zh-CN"/>
                    </w:rPr>
                    <w:t>，</w:t>
                  </w:r>
                  <w:r>
                    <w:rPr>
                      <w:rFonts w:hint="eastAsia"/>
                      <w:color w:val="auto"/>
                      <w:sz w:val="21"/>
                      <w:szCs w:val="21"/>
                      <w:u w:val="single"/>
                      <w:lang w:val="en-US" w:eastAsia="zh-CN"/>
                    </w:rPr>
                    <w:t>厂房内顶棚每2m安装雾化洒水装置，</w:t>
                  </w:r>
                  <w:r>
                    <w:rPr>
                      <w:rFonts w:hint="eastAsia"/>
                      <w:color w:val="auto"/>
                      <w:sz w:val="21"/>
                      <w:szCs w:val="21"/>
                      <w:u w:val="single"/>
                      <w:lang w:eastAsia="zh-CN"/>
                    </w:rPr>
                    <w:t>装车过程洒水抑尘</w:t>
                  </w:r>
                </w:p>
              </w:tc>
              <w:tc>
                <w:tcPr>
                  <w:tcW w:w="1363" w:type="dxa"/>
                  <w:tcBorders>
                    <w:tl2br w:val="nil"/>
                    <w:tr2bl w:val="nil"/>
                  </w:tcBorders>
                  <w:noWrap w:val="0"/>
                  <w:vAlign w:val="center"/>
                </w:tcPr>
                <w:p w14:paraId="319F40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无组织排放</w:t>
                  </w:r>
                </w:p>
              </w:tc>
              <w:tc>
                <w:tcPr>
                  <w:tcW w:w="1471" w:type="dxa"/>
                  <w:tcBorders>
                    <w:tl2br w:val="nil"/>
                    <w:tr2bl w:val="nil"/>
                  </w:tcBorders>
                  <w:noWrap w:val="0"/>
                  <w:vAlign w:val="center"/>
                </w:tcPr>
                <w:p w14:paraId="2CF43C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lang w:val="en-US" w:eastAsia="zh-CN"/>
                    </w:rPr>
                    <w:t>依托现有</w:t>
                  </w:r>
                </w:p>
              </w:tc>
            </w:tr>
            <w:tr w14:paraId="35F7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continue"/>
                  <w:tcBorders>
                    <w:tl2br w:val="nil"/>
                    <w:tr2bl w:val="nil"/>
                  </w:tcBorders>
                  <w:noWrap w:val="0"/>
                  <w:vAlign w:val="center"/>
                </w:tcPr>
                <w:p w14:paraId="60FAB4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p>
              </w:tc>
              <w:tc>
                <w:tcPr>
                  <w:tcW w:w="1165" w:type="dxa"/>
                  <w:tcBorders>
                    <w:tl2br w:val="nil"/>
                    <w:tr2bl w:val="nil"/>
                  </w:tcBorders>
                  <w:noWrap w:val="0"/>
                  <w:vAlign w:val="center"/>
                </w:tcPr>
                <w:p w14:paraId="6D17B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破碎筛分粉尘</w:t>
                  </w:r>
                </w:p>
              </w:tc>
              <w:tc>
                <w:tcPr>
                  <w:tcW w:w="789" w:type="dxa"/>
                  <w:tcBorders>
                    <w:tl2br w:val="nil"/>
                    <w:tr2bl w:val="nil"/>
                  </w:tcBorders>
                  <w:noWrap w:val="0"/>
                  <w:vAlign w:val="center"/>
                </w:tcPr>
                <w:p w14:paraId="247AF6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2A3402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破碎</w:t>
                  </w:r>
                  <w:r>
                    <w:rPr>
                      <w:rFonts w:hint="eastAsia"/>
                      <w:color w:val="auto"/>
                      <w:sz w:val="21"/>
                      <w:szCs w:val="21"/>
                      <w:u w:val="single"/>
                      <w:lang w:val="en-US" w:eastAsia="zh-CN"/>
                    </w:rPr>
                    <w:t>及</w:t>
                  </w:r>
                  <w:r>
                    <w:rPr>
                      <w:rFonts w:hint="eastAsia"/>
                      <w:color w:val="auto"/>
                      <w:sz w:val="21"/>
                      <w:szCs w:val="21"/>
                      <w:u w:val="single"/>
                    </w:rPr>
                    <w:t>筛分</w:t>
                  </w:r>
                  <w:r>
                    <w:rPr>
                      <w:rFonts w:hint="eastAsia"/>
                      <w:color w:val="auto"/>
                      <w:sz w:val="21"/>
                      <w:szCs w:val="21"/>
                      <w:u w:val="single"/>
                      <w:lang w:val="en-US" w:eastAsia="zh-CN"/>
                    </w:rPr>
                    <w:t>设备上安装集气罩，</w:t>
                  </w:r>
                  <w:r>
                    <w:rPr>
                      <w:rFonts w:hint="eastAsia"/>
                      <w:color w:val="auto"/>
                      <w:sz w:val="21"/>
                      <w:szCs w:val="21"/>
                      <w:u w:val="single"/>
                    </w:rPr>
                    <w:t>设置</w:t>
                  </w:r>
                  <w:r>
                    <w:rPr>
                      <w:rFonts w:hint="eastAsia"/>
                      <w:color w:val="auto"/>
                      <w:sz w:val="21"/>
                      <w:szCs w:val="21"/>
                      <w:u w:val="single"/>
                      <w:lang w:val="en-US" w:eastAsia="zh-CN"/>
                    </w:rPr>
                    <w:t>一套</w:t>
                  </w:r>
                  <w:r>
                    <w:rPr>
                      <w:rFonts w:hint="eastAsia"/>
                      <w:color w:val="auto"/>
                      <w:sz w:val="21"/>
                      <w:szCs w:val="21"/>
                      <w:u w:val="single"/>
                    </w:rPr>
                    <w:t>脉冲布袋</w:t>
                  </w:r>
                  <w:r>
                    <w:rPr>
                      <w:rFonts w:hint="eastAsia"/>
                      <w:color w:val="auto"/>
                      <w:sz w:val="21"/>
                      <w:szCs w:val="21"/>
                      <w:u w:val="single"/>
                      <w:lang w:val="en-US" w:eastAsia="zh-CN"/>
                    </w:rPr>
                    <w:t>+15m排气筒</w:t>
                  </w:r>
                  <w:r>
                    <w:rPr>
                      <w:rFonts w:hint="eastAsia"/>
                      <w:color w:val="auto"/>
                      <w:sz w:val="21"/>
                      <w:szCs w:val="21"/>
                      <w:u w:val="single"/>
                    </w:rPr>
                    <w:t>进行除尘</w:t>
                  </w:r>
                </w:p>
              </w:tc>
              <w:tc>
                <w:tcPr>
                  <w:tcW w:w="1363" w:type="dxa"/>
                  <w:tcBorders>
                    <w:tl2br w:val="nil"/>
                    <w:tr2bl w:val="nil"/>
                  </w:tcBorders>
                  <w:noWrap w:val="0"/>
                  <w:vAlign w:val="center"/>
                </w:tcPr>
                <w:p w14:paraId="6B9CE7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lang w:val="en-US" w:eastAsia="zh-CN"/>
                    </w:rPr>
                    <w:t>有</w:t>
                  </w:r>
                  <w:r>
                    <w:rPr>
                      <w:rFonts w:hint="eastAsia"/>
                      <w:color w:val="auto"/>
                      <w:sz w:val="21"/>
                      <w:szCs w:val="21"/>
                      <w:u w:val="single"/>
                    </w:rPr>
                    <w:t>组织排放</w:t>
                  </w:r>
                </w:p>
              </w:tc>
              <w:tc>
                <w:tcPr>
                  <w:tcW w:w="1471" w:type="dxa"/>
                  <w:tcBorders>
                    <w:tl2br w:val="nil"/>
                    <w:tr2bl w:val="nil"/>
                  </w:tcBorders>
                  <w:noWrap w:val="0"/>
                  <w:vAlign w:val="center"/>
                </w:tcPr>
                <w:p w14:paraId="3CAE2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lang w:val="en-US" w:eastAsia="zh-CN"/>
                    </w:rPr>
                  </w:pPr>
                  <w:r>
                    <w:rPr>
                      <w:rFonts w:hint="eastAsia"/>
                      <w:color w:val="auto"/>
                      <w:sz w:val="21"/>
                      <w:szCs w:val="21"/>
                      <w:u w:val="single"/>
                      <w:lang w:val="en-US" w:eastAsia="zh-CN"/>
                    </w:rPr>
                    <w:t>依托现有</w:t>
                  </w:r>
                </w:p>
              </w:tc>
            </w:tr>
            <w:tr w14:paraId="0B08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continue"/>
                  <w:tcBorders>
                    <w:tl2br w:val="nil"/>
                    <w:tr2bl w:val="nil"/>
                  </w:tcBorders>
                  <w:noWrap w:val="0"/>
                  <w:vAlign w:val="center"/>
                </w:tcPr>
                <w:p w14:paraId="2728F2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p>
              </w:tc>
              <w:tc>
                <w:tcPr>
                  <w:tcW w:w="1165" w:type="dxa"/>
                  <w:tcBorders>
                    <w:tl2br w:val="nil"/>
                    <w:tr2bl w:val="nil"/>
                  </w:tcBorders>
                  <w:noWrap w:val="0"/>
                  <w:vAlign w:val="center"/>
                </w:tcPr>
                <w:p w14:paraId="32A28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皮带输送扬尘</w:t>
                  </w:r>
                </w:p>
              </w:tc>
              <w:tc>
                <w:tcPr>
                  <w:tcW w:w="789" w:type="dxa"/>
                  <w:tcBorders>
                    <w:tl2br w:val="nil"/>
                    <w:tr2bl w:val="nil"/>
                  </w:tcBorders>
                  <w:noWrap w:val="0"/>
                  <w:vAlign w:val="center"/>
                </w:tcPr>
                <w:p w14:paraId="7AC15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7BD07E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安装喷雾酒水装置</w:t>
                  </w:r>
                </w:p>
              </w:tc>
              <w:tc>
                <w:tcPr>
                  <w:tcW w:w="1363" w:type="dxa"/>
                  <w:tcBorders>
                    <w:tl2br w:val="nil"/>
                    <w:tr2bl w:val="nil"/>
                  </w:tcBorders>
                  <w:noWrap w:val="0"/>
                  <w:vAlign w:val="center"/>
                </w:tcPr>
                <w:p w14:paraId="5E899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无组织排放</w:t>
                  </w:r>
                </w:p>
              </w:tc>
              <w:tc>
                <w:tcPr>
                  <w:tcW w:w="1471" w:type="dxa"/>
                  <w:tcBorders>
                    <w:tl2br w:val="nil"/>
                    <w:tr2bl w:val="nil"/>
                  </w:tcBorders>
                  <w:noWrap w:val="0"/>
                  <w:vAlign w:val="center"/>
                </w:tcPr>
                <w:p w14:paraId="6F960E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lang w:val="en-US"/>
                    </w:rPr>
                  </w:pPr>
                  <w:r>
                    <w:rPr>
                      <w:rFonts w:hint="eastAsia"/>
                      <w:color w:val="auto"/>
                      <w:sz w:val="21"/>
                      <w:szCs w:val="21"/>
                      <w:u w:val="single"/>
                      <w:lang w:val="en-US" w:eastAsia="zh-CN"/>
                    </w:rPr>
                    <w:t>传送带采取封闭措施，其余依托现有</w:t>
                  </w:r>
                </w:p>
              </w:tc>
            </w:tr>
            <w:tr w14:paraId="2443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continue"/>
                  <w:tcBorders>
                    <w:tl2br w:val="nil"/>
                    <w:tr2bl w:val="nil"/>
                  </w:tcBorders>
                  <w:noWrap w:val="0"/>
                  <w:vAlign w:val="center"/>
                </w:tcPr>
                <w:p w14:paraId="67C351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p>
              </w:tc>
              <w:tc>
                <w:tcPr>
                  <w:tcW w:w="1165" w:type="dxa"/>
                  <w:tcBorders>
                    <w:tl2br w:val="nil"/>
                    <w:tr2bl w:val="nil"/>
                  </w:tcBorders>
                  <w:noWrap w:val="0"/>
                  <w:vAlign w:val="center"/>
                </w:tcPr>
                <w:p w14:paraId="5F863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产品堆场扬尘</w:t>
                  </w:r>
                </w:p>
              </w:tc>
              <w:tc>
                <w:tcPr>
                  <w:tcW w:w="789" w:type="dxa"/>
                  <w:tcBorders>
                    <w:tl2br w:val="nil"/>
                    <w:tr2bl w:val="nil"/>
                  </w:tcBorders>
                  <w:noWrap w:val="0"/>
                  <w:vAlign w:val="center"/>
                </w:tcPr>
                <w:p w14:paraId="0207FE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560FFD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堆场</w:t>
                  </w:r>
                  <w:r>
                    <w:rPr>
                      <w:rFonts w:hint="eastAsia"/>
                      <w:color w:val="auto"/>
                      <w:sz w:val="21"/>
                      <w:szCs w:val="21"/>
                      <w:u w:val="single"/>
                    </w:rPr>
                    <w:t>建设封闭式钢结构厂房，厂房地面硬化，</w:t>
                  </w:r>
                  <w:r>
                    <w:rPr>
                      <w:rFonts w:hint="eastAsia"/>
                      <w:color w:val="auto"/>
                      <w:sz w:val="21"/>
                      <w:szCs w:val="21"/>
                      <w:u w:val="single"/>
                      <w:lang w:val="en-US" w:eastAsia="zh-CN"/>
                    </w:rPr>
                    <w:t>洒水抑尘</w:t>
                  </w:r>
                </w:p>
              </w:tc>
              <w:tc>
                <w:tcPr>
                  <w:tcW w:w="1363" w:type="dxa"/>
                  <w:tcBorders>
                    <w:tl2br w:val="nil"/>
                    <w:tr2bl w:val="nil"/>
                  </w:tcBorders>
                  <w:noWrap w:val="0"/>
                  <w:vAlign w:val="center"/>
                </w:tcPr>
                <w:p w14:paraId="26F8CD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无组织排放</w:t>
                  </w:r>
                </w:p>
              </w:tc>
              <w:tc>
                <w:tcPr>
                  <w:tcW w:w="1471" w:type="dxa"/>
                  <w:tcBorders>
                    <w:tl2br w:val="nil"/>
                    <w:tr2bl w:val="nil"/>
                  </w:tcBorders>
                  <w:noWrap w:val="0"/>
                  <w:vAlign w:val="center"/>
                </w:tcPr>
                <w:p w14:paraId="0B5D95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新建产品堆场，</w:t>
                  </w:r>
                  <w:r>
                    <w:rPr>
                      <w:rFonts w:hint="eastAsia"/>
                      <w:color w:val="auto"/>
                      <w:sz w:val="21"/>
                      <w:szCs w:val="21"/>
                      <w:u w:val="single"/>
                    </w:rPr>
                    <w:t>封闭式钢结构厂房，厂房地面硬化，</w:t>
                  </w:r>
                  <w:r>
                    <w:rPr>
                      <w:rFonts w:hint="eastAsia"/>
                      <w:color w:val="auto"/>
                      <w:sz w:val="21"/>
                      <w:szCs w:val="21"/>
                      <w:u w:val="single"/>
                      <w:lang w:val="en-US" w:eastAsia="zh-CN"/>
                    </w:rPr>
                    <w:t>洒水抑尘</w:t>
                  </w:r>
                </w:p>
              </w:tc>
            </w:tr>
            <w:tr w14:paraId="4325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continue"/>
                  <w:tcBorders>
                    <w:tl2br w:val="nil"/>
                    <w:tr2bl w:val="nil"/>
                  </w:tcBorders>
                  <w:noWrap w:val="0"/>
                  <w:vAlign w:val="center"/>
                </w:tcPr>
                <w:p w14:paraId="6CC8CB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p>
              </w:tc>
              <w:tc>
                <w:tcPr>
                  <w:tcW w:w="1165" w:type="dxa"/>
                  <w:tcBorders>
                    <w:tl2br w:val="nil"/>
                    <w:tr2bl w:val="nil"/>
                  </w:tcBorders>
                  <w:noWrap w:val="0"/>
                  <w:vAlign w:val="center"/>
                </w:tcPr>
                <w:p w14:paraId="5E0B5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运输扬尘</w:t>
                  </w:r>
                </w:p>
              </w:tc>
              <w:tc>
                <w:tcPr>
                  <w:tcW w:w="789" w:type="dxa"/>
                  <w:tcBorders>
                    <w:tl2br w:val="nil"/>
                    <w:tr2bl w:val="nil"/>
                  </w:tcBorders>
                  <w:noWrap w:val="0"/>
                  <w:vAlign w:val="center"/>
                </w:tcPr>
                <w:p w14:paraId="76B241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64F03E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道路硬化、绿化，安排专人酒水清扫</w:t>
                  </w:r>
                  <w:r>
                    <w:rPr>
                      <w:rFonts w:hint="eastAsia"/>
                      <w:color w:val="auto"/>
                      <w:sz w:val="21"/>
                      <w:szCs w:val="21"/>
                      <w:u w:val="single"/>
                      <w:lang w:eastAsia="zh-CN"/>
                    </w:rPr>
                    <w:t>；</w:t>
                  </w:r>
                  <w:r>
                    <w:rPr>
                      <w:rFonts w:hint="eastAsia"/>
                      <w:color w:val="auto"/>
                      <w:sz w:val="21"/>
                      <w:szCs w:val="21"/>
                      <w:u w:val="single"/>
                    </w:rPr>
                    <w:t>运输车辆限速，产品运输车辆覆盖遮盖物，出场前清洗</w:t>
                  </w:r>
                </w:p>
              </w:tc>
              <w:tc>
                <w:tcPr>
                  <w:tcW w:w="1363" w:type="dxa"/>
                  <w:tcBorders>
                    <w:tl2br w:val="nil"/>
                    <w:tr2bl w:val="nil"/>
                  </w:tcBorders>
                  <w:noWrap w:val="0"/>
                  <w:vAlign w:val="center"/>
                </w:tcPr>
                <w:p w14:paraId="47E753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无组织排放</w:t>
                  </w:r>
                </w:p>
              </w:tc>
              <w:tc>
                <w:tcPr>
                  <w:tcW w:w="1471" w:type="dxa"/>
                  <w:tcBorders>
                    <w:tl2br w:val="nil"/>
                    <w:tr2bl w:val="nil"/>
                  </w:tcBorders>
                  <w:noWrap w:val="0"/>
                  <w:vAlign w:val="center"/>
                </w:tcPr>
                <w:p w14:paraId="7C01FB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lang w:val="en-US" w:eastAsia="zh-CN"/>
                    </w:rPr>
                    <w:t>依托现有</w:t>
                  </w:r>
                </w:p>
              </w:tc>
            </w:tr>
          </w:tbl>
          <w:p w14:paraId="4A1D400D">
            <w:pPr>
              <w:ind w:left="0" w:leftChars="0" w:firstLine="0" w:firstLineChars="0"/>
              <w:jc w:val="left"/>
              <w:rPr>
                <w:rFonts w:hint="default" w:ascii="Times New Roman" w:hAnsi="Times New Roman" w:eastAsia="宋体" w:cs="Times New Roman"/>
                <w:color w:val="auto"/>
                <w:highlight w:val="none"/>
                <w:lang w:val="en-US" w:eastAsia="zh-CN"/>
              </w:rPr>
            </w:pPr>
          </w:p>
        </w:tc>
      </w:tr>
    </w:tbl>
    <w:p w14:paraId="6DBA3031">
      <w:pPr>
        <w:ind w:firstLine="0" w:firstLineChars="0"/>
        <w:jc w:val="center"/>
        <w:rPr>
          <w:rFonts w:hint="default" w:ascii="Times New Roman" w:hAnsi="Times New Roman" w:cs="Times New Roman"/>
          <w:color w:val="auto"/>
          <w:highlight w:val="none"/>
        </w:rPr>
        <w:sectPr>
          <w:pgSz w:w="11906" w:h="16838"/>
          <w:pgMar w:top="1418" w:right="1588" w:bottom="1418" w:left="1588" w:header="851" w:footer="992" w:gutter="0"/>
          <w:pgBorders>
            <w:top w:val="none" w:sz="0" w:space="0"/>
            <w:left w:val="none" w:sz="0" w:space="0"/>
            <w:bottom w:val="none" w:sz="0" w:space="0"/>
            <w:right w:val="none" w:sz="0" w:space="0"/>
          </w:pgBorders>
          <w:pgNumType w:fmt="numberInDash"/>
          <w:cols w:space="425" w:num="1"/>
          <w:docGrid w:type="lines" w:linePitch="326" w:charSpace="0"/>
        </w:sectPr>
      </w:pPr>
    </w:p>
    <w:p w14:paraId="3E0EE879">
      <w:pPr>
        <w:pStyle w:val="2"/>
        <w:jc w:val="center"/>
        <w:rPr>
          <w:rFonts w:hint="default" w:ascii="Times New Roman" w:hAnsi="Times New Roman" w:eastAsia="黑体" w:cs="Times New Roman"/>
          <w:b w:val="0"/>
          <w:bCs w:val="0"/>
          <w:color w:val="auto"/>
          <w:sz w:val="30"/>
          <w:szCs w:val="30"/>
          <w:highlight w:val="none"/>
        </w:rPr>
      </w:pPr>
      <w:bookmarkStart w:id="4" w:name="_Toc21568"/>
      <w:r>
        <w:rPr>
          <w:rFonts w:hint="default" w:ascii="Times New Roman" w:hAnsi="Times New Roman" w:eastAsia="黑体" w:cs="Times New Roman"/>
          <w:b w:val="0"/>
          <w:bCs w:val="0"/>
          <w:color w:val="auto"/>
          <w:sz w:val="30"/>
          <w:szCs w:val="30"/>
          <w:highlight w:val="none"/>
        </w:rPr>
        <w:t>三、生态环境现状、保护目标及评价标准</w:t>
      </w:r>
      <w:bookmarkEnd w:id="4"/>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101"/>
      </w:tblGrid>
      <w:tr w14:paraId="506A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16A1970B">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生态环境现状</w:t>
            </w:r>
          </w:p>
        </w:tc>
        <w:tc>
          <w:tcPr>
            <w:tcW w:w="8101" w:type="dxa"/>
          </w:tcPr>
          <w:p w14:paraId="35A99D36">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1、生态环境现状</w:t>
            </w:r>
          </w:p>
          <w:p w14:paraId="0BCB6438">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（1）生态功能区划</w:t>
            </w:r>
          </w:p>
          <w:p w14:paraId="1983954A">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本项目所在区域为湖南省</w:t>
            </w:r>
            <w:r>
              <w:rPr>
                <w:rFonts w:hint="eastAsia" w:cs="Times New Roman"/>
                <w:color w:val="auto"/>
                <w:szCs w:val="24"/>
                <w:highlight w:val="none"/>
                <w:u w:val="single"/>
                <w:lang w:eastAsia="zh-CN"/>
              </w:rPr>
              <w:t>常德市澧县火连坡镇芦桥村九组</w:t>
            </w:r>
            <w:r>
              <w:rPr>
                <w:rFonts w:hint="default" w:ascii="Times New Roman" w:hAnsi="Times New Roman" w:cs="Times New Roman"/>
                <w:color w:val="auto"/>
                <w:szCs w:val="24"/>
                <w:highlight w:val="none"/>
                <w:u w:val="single"/>
              </w:rPr>
              <w:t>，根据《湖南省主体功能区划》（2016.5），本项目不属于农产品主产区（限制开发区域）、重点生态功能区（限制开发区域）和禁止开发区域；且工程范围内无自然保护区、风景名胜区、自然遗产地等敏感环境保护目标。</w:t>
            </w:r>
          </w:p>
          <w:p w14:paraId="05D3417D">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u w:val="single"/>
              </w:rPr>
              <w:t>根据《湖南省国家重点生态功能区产业准入负面清单（试行）》（湘发改规划（2016）659号）、《湖南省新增19个国家重点生态功能区产业准入负面清单（试行）》（湘发改规划（2018）972号），项目不属于湖南省国家重点生态功能区产业准入负面清单（试行）中的限制类及禁止类，可视为允许类。</w:t>
            </w:r>
          </w:p>
          <w:p w14:paraId="02B5037F">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本项目所在区域环境功能划分如下表所示。</w:t>
            </w:r>
          </w:p>
          <w:p w14:paraId="10608980">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表3-1  建设项目环境功能属性一览表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805"/>
              <w:gridCol w:w="4393"/>
            </w:tblGrid>
            <w:tr w14:paraId="3F7B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0389A93F">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编号</w:t>
                  </w:r>
                </w:p>
              </w:tc>
              <w:tc>
                <w:tcPr>
                  <w:tcW w:w="2803" w:type="dxa"/>
                  <w:vAlign w:val="center"/>
                </w:tcPr>
                <w:p w14:paraId="12956B0F">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4390" w:type="dxa"/>
                  <w:vAlign w:val="center"/>
                </w:tcPr>
                <w:p w14:paraId="0826785E">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功能属性及执行标准</w:t>
                  </w:r>
                </w:p>
              </w:tc>
            </w:tr>
            <w:tr w14:paraId="2B19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780B1D3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803" w:type="dxa"/>
                  <w:vAlign w:val="center"/>
                </w:tcPr>
                <w:p w14:paraId="63802CA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环境空气质量功能区</w:t>
                  </w:r>
                </w:p>
              </w:tc>
              <w:tc>
                <w:tcPr>
                  <w:tcW w:w="4390" w:type="dxa"/>
                  <w:vAlign w:val="center"/>
                </w:tcPr>
                <w:p w14:paraId="042EA39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二类区，执行《环境空气质量标准》（GB3095-20</w:t>
                  </w:r>
                  <w:r>
                    <w:rPr>
                      <w:rFonts w:hint="eastAsia" w:cs="Times New Roman"/>
                      <w:color w:val="auto"/>
                      <w:sz w:val="21"/>
                      <w:szCs w:val="21"/>
                      <w:highlight w:val="none"/>
                      <w:lang w:val="en-US" w:eastAsia="zh-CN"/>
                    </w:rPr>
                    <w:t>26</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中</w:t>
                  </w:r>
                  <w:r>
                    <w:rPr>
                      <w:rFonts w:hint="default" w:ascii="Times New Roman" w:hAnsi="Times New Roman" w:cs="Times New Roman"/>
                      <w:color w:val="auto"/>
                      <w:sz w:val="21"/>
                      <w:szCs w:val="21"/>
                      <w:highlight w:val="none"/>
                    </w:rPr>
                    <w:t>二级标准</w:t>
                  </w:r>
                </w:p>
              </w:tc>
            </w:tr>
            <w:tr w14:paraId="424D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775ACB0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803" w:type="dxa"/>
                  <w:vAlign w:val="center"/>
                </w:tcPr>
                <w:p w14:paraId="3CBA947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水环境功能区</w:t>
                  </w:r>
                </w:p>
              </w:tc>
              <w:tc>
                <w:tcPr>
                  <w:tcW w:w="4390" w:type="dxa"/>
                  <w:vAlign w:val="center"/>
                </w:tcPr>
                <w:p w14:paraId="3FAE491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执行《地表水环境质量标准》（GB3838-2002）Ⅲ类标准</w:t>
                  </w:r>
                </w:p>
              </w:tc>
            </w:tr>
            <w:tr w14:paraId="375B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571FDD9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803" w:type="dxa"/>
                  <w:vAlign w:val="center"/>
                </w:tcPr>
                <w:p w14:paraId="63BC444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声环境功能区</w:t>
                  </w:r>
                </w:p>
              </w:tc>
              <w:tc>
                <w:tcPr>
                  <w:tcW w:w="4390" w:type="dxa"/>
                  <w:vAlign w:val="center"/>
                </w:tcPr>
                <w:p w14:paraId="46B091E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2类区，执行《声环境质量标准》（GB3096-2008）2类标准</w:t>
                  </w:r>
                </w:p>
              </w:tc>
            </w:tr>
            <w:tr w14:paraId="4DBB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21738DE4">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803" w:type="dxa"/>
                  <w:vAlign w:val="center"/>
                </w:tcPr>
                <w:p w14:paraId="5F267212">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是否基本农田保护区</w:t>
                  </w:r>
                </w:p>
              </w:tc>
              <w:tc>
                <w:tcPr>
                  <w:tcW w:w="4390" w:type="dxa"/>
                </w:tcPr>
                <w:p w14:paraId="3089D13F">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7D53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5D765DA4">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803" w:type="dxa"/>
                  <w:vAlign w:val="center"/>
                </w:tcPr>
                <w:p w14:paraId="7E1C4A6E">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是否森林公园</w:t>
                  </w:r>
                </w:p>
              </w:tc>
              <w:tc>
                <w:tcPr>
                  <w:tcW w:w="4390" w:type="dxa"/>
                </w:tcPr>
                <w:p w14:paraId="10F182DC">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0F36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1500A3F8">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803" w:type="dxa"/>
                  <w:vAlign w:val="center"/>
                </w:tcPr>
                <w:p w14:paraId="7BC573E9">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是否生态功能保护区</w:t>
                  </w:r>
                </w:p>
              </w:tc>
              <w:tc>
                <w:tcPr>
                  <w:tcW w:w="4390" w:type="dxa"/>
                </w:tcPr>
                <w:p w14:paraId="5C72D748">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5BF4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6149AD2A">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803" w:type="dxa"/>
                  <w:vAlign w:val="center"/>
                </w:tcPr>
                <w:p w14:paraId="77CC561E">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是否水土流失重点防治区</w:t>
                  </w:r>
                </w:p>
              </w:tc>
              <w:tc>
                <w:tcPr>
                  <w:tcW w:w="4390" w:type="dxa"/>
                </w:tcPr>
                <w:p w14:paraId="506121FF">
                  <w:pPr>
                    <w:spacing w:line="276"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是</w:t>
                  </w:r>
                </w:p>
              </w:tc>
            </w:tr>
            <w:tr w14:paraId="1978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27A6ACA7">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803" w:type="dxa"/>
                  <w:vAlign w:val="center"/>
                </w:tcPr>
                <w:p w14:paraId="2408BF7D">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是否人口密集区</w:t>
                  </w:r>
                </w:p>
              </w:tc>
              <w:tc>
                <w:tcPr>
                  <w:tcW w:w="4390" w:type="dxa"/>
                </w:tcPr>
                <w:p w14:paraId="647C9F38">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7A97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75BB910C">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803" w:type="dxa"/>
                  <w:vAlign w:val="center"/>
                </w:tcPr>
                <w:p w14:paraId="1C26EB43">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是否重点文物保护单位</w:t>
                  </w:r>
                </w:p>
              </w:tc>
              <w:tc>
                <w:tcPr>
                  <w:tcW w:w="4390" w:type="dxa"/>
                </w:tcPr>
                <w:p w14:paraId="5397025E">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18FF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101E6EF1">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803" w:type="dxa"/>
                  <w:vAlign w:val="center"/>
                </w:tcPr>
                <w:p w14:paraId="5CC4EDA3">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是否水库库区</w:t>
                  </w:r>
                </w:p>
              </w:tc>
              <w:tc>
                <w:tcPr>
                  <w:tcW w:w="4390" w:type="dxa"/>
                </w:tcPr>
                <w:p w14:paraId="15DBA6D1">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2C58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685FDDF0">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803" w:type="dxa"/>
                  <w:vAlign w:val="center"/>
                </w:tcPr>
                <w:p w14:paraId="63B2CD42">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是否污水处理厂集水范围</w:t>
                  </w:r>
                </w:p>
              </w:tc>
              <w:tc>
                <w:tcPr>
                  <w:tcW w:w="4390" w:type="dxa"/>
                </w:tcPr>
                <w:p w14:paraId="79FC9A6B">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43E5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222F1CD0">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803" w:type="dxa"/>
                  <w:vAlign w:val="center"/>
                </w:tcPr>
                <w:p w14:paraId="2D845753">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是否属于生态敏感与脆弱区</w:t>
                  </w:r>
                </w:p>
              </w:tc>
              <w:tc>
                <w:tcPr>
                  <w:tcW w:w="4390" w:type="dxa"/>
                  <w:vAlign w:val="center"/>
                </w:tcPr>
                <w:p w14:paraId="6235425E">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bl>
          <w:p w14:paraId="74608FDA">
            <w:pPr>
              <w:ind w:firstLine="0" w:firstLineChars="0"/>
              <w:rPr>
                <w:rFonts w:hint="eastAsia" w:ascii="Times New Roman" w:hAnsi="Times New Roman" w:eastAsia="宋体" w:cs="Times New Roman"/>
                <w:color w:val="auto"/>
                <w:szCs w:val="24"/>
                <w:highlight w:val="none"/>
                <w:u w:val="none"/>
                <w:lang w:eastAsia="zh-CN"/>
              </w:rPr>
            </w:pPr>
            <w:r>
              <w:rPr>
                <w:rFonts w:hint="eastAsia" w:cs="Times New Roman"/>
                <w:color w:val="auto"/>
                <w:szCs w:val="24"/>
                <w:highlight w:val="none"/>
                <w:u w:val="none"/>
                <w:lang w:eastAsia="zh-CN"/>
              </w:rPr>
              <w:t>（</w:t>
            </w:r>
            <w:r>
              <w:rPr>
                <w:rFonts w:hint="eastAsia" w:cs="Times New Roman"/>
                <w:color w:val="auto"/>
                <w:szCs w:val="24"/>
                <w:highlight w:val="none"/>
                <w:u w:val="none"/>
                <w:lang w:val="en-US" w:eastAsia="zh-CN"/>
              </w:rPr>
              <w:t>2</w:t>
            </w:r>
            <w:r>
              <w:rPr>
                <w:rFonts w:hint="eastAsia" w:cs="Times New Roman"/>
                <w:color w:val="auto"/>
                <w:szCs w:val="24"/>
                <w:highlight w:val="none"/>
                <w:u w:val="none"/>
                <w:lang w:eastAsia="zh-CN"/>
              </w:rPr>
              <w:t>）</w:t>
            </w:r>
            <w:r>
              <w:rPr>
                <w:rFonts w:hint="default" w:ascii="Times New Roman" w:hAnsi="Times New Roman" w:cs="Times New Roman"/>
                <w:color w:val="auto"/>
                <w:szCs w:val="24"/>
                <w:highlight w:val="none"/>
                <w:u w:val="none"/>
              </w:rPr>
              <w:t>评价</w:t>
            </w:r>
            <w:r>
              <w:rPr>
                <w:rFonts w:hint="eastAsia" w:cs="Times New Roman"/>
                <w:color w:val="auto"/>
                <w:szCs w:val="24"/>
                <w:highlight w:val="none"/>
                <w:u w:val="none"/>
                <w:lang w:eastAsia="zh-CN"/>
              </w:rPr>
              <w:t>范围</w:t>
            </w:r>
          </w:p>
          <w:p w14:paraId="1E8F2ACB">
            <w:pPr>
              <w:keepNext w:val="0"/>
              <w:keepLines w:val="0"/>
              <w:widowControl/>
              <w:suppressLineNumbers w:val="0"/>
              <w:jc w:val="left"/>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none"/>
              </w:rPr>
              <w:t>本工程位于</w:t>
            </w:r>
            <w:r>
              <w:rPr>
                <w:rFonts w:hint="eastAsia" w:cs="Times New Roman"/>
                <w:color w:val="auto"/>
                <w:szCs w:val="24"/>
                <w:highlight w:val="none"/>
                <w:u w:val="none"/>
                <w:lang w:eastAsia="zh-CN"/>
              </w:rPr>
              <w:t>常德市澧县火连坡镇芦桥村九组</w:t>
            </w:r>
            <w:r>
              <w:rPr>
                <w:rFonts w:hint="default" w:ascii="Times New Roman" w:hAnsi="Times New Roman" w:cs="Times New Roman"/>
                <w:color w:val="auto"/>
                <w:szCs w:val="24"/>
                <w:highlight w:val="none"/>
                <w:u w:val="none"/>
              </w:rPr>
              <w:t>，总占地面积</w:t>
            </w:r>
            <w:r>
              <w:rPr>
                <w:rFonts w:hint="eastAsia" w:cs="Times New Roman"/>
                <w:color w:val="auto"/>
                <w:szCs w:val="24"/>
                <w:highlight w:val="none"/>
                <w:u w:val="none"/>
                <w:lang w:val="en-US" w:eastAsia="zh-CN"/>
              </w:rPr>
              <w:t>0.2906</w:t>
            </w:r>
            <w:r>
              <w:rPr>
                <w:rFonts w:hint="default" w:ascii="Times New Roman" w:hAnsi="Times New Roman" w:cs="Times New Roman"/>
                <w:color w:val="auto"/>
                <w:szCs w:val="24"/>
                <w:highlight w:val="none"/>
                <w:u w:val="none"/>
              </w:rPr>
              <w:t>km</w:t>
            </w:r>
            <w:r>
              <w:rPr>
                <w:rFonts w:hint="default" w:ascii="Times New Roman" w:hAnsi="Times New Roman" w:cs="Times New Roman"/>
                <w:color w:val="auto"/>
                <w:szCs w:val="24"/>
                <w:highlight w:val="none"/>
                <w:u w:val="none"/>
                <w:vertAlign w:val="superscript"/>
              </w:rPr>
              <w:t>2</w:t>
            </w:r>
            <w:r>
              <w:rPr>
                <w:rFonts w:hint="default" w:ascii="Times New Roman" w:hAnsi="Times New Roman" w:cs="Times New Roman"/>
                <w:color w:val="auto"/>
                <w:szCs w:val="24"/>
                <w:highlight w:val="none"/>
                <w:u w:val="none"/>
              </w:rPr>
              <w:t>，</w:t>
            </w:r>
            <w:r>
              <w:rPr>
                <w:rFonts w:hint="default" w:ascii="Times New Roman" w:hAnsi="Times New Roman" w:eastAsia="宋体" w:cs="Times New Roman"/>
                <w:color w:val="auto"/>
                <w:kern w:val="0"/>
                <w:sz w:val="24"/>
                <w:szCs w:val="24"/>
                <w:highlight w:val="none"/>
                <w:lang w:val="en-US" w:eastAsia="zh-CN" w:bidi="ar"/>
              </w:rPr>
              <w:t>根据《矿权设置范围相关信息分析简报》（附件11），《澧县屠夫垭矿区拟设加工厂、排土场和办公生活区范围相关信息分析结果简报》（附件10），本项目与生态保护</w:t>
            </w:r>
            <w:r>
              <w:rPr>
                <w:rFonts w:hint="eastAsia" w:ascii="宋体" w:hAnsi="宋体" w:eastAsia="宋体" w:cs="宋体"/>
                <w:color w:val="auto"/>
                <w:kern w:val="0"/>
                <w:sz w:val="24"/>
                <w:szCs w:val="24"/>
                <w:highlight w:val="none"/>
                <w:lang w:val="en-US" w:eastAsia="zh-CN" w:bidi="ar"/>
              </w:rPr>
              <w:t>红线、永久基本农田、自然保护地（包括国家公园、自然保护区、自然公园）、风景名胜区等无重叠。</w:t>
            </w:r>
            <w:r>
              <w:rPr>
                <w:rFonts w:hint="eastAsia" w:ascii="Times New Roman" w:hAnsi="Times New Roman" w:eastAsia="宋体" w:cs="Times New Roman"/>
                <w:color w:val="auto"/>
                <w:szCs w:val="24"/>
                <w:highlight w:val="none"/>
                <w:u w:val="single"/>
                <w:lang w:val="en-US" w:eastAsia="zh-CN"/>
              </w:rPr>
              <w:t>项目区域周边自然保护区有湖南澧洲</w:t>
            </w:r>
            <w:r>
              <w:rPr>
                <w:rFonts w:hint="default" w:ascii="Times New Roman" w:hAnsi="Times New Roman" w:eastAsia="宋体" w:cs="Times New Roman"/>
                <w:color w:val="auto"/>
                <w:szCs w:val="24"/>
                <w:highlight w:val="none"/>
                <w:u w:val="single"/>
                <w:lang w:val="en-US" w:eastAsia="zh-CN"/>
              </w:rPr>
              <w:t>涔槐</w:t>
            </w:r>
            <w:r>
              <w:rPr>
                <w:rFonts w:hint="eastAsia" w:ascii="Times New Roman" w:hAnsi="Times New Roman" w:eastAsia="宋体" w:cs="Times New Roman"/>
                <w:color w:val="auto"/>
                <w:szCs w:val="24"/>
                <w:highlight w:val="none"/>
                <w:u w:val="single"/>
                <w:lang w:val="en-US" w:eastAsia="zh-CN"/>
              </w:rPr>
              <w:t>国家湿地公园和湖南澧县天供山省级自然公园，本项目距湖南澧洲</w:t>
            </w:r>
            <w:r>
              <w:rPr>
                <w:rFonts w:hint="default" w:ascii="Times New Roman" w:hAnsi="Times New Roman" w:eastAsia="宋体" w:cs="Times New Roman"/>
                <w:color w:val="auto"/>
                <w:szCs w:val="24"/>
                <w:highlight w:val="none"/>
                <w:u w:val="single"/>
                <w:lang w:val="en-US" w:eastAsia="zh-CN"/>
              </w:rPr>
              <w:t>涔槐</w:t>
            </w:r>
            <w:r>
              <w:rPr>
                <w:rFonts w:hint="eastAsia" w:ascii="Times New Roman" w:hAnsi="Times New Roman" w:eastAsia="宋体" w:cs="Times New Roman"/>
                <w:color w:val="auto"/>
                <w:szCs w:val="24"/>
                <w:highlight w:val="none"/>
                <w:u w:val="single"/>
                <w:lang w:val="en-US" w:eastAsia="zh-CN"/>
              </w:rPr>
              <w:t>国家湿地公园最近距离约1.7km，距离湖南澧县天供山省级自然公园最近距离约4km，</w:t>
            </w:r>
            <w:r>
              <w:rPr>
                <w:rFonts w:hint="default" w:ascii="Times New Roman" w:hAnsi="Times New Roman" w:cs="Times New Roman"/>
                <w:color w:val="auto"/>
                <w:szCs w:val="24"/>
                <w:highlight w:val="none"/>
                <w:u w:val="single"/>
              </w:rPr>
              <w:t>根据《环境影响评价技术导则生态环境》（HJ19-2022），</w:t>
            </w:r>
            <w:r>
              <w:rPr>
                <w:rFonts w:hint="eastAsia" w:cs="Times New Roman"/>
                <w:color w:val="auto"/>
                <w:szCs w:val="24"/>
                <w:highlight w:val="none"/>
                <w:u w:val="single"/>
                <w:lang w:val="en-US" w:eastAsia="zh-CN"/>
              </w:rPr>
              <w:t>本项目</w:t>
            </w:r>
            <w:r>
              <w:rPr>
                <w:rFonts w:hint="default" w:ascii="Times New Roman" w:hAnsi="Times New Roman" w:cs="Times New Roman"/>
                <w:color w:val="auto"/>
                <w:szCs w:val="24"/>
                <w:highlight w:val="none"/>
                <w:u w:val="single"/>
              </w:rPr>
              <w:t>生态影响评价为三级，生态评价范围为</w:t>
            </w:r>
            <w:r>
              <w:rPr>
                <w:rFonts w:hint="eastAsia" w:cs="Times New Roman"/>
                <w:color w:val="auto"/>
                <w:szCs w:val="24"/>
                <w:highlight w:val="none"/>
                <w:u w:val="single"/>
                <w:lang w:val="en-US" w:eastAsia="zh-CN"/>
              </w:rPr>
              <w:t>矿山及工业场地边界</w:t>
            </w:r>
            <w:r>
              <w:rPr>
                <w:rFonts w:hint="default" w:ascii="Times New Roman" w:hAnsi="Times New Roman" w:cs="Times New Roman"/>
                <w:color w:val="auto"/>
                <w:szCs w:val="24"/>
                <w:highlight w:val="none"/>
                <w:u w:val="single"/>
              </w:rPr>
              <w:t>周</w:t>
            </w:r>
            <w:r>
              <w:rPr>
                <w:rFonts w:hint="eastAsia" w:cs="Times New Roman"/>
                <w:color w:val="auto"/>
                <w:szCs w:val="24"/>
                <w:highlight w:val="none"/>
                <w:u w:val="single"/>
                <w:lang w:val="en-US" w:eastAsia="zh-CN"/>
              </w:rPr>
              <w:t>3</w:t>
            </w:r>
            <w:r>
              <w:rPr>
                <w:rFonts w:hint="default" w:ascii="Times New Roman" w:hAnsi="Times New Roman" w:cs="Times New Roman"/>
                <w:color w:val="auto"/>
                <w:szCs w:val="24"/>
                <w:highlight w:val="none"/>
                <w:u w:val="single"/>
              </w:rPr>
              <w:t>00m范围内，并涵盖开采区、</w:t>
            </w:r>
            <w:r>
              <w:rPr>
                <w:rFonts w:hint="eastAsia" w:cs="Times New Roman"/>
                <w:color w:val="auto"/>
                <w:szCs w:val="24"/>
                <w:highlight w:val="none"/>
                <w:u w:val="single"/>
                <w:lang w:val="en-US" w:eastAsia="zh-CN"/>
              </w:rPr>
              <w:t>工业场地</w:t>
            </w:r>
            <w:r>
              <w:rPr>
                <w:rFonts w:hint="default" w:ascii="Times New Roman" w:hAnsi="Times New Roman" w:cs="Times New Roman"/>
                <w:color w:val="auto"/>
                <w:szCs w:val="24"/>
                <w:highlight w:val="none"/>
                <w:u w:val="single"/>
              </w:rPr>
              <w:t>占地以及施工临时占地范围等。</w:t>
            </w:r>
          </w:p>
          <w:p w14:paraId="6036EFE1">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3</w:t>
            </w:r>
            <w:r>
              <w:rPr>
                <w:rFonts w:hint="default" w:ascii="Times New Roman" w:hAnsi="Times New Roman" w:cs="Times New Roman"/>
                <w:color w:val="auto"/>
                <w:szCs w:val="24"/>
                <w:highlight w:val="none"/>
              </w:rPr>
              <w:t>）生态环境现状调查</w:t>
            </w:r>
          </w:p>
          <w:p w14:paraId="692A57DF">
            <w:pPr>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u w:val="single"/>
              </w:rPr>
              <w:t>根据《土壤侵蚀分类分级标准》</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SLl90—2007</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的划分，工程区域位于南方红壤丘陵区，土壤侵蚀类型以水力侵蚀为主，水土流失允许值为 500t/km</w:t>
            </w:r>
            <w:r>
              <w:rPr>
                <w:rFonts w:hint="default" w:ascii="Times New Roman" w:hAnsi="Times New Roman" w:cs="Times New Roman"/>
                <w:color w:val="auto"/>
                <w:szCs w:val="24"/>
                <w:highlight w:val="none"/>
                <w:u w:val="single"/>
                <w:vertAlign w:val="superscript"/>
              </w:rPr>
              <w:t>2</w:t>
            </w:r>
            <w:r>
              <w:rPr>
                <w:rFonts w:hint="default" w:ascii="Times New Roman" w:hAnsi="Times New Roman" w:cs="Times New Roman"/>
                <w:color w:val="auto"/>
                <w:szCs w:val="24"/>
                <w:highlight w:val="none"/>
                <w:u w:val="single"/>
              </w:rPr>
              <w:t>•a。根据现场踏勘， 评价区水土流失并不严重， 该项目区以水力侵蚀为主，水土流失强度为轻度。</w:t>
            </w:r>
          </w:p>
          <w:p w14:paraId="26790586">
            <w:pPr>
              <w:ind w:firstLine="480" w:firstLineChars="20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①陆生植被</w:t>
            </w:r>
          </w:p>
          <w:p w14:paraId="4CFD093F">
            <w:pPr>
              <w:ind w:firstLine="480" w:firstLineChars="200"/>
              <w:rPr>
                <w:rFonts w:hint="eastAsia" w:ascii="Times New Roman" w:hAnsi="Times New Roman" w:eastAsia="宋体" w:cs="Times New Roman"/>
                <w:color w:val="auto"/>
                <w:szCs w:val="24"/>
                <w:highlight w:val="none"/>
                <w:u w:val="single"/>
                <w:lang w:val="en-US" w:eastAsia="zh-CN"/>
              </w:rPr>
            </w:pPr>
            <w:r>
              <w:rPr>
                <w:rFonts w:hint="eastAsia" w:ascii="Times New Roman" w:hAnsi="Times New Roman" w:eastAsia="宋体" w:cs="Times New Roman"/>
                <w:color w:val="auto"/>
                <w:szCs w:val="24"/>
                <w:highlight w:val="none"/>
                <w:u w:val="single"/>
                <w:lang w:val="en-US" w:eastAsia="zh-CN"/>
              </w:rPr>
              <w:t>矿山地处亚热带湿润季风气候区，生态环境条件优越，植被生长条件较好。矿山（区）及附近属低山丘陵地貌，地形起伏不大，位于亚热带乔、灌、草混合植被区；项目区内群落结构简单，以灌木林为主，部分地段生长有乔木，植被较发育，覆盖率在70%以上；矿区及300m范围内乔木种类以松树、杉树和樟树为主数量约占25%，间杂有少量梓、檀数量约占10%；灌木以毛竹、刺槐、火棘、棕树等杂林为主数量约占35%。草本层常见植物有狗脊蕨、艾草、芭茅、针茅、狗尾草为主，数量约占10%。范围内无重点保护的野生植物资源，没有古树名木，沿线丘岗主要为灌木。</w:t>
            </w:r>
          </w:p>
          <w:p w14:paraId="48F25CF8">
            <w:pPr>
              <w:ind w:firstLine="480" w:firstLineChars="200"/>
              <w:rPr>
                <w:rFonts w:hint="eastAsia" w:ascii="Times New Roman" w:hAnsi="Times New Roman" w:eastAsia="宋体" w:cs="Times New Roman"/>
                <w:color w:val="auto"/>
                <w:szCs w:val="24"/>
                <w:highlight w:val="none"/>
                <w:u w:val="single"/>
                <w:lang w:val="en-US" w:eastAsia="zh-CN"/>
              </w:rPr>
            </w:pPr>
            <w:r>
              <w:rPr>
                <w:rFonts w:hint="eastAsia" w:ascii="Times New Roman" w:hAnsi="Times New Roman" w:eastAsia="宋体" w:cs="Times New Roman"/>
                <w:color w:val="auto"/>
                <w:szCs w:val="24"/>
                <w:highlight w:val="none"/>
                <w:u w:val="single"/>
                <w:lang w:val="en-US" w:eastAsia="zh-CN"/>
              </w:rPr>
              <w:t>矿区及周边区域沟谷耕地、园地区受人类经济活动影响，以农作物、经济作物植被为主。区内粮食作物以水稻、玉米为主；经济作物以豆类、油菜、红薯为主；主要蔬菜作物有白菜类、薯芋类、根菜类、葱蒜类、瓜类、豆类等；经济林以桃树、梨树、柑柚树为主。</w:t>
            </w:r>
          </w:p>
          <w:p w14:paraId="790A8D2F">
            <w:pPr>
              <w:ind w:firstLine="480" w:firstLineChars="200"/>
              <w:rPr>
                <w:rFonts w:hint="eastAsia" w:ascii="Times New Roman" w:hAnsi="Times New Roman" w:eastAsia="宋体" w:cs="Times New Roman"/>
                <w:color w:val="auto"/>
                <w:szCs w:val="24"/>
                <w:highlight w:val="none"/>
                <w:u w:val="single"/>
                <w:lang w:val="en-US" w:eastAsia="zh-CN"/>
              </w:rPr>
            </w:pPr>
            <w:r>
              <w:rPr>
                <w:rFonts w:hint="eastAsia" w:ascii="Times New Roman" w:hAnsi="Times New Roman" w:eastAsia="宋体" w:cs="Times New Roman"/>
                <w:color w:val="auto"/>
                <w:szCs w:val="24"/>
                <w:highlight w:val="none"/>
                <w:u w:val="single"/>
                <w:lang w:val="en-US" w:eastAsia="zh-CN"/>
              </w:rPr>
              <w:t>通过现场实地调查和查询资料，本项目调查范围内未发现珍稀植被种类和古树名木。主要占地区如矿山采场、采矿工业场地、地面建筑现状主要为其它林地、采矿用地、灌木林地和少量裸岩石砾地，主要分布有马尾松、杉树、毛竹以及灌木等，主要系用材林，均属一般林地，无公益林，不涉及天然林保护区，不在自然保护区和森林公园内，没有国家、省级重点保护的野生植物。</w:t>
            </w:r>
            <w:r>
              <w:rPr>
                <w:rFonts w:hint="default" w:ascii="Times New Roman" w:hAnsi="Times New Roman" w:cs="Times New Roman"/>
                <w:color w:val="auto"/>
                <w:szCs w:val="24"/>
                <w:highlight w:val="none"/>
                <w:u w:val="single"/>
              </w:rPr>
              <w:t>未发现《国家重点保护野生植物名录》</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2021年</w:t>
            </w:r>
            <w:r>
              <w:rPr>
                <w:rFonts w:hint="eastAsia" w:cs="Times New Roman"/>
                <w:color w:val="auto"/>
                <w:szCs w:val="24"/>
                <w:highlight w:val="none"/>
                <w:u w:val="single"/>
                <w:lang w:val="en-US" w:eastAsia="zh-CN"/>
              </w:rPr>
              <w:t>版</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中记录的国家野生重点保护植物，也未发现评价区内有名木古树和区域狭域物种分布。</w:t>
            </w:r>
          </w:p>
          <w:p w14:paraId="5DCA0A91">
            <w:pPr>
              <w:ind w:firstLine="480" w:firstLineChars="200"/>
              <w:rPr>
                <w:rFonts w:hint="default" w:ascii="Times New Roman" w:hAnsi="Times New Roman" w:eastAsia="宋体" w:cs="Times New Roman"/>
                <w:color w:val="auto"/>
                <w:szCs w:val="24"/>
                <w:highlight w:val="none"/>
                <w:u w:val="none"/>
              </w:rPr>
            </w:pPr>
            <w:r>
              <w:rPr>
                <w:rFonts w:hint="eastAsia" w:ascii="Times New Roman" w:hAnsi="Times New Roman" w:eastAsia="宋体" w:cs="Times New Roman"/>
                <w:color w:val="auto"/>
                <w:szCs w:val="24"/>
                <w:highlight w:val="none"/>
                <w:u w:val="single"/>
                <w:lang w:val="en-US" w:eastAsia="zh-CN"/>
              </w:rPr>
              <w:t>矿区复绿地块栽种树种主要有香樟树、栾树、红叶石楠、小叶紫薇及黄花槐等，并在其间播撒了草籽，整体存活率达80%以上，通过矿山土地复垦工程的实施，极大改善了矿区环境，有效避免了堆土区水土流失现象发生，复绿效果较好。</w:t>
            </w:r>
          </w:p>
          <w:tbl>
            <w:tblPr>
              <w:tblStyle w:val="21"/>
              <w:tblpPr w:leftFromText="180" w:rightFromText="180" w:vertAnchor="text" w:horzAnchor="page" w:tblpXSpec="center" w:tblpY="34"/>
              <w:tblOverlap w:val="never"/>
              <w:tblW w:w="5000" w:type="pct"/>
              <w:jc w:val="center"/>
              <w:tblLayout w:type="fixed"/>
              <w:tblCellMar>
                <w:top w:w="0" w:type="dxa"/>
                <w:left w:w="108" w:type="dxa"/>
                <w:bottom w:w="0" w:type="dxa"/>
                <w:right w:w="108" w:type="dxa"/>
              </w:tblCellMar>
            </w:tblPr>
            <w:tblGrid>
              <w:gridCol w:w="3942"/>
              <w:gridCol w:w="3943"/>
            </w:tblGrid>
            <w:tr w14:paraId="045A0CAF">
              <w:tblPrEx>
                <w:tblCellMar>
                  <w:top w:w="0" w:type="dxa"/>
                  <w:left w:w="108" w:type="dxa"/>
                  <w:bottom w:w="0" w:type="dxa"/>
                  <w:right w:w="108" w:type="dxa"/>
                </w:tblCellMar>
              </w:tblPrEx>
              <w:trPr>
                <w:trHeight w:val="2863" w:hRule="atLeast"/>
                <w:jc w:val="center"/>
              </w:trPr>
              <w:tc>
                <w:tcPr>
                  <w:tcW w:w="3942" w:type="dxa"/>
                  <w:noWrap w:val="0"/>
                  <w:vAlign w:val="top"/>
                </w:tcPr>
                <w:p w14:paraId="7CAF9CB0">
                  <w:pPr>
                    <w:ind w:left="0" w:leftChars="0" w:firstLine="0" w:firstLineChars="0"/>
                    <w:jc w:val="center"/>
                    <w:rPr>
                      <w:rFonts w:hint="eastAsia" w:eastAsia="楷体"/>
                      <w:color w:val="auto"/>
                      <w:sz w:val="28"/>
                      <w:szCs w:val="28"/>
                      <w:highlight w:val="none"/>
                      <w:lang w:eastAsia="zh-CN"/>
                    </w:rPr>
                  </w:pPr>
                  <w:r>
                    <w:rPr>
                      <w:color w:val="auto"/>
                      <w:highlight w:val="none"/>
                    </w:rPr>
                    <w:drawing>
                      <wp:inline distT="0" distB="0" distL="114300" distR="114300">
                        <wp:extent cx="2364740" cy="1741805"/>
                        <wp:effectExtent l="0" t="0" r="12700" b="1079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1"/>
                                <a:stretch>
                                  <a:fillRect/>
                                </a:stretch>
                              </pic:blipFill>
                              <pic:spPr>
                                <a:xfrm>
                                  <a:off x="0" y="0"/>
                                  <a:ext cx="2364740" cy="1741805"/>
                                </a:xfrm>
                                <a:prstGeom prst="rect">
                                  <a:avLst/>
                                </a:prstGeom>
                                <a:noFill/>
                                <a:ln>
                                  <a:noFill/>
                                </a:ln>
                              </pic:spPr>
                            </pic:pic>
                          </a:graphicData>
                        </a:graphic>
                      </wp:inline>
                    </w:drawing>
                  </w:r>
                </w:p>
              </w:tc>
              <w:tc>
                <w:tcPr>
                  <w:tcW w:w="3943" w:type="dxa"/>
                  <w:noWrap w:val="0"/>
                  <w:vAlign w:val="top"/>
                </w:tcPr>
                <w:p w14:paraId="42D7D6A5">
                  <w:pPr>
                    <w:ind w:left="0" w:leftChars="0" w:firstLine="0" w:firstLineChars="0"/>
                    <w:jc w:val="center"/>
                    <w:rPr>
                      <w:rFonts w:hint="eastAsia" w:eastAsia="楷体"/>
                      <w:color w:val="auto"/>
                      <w:sz w:val="28"/>
                      <w:szCs w:val="28"/>
                      <w:highlight w:val="none"/>
                      <w:lang w:eastAsia="zh-CN"/>
                    </w:rPr>
                  </w:pPr>
                  <w:r>
                    <w:rPr>
                      <w:color w:val="auto"/>
                      <w:highlight w:val="none"/>
                    </w:rPr>
                    <w:drawing>
                      <wp:inline distT="0" distB="0" distL="114300" distR="114300">
                        <wp:extent cx="2365375" cy="1759585"/>
                        <wp:effectExtent l="0" t="0" r="12065" b="825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2"/>
                                <a:stretch>
                                  <a:fillRect/>
                                </a:stretch>
                              </pic:blipFill>
                              <pic:spPr>
                                <a:xfrm>
                                  <a:off x="0" y="0"/>
                                  <a:ext cx="2365375" cy="1759585"/>
                                </a:xfrm>
                                <a:prstGeom prst="rect">
                                  <a:avLst/>
                                </a:prstGeom>
                                <a:noFill/>
                                <a:ln>
                                  <a:noFill/>
                                </a:ln>
                              </pic:spPr>
                            </pic:pic>
                          </a:graphicData>
                        </a:graphic>
                      </wp:inline>
                    </w:drawing>
                  </w:r>
                </w:p>
              </w:tc>
            </w:tr>
            <w:tr w14:paraId="75C3C78A">
              <w:tblPrEx>
                <w:tblCellMar>
                  <w:top w:w="0" w:type="dxa"/>
                  <w:left w:w="108" w:type="dxa"/>
                  <w:bottom w:w="0" w:type="dxa"/>
                  <w:right w:w="108" w:type="dxa"/>
                </w:tblCellMar>
              </w:tblPrEx>
              <w:trPr>
                <w:trHeight w:val="2940" w:hRule="atLeast"/>
                <w:jc w:val="center"/>
              </w:trPr>
              <w:tc>
                <w:tcPr>
                  <w:tcW w:w="3942" w:type="dxa"/>
                  <w:noWrap w:val="0"/>
                  <w:vAlign w:val="top"/>
                </w:tcPr>
                <w:p w14:paraId="0D04B210">
                  <w:pPr>
                    <w:ind w:left="0" w:leftChars="0" w:firstLine="0" w:firstLineChars="0"/>
                    <w:jc w:val="center"/>
                    <w:rPr>
                      <w:rFonts w:hint="eastAsia" w:eastAsia="楷体"/>
                      <w:color w:val="auto"/>
                      <w:sz w:val="28"/>
                      <w:szCs w:val="28"/>
                      <w:highlight w:val="none"/>
                      <w:lang w:eastAsia="zh-CN"/>
                    </w:rPr>
                  </w:pPr>
                  <w:r>
                    <w:rPr>
                      <w:color w:val="auto"/>
                      <w:highlight w:val="none"/>
                    </w:rPr>
                    <w:drawing>
                      <wp:inline distT="0" distB="0" distL="114300" distR="114300">
                        <wp:extent cx="2365375" cy="1780540"/>
                        <wp:effectExtent l="0" t="0" r="12065" b="254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3"/>
                                <a:stretch>
                                  <a:fillRect/>
                                </a:stretch>
                              </pic:blipFill>
                              <pic:spPr>
                                <a:xfrm>
                                  <a:off x="0" y="0"/>
                                  <a:ext cx="2365375" cy="1780540"/>
                                </a:xfrm>
                                <a:prstGeom prst="rect">
                                  <a:avLst/>
                                </a:prstGeom>
                                <a:noFill/>
                                <a:ln>
                                  <a:noFill/>
                                </a:ln>
                              </pic:spPr>
                            </pic:pic>
                          </a:graphicData>
                        </a:graphic>
                      </wp:inline>
                    </w:drawing>
                  </w:r>
                </w:p>
              </w:tc>
              <w:tc>
                <w:tcPr>
                  <w:tcW w:w="3943" w:type="dxa"/>
                  <w:noWrap w:val="0"/>
                  <w:vAlign w:val="top"/>
                </w:tcPr>
                <w:p w14:paraId="00DD680F">
                  <w:pPr>
                    <w:ind w:left="0" w:leftChars="0" w:firstLine="0" w:firstLineChars="0"/>
                    <w:jc w:val="center"/>
                    <w:rPr>
                      <w:rFonts w:hint="eastAsia" w:eastAsia="楷体"/>
                      <w:color w:val="auto"/>
                      <w:sz w:val="28"/>
                      <w:szCs w:val="28"/>
                      <w:highlight w:val="none"/>
                      <w:lang w:eastAsia="zh-CN"/>
                    </w:rPr>
                  </w:pPr>
                  <w:r>
                    <w:rPr>
                      <w:color w:val="auto"/>
                      <w:highlight w:val="none"/>
                    </w:rPr>
                    <w:drawing>
                      <wp:inline distT="0" distB="0" distL="114300" distR="114300">
                        <wp:extent cx="2364740" cy="1750695"/>
                        <wp:effectExtent l="0" t="0" r="12700" b="190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4"/>
                                <a:stretch>
                                  <a:fillRect/>
                                </a:stretch>
                              </pic:blipFill>
                              <pic:spPr>
                                <a:xfrm>
                                  <a:off x="0" y="0"/>
                                  <a:ext cx="2364740" cy="1750695"/>
                                </a:xfrm>
                                <a:prstGeom prst="rect">
                                  <a:avLst/>
                                </a:prstGeom>
                                <a:noFill/>
                                <a:ln>
                                  <a:noFill/>
                                </a:ln>
                              </pic:spPr>
                            </pic:pic>
                          </a:graphicData>
                        </a:graphic>
                      </wp:inline>
                    </w:drawing>
                  </w:r>
                </w:p>
              </w:tc>
            </w:tr>
            <w:tr w14:paraId="21A10B32">
              <w:tblPrEx>
                <w:tblCellMar>
                  <w:top w:w="0" w:type="dxa"/>
                  <w:left w:w="108" w:type="dxa"/>
                  <w:bottom w:w="0" w:type="dxa"/>
                  <w:right w:w="108" w:type="dxa"/>
                </w:tblCellMar>
              </w:tblPrEx>
              <w:trPr>
                <w:trHeight w:val="3133" w:hRule="atLeast"/>
                <w:jc w:val="center"/>
              </w:trPr>
              <w:tc>
                <w:tcPr>
                  <w:tcW w:w="3942" w:type="dxa"/>
                  <w:noWrap w:val="0"/>
                  <w:vAlign w:val="top"/>
                </w:tcPr>
                <w:p w14:paraId="2C3B9073">
                  <w:pPr>
                    <w:ind w:left="0" w:leftChars="0" w:firstLine="0" w:firstLineChars="0"/>
                    <w:jc w:val="center"/>
                    <w:rPr>
                      <w:rFonts w:hint="eastAsia" w:hAnsi="楷体" w:eastAsia="楷体"/>
                      <w:color w:val="auto"/>
                      <w:sz w:val="28"/>
                      <w:szCs w:val="28"/>
                      <w:highlight w:val="none"/>
                      <w:lang w:val="en-US" w:eastAsia="zh-CN"/>
                    </w:rPr>
                  </w:pPr>
                  <w:r>
                    <w:rPr>
                      <w:color w:val="auto"/>
                      <w:highlight w:val="none"/>
                    </w:rPr>
                    <w:drawing>
                      <wp:inline distT="0" distB="0" distL="114300" distR="114300">
                        <wp:extent cx="2364740" cy="1856105"/>
                        <wp:effectExtent l="0" t="0" r="12700" b="317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5"/>
                                <a:stretch>
                                  <a:fillRect/>
                                </a:stretch>
                              </pic:blipFill>
                              <pic:spPr>
                                <a:xfrm>
                                  <a:off x="0" y="0"/>
                                  <a:ext cx="2364740" cy="1856105"/>
                                </a:xfrm>
                                <a:prstGeom prst="rect">
                                  <a:avLst/>
                                </a:prstGeom>
                                <a:noFill/>
                                <a:ln>
                                  <a:noFill/>
                                </a:ln>
                              </pic:spPr>
                            </pic:pic>
                          </a:graphicData>
                        </a:graphic>
                      </wp:inline>
                    </w:drawing>
                  </w:r>
                </w:p>
              </w:tc>
              <w:tc>
                <w:tcPr>
                  <w:tcW w:w="3943" w:type="dxa"/>
                  <w:noWrap w:val="0"/>
                  <w:vAlign w:val="top"/>
                </w:tcPr>
                <w:p w14:paraId="6CFDF249">
                  <w:pPr>
                    <w:ind w:left="0" w:leftChars="0" w:firstLine="0" w:firstLineChars="0"/>
                    <w:jc w:val="center"/>
                    <w:rPr>
                      <w:rFonts w:hint="eastAsia" w:hAnsi="楷体" w:eastAsia="楷体"/>
                      <w:color w:val="auto"/>
                      <w:sz w:val="28"/>
                      <w:szCs w:val="28"/>
                      <w:highlight w:val="none"/>
                      <w:lang w:eastAsia="zh-CN"/>
                    </w:rPr>
                  </w:pPr>
                  <w:r>
                    <w:rPr>
                      <w:color w:val="auto"/>
                      <w:highlight w:val="none"/>
                    </w:rPr>
                    <w:drawing>
                      <wp:inline distT="0" distB="0" distL="114300" distR="114300">
                        <wp:extent cx="2364740" cy="1831340"/>
                        <wp:effectExtent l="0" t="0" r="12700" b="1270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26"/>
                                <a:stretch>
                                  <a:fillRect/>
                                </a:stretch>
                              </pic:blipFill>
                              <pic:spPr>
                                <a:xfrm>
                                  <a:off x="0" y="0"/>
                                  <a:ext cx="2364740" cy="1831340"/>
                                </a:xfrm>
                                <a:prstGeom prst="rect">
                                  <a:avLst/>
                                </a:prstGeom>
                                <a:noFill/>
                                <a:ln>
                                  <a:noFill/>
                                </a:ln>
                              </pic:spPr>
                            </pic:pic>
                          </a:graphicData>
                        </a:graphic>
                      </wp:inline>
                    </w:drawing>
                  </w:r>
                </w:p>
              </w:tc>
            </w:tr>
          </w:tbl>
          <w:p w14:paraId="6B081B08">
            <w:pPr>
              <w:spacing w:line="240" w:lineRule="auto"/>
              <w:ind w:firstLine="0" w:firstLineChars="0"/>
              <w:jc w:val="center"/>
              <w:rPr>
                <w:rFonts w:hint="default" w:ascii="Times New Roman" w:hAnsi="Times New Roman" w:cs="Times New Roman"/>
                <w:b/>
                <w:bCs/>
                <w:color w:val="auto"/>
                <w:sz w:val="21"/>
                <w:szCs w:val="21"/>
                <w:highlight w:val="none"/>
                <w:u w:val="single"/>
                <w:lang w:val="en-US" w:eastAsia="zh-CN"/>
              </w:rPr>
            </w:pPr>
            <w:r>
              <w:rPr>
                <w:rFonts w:hint="eastAsia" w:ascii="Times New Roman" w:hAnsi="Times New Roman" w:cs="Times New Roman"/>
                <w:b/>
                <w:bCs/>
                <w:color w:val="auto"/>
                <w:sz w:val="21"/>
                <w:szCs w:val="21"/>
                <w:highlight w:val="none"/>
                <w:u w:val="single"/>
                <w:lang w:val="en-US" w:eastAsia="zh-CN"/>
              </w:rPr>
              <w:t>图3-1</w:t>
            </w:r>
            <w:r>
              <w:rPr>
                <w:rFonts w:hint="eastAsia" w:cs="Times New Roman"/>
                <w:b/>
                <w:bCs/>
                <w:color w:val="auto"/>
                <w:sz w:val="21"/>
                <w:szCs w:val="21"/>
                <w:highlight w:val="none"/>
                <w:u w:val="single"/>
                <w:lang w:val="en-US" w:eastAsia="zh-CN"/>
              </w:rPr>
              <w:t xml:space="preserve">  矿区及周边生态现状图</w:t>
            </w:r>
          </w:p>
          <w:p w14:paraId="22D16668">
            <w:pPr>
              <w:ind w:firstLine="480" w:firstLineChars="20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②陆生动物</w:t>
            </w:r>
          </w:p>
          <w:p w14:paraId="0261D91D">
            <w:pPr>
              <w:ind w:firstLine="480" w:firstLineChars="20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项目所在区域在动物地理区划属东洋界华中区，生态地理区划属亚热带林灌、草地--农田动物群。野生动物多为适应耕地和居民点的种类，林栖鸟类已少见，而盗食谷物的鼠类和鸟类有所增加，生活于稻田区捕食昆虫、鼠类的两栖类、爬行类动物较多，主要动物物种有斑鸠、杜鹃、麻雀、刺猬、 蝙蝠、华南兔、黄鼬、松鼠，家畜、家禽主要有猪、牛、羊、兔、鸡、鸭、 鹅等。通过现场踏勘及向当地居民进行调查了解，本项目影响区无野生珍稀保护动物。</w:t>
            </w:r>
          </w:p>
          <w:p w14:paraId="5E160A14">
            <w:pPr>
              <w:ind w:firstLine="480" w:firstLineChars="200"/>
              <w:rPr>
                <w:rFonts w:hint="default" w:ascii="Times New Roman" w:hAnsi="Times New Roman" w:eastAsia="宋体" w:cs="Times New Roman"/>
                <w:color w:val="auto"/>
                <w:szCs w:val="24"/>
                <w:highlight w:val="none"/>
                <w:u w:val="single"/>
                <w:lang w:val="en-US" w:eastAsia="zh-CN"/>
              </w:rPr>
            </w:pPr>
            <w:r>
              <w:rPr>
                <w:rFonts w:hint="default" w:ascii="Times New Roman" w:hAnsi="Times New Roman" w:eastAsia="宋体" w:cs="Times New Roman"/>
                <w:color w:val="auto"/>
                <w:szCs w:val="24"/>
                <w:highlight w:val="none"/>
                <w:u w:val="single"/>
              </w:rPr>
              <w:t>③</w:t>
            </w:r>
            <w:r>
              <w:rPr>
                <w:rFonts w:hint="eastAsia" w:ascii="Times New Roman" w:hAnsi="Times New Roman" w:eastAsia="宋体" w:cs="Times New Roman"/>
                <w:color w:val="auto"/>
                <w:szCs w:val="24"/>
                <w:highlight w:val="none"/>
                <w:u w:val="single"/>
                <w:lang w:val="en-US" w:eastAsia="zh-CN"/>
              </w:rPr>
              <w:t>土地利用现状</w:t>
            </w:r>
          </w:p>
          <w:p w14:paraId="63855DA5">
            <w:pPr>
              <w:ind w:firstLine="480" w:firstLineChars="200"/>
              <w:rPr>
                <w:rFonts w:hint="eastAsia" w:cs="Times New Roman"/>
                <w:color w:val="auto"/>
                <w:szCs w:val="24"/>
                <w:highlight w:val="none"/>
                <w:u w:val="single"/>
                <w:lang w:eastAsia="zh-CN"/>
              </w:rPr>
            </w:pPr>
            <w:r>
              <w:rPr>
                <w:rFonts w:hint="eastAsia" w:cs="Times New Roman"/>
                <w:color w:val="auto"/>
                <w:szCs w:val="24"/>
                <w:highlight w:val="none"/>
                <w:u w:val="single"/>
                <w:lang w:eastAsia="zh-CN"/>
              </w:rPr>
              <w:t>根据澧县火连坡镇土地利用现状图（2023年国土变更调查数据）拟建项目位于澧县火连坡镇芦桥村，为建筑石料用灰岩矿资源开发项目，项目用地范围内规划王地用途主要为采矿用地、自然保留地。矿山为露天开采，未来开采占用地类现状主要有采矿用地、其它林地、灌木林地及其它草地、农村道路。经综合查询，批复的采矿权范围内无公益林、周边1Km内无铁路、高速公路、军事设施、重要水利设施，矿区300m范围内有农村道路通过；不在城乡建设和国家重大工程建设规划区中。矿区范围符合土地利用总体规划及其他相关规划。</w:t>
            </w:r>
          </w:p>
          <w:p w14:paraId="548B1E0A">
            <w:pPr>
              <w:ind w:firstLine="480" w:firstLineChars="200"/>
              <w:rPr>
                <w:rFonts w:hint="eastAsia" w:cs="Times New Roman"/>
                <w:color w:val="auto"/>
                <w:szCs w:val="24"/>
                <w:highlight w:val="none"/>
                <w:u w:val="single"/>
                <w:lang w:eastAsia="zh-CN"/>
              </w:rPr>
            </w:pPr>
            <w:r>
              <w:rPr>
                <w:rFonts w:hint="eastAsia" w:cs="Times New Roman"/>
                <w:color w:val="auto"/>
                <w:szCs w:val="24"/>
                <w:highlight w:val="none"/>
                <w:u w:val="single"/>
                <w:lang w:eastAsia="zh-CN"/>
              </w:rPr>
              <w:t>根据《</w:t>
            </w:r>
            <w:r>
              <w:rPr>
                <w:rFonts w:hint="eastAsia" w:ascii="Times New Roman" w:hAnsi="Times New Roman" w:eastAsia="宋体" w:cs="Times New Roman"/>
                <w:color w:val="auto"/>
                <w:szCs w:val="24"/>
                <w:highlight w:val="none"/>
                <w:u w:val="single"/>
                <w:lang w:val="en-US" w:eastAsia="zh-CN"/>
              </w:rPr>
              <w:t>湖南省澧县屠夫垭矿区建筑石料用灰岩矿资源开发利用方案</w:t>
            </w:r>
            <w:r>
              <w:rPr>
                <w:rFonts w:hint="eastAsia" w:cs="Times New Roman"/>
                <w:color w:val="auto"/>
                <w:szCs w:val="24"/>
                <w:highlight w:val="none"/>
                <w:u w:val="single"/>
                <w:lang w:eastAsia="zh-CN"/>
              </w:rPr>
              <w:t>》中涉及占用各类土地总量约30.845hm²（0.30845km²）。其中矿山采矿证范围占用土地面积为25.78hm²（0.2578km²），工业场地及其它地面建筑物占用土地面积3.2516hm²（0.032516km²）。依据《方案》要求套合澧县第三次国土调查成果数据现状，截止目前，矿山未来分别占用采矿用地7.8395hm²、裸岩石砾地0.2395hm²、其它草地0.7147hm²、农村道路0.7109hm²、灌木林0.9653hm²、乔木林地6.0245hm²、农村宅基地0.075hm²、坑塘水面地0.0256hm²、早地0.0728hm²、其它林地14.0958hm²。自然资源及土地利用权属为火连坡镇芦桥村所属，集体所有，权属清晰、界线明确，无土地权属纠纷。</w:t>
            </w:r>
          </w:p>
          <w:p w14:paraId="1EAE8A66">
            <w:pPr>
              <w:ind w:firstLine="480" w:firstLineChars="200"/>
              <w:rPr>
                <w:rFonts w:hint="eastAsia" w:cs="Times New Roman"/>
                <w:color w:val="auto"/>
                <w:szCs w:val="24"/>
                <w:highlight w:val="none"/>
                <w:u w:val="single"/>
                <w:lang w:eastAsia="zh-CN"/>
              </w:rPr>
            </w:pPr>
            <w:r>
              <w:rPr>
                <w:rFonts w:hint="eastAsia" w:cs="Times New Roman"/>
                <w:color w:val="auto"/>
                <w:szCs w:val="24"/>
                <w:highlight w:val="none"/>
                <w:u w:val="single"/>
                <w:lang w:eastAsia="zh-CN"/>
              </w:rPr>
              <w:t>土地类型多与地形地貌相关，一般耕地和农村集中居民点主要分布于工作区北部、南部和东部，地貌为宽缓沟谷区；农村道路则主要是居民点间的乡村道路，区内林地分布面积大，山坡、岗地均为林地，占比达80%以上，自然植被覆盖较好。</w:t>
            </w:r>
          </w:p>
          <w:p w14:paraId="312C6BD3">
            <w:pPr>
              <w:ind w:left="0" w:leftChars="0" w:firstLine="0" w:firstLineChars="0"/>
              <w:rPr>
                <w:rFonts w:hint="eastAsia" w:cs="Times New Roman"/>
                <w:color w:val="auto"/>
                <w:szCs w:val="24"/>
                <w:highlight w:val="none"/>
                <w:u w:val="single"/>
                <w:lang w:eastAsia="zh-CN"/>
              </w:rPr>
            </w:pPr>
            <w:r>
              <w:rPr>
                <w:color w:val="auto"/>
              </w:rPr>
              <w:drawing>
                <wp:inline distT="0" distB="0" distL="114300" distR="114300">
                  <wp:extent cx="5005070" cy="3514090"/>
                  <wp:effectExtent l="0" t="0" r="8890" b="635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7"/>
                          <a:stretch>
                            <a:fillRect/>
                          </a:stretch>
                        </pic:blipFill>
                        <pic:spPr>
                          <a:xfrm>
                            <a:off x="0" y="0"/>
                            <a:ext cx="5005070" cy="3514090"/>
                          </a:xfrm>
                          <a:prstGeom prst="rect">
                            <a:avLst/>
                          </a:prstGeom>
                          <a:noFill/>
                          <a:ln>
                            <a:noFill/>
                          </a:ln>
                        </pic:spPr>
                      </pic:pic>
                    </a:graphicData>
                  </a:graphic>
                </wp:inline>
              </w:drawing>
            </w:r>
          </w:p>
          <w:p w14:paraId="36006EF9">
            <w:pPr>
              <w:ind w:left="0" w:leftChars="0" w:firstLine="0" w:firstLineChars="0"/>
              <w:jc w:val="center"/>
              <w:rPr>
                <w:rFonts w:hint="eastAsia" w:ascii="Times New Roman" w:hAnsi="Times New Roman" w:eastAsia="宋体" w:cs="Times New Roman"/>
                <w:color w:val="auto"/>
                <w:szCs w:val="24"/>
                <w:highlight w:val="none"/>
                <w:u w:val="none"/>
                <w:lang w:eastAsia="zh-CN"/>
              </w:rPr>
            </w:pPr>
            <w:r>
              <w:rPr>
                <w:rFonts w:hint="eastAsia" w:ascii="Times New Roman" w:hAnsi="Times New Roman" w:cs="Times New Roman"/>
                <w:b/>
                <w:bCs/>
                <w:color w:val="auto"/>
                <w:sz w:val="21"/>
                <w:szCs w:val="21"/>
                <w:highlight w:val="none"/>
                <w:u w:val="single"/>
                <w:lang w:val="en-US" w:eastAsia="zh-CN"/>
              </w:rPr>
              <w:t>图3-2</w:t>
            </w:r>
            <w:r>
              <w:rPr>
                <w:rFonts w:hint="eastAsia" w:cs="Times New Roman"/>
                <w:b/>
                <w:bCs/>
                <w:color w:val="auto"/>
                <w:sz w:val="21"/>
                <w:szCs w:val="21"/>
                <w:highlight w:val="none"/>
                <w:u w:val="single"/>
                <w:lang w:val="en-US" w:eastAsia="zh-CN"/>
              </w:rPr>
              <w:t xml:space="preserve">  矿区土地利用现状图</w:t>
            </w:r>
          </w:p>
          <w:p w14:paraId="41E7CE48">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2、大气环境</w:t>
            </w:r>
          </w:p>
          <w:p w14:paraId="1DA23D47">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（1）空气质量达标区判定</w:t>
            </w:r>
          </w:p>
          <w:p w14:paraId="1B4A9C9E">
            <w:pPr>
              <w:ind w:firstLine="480"/>
              <w:rPr>
                <w:rFonts w:hint="default" w:ascii="Times New Roman" w:hAnsi="Times New Roman" w:cs="Times New Roman"/>
                <w:color w:val="auto"/>
                <w:szCs w:val="24"/>
                <w:highlight w:val="none"/>
              </w:rPr>
            </w:pPr>
            <w:r>
              <w:rPr>
                <w:rFonts w:hint="eastAsia"/>
                <w:color w:val="auto"/>
                <w:spacing w:val="-4"/>
                <w:sz w:val="24"/>
                <w:highlight w:val="none"/>
              </w:rPr>
              <w:t>根据《建设项目环境影响报告表编制技术指南》(2021年版)，常规污染物引用与建设项目距离近的有效数据，包括近3年的规划环境影响评价的监测数据，国家、地方环境空气质量监测网数据或生态环境主管部门公开发布的质量数据等。本项目引用</w:t>
            </w:r>
            <w:r>
              <w:rPr>
                <w:rFonts w:hint="eastAsia"/>
                <w:color w:val="auto"/>
                <w:spacing w:val="-4"/>
                <w:sz w:val="24"/>
                <w:highlight w:val="none"/>
                <w:lang w:val="en-US" w:eastAsia="zh-CN"/>
              </w:rPr>
              <w:t>常德市</w:t>
            </w:r>
            <w:r>
              <w:rPr>
                <w:rFonts w:hint="eastAsia"/>
                <w:color w:val="auto"/>
                <w:spacing w:val="-4"/>
                <w:sz w:val="24"/>
                <w:highlight w:val="none"/>
              </w:rPr>
              <w:t>生态环境局发布的202</w:t>
            </w:r>
            <w:r>
              <w:rPr>
                <w:rFonts w:hint="eastAsia"/>
                <w:color w:val="auto"/>
                <w:spacing w:val="-4"/>
                <w:sz w:val="24"/>
                <w:highlight w:val="none"/>
                <w:lang w:val="en-US" w:eastAsia="zh-CN"/>
              </w:rPr>
              <w:t>4</w:t>
            </w:r>
            <w:r>
              <w:rPr>
                <w:rFonts w:hint="eastAsia"/>
                <w:color w:val="auto"/>
                <w:spacing w:val="-4"/>
                <w:sz w:val="24"/>
                <w:highlight w:val="none"/>
              </w:rPr>
              <w:t>年度</w:t>
            </w:r>
            <w:r>
              <w:rPr>
                <w:rFonts w:hint="eastAsia"/>
                <w:color w:val="auto"/>
                <w:spacing w:val="-4"/>
                <w:sz w:val="24"/>
                <w:highlight w:val="none"/>
                <w:lang w:val="en-US" w:eastAsia="zh-CN"/>
              </w:rPr>
              <w:t>常德市澧县</w:t>
            </w:r>
            <w:r>
              <w:rPr>
                <w:rFonts w:hint="eastAsia"/>
                <w:color w:val="auto"/>
                <w:spacing w:val="-4"/>
                <w:sz w:val="24"/>
                <w:highlight w:val="none"/>
              </w:rPr>
              <w:t>环境空气污染浓度均值统计数据，</w:t>
            </w:r>
            <w:r>
              <w:rPr>
                <w:color w:val="auto"/>
                <w:sz w:val="24"/>
                <w:highlight w:val="none"/>
              </w:rPr>
              <w:t>统计数据如</w:t>
            </w:r>
            <w:r>
              <w:rPr>
                <w:rFonts w:hint="eastAsia"/>
                <w:color w:val="auto"/>
                <w:sz w:val="24"/>
                <w:highlight w:val="none"/>
                <w:lang w:val="en-US" w:eastAsia="zh-CN"/>
              </w:rPr>
              <w:t>下</w:t>
            </w:r>
            <w:r>
              <w:rPr>
                <w:color w:val="auto"/>
                <w:sz w:val="24"/>
                <w:highlight w:val="none"/>
              </w:rPr>
              <w:t>表所示。</w:t>
            </w:r>
          </w:p>
          <w:p w14:paraId="5AD142DD">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表3-2  区域空气质量现状评价表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6"/>
              <w:gridCol w:w="2602"/>
              <w:gridCol w:w="1232"/>
              <w:gridCol w:w="965"/>
              <w:gridCol w:w="1094"/>
              <w:gridCol w:w="1036"/>
            </w:tblGrid>
            <w:tr w14:paraId="4E5D2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top w:val="single" w:color="auto" w:sz="4" w:space="0"/>
                    <w:left w:val="single" w:color="auto" w:sz="0" w:space="0"/>
                  </w:tcBorders>
                  <w:shd w:val="clear" w:color="auto" w:fill="auto"/>
                  <w:vAlign w:val="center"/>
                </w:tcPr>
                <w:p w14:paraId="4CB89F3F">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污染物</w:t>
                  </w:r>
                </w:p>
              </w:tc>
              <w:tc>
                <w:tcPr>
                  <w:tcW w:w="1649" w:type="pct"/>
                  <w:tcBorders>
                    <w:top w:val="single" w:color="auto" w:sz="4" w:space="0"/>
                  </w:tcBorders>
                  <w:shd w:val="clear" w:color="auto" w:fill="auto"/>
                  <w:vAlign w:val="center"/>
                </w:tcPr>
                <w:p w14:paraId="61C21105">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年评价指标</w:t>
                  </w:r>
                </w:p>
              </w:tc>
              <w:tc>
                <w:tcPr>
                  <w:tcW w:w="781" w:type="pct"/>
                  <w:tcBorders>
                    <w:top w:val="single" w:color="auto" w:sz="4" w:space="0"/>
                  </w:tcBorders>
                  <w:shd w:val="clear" w:color="auto" w:fill="auto"/>
                  <w:vAlign w:val="center"/>
                </w:tcPr>
                <w:p w14:paraId="6D13E48D">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现状浓度（ug/m</w:t>
                  </w:r>
                  <w:r>
                    <w:rPr>
                      <w:rFonts w:ascii="Times New Roman" w:eastAsia="宋体"/>
                      <w:b/>
                      <w:bCs/>
                      <w:color w:val="auto"/>
                      <w:sz w:val="21"/>
                      <w:szCs w:val="21"/>
                      <w:highlight w:val="none"/>
                      <w:vertAlign w:val="superscript"/>
                    </w:rPr>
                    <w:t>3</w:t>
                  </w:r>
                  <w:r>
                    <w:rPr>
                      <w:rFonts w:ascii="Times New Roman" w:eastAsia="宋体"/>
                      <w:b/>
                      <w:bCs/>
                      <w:color w:val="auto"/>
                      <w:sz w:val="21"/>
                      <w:szCs w:val="21"/>
                      <w:highlight w:val="none"/>
                    </w:rPr>
                    <w:t>）</w:t>
                  </w:r>
                </w:p>
              </w:tc>
              <w:tc>
                <w:tcPr>
                  <w:tcW w:w="612" w:type="pct"/>
                  <w:tcBorders>
                    <w:top w:val="single" w:color="auto" w:sz="4" w:space="0"/>
                  </w:tcBorders>
                  <w:shd w:val="clear" w:color="auto" w:fill="auto"/>
                  <w:vAlign w:val="center"/>
                </w:tcPr>
                <w:p w14:paraId="2F33D91A">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标准值（ug/m</w:t>
                  </w:r>
                  <w:r>
                    <w:rPr>
                      <w:rFonts w:ascii="Times New Roman" w:eastAsia="宋体"/>
                      <w:b/>
                      <w:bCs/>
                      <w:color w:val="auto"/>
                      <w:sz w:val="21"/>
                      <w:szCs w:val="21"/>
                      <w:highlight w:val="none"/>
                      <w:vertAlign w:val="superscript"/>
                    </w:rPr>
                    <w:t>3</w:t>
                  </w:r>
                  <w:r>
                    <w:rPr>
                      <w:rFonts w:ascii="Times New Roman" w:eastAsia="宋体"/>
                      <w:b/>
                      <w:bCs/>
                      <w:color w:val="auto"/>
                      <w:sz w:val="21"/>
                      <w:szCs w:val="21"/>
                      <w:highlight w:val="none"/>
                    </w:rPr>
                    <w:t>）</w:t>
                  </w:r>
                </w:p>
              </w:tc>
              <w:tc>
                <w:tcPr>
                  <w:tcW w:w="693" w:type="pct"/>
                  <w:tcBorders>
                    <w:top w:val="single" w:color="auto" w:sz="4" w:space="0"/>
                  </w:tcBorders>
                  <w:shd w:val="clear" w:color="auto" w:fill="auto"/>
                  <w:vAlign w:val="center"/>
                </w:tcPr>
                <w:p w14:paraId="731C993A">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占标率%</w:t>
                  </w:r>
                </w:p>
              </w:tc>
              <w:tc>
                <w:tcPr>
                  <w:tcW w:w="657" w:type="pct"/>
                  <w:tcBorders>
                    <w:top w:val="single" w:color="auto" w:sz="4" w:space="0"/>
                    <w:right w:val="single" w:color="auto" w:sz="4" w:space="0"/>
                  </w:tcBorders>
                  <w:shd w:val="clear" w:color="auto" w:fill="auto"/>
                  <w:vAlign w:val="center"/>
                </w:tcPr>
                <w:p w14:paraId="2B2F3DA8">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达标情况</w:t>
                  </w:r>
                </w:p>
              </w:tc>
            </w:tr>
            <w:tr w14:paraId="70ABC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tcBorders>
                  <w:shd w:val="clear" w:color="auto" w:fill="auto"/>
                  <w:vAlign w:val="center"/>
                </w:tcPr>
                <w:p w14:paraId="676CD668">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SO</w:t>
                  </w:r>
                  <w:r>
                    <w:rPr>
                      <w:rFonts w:ascii="Times New Roman" w:eastAsia="宋体"/>
                      <w:color w:val="auto"/>
                      <w:sz w:val="21"/>
                      <w:szCs w:val="21"/>
                      <w:highlight w:val="none"/>
                      <w:vertAlign w:val="subscript"/>
                    </w:rPr>
                    <w:t>2</w:t>
                  </w:r>
                </w:p>
              </w:tc>
              <w:tc>
                <w:tcPr>
                  <w:tcW w:w="1649" w:type="pct"/>
                  <w:shd w:val="clear" w:color="auto" w:fill="auto"/>
                  <w:vAlign w:val="center"/>
                </w:tcPr>
                <w:p w14:paraId="556A43A6">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年平均质量浓度</w:t>
                  </w:r>
                </w:p>
              </w:tc>
              <w:tc>
                <w:tcPr>
                  <w:tcW w:w="781" w:type="pct"/>
                  <w:shd w:val="clear" w:color="auto" w:fill="auto"/>
                  <w:vAlign w:val="center"/>
                </w:tcPr>
                <w:p w14:paraId="68B21869">
                  <w:pPr>
                    <w:pStyle w:val="40"/>
                    <w:spacing w:beforeLines="0" w:afterLines="0" w:line="240" w:lineRule="auto"/>
                    <w:ind w:left="0" w:right="0" w:firstLine="0"/>
                    <w:rPr>
                      <w:rFonts w:hint="eastAsia" w:ascii="Times New Roman" w:eastAsia="宋体"/>
                      <w:color w:val="auto"/>
                      <w:sz w:val="21"/>
                      <w:szCs w:val="21"/>
                      <w:highlight w:val="none"/>
                      <w:lang w:eastAsia="zh-CN"/>
                    </w:rPr>
                  </w:pPr>
                  <w:r>
                    <w:rPr>
                      <w:rFonts w:hint="eastAsia" w:ascii="Times New Roman" w:eastAsia="宋体"/>
                      <w:color w:val="auto"/>
                      <w:sz w:val="21"/>
                      <w:szCs w:val="21"/>
                      <w:highlight w:val="none"/>
                      <w:lang w:val="en-US" w:eastAsia="zh-CN"/>
                    </w:rPr>
                    <w:t>5</w:t>
                  </w:r>
                </w:p>
              </w:tc>
              <w:tc>
                <w:tcPr>
                  <w:tcW w:w="612" w:type="pct"/>
                  <w:shd w:val="clear" w:color="auto" w:fill="auto"/>
                  <w:vAlign w:val="center"/>
                </w:tcPr>
                <w:p w14:paraId="135F5D92">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60</w:t>
                  </w:r>
                </w:p>
              </w:tc>
              <w:tc>
                <w:tcPr>
                  <w:tcW w:w="693" w:type="pct"/>
                  <w:shd w:val="clear" w:color="auto" w:fill="auto"/>
                  <w:vAlign w:val="center"/>
                </w:tcPr>
                <w:p w14:paraId="4C957352">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8.33</w:t>
                  </w:r>
                </w:p>
              </w:tc>
              <w:tc>
                <w:tcPr>
                  <w:tcW w:w="657" w:type="pct"/>
                  <w:tcBorders>
                    <w:right w:val="single" w:color="auto" w:sz="4" w:space="0"/>
                  </w:tcBorders>
                  <w:shd w:val="clear" w:color="auto" w:fill="auto"/>
                  <w:vAlign w:val="center"/>
                </w:tcPr>
                <w:p w14:paraId="1C75DCFE">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达标</w:t>
                  </w:r>
                </w:p>
              </w:tc>
            </w:tr>
            <w:tr w14:paraId="597F0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tcBorders>
                  <w:shd w:val="clear" w:color="auto" w:fill="auto"/>
                  <w:vAlign w:val="center"/>
                </w:tcPr>
                <w:p w14:paraId="09B25A30">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NO</w:t>
                  </w:r>
                  <w:r>
                    <w:rPr>
                      <w:rFonts w:ascii="Times New Roman" w:eastAsia="宋体"/>
                      <w:color w:val="auto"/>
                      <w:sz w:val="21"/>
                      <w:szCs w:val="21"/>
                      <w:highlight w:val="none"/>
                      <w:vertAlign w:val="subscript"/>
                    </w:rPr>
                    <w:t>2</w:t>
                  </w:r>
                </w:p>
              </w:tc>
              <w:tc>
                <w:tcPr>
                  <w:tcW w:w="1649" w:type="pct"/>
                  <w:shd w:val="clear" w:color="auto" w:fill="auto"/>
                  <w:vAlign w:val="center"/>
                </w:tcPr>
                <w:p w14:paraId="1A3A93EB">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年平均质量浓度</w:t>
                  </w:r>
                </w:p>
              </w:tc>
              <w:tc>
                <w:tcPr>
                  <w:tcW w:w="781" w:type="pct"/>
                  <w:shd w:val="clear" w:color="auto" w:fill="auto"/>
                  <w:vAlign w:val="center"/>
                </w:tcPr>
                <w:p w14:paraId="544965DA">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14</w:t>
                  </w:r>
                </w:p>
              </w:tc>
              <w:tc>
                <w:tcPr>
                  <w:tcW w:w="612" w:type="pct"/>
                  <w:shd w:val="clear" w:color="auto" w:fill="auto"/>
                  <w:vAlign w:val="center"/>
                </w:tcPr>
                <w:p w14:paraId="1ED540FA">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40</w:t>
                  </w:r>
                </w:p>
              </w:tc>
              <w:tc>
                <w:tcPr>
                  <w:tcW w:w="693" w:type="pct"/>
                  <w:shd w:val="clear" w:color="auto" w:fill="auto"/>
                  <w:vAlign w:val="center"/>
                </w:tcPr>
                <w:p w14:paraId="762A760F">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35</w:t>
                  </w:r>
                </w:p>
              </w:tc>
              <w:tc>
                <w:tcPr>
                  <w:tcW w:w="657" w:type="pct"/>
                  <w:tcBorders>
                    <w:right w:val="single" w:color="auto" w:sz="4" w:space="0"/>
                  </w:tcBorders>
                  <w:shd w:val="clear" w:color="auto" w:fill="auto"/>
                  <w:vAlign w:val="center"/>
                </w:tcPr>
                <w:p w14:paraId="560002FA">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达标</w:t>
                  </w:r>
                </w:p>
              </w:tc>
            </w:tr>
            <w:tr w14:paraId="15B52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tcBorders>
                  <w:shd w:val="clear" w:color="auto" w:fill="auto"/>
                  <w:vAlign w:val="center"/>
                </w:tcPr>
                <w:p w14:paraId="7A80BEC9">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CO</w:t>
                  </w:r>
                </w:p>
              </w:tc>
              <w:tc>
                <w:tcPr>
                  <w:tcW w:w="1649" w:type="pct"/>
                  <w:shd w:val="clear" w:color="auto" w:fill="auto"/>
                  <w:vAlign w:val="center"/>
                </w:tcPr>
                <w:p w14:paraId="38242992">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百分位数日平均质量浓度</w:t>
                  </w:r>
                </w:p>
              </w:tc>
              <w:tc>
                <w:tcPr>
                  <w:tcW w:w="781" w:type="pct"/>
                  <w:shd w:val="clear" w:color="auto" w:fill="auto"/>
                  <w:vAlign w:val="center"/>
                </w:tcPr>
                <w:p w14:paraId="5E5B85F4">
                  <w:pPr>
                    <w:pStyle w:val="40"/>
                    <w:spacing w:beforeLines="0" w:afterLines="0" w:line="240" w:lineRule="auto"/>
                    <w:ind w:left="0" w:right="0" w:firstLine="0"/>
                    <w:rPr>
                      <w:rFonts w:ascii="Times New Roman" w:eastAsia="宋体"/>
                      <w:color w:val="auto"/>
                      <w:sz w:val="21"/>
                      <w:szCs w:val="21"/>
                      <w:highlight w:val="none"/>
                    </w:rPr>
                  </w:pPr>
                  <w:r>
                    <w:rPr>
                      <w:rFonts w:hint="eastAsia" w:ascii="Times New Roman" w:eastAsia="宋体"/>
                      <w:color w:val="auto"/>
                      <w:sz w:val="21"/>
                      <w:szCs w:val="21"/>
                      <w:highlight w:val="none"/>
                    </w:rPr>
                    <w:t>1</w:t>
                  </w:r>
                  <w:r>
                    <w:rPr>
                      <w:rFonts w:hint="eastAsia" w:ascii="Times New Roman" w:eastAsia="宋体"/>
                      <w:color w:val="auto"/>
                      <w:sz w:val="21"/>
                      <w:szCs w:val="21"/>
                      <w:highlight w:val="none"/>
                      <w:lang w:val="en-US" w:eastAsia="zh-CN"/>
                    </w:rPr>
                    <w:t>0</w:t>
                  </w:r>
                  <w:r>
                    <w:rPr>
                      <w:rFonts w:hint="eastAsia" w:ascii="Times New Roman" w:eastAsia="宋体"/>
                      <w:color w:val="auto"/>
                      <w:sz w:val="21"/>
                      <w:szCs w:val="21"/>
                      <w:highlight w:val="none"/>
                    </w:rPr>
                    <w:t>00</w:t>
                  </w:r>
                </w:p>
              </w:tc>
              <w:tc>
                <w:tcPr>
                  <w:tcW w:w="612" w:type="pct"/>
                  <w:shd w:val="clear" w:color="auto" w:fill="auto"/>
                  <w:vAlign w:val="center"/>
                </w:tcPr>
                <w:p w14:paraId="782EB927">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4000</w:t>
                  </w:r>
                </w:p>
              </w:tc>
              <w:tc>
                <w:tcPr>
                  <w:tcW w:w="693" w:type="pct"/>
                  <w:shd w:val="clear" w:color="auto" w:fill="auto"/>
                  <w:vAlign w:val="center"/>
                </w:tcPr>
                <w:p w14:paraId="3382135E">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25</w:t>
                  </w:r>
                </w:p>
              </w:tc>
              <w:tc>
                <w:tcPr>
                  <w:tcW w:w="657" w:type="pct"/>
                  <w:tcBorders>
                    <w:right w:val="single" w:color="auto" w:sz="4" w:space="0"/>
                  </w:tcBorders>
                  <w:shd w:val="clear" w:color="auto" w:fill="auto"/>
                  <w:vAlign w:val="center"/>
                </w:tcPr>
                <w:p w14:paraId="202DBCEA">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达标</w:t>
                  </w:r>
                </w:p>
              </w:tc>
            </w:tr>
            <w:tr w14:paraId="1AF10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tcBorders>
                  <w:shd w:val="clear" w:color="auto" w:fill="auto"/>
                  <w:vAlign w:val="center"/>
                </w:tcPr>
                <w:p w14:paraId="61963091">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O</w:t>
                  </w:r>
                  <w:r>
                    <w:rPr>
                      <w:rFonts w:ascii="Times New Roman" w:eastAsia="宋体"/>
                      <w:color w:val="auto"/>
                      <w:sz w:val="21"/>
                      <w:szCs w:val="21"/>
                      <w:highlight w:val="none"/>
                      <w:vertAlign w:val="subscript"/>
                    </w:rPr>
                    <w:t>3</w:t>
                  </w:r>
                </w:p>
              </w:tc>
              <w:tc>
                <w:tcPr>
                  <w:tcW w:w="1649" w:type="pct"/>
                  <w:shd w:val="clear" w:color="auto" w:fill="auto"/>
                  <w:vAlign w:val="center"/>
                </w:tcPr>
                <w:p w14:paraId="59D20FFA">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百分位数8h平均质量浓度</w:t>
                  </w:r>
                </w:p>
              </w:tc>
              <w:tc>
                <w:tcPr>
                  <w:tcW w:w="781" w:type="pct"/>
                  <w:shd w:val="clear" w:color="auto" w:fill="auto"/>
                  <w:vAlign w:val="center"/>
                </w:tcPr>
                <w:p w14:paraId="6ABBD9D6">
                  <w:pPr>
                    <w:pStyle w:val="40"/>
                    <w:spacing w:beforeLines="0" w:afterLines="0" w:line="240" w:lineRule="auto"/>
                    <w:ind w:left="0" w:right="0" w:firstLine="0"/>
                    <w:rPr>
                      <w:rFonts w:ascii="Times New Roman" w:eastAsia="宋体"/>
                      <w:color w:val="auto"/>
                      <w:sz w:val="21"/>
                      <w:szCs w:val="21"/>
                      <w:highlight w:val="none"/>
                    </w:rPr>
                  </w:pPr>
                  <w:r>
                    <w:rPr>
                      <w:rFonts w:hint="eastAsia" w:ascii="Times New Roman" w:eastAsia="宋体"/>
                      <w:color w:val="auto"/>
                      <w:sz w:val="21"/>
                      <w:szCs w:val="21"/>
                      <w:highlight w:val="none"/>
                    </w:rPr>
                    <w:t>132</w:t>
                  </w:r>
                </w:p>
              </w:tc>
              <w:tc>
                <w:tcPr>
                  <w:tcW w:w="612" w:type="pct"/>
                  <w:shd w:val="clear" w:color="auto" w:fill="auto"/>
                  <w:vAlign w:val="center"/>
                </w:tcPr>
                <w:p w14:paraId="43A0D5C9">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160</w:t>
                  </w:r>
                </w:p>
              </w:tc>
              <w:tc>
                <w:tcPr>
                  <w:tcW w:w="693" w:type="pct"/>
                  <w:shd w:val="clear" w:color="auto" w:fill="auto"/>
                  <w:vAlign w:val="center"/>
                </w:tcPr>
                <w:p w14:paraId="0C366134">
                  <w:pPr>
                    <w:pStyle w:val="40"/>
                    <w:spacing w:beforeLines="0" w:afterLines="0" w:line="240" w:lineRule="auto"/>
                    <w:ind w:left="0" w:right="0" w:firstLine="0"/>
                    <w:rPr>
                      <w:rFonts w:ascii="Times New Roman" w:eastAsia="宋体"/>
                      <w:color w:val="auto"/>
                      <w:sz w:val="21"/>
                      <w:szCs w:val="21"/>
                      <w:highlight w:val="none"/>
                    </w:rPr>
                  </w:pPr>
                  <w:r>
                    <w:rPr>
                      <w:rFonts w:hint="eastAsia" w:ascii="Times New Roman" w:eastAsia="宋体"/>
                      <w:color w:val="auto"/>
                      <w:sz w:val="21"/>
                      <w:szCs w:val="21"/>
                      <w:highlight w:val="none"/>
                    </w:rPr>
                    <w:t>82.5</w:t>
                  </w:r>
                </w:p>
              </w:tc>
              <w:tc>
                <w:tcPr>
                  <w:tcW w:w="657" w:type="pct"/>
                  <w:tcBorders>
                    <w:right w:val="single" w:color="auto" w:sz="4" w:space="0"/>
                  </w:tcBorders>
                  <w:shd w:val="clear" w:color="auto" w:fill="auto"/>
                  <w:vAlign w:val="center"/>
                </w:tcPr>
                <w:p w14:paraId="1D3BD1EC">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达标</w:t>
                  </w:r>
                </w:p>
              </w:tc>
            </w:tr>
            <w:tr w14:paraId="619B1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tcBorders>
                  <w:shd w:val="clear" w:color="auto" w:fill="auto"/>
                  <w:vAlign w:val="center"/>
                </w:tcPr>
                <w:p w14:paraId="2CFB90C5">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PM</w:t>
                  </w:r>
                  <w:r>
                    <w:rPr>
                      <w:rFonts w:ascii="Times New Roman" w:eastAsia="宋体"/>
                      <w:color w:val="auto"/>
                      <w:sz w:val="21"/>
                      <w:szCs w:val="21"/>
                      <w:highlight w:val="none"/>
                      <w:vertAlign w:val="subscript"/>
                    </w:rPr>
                    <w:t>10</w:t>
                  </w:r>
                </w:p>
              </w:tc>
              <w:tc>
                <w:tcPr>
                  <w:tcW w:w="1649" w:type="pct"/>
                  <w:shd w:val="clear" w:color="auto" w:fill="auto"/>
                  <w:vAlign w:val="center"/>
                </w:tcPr>
                <w:p w14:paraId="49EDA178">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年平均质量浓度</w:t>
                  </w:r>
                </w:p>
              </w:tc>
              <w:tc>
                <w:tcPr>
                  <w:tcW w:w="781" w:type="pct"/>
                  <w:shd w:val="clear" w:color="auto" w:fill="auto"/>
                  <w:vAlign w:val="center"/>
                </w:tcPr>
                <w:p w14:paraId="3C585282">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56</w:t>
                  </w:r>
                </w:p>
              </w:tc>
              <w:tc>
                <w:tcPr>
                  <w:tcW w:w="612" w:type="pct"/>
                  <w:shd w:val="clear" w:color="auto" w:fill="auto"/>
                  <w:vAlign w:val="center"/>
                </w:tcPr>
                <w:p w14:paraId="23621DDE">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60</w:t>
                  </w:r>
                </w:p>
              </w:tc>
              <w:tc>
                <w:tcPr>
                  <w:tcW w:w="693" w:type="pct"/>
                  <w:shd w:val="clear" w:color="auto" w:fill="auto"/>
                  <w:vAlign w:val="center"/>
                </w:tcPr>
                <w:p w14:paraId="0620A2EC">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93.33</w:t>
                  </w:r>
                </w:p>
              </w:tc>
              <w:tc>
                <w:tcPr>
                  <w:tcW w:w="657" w:type="pct"/>
                  <w:tcBorders>
                    <w:right w:val="single" w:color="auto" w:sz="4" w:space="0"/>
                  </w:tcBorders>
                  <w:shd w:val="clear" w:color="auto" w:fill="auto"/>
                  <w:vAlign w:val="center"/>
                </w:tcPr>
                <w:p w14:paraId="2D16DFF9">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达标</w:t>
                  </w:r>
                </w:p>
              </w:tc>
            </w:tr>
            <w:tr w14:paraId="29419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bottom w:val="single" w:color="auto" w:sz="4" w:space="0"/>
                  </w:tcBorders>
                  <w:shd w:val="clear" w:color="auto" w:fill="auto"/>
                  <w:vAlign w:val="center"/>
                </w:tcPr>
                <w:p w14:paraId="16820CAD">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PM</w:t>
                  </w:r>
                  <w:r>
                    <w:rPr>
                      <w:rFonts w:ascii="Times New Roman" w:eastAsia="宋体"/>
                      <w:color w:val="auto"/>
                      <w:sz w:val="21"/>
                      <w:szCs w:val="21"/>
                      <w:highlight w:val="none"/>
                      <w:vertAlign w:val="subscript"/>
                    </w:rPr>
                    <w:t>2.5</w:t>
                  </w:r>
                </w:p>
              </w:tc>
              <w:tc>
                <w:tcPr>
                  <w:tcW w:w="1649" w:type="pct"/>
                  <w:tcBorders>
                    <w:bottom w:val="single" w:color="auto" w:sz="4" w:space="0"/>
                  </w:tcBorders>
                  <w:shd w:val="clear" w:color="auto" w:fill="auto"/>
                  <w:vAlign w:val="center"/>
                </w:tcPr>
                <w:p w14:paraId="162D053E">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年平均质量浓度</w:t>
                  </w:r>
                </w:p>
              </w:tc>
              <w:tc>
                <w:tcPr>
                  <w:tcW w:w="781" w:type="pct"/>
                  <w:tcBorders>
                    <w:bottom w:val="single" w:color="auto" w:sz="4" w:space="0"/>
                  </w:tcBorders>
                  <w:shd w:val="clear" w:color="auto" w:fill="auto"/>
                  <w:vAlign w:val="center"/>
                </w:tcPr>
                <w:p w14:paraId="582EDE6F">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rPr>
                    <w:t>3</w:t>
                  </w:r>
                  <w:r>
                    <w:rPr>
                      <w:rFonts w:hint="eastAsia" w:ascii="Times New Roman" w:eastAsia="宋体"/>
                      <w:color w:val="auto"/>
                      <w:sz w:val="21"/>
                      <w:szCs w:val="21"/>
                      <w:highlight w:val="none"/>
                      <w:lang w:val="en-US" w:eastAsia="zh-CN"/>
                    </w:rPr>
                    <w:t>4.2</w:t>
                  </w:r>
                </w:p>
              </w:tc>
              <w:tc>
                <w:tcPr>
                  <w:tcW w:w="612" w:type="pct"/>
                  <w:tcBorders>
                    <w:bottom w:val="single" w:color="auto" w:sz="4" w:space="0"/>
                  </w:tcBorders>
                  <w:shd w:val="clear" w:color="auto" w:fill="auto"/>
                  <w:vAlign w:val="center"/>
                </w:tcPr>
                <w:p w14:paraId="19182A09">
                  <w:pPr>
                    <w:pStyle w:val="40"/>
                    <w:spacing w:beforeLines="0" w:afterLines="0" w:line="240" w:lineRule="auto"/>
                    <w:ind w:left="0" w:right="0" w:firstLine="0"/>
                    <w:rPr>
                      <w:rFonts w:hint="eastAsia" w:ascii="Times New Roman" w:eastAsia="宋体"/>
                      <w:color w:val="auto"/>
                      <w:sz w:val="21"/>
                      <w:szCs w:val="21"/>
                      <w:highlight w:val="none"/>
                      <w:lang w:eastAsia="zh-CN"/>
                    </w:rPr>
                  </w:pPr>
                  <w:r>
                    <w:rPr>
                      <w:rFonts w:ascii="Times New Roman" w:eastAsia="宋体"/>
                      <w:color w:val="auto"/>
                      <w:sz w:val="21"/>
                      <w:szCs w:val="21"/>
                      <w:highlight w:val="none"/>
                    </w:rPr>
                    <w:t>3</w:t>
                  </w:r>
                  <w:r>
                    <w:rPr>
                      <w:rFonts w:hint="eastAsia" w:ascii="Times New Roman" w:eastAsia="宋体"/>
                      <w:color w:val="auto"/>
                      <w:sz w:val="21"/>
                      <w:szCs w:val="21"/>
                      <w:highlight w:val="none"/>
                      <w:lang w:val="en-US" w:eastAsia="zh-CN"/>
                    </w:rPr>
                    <w:t>0</w:t>
                  </w:r>
                </w:p>
              </w:tc>
              <w:tc>
                <w:tcPr>
                  <w:tcW w:w="693" w:type="pct"/>
                  <w:tcBorders>
                    <w:bottom w:val="single" w:color="auto" w:sz="4" w:space="0"/>
                  </w:tcBorders>
                  <w:shd w:val="clear" w:color="auto" w:fill="auto"/>
                  <w:vAlign w:val="center"/>
                </w:tcPr>
                <w:p w14:paraId="4F11495A">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114</w:t>
                  </w:r>
                </w:p>
              </w:tc>
              <w:tc>
                <w:tcPr>
                  <w:tcW w:w="657" w:type="pct"/>
                  <w:tcBorders>
                    <w:bottom w:val="single" w:color="auto" w:sz="4" w:space="0"/>
                    <w:right w:val="single" w:color="auto" w:sz="4" w:space="0"/>
                  </w:tcBorders>
                  <w:shd w:val="clear" w:color="auto" w:fill="auto"/>
                  <w:vAlign w:val="center"/>
                </w:tcPr>
                <w:p w14:paraId="6537D05E">
                  <w:pPr>
                    <w:pStyle w:val="40"/>
                    <w:spacing w:beforeLines="0" w:afterLines="0" w:line="240" w:lineRule="auto"/>
                    <w:ind w:left="0" w:right="0" w:firstLine="0"/>
                    <w:rPr>
                      <w:rFonts w:ascii="Times New Roman" w:eastAsia="宋体"/>
                      <w:color w:val="auto"/>
                      <w:sz w:val="21"/>
                      <w:szCs w:val="21"/>
                      <w:highlight w:val="none"/>
                    </w:rPr>
                  </w:pPr>
                  <w:r>
                    <w:rPr>
                      <w:rFonts w:hint="eastAsia" w:ascii="Times New Roman" w:eastAsia="宋体"/>
                      <w:color w:val="auto"/>
                      <w:sz w:val="21"/>
                      <w:szCs w:val="21"/>
                      <w:highlight w:val="none"/>
                      <w:lang w:val="en-US" w:eastAsia="zh-CN"/>
                    </w:rPr>
                    <w:t>不</w:t>
                  </w:r>
                  <w:r>
                    <w:rPr>
                      <w:rFonts w:ascii="Times New Roman" w:eastAsia="宋体"/>
                      <w:color w:val="auto"/>
                      <w:sz w:val="21"/>
                      <w:szCs w:val="21"/>
                      <w:highlight w:val="none"/>
                    </w:rPr>
                    <w:t>达标</w:t>
                  </w:r>
                </w:p>
              </w:tc>
            </w:tr>
          </w:tbl>
          <w:p w14:paraId="286E2E96">
            <w:pPr>
              <w:spacing w:before="156" w:beforeLines="50"/>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根据上表数据显示，</w:t>
            </w:r>
            <w:r>
              <w:rPr>
                <w:rFonts w:hint="eastAsia" w:cs="Times New Roman"/>
                <w:color w:val="auto"/>
                <w:szCs w:val="24"/>
                <w:highlight w:val="none"/>
                <w:lang w:val="en-US" w:eastAsia="zh-CN"/>
              </w:rPr>
              <w:t>本项目所在区域</w:t>
            </w:r>
            <w:r>
              <w:rPr>
                <w:rFonts w:hint="default" w:ascii="Times New Roman" w:hAnsi="Times New Roman" w:cs="Times New Roman"/>
                <w:color w:val="auto"/>
                <w:szCs w:val="24"/>
                <w:highlight w:val="none"/>
              </w:rPr>
              <w:t>澧县</w:t>
            </w:r>
            <w:r>
              <w:rPr>
                <w:rFonts w:hint="default" w:ascii="Times New Roman" w:hAnsi="Times New Roman" w:eastAsia="宋体" w:cs="Times New Roman"/>
                <w:color w:val="auto"/>
                <w:kern w:val="0"/>
                <w:sz w:val="24"/>
                <w:szCs w:val="24"/>
                <w:highlight w:val="none"/>
                <w:u w:val="none"/>
                <w:lang w:val="en-US" w:eastAsia="zh-CN" w:bidi="ar"/>
              </w:rPr>
              <w:t>SO</w:t>
            </w:r>
            <w:r>
              <w:rPr>
                <w:rFonts w:hint="default" w:ascii="Times New Roman" w:hAnsi="Times New Roman" w:eastAsia="宋体" w:cs="Times New Roman"/>
                <w:color w:val="auto"/>
                <w:kern w:val="0"/>
                <w:sz w:val="24"/>
                <w:szCs w:val="24"/>
                <w:highlight w:val="none"/>
                <w:u w:val="none"/>
                <w:vertAlign w:val="subscript"/>
                <w:lang w:val="en-US" w:eastAsia="zh-CN" w:bidi="ar"/>
              </w:rPr>
              <w:t>2</w:t>
            </w:r>
            <w:r>
              <w:rPr>
                <w:rFonts w:hint="default" w:ascii="Times New Roman" w:hAnsi="Times New Roman" w:eastAsia="宋体" w:cs="Times New Roman"/>
                <w:color w:val="auto"/>
                <w:kern w:val="0"/>
                <w:sz w:val="24"/>
                <w:szCs w:val="24"/>
                <w:highlight w:val="none"/>
                <w:u w:val="none"/>
                <w:lang w:val="en-US" w:eastAsia="zh-CN" w:bidi="ar"/>
              </w:rPr>
              <w:t>、NO</w:t>
            </w:r>
            <w:r>
              <w:rPr>
                <w:rFonts w:hint="default" w:ascii="Times New Roman" w:hAnsi="Times New Roman" w:eastAsia="宋体" w:cs="Times New Roman"/>
                <w:color w:val="auto"/>
                <w:kern w:val="0"/>
                <w:sz w:val="24"/>
                <w:szCs w:val="24"/>
                <w:highlight w:val="none"/>
                <w:u w:val="none"/>
                <w:vertAlign w:val="subscript"/>
                <w:lang w:val="en-US" w:eastAsia="zh-CN" w:bidi="ar"/>
              </w:rPr>
              <w:t>2</w:t>
            </w:r>
            <w:r>
              <w:rPr>
                <w:rFonts w:hint="default" w:ascii="Times New Roman" w:hAnsi="Times New Roman" w:eastAsia="宋体" w:cs="Times New Roman"/>
                <w:color w:val="auto"/>
                <w:kern w:val="0"/>
                <w:sz w:val="24"/>
                <w:szCs w:val="24"/>
                <w:highlight w:val="none"/>
                <w:u w:val="none"/>
                <w:lang w:val="en-US" w:eastAsia="zh-CN" w:bidi="ar"/>
              </w:rPr>
              <w:t>、PM</w:t>
            </w:r>
            <w:r>
              <w:rPr>
                <w:rFonts w:hint="default" w:ascii="Times New Roman" w:hAnsi="Times New Roman" w:eastAsia="宋体" w:cs="Times New Roman"/>
                <w:color w:val="auto"/>
                <w:kern w:val="0"/>
                <w:sz w:val="24"/>
                <w:szCs w:val="24"/>
                <w:highlight w:val="none"/>
                <w:u w:val="none"/>
                <w:vertAlign w:val="subscript"/>
                <w:lang w:val="en-US" w:eastAsia="zh-CN" w:bidi="ar"/>
              </w:rPr>
              <w:t>10</w:t>
            </w:r>
            <w:r>
              <w:rPr>
                <w:rFonts w:hint="default" w:ascii="Times New Roman" w:hAnsi="Times New Roman" w:eastAsia="宋体" w:cs="Times New Roman"/>
                <w:color w:val="auto"/>
                <w:kern w:val="0"/>
                <w:sz w:val="24"/>
                <w:szCs w:val="24"/>
                <w:highlight w:val="none"/>
                <w:u w:val="none"/>
                <w:lang w:val="en-US" w:eastAsia="zh-CN" w:bidi="ar"/>
              </w:rPr>
              <w:t>、CO和臭氧</w:t>
            </w:r>
            <w:r>
              <w:rPr>
                <w:rFonts w:hint="default" w:ascii="Times New Roman" w:hAnsi="Times New Roman" w:cs="Times New Roman"/>
                <w:color w:val="auto"/>
                <w:szCs w:val="24"/>
                <w:highlight w:val="none"/>
              </w:rPr>
              <w:t>均符合《环境空气质量标准》（GB3095-20</w:t>
            </w:r>
            <w:r>
              <w:rPr>
                <w:rFonts w:hint="eastAsia" w:cs="Times New Roman"/>
                <w:color w:val="auto"/>
                <w:szCs w:val="24"/>
                <w:highlight w:val="none"/>
                <w:lang w:val="en-US" w:eastAsia="zh-CN"/>
              </w:rPr>
              <w:t>26</w:t>
            </w:r>
            <w:r>
              <w:rPr>
                <w:rFonts w:hint="default" w:ascii="Times New Roman" w:hAnsi="Times New Roman" w:cs="Times New Roman"/>
                <w:color w:val="auto"/>
                <w:szCs w:val="24"/>
                <w:highlight w:val="none"/>
              </w:rPr>
              <w:t>）</w:t>
            </w:r>
            <w:r>
              <w:rPr>
                <w:rFonts w:hint="eastAsia"/>
                <w:bCs/>
                <w:color w:val="auto"/>
                <w:sz w:val="24"/>
                <w:szCs w:val="24"/>
                <w:highlight w:val="none"/>
                <w:lang w:val="en-US" w:eastAsia="zh-CN"/>
              </w:rPr>
              <w:t>表1</w:t>
            </w:r>
            <w:r>
              <w:rPr>
                <w:rFonts w:hint="eastAsia"/>
                <w:bCs/>
                <w:color w:val="auto"/>
                <w:sz w:val="24"/>
                <w:szCs w:val="24"/>
                <w:highlight w:val="none"/>
              </w:rPr>
              <w:t>中的</w:t>
            </w:r>
            <w:r>
              <w:rPr>
                <w:rFonts w:hint="eastAsia"/>
                <w:bCs/>
                <w:color w:val="auto"/>
                <w:sz w:val="24"/>
                <w:szCs w:val="24"/>
                <w:highlight w:val="none"/>
                <w:lang w:val="en-US" w:eastAsia="zh-CN"/>
              </w:rPr>
              <w:t>过渡阶段</w:t>
            </w:r>
            <w:r>
              <w:rPr>
                <w:rFonts w:hint="eastAsia"/>
                <w:bCs/>
                <w:color w:val="auto"/>
                <w:sz w:val="24"/>
                <w:szCs w:val="24"/>
                <w:highlight w:val="none"/>
              </w:rPr>
              <w:t>浓度限值</w:t>
            </w:r>
            <w:r>
              <w:rPr>
                <w:rFonts w:hint="eastAsia"/>
                <w:bCs/>
                <w:color w:val="auto"/>
                <w:sz w:val="24"/>
                <w:szCs w:val="24"/>
                <w:highlight w:val="none"/>
                <w:lang w:val="en-US" w:eastAsia="zh-CN"/>
              </w:rPr>
              <w:t>二级标准，</w:t>
            </w:r>
            <w:r>
              <w:rPr>
                <w:rFonts w:hint="default" w:ascii="Times New Roman" w:hAnsi="Times New Roman" w:eastAsia="宋体" w:cs="Times New Roman"/>
                <w:color w:val="auto"/>
                <w:kern w:val="0"/>
                <w:sz w:val="24"/>
                <w:szCs w:val="24"/>
                <w:highlight w:val="none"/>
                <w:u w:val="none"/>
                <w:lang w:val="en-US" w:eastAsia="zh-CN" w:bidi="ar"/>
              </w:rPr>
              <w:t>PM</w:t>
            </w:r>
            <w:r>
              <w:rPr>
                <w:rFonts w:hint="default" w:ascii="Times New Roman" w:hAnsi="Times New Roman" w:eastAsia="宋体" w:cs="Times New Roman"/>
                <w:color w:val="auto"/>
                <w:kern w:val="0"/>
                <w:sz w:val="24"/>
                <w:szCs w:val="24"/>
                <w:highlight w:val="none"/>
                <w:u w:val="none"/>
                <w:vertAlign w:val="subscript"/>
                <w:lang w:val="en-US" w:eastAsia="zh-CN" w:bidi="ar"/>
              </w:rPr>
              <w:t>2.5</w:t>
            </w:r>
            <w:r>
              <w:rPr>
                <w:rFonts w:hint="eastAsia" w:ascii="Times New Roman" w:hAnsi="Times New Roman" w:eastAsia="宋体" w:cs="Times New Roman"/>
                <w:color w:val="auto"/>
                <w:kern w:val="0"/>
                <w:sz w:val="24"/>
                <w:szCs w:val="24"/>
                <w:highlight w:val="none"/>
                <w:u w:val="none"/>
                <w:lang w:val="en-US" w:eastAsia="zh-CN" w:bidi="ar"/>
              </w:rPr>
              <w:t>超过</w:t>
            </w:r>
            <w:r>
              <w:rPr>
                <w:rFonts w:hint="default" w:ascii="Times New Roman" w:hAnsi="Times New Roman" w:cs="Times New Roman"/>
                <w:color w:val="auto"/>
                <w:szCs w:val="24"/>
                <w:highlight w:val="none"/>
              </w:rPr>
              <w:t>《环境空气质量标准》（GB3095-20</w:t>
            </w:r>
            <w:r>
              <w:rPr>
                <w:rFonts w:hint="eastAsia" w:cs="Times New Roman"/>
                <w:color w:val="auto"/>
                <w:szCs w:val="24"/>
                <w:highlight w:val="none"/>
                <w:lang w:val="en-US" w:eastAsia="zh-CN"/>
              </w:rPr>
              <w:t>26</w:t>
            </w:r>
            <w:r>
              <w:rPr>
                <w:rFonts w:hint="default" w:ascii="Times New Roman" w:hAnsi="Times New Roman" w:cs="Times New Roman"/>
                <w:color w:val="auto"/>
                <w:szCs w:val="24"/>
                <w:highlight w:val="none"/>
              </w:rPr>
              <w:t>）</w:t>
            </w:r>
            <w:r>
              <w:rPr>
                <w:rFonts w:hint="eastAsia"/>
                <w:bCs/>
                <w:color w:val="auto"/>
                <w:sz w:val="24"/>
                <w:szCs w:val="24"/>
                <w:highlight w:val="none"/>
                <w:lang w:val="en-US" w:eastAsia="zh-CN"/>
              </w:rPr>
              <w:t>表1</w:t>
            </w:r>
            <w:r>
              <w:rPr>
                <w:rFonts w:hint="eastAsia"/>
                <w:bCs/>
                <w:color w:val="auto"/>
                <w:sz w:val="24"/>
                <w:szCs w:val="24"/>
                <w:highlight w:val="none"/>
              </w:rPr>
              <w:t>中的</w:t>
            </w:r>
            <w:r>
              <w:rPr>
                <w:rFonts w:hint="eastAsia"/>
                <w:bCs/>
                <w:color w:val="auto"/>
                <w:sz w:val="24"/>
                <w:szCs w:val="24"/>
                <w:highlight w:val="none"/>
                <w:lang w:val="en-US" w:eastAsia="zh-CN"/>
              </w:rPr>
              <w:t>过渡阶段</w:t>
            </w:r>
            <w:r>
              <w:rPr>
                <w:rFonts w:hint="eastAsia"/>
                <w:bCs/>
                <w:color w:val="auto"/>
                <w:sz w:val="24"/>
                <w:szCs w:val="24"/>
                <w:highlight w:val="none"/>
              </w:rPr>
              <w:t>浓度限值</w:t>
            </w:r>
            <w:r>
              <w:rPr>
                <w:rFonts w:hint="eastAsia"/>
                <w:bCs/>
                <w:color w:val="auto"/>
                <w:sz w:val="24"/>
                <w:szCs w:val="24"/>
                <w:highlight w:val="none"/>
                <w:lang w:val="en-US" w:eastAsia="zh-CN"/>
              </w:rPr>
              <w:t>二级标准</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因此，</w:t>
            </w:r>
            <w:r>
              <w:rPr>
                <w:rFonts w:hint="default" w:ascii="Times New Roman" w:hAnsi="Times New Roman" w:cs="Times New Roman"/>
                <w:color w:val="auto"/>
                <w:szCs w:val="24"/>
                <w:highlight w:val="none"/>
              </w:rPr>
              <w:t>项目所在区域</w:t>
            </w:r>
            <w:r>
              <w:rPr>
                <w:rFonts w:hint="eastAsia" w:cs="Times New Roman"/>
                <w:color w:val="auto"/>
                <w:szCs w:val="24"/>
                <w:highlight w:val="none"/>
                <w:lang w:val="en-US" w:eastAsia="zh-CN"/>
              </w:rPr>
              <w:t>属于不</w:t>
            </w:r>
            <w:r>
              <w:rPr>
                <w:rFonts w:hint="default" w:ascii="Times New Roman" w:hAnsi="Times New Roman" w:cs="Times New Roman"/>
                <w:color w:val="auto"/>
                <w:szCs w:val="24"/>
                <w:highlight w:val="none"/>
              </w:rPr>
              <w:t>达标</w:t>
            </w:r>
            <w:r>
              <w:rPr>
                <w:rFonts w:hint="eastAsia" w:cs="Times New Roman"/>
                <w:color w:val="auto"/>
                <w:szCs w:val="24"/>
                <w:highlight w:val="none"/>
                <w:lang w:val="en-US" w:eastAsia="zh-CN"/>
              </w:rPr>
              <w:t>区</w:t>
            </w:r>
            <w:r>
              <w:rPr>
                <w:rFonts w:hint="default" w:ascii="Times New Roman" w:hAnsi="Times New Roman" w:cs="Times New Roman"/>
                <w:color w:val="auto"/>
                <w:szCs w:val="24"/>
                <w:highlight w:val="none"/>
              </w:rPr>
              <w:t>。</w:t>
            </w:r>
          </w:p>
          <w:p w14:paraId="18A3D165">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（2）其他污染物环境质量现状</w:t>
            </w:r>
          </w:p>
          <w:p w14:paraId="09260C9E">
            <w:pPr>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本环评委托</w:t>
            </w:r>
            <w:r>
              <w:rPr>
                <w:rFonts w:hint="eastAsia" w:cs="Times New Roman"/>
                <w:color w:val="auto"/>
                <w:szCs w:val="24"/>
                <w:highlight w:val="none"/>
                <w:lang w:val="en-US" w:eastAsia="zh-CN"/>
              </w:rPr>
              <w:t>湖南博联检测集团有限责任公司</w:t>
            </w:r>
            <w:r>
              <w:rPr>
                <w:rFonts w:hint="default" w:ascii="Times New Roman" w:hAnsi="Times New Roman" w:cs="Times New Roman"/>
                <w:color w:val="auto"/>
                <w:szCs w:val="24"/>
                <w:highlight w:val="none"/>
              </w:rPr>
              <w:t>202</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rPr>
              <w:t>年</w:t>
            </w:r>
            <w:r>
              <w:rPr>
                <w:rFonts w:hint="eastAsia" w:cs="Times New Roman"/>
                <w:color w:val="auto"/>
                <w:szCs w:val="24"/>
                <w:highlight w:val="none"/>
                <w:lang w:val="en-US" w:eastAsia="zh-CN"/>
              </w:rPr>
              <w:t>1</w:t>
            </w:r>
            <w:r>
              <w:rPr>
                <w:rFonts w:hint="default" w:ascii="Times New Roman" w:hAnsi="Times New Roman" w:cs="Times New Roman"/>
                <w:color w:val="auto"/>
                <w:szCs w:val="24"/>
                <w:highlight w:val="none"/>
              </w:rPr>
              <w:t>月</w:t>
            </w:r>
            <w:r>
              <w:rPr>
                <w:rFonts w:hint="eastAsia" w:cs="Times New Roman"/>
                <w:color w:val="auto"/>
                <w:szCs w:val="24"/>
                <w:highlight w:val="none"/>
                <w:lang w:val="en-US" w:eastAsia="zh-CN"/>
              </w:rPr>
              <w:t>16</w:t>
            </w:r>
            <w:r>
              <w:rPr>
                <w:rFonts w:hint="default" w:ascii="Times New Roman" w:hAnsi="Times New Roman" w:cs="Times New Roman"/>
                <w:color w:val="auto"/>
                <w:szCs w:val="24"/>
                <w:highlight w:val="none"/>
              </w:rPr>
              <w:t>日-</w:t>
            </w:r>
            <w:r>
              <w:rPr>
                <w:rFonts w:hint="eastAsia" w:cs="Times New Roman"/>
                <w:color w:val="auto"/>
                <w:szCs w:val="24"/>
                <w:highlight w:val="none"/>
                <w:lang w:val="en-US" w:eastAsia="zh-CN"/>
              </w:rPr>
              <w:t>18</w:t>
            </w:r>
            <w:r>
              <w:rPr>
                <w:rFonts w:hint="default" w:ascii="Times New Roman" w:hAnsi="Times New Roman" w:cs="Times New Roman"/>
                <w:color w:val="auto"/>
                <w:szCs w:val="24"/>
                <w:highlight w:val="none"/>
              </w:rPr>
              <w:t>日对项目</w:t>
            </w:r>
            <w:r>
              <w:rPr>
                <w:rFonts w:hint="eastAsia" w:cs="Times New Roman"/>
                <w:color w:val="auto"/>
                <w:szCs w:val="24"/>
                <w:highlight w:val="none"/>
                <w:lang w:val="en-US" w:eastAsia="zh-CN"/>
              </w:rPr>
              <w:t>工业场地</w:t>
            </w:r>
            <w:r>
              <w:rPr>
                <w:rFonts w:hint="default" w:ascii="Times New Roman" w:hAnsi="Times New Roman" w:cs="Times New Roman"/>
                <w:color w:val="auto"/>
                <w:szCs w:val="24"/>
                <w:highlight w:val="none"/>
              </w:rPr>
              <w:t>下风向进行采样，补充特征因子</w:t>
            </w:r>
            <w:r>
              <w:rPr>
                <w:rFonts w:hint="eastAsia" w:cs="Times New Roman"/>
                <w:color w:val="auto"/>
                <w:szCs w:val="24"/>
                <w:highlight w:val="none"/>
                <w:lang w:val="en-US" w:eastAsia="zh-CN"/>
              </w:rPr>
              <w:t>TSP</w:t>
            </w:r>
            <w:r>
              <w:rPr>
                <w:rFonts w:hint="default" w:ascii="Times New Roman" w:hAnsi="Times New Roman" w:cs="Times New Roman"/>
                <w:color w:val="auto"/>
                <w:szCs w:val="24"/>
                <w:highlight w:val="none"/>
              </w:rPr>
              <w:t>环境空气质量现状监测。</w:t>
            </w:r>
            <w:r>
              <w:rPr>
                <w:rFonts w:hint="eastAsia" w:cs="Times New Roman"/>
                <w:color w:val="auto"/>
                <w:szCs w:val="24"/>
                <w:highlight w:val="none"/>
                <w:lang w:val="en-US" w:eastAsia="zh-CN"/>
              </w:rPr>
              <w:t>监测结果如下表。</w:t>
            </w:r>
          </w:p>
          <w:p w14:paraId="65B818E3">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其他污染物环境质量现状评价表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607"/>
              <w:gridCol w:w="879"/>
              <w:gridCol w:w="1233"/>
              <w:gridCol w:w="1232"/>
              <w:gridCol w:w="1055"/>
              <w:gridCol w:w="880"/>
              <w:gridCol w:w="860"/>
            </w:tblGrid>
            <w:tr w14:paraId="4938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70BAC17">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607" w:type="dxa"/>
                  <w:vAlign w:val="center"/>
                </w:tcPr>
                <w:p w14:paraId="725D9489">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879" w:type="dxa"/>
                  <w:vAlign w:val="center"/>
                </w:tcPr>
                <w:p w14:paraId="2B62F38C">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平均时间</w:t>
                  </w:r>
                </w:p>
              </w:tc>
              <w:tc>
                <w:tcPr>
                  <w:tcW w:w="1233" w:type="dxa"/>
                  <w:vAlign w:val="center"/>
                </w:tcPr>
                <w:p w14:paraId="01697A86">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评价标准μg/m</w:t>
                  </w:r>
                  <w:r>
                    <w:rPr>
                      <w:rFonts w:hint="default" w:ascii="Times New Roman" w:hAnsi="Times New Roman" w:cs="Times New Roman"/>
                      <w:b/>
                      <w:bCs/>
                      <w:color w:val="auto"/>
                      <w:sz w:val="21"/>
                      <w:szCs w:val="21"/>
                      <w:highlight w:val="none"/>
                      <w:vertAlign w:val="superscript"/>
                    </w:rPr>
                    <w:t>3</w:t>
                  </w:r>
                </w:p>
              </w:tc>
              <w:tc>
                <w:tcPr>
                  <w:tcW w:w="1232" w:type="dxa"/>
                  <w:vAlign w:val="center"/>
                </w:tcPr>
                <w:p w14:paraId="29F196CB">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浓度范围μg/m</w:t>
                  </w:r>
                  <w:r>
                    <w:rPr>
                      <w:rFonts w:hint="default" w:ascii="Times New Roman" w:hAnsi="Times New Roman" w:cs="Times New Roman"/>
                      <w:b/>
                      <w:bCs/>
                      <w:color w:val="auto"/>
                      <w:sz w:val="21"/>
                      <w:szCs w:val="21"/>
                      <w:highlight w:val="none"/>
                      <w:vertAlign w:val="superscript"/>
                    </w:rPr>
                    <w:t>3</w:t>
                  </w:r>
                </w:p>
              </w:tc>
              <w:tc>
                <w:tcPr>
                  <w:tcW w:w="1055" w:type="dxa"/>
                  <w:vAlign w:val="center"/>
                </w:tcPr>
                <w:p w14:paraId="5F9264AE">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最大浓度占标率/%</w:t>
                  </w:r>
                </w:p>
              </w:tc>
              <w:tc>
                <w:tcPr>
                  <w:tcW w:w="880" w:type="dxa"/>
                  <w:vAlign w:val="center"/>
                </w:tcPr>
                <w:p w14:paraId="08A6FCBD">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超标率/%</w:t>
                  </w:r>
                </w:p>
              </w:tc>
              <w:tc>
                <w:tcPr>
                  <w:tcW w:w="860" w:type="dxa"/>
                  <w:vAlign w:val="center"/>
                </w:tcPr>
                <w:p w14:paraId="6D801824">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达标情况</w:t>
                  </w:r>
                </w:p>
              </w:tc>
            </w:tr>
            <w:tr w14:paraId="7564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998F265">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eastAsia" w:cs="Times New Roman"/>
                      <w:color w:val="auto"/>
                      <w:sz w:val="21"/>
                      <w:szCs w:val="21"/>
                      <w:highlight w:val="none"/>
                      <w:lang w:val="en-US" w:eastAsia="zh-CN"/>
                    </w:rPr>
                    <w:t>工业场地</w:t>
                  </w:r>
                  <w:r>
                    <w:rPr>
                      <w:rFonts w:hint="default" w:ascii="Times New Roman" w:hAnsi="Times New Roman" w:cs="Times New Roman"/>
                      <w:color w:val="auto"/>
                      <w:sz w:val="21"/>
                      <w:szCs w:val="21"/>
                      <w:highlight w:val="none"/>
                    </w:rPr>
                    <w:t>下风向</w:t>
                  </w:r>
                </w:p>
              </w:tc>
              <w:tc>
                <w:tcPr>
                  <w:tcW w:w="607" w:type="dxa"/>
                  <w:vAlign w:val="center"/>
                </w:tcPr>
                <w:p w14:paraId="1331C4B5">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879" w:type="dxa"/>
                  <w:vAlign w:val="center"/>
                </w:tcPr>
                <w:p w14:paraId="2096BA08">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日均值</w:t>
                  </w:r>
                </w:p>
              </w:tc>
              <w:tc>
                <w:tcPr>
                  <w:tcW w:w="1233" w:type="dxa"/>
                  <w:vAlign w:val="center"/>
                </w:tcPr>
                <w:p w14:paraId="12D04556">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1232" w:type="dxa"/>
                  <w:vAlign w:val="center"/>
                </w:tcPr>
                <w:p w14:paraId="6F76F6BE">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143-150</w:t>
                  </w:r>
                </w:p>
              </w:tc>
              <w:tc>
                <w:tcPr>
                  <w:tcW w:w="1055" w:type="dxa"/>
                  <w:vAlign w:val="center"/>
                </w:tcPr>
                <w:p w14:paraId="2F4EF975">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880" w:type="dxa"/>
                  <w:vAlign w:val="center"/>
                </w:tcPr>
                <w:p w14:paraId="5A01E2D2">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60" w:type="dxa"/>
                  <w:vAlign w:val="center"/>
                </w:tcPr>
                <w:p w14:paraId="32007C2E">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54217CF4">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由监测结果可以看出，项目</w:t>
            </w:r>
            <w:r>
              <w:rPr>
                <w:rFonts w:hint="eastAsia" w:cs="Times New Roman"/>
                <w:color w:val="auto"/>
                <w:szCs w:val="24"/>
                <w:highlight w:val="none"/>
                <w:lang w:val="en-US" w:eastAsia="zh-CN"/>
              </w:rPr>
              <w:t>工业场地</w:t>
            </w:r>
            <w:r>
              <w:rPr>
                <w:rFonts w:hint="default" w:ascii="Times New Roman" w:hAnsi="Times New Roman" w:cs="Times New Roman"/>
                <w:color w:val="auto"/>
                <w:szCs w:val="24"/>
                <w:highlight w:val="none"/>
              </w:rPr>
              <w:t>下风向TSP浓度满足《环境空气质量标准》（GB3095-20</w:t>
            </w:r>
            <w:r>
              <w:rPr>
                <w:rFonts w:hint="eastAsia" w:cs="Times New Roman"/>
                <w:color w:val="auto"/>
                <w:szCs w:val="24"/>
                <w:highlight w:val="none"/>
                <w:lang w:val="en-US" w:eastAsia="zh-CN"/>
              </w:rPr>
              <w:t>26</w:t>
            </w:r>
            <w:r>
              <w:rPr>
                <w:rFonts w:hint="default" w:ascii="Times New Roman" w:hAnsi="Times New Roman" w:cs="Times New Roman"/>
                <w:color w:val="auto"/>
                <w:szCs w:val="24"/>
                <w:highlight w:val="none"/>
              </w:rPr>
              <w:t>）中标准</w:t>
            </w:r>
            <w:r>
              <w:rPr>
                <w:rFonts w:hint="eastAsia" w:cs="Times New Roman"/>
                <w:color w:val="auto"/>
                <w:szCs w:val="24"/>
                <w:highlight w:val="none"/>
                <w:lang w:val="en-US" w:eastAsia="zh-CN"/>
              </w:rPr>
              <w:t>要求</w:t>
            </w:r>
            <w:r>
              <w:rPr>
                <w:rFonts w:hint="default" w:ascii="Times New Roman" w:hAnsi="Times New Roman" w:cs="Times New Roman"/>
                <w:color w:val="auto"/>
                <w:szCs w:val="24"/>
                <w:highlight w:val="none"/>
              </w:rPr>
              <w:t>。</w:t>
            </w:r>
          </w:p>
          <w:p w14:paraId="3680527D">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2、地表水环境</w:t>
            </w:r>
          </w:p>
          <w:p w14:paraId="525567B1">
            <w:pPr>
              <w:keepNext w:val="0"/>
              <w:keepLines w:val="0"/>
              <w:widowControl/>
              <w:suppressLineNumbers w:val="0"/>
              <w:jc w:val="left"/>
              <w:rPr>
                <w:rFonts w:hint="default" w:ascii="Times New Roman" w:hAnsi="Times New Roman" w:cs="Times New Roman"/>
                <w:color w:val="auto"/>
                <w:kern w:val="0"/>
                <w:sz w:val="24"/>
                <w:highlight w:val="none"/>
                <w:u w:val="none"/>
              </w:rPr>
            </w:pPr>
            <w:r>
              <w:rPr>
                <w:rFonts w:hint="eastAsia" w:ascii="宋体" w:hAnsi="宋体" w:eastAsia="宋体" w:cs="宋体"/>
                <w:color w:val="auto"/>
                <w:kern w:val="0"/>
                <w:sz w:val="24"/>
                <w:szCs w:val="24"/>
                <w:highlight w:val="none"/>
                <w:lang w:val="en-US" w:eastAsia="zh-CN" w:bidi="ar"/>
              </w:rPr>
              <w:t>本项目周边的地表水体主要为西南侧红岩溪和北侧肖家河。为了解当地地表水环境质量现状，本环评委托</w:t>
            </w:r>
            <w:r>
              <w:rPr>
                <w:rFonts w:hint="eastAsia" w:cs="Times New Roman"/>
                <w:color w:val="auto"/>
                <w:szCs w:val="24"/>
                <w:highlight w:val="none"/>
                <w:lang w:val="en-US" w:eastAsia="zh-CN"/>
              </w:rPr>
              <w:t>湖南博联检测集团有限责任公司于</w:t>
            </w:r>
            <w:r>
              <w:rPr>
                <w:rFonts w:hint="default" w:ascii="Times New Roman" w:hAnsi="Times New Roman" w:cs="Times New Roman"/>
                <w:color w:val="auto"/>
                <w:szCs w:val="24"/>
                <w:highlight w:val="none"/>
              </w:rPr>
              <w:t>202</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rPr>
              <w:t>年</w:t>
            </w:r>
            <w:r>
              <w:rPr>
                <w:rFonts w:hint="eastAsia" w:cs="Times New Roman"/>
                <w:color w:val="auto"/>
                <w:szCs w:val="24"/>
                <w:highlight w:val="none"/>
                <w:lang w:val="en-US" w:eastAsia="zh-CN"/>
              </w:rPr>
              <w:t>1</w:t>
            </w:r>
            <w:r>
              <w:rPr>
                <w:rFonts w:hint="default" w:ascii="Times New Roman" w:hAnsi="Times New Roman" w:cs="Times New Roman"/>
                <w:color w:val="auto"/>
                <w:szCs w:val="24"/>
                <w:highlight w:val="none"/>
              </w:rPr>
              <w:t>月</w:t>
            </w:r>
            <w:r>
              <w:rPr>
                <w:rFonts w:hint="eastAsia" w:cs="Times New Roman"/>
                <w:color w:val="auto"/>
                <w:szCs w:val="24"/>
                <w:highlight w:val="none"/>
                <w:lang w:val="en-US" w:eastAsia="zh-CN"/>
              </w:rPr>
              <w:t>15</w:t>
            </w:r>
            <w:r>
              <w:rPr>
                <w:rFonts w:hint="default" w:ascii="Times New Roman" w:hAnsi="Times New Roman" w:cs="Times New Roman"/>
                <w:color w:val="auto"/>
                <w:szCs w:val="24"/>
                <w:highlight w:val="none"/>
              </w:rPr>
              <w:t>日-</w:t>
            </w:r>
            <w:r>
              <w:rPr>
                <w:rFonts w:hint="eastAsia" w:cs="Times New Roman"/>
                <w:color w:val="auto"/>
                <w:szCs w:val="24"/>
                <w:highlight w:val="none"/>
                <w:lang w:val="en-US" w:eastAsia="zh-CN"/>
              </w:rPr>
              <w:t>17</w:t>
            </w:r>
            <w:r>
              <w:rPr>
                <w:rFonts w:hint="default" w:ascii="Times New Roman" w:hAnsi="Times New Roman" w:cs="Times New Roman"/>
                <w:color w:val="auto"/>
                <w:szCs w:val="24"/>
                <w:highlight w:val="none"/>
              </w:rPr>
              <w:t>日</w:t>
            </w:r>
            <w:r>
              <w:rPr>
                <w:rFonts w:hint="eastAsia" w:ascii="宋体" w:hAnsi="宋体" w:eastAsia="宋体" w:cs="宋体"/>
                <w:color w:val="auto"/>
                <w:kern w:val="0"/>
                <w:sz w:val="24"/>
                <w:szCs w:val="24"/>
                <w:highlight w:val="none"/>
                <w:lang w:val="en-US" w:eastAsia="zh-CN" w:bidi="ar"/>
              </w:rPr>
              <w:t>对红岩溪和肖家河进行了现状监测。</w:t>
            </w:r>
            <w:r>
              <w:rPr>
                <w:rFonts w:hint="default" w:ascii="Times New Roman" w:hAnsi="Times New Roman" w:cs="Times New Roman"/>
                <w:color w:val="auto"/>
                <w:kern w:val="0"/>
                <w:sz w:val="24"/>
                <w:highlight w:val="none"/>
                <w:u w:val="none"/>
              </w:rPr>
              <w:t>具体地表水环境监测数据见</w:t>
            </w:r>
            <w:r>
              <w:rPr>
                <w:rFonts w:hint="eastAsia" w:ascii="Times New Roman" w:hAnsi="Times New Roman" w:cs="Times New Roman"/>
                <w:color w:val="auto"/>
                <w:kern w:val="0"/>
                <w:sz w:val="24"/>
                <w:highlight w:val="none"/>
                <w:u w:val="none"/>
                <w:lang w:val="en-US" w:eastAsia="zh-CN"/>
              </w:rPr>
              <w:t>下表</w:t>
            </w:r>
            <w:r>
              <w:rPr>
                <w:rFonts w:hint="default" w:ascii="Times New Roman" w:hAnsi="Times New Roman" w:cs="Times New Roman"/>
                <w:color w:val="auto"/>
                <w:kern w:val="0"/>
                <w:sz w:val="24"/>
                <w:highlight w:val="none"/>
                <w:u w:val="none"/>
              </w:rPr>
              <w:t>。</w:t>
            </w:r>
          </w:p>
          <w:p w14:paraId="7D7EEB36">
            <w:pPr>
              <w:spacing w:line="360" w:lineRule="auto"/>
              <w:ind w:left="0" w:leftChars="0"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default" w:ascii="Times New Roman" w:hAnsi="Times New Roman" w:eastAsia="宋体" w:cs="Times New Roman"/>
                <w:b/>
                <w:bCs/>
                <w:color w:val="auto"/>
                <w:sz w:val="21"/>
                <w:szCs w:val="21"/>
                <w:highlight w:val="none"/>
                <w:u w:val="none"/>
              </w:rPr>
              <w:t>表</w:t>
            </w:r>
            <w:r>
              <w:rPr>
                <w:rFonts w:hint="eastAsia" w:ascii="Times New Roman" w:hAnsi="Times New Roman" w:eastAsia="宋体" w:cs="Times New Roman"/>
                <w:b/>
                <w:bCs/>
                <w:color w:val="auto"/>
                <w:sz w:val="21"/>
                <w:szCs w:val="21"/>
                <w:highlight w:val="none"/>
                <w:u w:val="none"/>
                <w:lang w:val="en-US" w:eastAsia="zh-CN"/>
              </w:rPr>
              <w:t>3-</w:t>
            </w:r>
            <w:r>
              <w:rPr>
                <w:rFonts w:hint="eastAsia" w:cs="Times New Roman"/>
                <w:b/>
                <w:bCs/>
                <w:color w:val="auto"/>
                <w:sz w:val="21"/>
                <w:szCs w:val="21"/>
                <w:highlight w:val="none"/>
                <w:u w:val="none"/>
                <w:lang w:val="en-US" w:eastAsia="zh-CN"/>
              </w:rPr>
              <w:t>4</w:t>
            </w:r>
            <w:r>
              <w:rPr>
                <w:rFonts w:hint="default" w:ascii="Times New Roman" w:hAnsi="Times New Roman" w:eastAsia="宋体" w:cs="Times New Roman"/>
                <w:b/>
                <w:bCs/>
                <w:color w:val="auto"/>
                <w:sz w:val="21"/>
                <w:szCs w:val="21"/>
                <w:highlight w:val="none"/>
                <w:u w:val="none"/>
              </w:rPr>
              <w:t xml:space="preserve">  </w:t>
            </w:r>
            <w:r>
              <w:rPr>
                <w:rFonts w:hint="eastAsia" w:cs="Times New Roman"/>
                <w:b/>
                <w:bCs/>
                <w:color w:val="auto"/>
                <w:sz w:val="21"/>
                <w:szCs w:val="21"/>
                <w:highlight w:val="none"/>
                <w:u w:val="none"/>
                <w:lang w:val="en-US" w:eastAsia="zh-CN"/>
              </w:rPr>
              <w:t>地表水现状</w:t>
            </w:r>
            <w:r>
              <w:rPr>
                <w:rFonts w:hint="default" w:ascii="Times New Roman" w:hAnsi="Times New Roman" w:eastAsia="宋体" w:cs="Times New Roman"/>
                <w:b/>
                <w:bCs/>
                <w:color w:val="auto"/>
                <w:sz w:val="21"/>
                <w:szCs w:val="21"/>
                <w:highlight w:val="none"/>
                <w:u w:val="none"/>
              </w:rPr>
              <w:t>监测</w:t>
            </w:r>
            <w:r>
              <w:rPr>
                <w:rFonts w:hint="eastAsia" w:cs="Times New Roman"/>
                <w:b/>
                <w:bCs/>
                <w:color w:val="auto"/>
                <w:sz w:val="21"/>
                <w:szCs w:val="21"/>
                <w:highlight w:val="none"/>
                <w:u w:val="none"/>
                <w:lang w:val="en-US" w:eastAsia="zh-CN"/>
              </w:rPr>
              <w:t>结果</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312"/>
              <w:gridCol w:w="1815"/>
              <w:gridCol w:w="1823"/>
              <w:gridCol w:w="950"/>
              <w:gridCol w:w="952"/>
            </w:tblGrid>
            <w:tr w14:paraId="78D1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0" w:type="pct"/>
                  <w:vMerge w:val="restart"/>
                  <w:tcBorders>
                    <w:tl2br w:val="nil"/>
                    <w:tr2bl w:val="nil"/>
                  </w:tcBorders>
                  <w:vAlign w:val="center"/>
                </w:tcPr>
                <w:p w14:paraId="118FF283">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val="en-US" w:eastAsia="zh-CN"/>
                    </w:rPr>
                    <w:t>采样日期</w:t>
                  </w:r>
                </w:p>
              </w:tc>
              <w:tc>
                <w:tcPr>
                  <w:tcW w:w="833" w:type="pct"/>
                  <w:vMerge w:val="restart"/>
                  <w:tcBorders>
                    <w:tl2br w:val="nil"/>
                    <w:tr2bl w:val="nil"/>
                  </w:tcBorders>
                  <w:vAlign w:val="center"/>
                </w:tcPr>
                <w:p w14:paraId="5C883752">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检测项目</w:t>
                  </w:r>
                </w:p>
              </w:tc>
              <w:tc>
                <w:tcPr>
                  <w:tcW w:w="2309" w:type="pct"/>
                  <w:gridSpan w:val="2"/>
                  <w:tcBorders>
                    <w:tl2br w:val="nil"/>
                    <w:tr2bl w:val="nil"/>
                  </w:tcBorders>
                  <w:vAlign w:val="center"/>
                </w:tcPr>
                <w:p w14:paraId="6F05D945">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检测结果</w:t>
                  </w:r>
                </w:p>
              </w:tc>
              <w:tc>
                <w:tcPr>
                  <w:tcW w:w="603" w:type="pct"/>
                  <w:vMerge w:val="restart"/>
                  <w:tcBorders>
                    <w:tl2br w:val="nil"/>
                    <w:tr2bl w:val="nil"/>
                  </w:tcBorders>
                  <w:vAlign w:val="center"/>
                </w:tcPr>
                <w:p w14:paraId="186E9833">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标准限值</w:t>
                  </w:r>
                </w:p>
              </w:tc>
              <w:tc>
                <w:tcPr>
                  <w:tcW w:w="604" w:type="pct"/>
                  <w:vMerge w:val="restart"/>
                  <w:tcBorders>
                    <w:tl2br w:val="nil"/>
                    <w:tr2bl w:val="nil"/>
                  </w:tcBorders>
                  <w:vAlign w:val="center"/>
                </w:tcPr>
                <w:p w14:paraId="5C7F72E4">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单位</w:t>
                  </w:r>
                </w:p>
              </w:tc>
            </w:tr>
            <w:tr w14:paraId="3D30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0" w:type="pct"/>
                  <w:vMerge w:val="continue"/>
                  <w:tcBorders>
                    <w:tl2br w:val="nil"/>
                    <w:tr2bl w:val="nil"/>
                  </w:tcBorders>
                  <w:vAlign w:val="center"/>
                </w:tcPr>
                <w:p w14:paraId="60892866">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color w:val="auto"/>
                      <w:sz w:val="21"/>
                      <w:szCs w:val="21"/>
                      <w:highlight w:val="none"/>
                      <w:lang w:val="en-US" w:eastAsia="zh-CN"/>
                    </w:rPr>
                  </w:pPr>
                </w:p>
              </w:tc>
              <w:tc>
                <w:tcPr>
                  <w:tcW w:w="833" w:type="pct"/>
                  <w:vMerge w:val="continue"/>
                  <w:tcBorders>
                    <w:tl2br w:val="nil"/>
                    <w:tr2bl w:val="nil"/>
                  </w:tcBorders>
                  <w:vAlign w:val="center"/>
                </w:tcPr>
                <w:p w14:paraId="37D50F78">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color w:val="auto"/>
                      <w:sz w:val="21"/>
                      <w:szCs w:val="21"/>
                      <w:highlight w:val="none"/>
                      <w:lang w:eastAsia="zh-CN"/>
                    </w:rPr>
                  </w:pPr>
                </w:p>
              </w:tc>
              <w:tc>
                <w:tcPr>
                  <w:tcW w:w="1152" w:type="pct"/>
                  <w:tcBorders>
                    <w:tl2br w:val="nil"/>
                    <w:tr2bl w:val="nil"/>
                  </w:tcBorders>
                  <w:vAlign w:val="center"/>
                </w:tcPr>
                <w:p w14:paraId="2F0CE3A7">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b/>
                      <w:bCs/>
                      <w:color w:val="auto"/>
                      <w:sz w:val="18"/>
                      <w:szCs w:val="18"/>
                      <w:highlight w:val="none"/>
                      <w:lang w:val="en-US" w:eastAsia="zh-CN"/>
                    </w:rPr>
                  </w:pPr>
                  <w:r>
                    <w:rPr>
                      <w:rFonts w:hint="eastAsia" w:asciiTheme="majorEastAsia" w:hAnsiTheme="majorEastAsia" w:eastAsiaTheme="majorEastAsia" w:cstheme="majorEastAsia"/>
                      <w:b/>
                      <w:bCs/>
                      <w:color w:val="auto"/>
                      <w:sz w:val="21"/>
                      <w:szCs w:val="21"/>
                      <w:highlight w:val="none"/>
                      <w:vertAlign w:val="baseline"/>
                      <w:lang w:val="en-US" w:eastAsia="zh-CN"/>
                    </w:rPr>
                    <w:t>西南侧红岩溪</w:t>
                  </w:r>
                  <w:r>
                    <w:rPr>
                      <w:rFonts w:hint="default" w:ascii="Times New Roman" w:hAnsi="Times New Roman" w:cs="Times New Roman" w:eastAsiaTheme="majorEastAsia"/>
                      <w:b/>
                      <w:bCs/>
                      <w:color w:val="auto"/>
                      <w:sz w:val="21"/>
                      <w:szCs w:val="21"/>
                      <w:highlight w:val="none"/>
                      <w:vertAlign w:val="baseline"/>
                      <w:lang w:val="en-US" w:eastAsia="zh-CN"/>
                    </w:rPr>
                    <w:t>W1</w:t>
                  </w:r>
                </w:p>
              </w:tc>
              <w:tc>
                <w:tcPr>
                  <w:tcW w:w="1157" w:type="pct"/>
                  <w:tcBorders>
                    <w:tl2br w:val="nil"/>
                    <w:tr2bl w:val="nil"/>
                  </w:tcBorders>
                  <w:vAlign w:val="center"/>
                </w:tcPr>
                <w:p w14:paraId="4A87641A">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b/>
                      <w:bCs/>
                      <w:color w:val="auto"/>
                      <w:sz w:val="18"/>
                      <w:szCs w:val="18"/>
                      <w:highlight w:val="none"/>
                      <w:lang w:val="en-US" w:eastAsia="zh-CN"/>
                    </w:rPr>
                  </w:pPr>
                  <w:r>
                    <w:rPr>
                      <w:rFonts w:hint="eastAsia" w:ascii="Times New Roman" w:hAnsi="Times New Roman" w:cs="Times New Roman"/>
                      <w:b/>
                      <w:bCs/>
                      <w:color w:val="auto"/>
                      <w:sz w:val="21"/>
                      <w:szCs w:val="21"/>
                      <w:highlight w:val="none"/>
                      <w:vertAlign w:val="baseline"/>
                      <w:lang w:val="en-US" w:eastAsia="zh-CN"/>
                    </w:rPr>
                    <w:t>北侧肖家河W2</w:t>
                  </w:r>
                </w:p>
              </w:tc>
              <w:tc>
                <w:tcPr>
                  <w:tcW w:w="603" w:type="pct"/>
                  <w:vMerge w:val="continue"/>
                  <w:tcBorders>
                    <w:tl2br w:val="nil"/>
                    <w:tr2bl w:val="nil"/>
                  </w:tcBorders>
                  <w:vAlign w:val="center"/>
                </w:tcPr>
                <w:p w14:paraId="2F215F14">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color w:val="auto"/>
                      <w:sz w:val="21"/>
                      <w:szCs w:val="21"/>
                      <w:highlight w:val="none"/>
                      <w:lang w:eastAsia="zh-CN"/>
                    </w:rPr>
                  </w:pPr>
                </w:p>
              </w:tc>
              <w:tc>
                <w:tcPr>
                  <w:tcW w:w="604" w:type="pct"/>
                  <w:vMerge w:val="continue"/>
                  <w:tcBorders>
                    <w:tl2br w:val="nil"/>
                    <w:tr2bl w:val="nil"/>
                  </w:tcBorders>
                  <w:vAlign w:val="center"/>
                </w:tcPr>
                <w:p w14:paraId="625CEF95">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color w:val="auto"/>
                      <w:sz w:val="21"/>
                      <w:szCs w:val="21"/>
                      <w:highlight w:val="none"/>
                      <w:lang w:eastAsia="zh-CN"/>
                    </w:rPr>
                  </w:pPr>
                </w:p>
              </w:tc>
            </w:tr>
            <w:tr w14:paraId="0BCD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tcBorders>
                    <w:tl2br w:val="nil"/>
                    <w:tr2bl w:val="nil"/>
                  </w:tcBorders>
                  <w:vAlign w:val="center"/>
                </w:tcPr>
                <w:p w14:paraId="76BFA5B3">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2026-01-15</w:t>
                  </w:r>
                </w:p>
              </w:tc>
              <w:tc>
                <w:tcPr>
                  <w:tcW w:w="833" w:type="pct"/>
                  <w:tcBorders>
                    <w:tl2br w:val="nil"/>
                    <w:tr2bl w:val="nil"/>
                  </w:tcBorders>
                  <w:shd w:val="clear" w:color="auto" w:fill="auto"/>
                  <w:vAlign w:val="center"/>
                </w:tcPr>
                <w:p w14:paraId="55D733D5">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ascii="Times New Roman" w:hAnsi="Times New Roman" w:eastAsia="宋体" w:cs="Times New Roman"/>
                      <w:i w:val="0"/>
                      <w:iCs w:val="0"/>
                      <w:color w:val="auto"/>
                      <w:kern w:val="0"/>
                      <w:sz w:val="21"/>
                      <w:szCs w:val="21"/>
                      <w:highlight w:val="none"/>
                      <w:u w:val="none"/>
                      <w:lang w:val="en-US" w:eastAsia="zh-CN" w:bidi="ar"/>
                    </w:rPr>
                    <w:t>值</w:t>
                  </w:r>
                </w:p>
              </w:tc>
              <w:tc>
                <w:tcPr>
                  <w:tcW w:w="1152" w:type="pct"/>
                  <w:tcBorders>
                    <w:tl2br w:val="nil"/>
                    <w:tr2bl w:val="nil"/>
                  </w:tcBorders>
                  <w:vAlign w:val="center"/>
                </w:tcPr>
                <w:p w14:paraId="13AD1D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7.5</w:t>
                  </w:r>
                </w:p>
              </w:tc>
              <w:tc>
                <w:tcPr>
                  <w:tcW w:w="1157" w:type="pct"/>
                  <w:tcBorders>
                    <w:tl2br w:val="nil"/>
                    <w:tr2bl w:val="nil"/>
                  </w:tcBorders>
                  <w:vAlign w:val="center"/>
                </w:tcPr>
                <w:p w14:paraId="1B6B58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7.2</w:t>
                  </w:r>
                </w:p>
              </w:tc>
              <w:tc>
                <w:tcPr>
                  <w:tcW w:w="603" w:type="pct"/>
                  <w:tcBorders>
                    <w:tl2br w:val="nil"/>
                    <w:tr2bl w:val="nil"/>
                  </w:tcBorders>
                  <w:vAlign w:val="center"/>
                </w:tcPr>
                <w:p w14:paraId="742BC6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6~9</w:t>
                  </w:r>
                </w:p>
              </w:tc>
              <w:tc>
                <w:tcPr>
                  <w:tcW w:w="604" w:type="pct"/>
                  <w:tcBorders>
                    <w:tl2br w:val="nil"/>
                    <w:tr2bl w:val="nil"/>
                  </w:tcBorders>
                  <w:vAlign w:val="center"/>
                </w:tcPr>
                <w:p w14:paraId="245B1B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无量纲</w:t>
                  </w:r>
                </w:p>
              </w:tc>
            </w:tr>
            <w:tr w14:paraId="75B0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6CD61177">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06999ECA">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p>
                <w:p w14:paraId="0BD18FC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宋体" w:hAnsi="宋体" w:eastAsia="宋体" w:cs="宋体"/>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（SS）</w:t>
                  </w:r>
                </w:p>
              </w:tc>
              <w:tc>
                <w:tcPr>
                  <w:tcW w:w="1152" w:type="pct"/>
                  <w:tcBorders>
                    <w:tl2br w:val="nil"/>
                    <w:tr2bl w:val="nil"/>
                  </w:tcBorders>
                  <w:vAlign w:val="center"/>
                </w:tcPr>
                <w:p w14:paraId="4E7759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5</w:t>
                  </w:r>
                </w:p>
              </w:tc>
              <w:tc>
                <w:tcPr>
                  <w:tcW w:w="1157" w:type="pct"/>
                  <w:tcBorders>
                    <w:tl2br w:val="nil"/>
                    <w:tr2bl w:val="nil"/>
                  </w:tcBorders>
                  <w:vAlign w:val="center"/>
                </w:tcPr>
                <w:p w14:paraId="2CBC55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w:t>
                  </w:r>
                </w:p>
              </w:tc>
              <w:tc>
                <w:tcPr>
                  <w:tcW w:w="603" w:type="pct"/>
                  <w:tcBorders>
                    <w:tl2br w:val="nil"/>
                    <w:tr2bl w:val="nil"/>
                  </w:tcBorders>
                  <w:vAlign w:val="center"/>
                </w:tcPr>
                <w:p w14:paraId="1EE611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604" w:type="pct"/>
                  <w:tcBorders>
                    <w:tl2br w:val="nil"/>
                    <w:tr2bl w:val="nil"/>
                  </w:tcBorders>
                  <w:vAlign w:val="center"/>
                </w:tcPr>
                <w:p w14:paraId="0C5510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default" w:ascii="Times New Roman" w:hAnsi="Times New Roman" w:eastAsia="宋体"/>
                      <w:color w:val="auto"/>
                      <w:sz w:val="21"/>
                      <w:szCs w:val="21"/>
                      <w:highlight w:val="none"/>
                      <w:lang w:eastAsia="zh-CN"/>
                    </w:rPr>
                    <w:t>mg/L</w:t>
                  </w:r>
                </w:p>
              </w:tc>
            </w:tr>
            <w:tr w14:paraId="146A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4AC61CB1">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52B0A9F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化学需氧量（CODcr）</w:t>
                  </w:r>
                </w:p>
              </w:tc>
              <w:tc>
                <w:tcPr>
                  <w:tcW w:w="1152" w:type="pct"/>
                  <w:tcBorders>
                    <w:tl2br w:val="nil"/>
                    <w:tr2bl w:val="nil"/>
                  </w:tcBorders>
                  <w:vAlign w:val="center"/>
                </w:tcPr>
                <w:p w14:paraId="2C14B6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12</w:t>
                  </w:r>
                </w:p>
              </w:tc>
              <w:tc>
                <w:tcPr>
                  <w:tcW w:w="1157" w:type="pct"/>
                  <w:tcBorders>
                    <w:tl2br w:val="nil"/>
                    <w:tr2bl w:val="nil"/>
                  </w:tcBorders>
                  <w:vAlign w:val="center"/>
                </w:tcPr>
                <w:p w14:paraId="2B5534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16</w:t>
                  </w:r>
                </w:p>
              </w:tc>
              <w:tc>
                <w:tcPr>
                  <w:tcW w:w="603" w:type="pct"/>
                  <w:tcBorders>
                    <w:tl2br w:val="nil"/>
                    <w:tr2bl w:val="nil"/>
                  </w:tcBorders>
                  <w:vAlign w:val="center"/>
                </w:tcPr>
                <w:p w14:paraId="020162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w:t>
                  </w:r>
                </w:p>
              </w:tc>
              <w:tc>
                <w:tcPr>
                  <w:tcW w:w="604" w:type="pct"/>
                  <w:tcBorders>
                    <w:tl2br w:val="nil"/>
                    <w:tr2bl w:val="nil"/>
                  </w:tcBorders>
                  <w:vAlign w:val="center"/>
                </w:tcPr>
                <w:p w14:paraId="7FB712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1A27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shd w:val="clear" w:color="auto" w:fill="auto"/>
                  <w:vAlign w:val="center"/>
                </w:tcPr>
                <w:p w14:paraId="47AF5DCC">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p>
              </w:tc>
              <w:tc>
                <w:tcPr>
                  <w:tcW w:w="833" w:type="pct"/>
                  <w:tcBorders>
                    <w:tl2br w:val="nil"/>
                    <w:tr2bl w:val="nil"/>
                  </w:tcBorders>
                  <w:shd w:val="clear" w:color="auto" w:fill="auto"/>
                  <w:vAlign w:val="center"/>
                </w:tcPr>
                <w:p w14:paraId="3BD4AC91">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氨氮</w:t>
                  </w:r>
                </w:p>
                <w:p w14:paraId="18D77433">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（NH</w:t>
                  </w:r>
                  <w:r>
                    <w:rPr>
                      <w:rFonts w:hint="eastAsia" w:ascii="Times New Roman" w:hAnsi="Times New Roman" w:eastAsia="宋体"/>
                      <w:color w:val="auto"/>
                      <w:sz w:val="21"/>
                      <w:szCs w:val="21"/>
                      <w:highlight w:val="none"/>
                      <w:vertAlign w:val="subscript"/>
                      <w:lang w:eastAsia="zh-CN"/>
                    </w:rPr>
                    <w:t>3</w:t>
                  </w:r>
                  <w:r>
                    <w:rPr>
                      <w:rFonts w:hint="eastAsia" w:ascii="Times New Roman" w:hAnsi="Times New Roman" w:eastAsia="宋体"/>
                      <w:color w:val="auto"/>
                      <w:sz w:val="21"/>
                      <w:szCs w:val="21"/>
                      <w:highlight w:val="none"/>
                      <w:lang w:eastAsia="zh-CN"/>
                    </w:rPr>
                    <w:t>-N）</w:t>
                  </w:r>
                </w:p>
              </w:tc>
              <w:tc>
                <w:tcPr>
                  <w:tcW w:w="1152" w:type="pct"/>
                  <w:tcBorders>
                    <w:tl2br w:val="nil"/>
                    <w:tr2bl w:val="nil"/>
                  </w:tcBorders>
                  <w:vAlign w:val="center"/>
                </w:tcPr>
                <w:p w14:paraId="4101DA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0.061</w:t>
                  </w:r>
                </w:p>
              </w:tc>
              <w:tc>
                <w:tcPr>
                  <w:tcW w:w="1157" w:type="pct"/>
                  <w:tcBorders>
                    <w:tl2br w:val="nil"/>
                    <w:tr2bl w:val="nil"/>
                  </w:tcBorders>
                  <w:vAlign w:val="center"/>
                </w:tcPr>
                <w:p w14:paraId="3A17F5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0.470</w:t>
                  </w:r>
                </w:p>
              </w:tc>
              <w:tc>
                <w:tcPr>
                  <w:tcW w:w="603" w:type="pct"/>
                  <w:tcBorders>
                    <w:tl2br w:val="nil"/>
                    <w:tr2bl w:val="nil"/>
                  </w:tcBorders>
                  <w:vAlign w:val="center"/>
                </w:tcPr>
                <w:p w14:paraId="459C59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04" w:type="pct"/>
                  <w:tcBorders>
                    <w:tl2br w:val="nil"/>
                    <w:tr2bl w:val="nil"/>
                  </w:tcBorders>
                  <w:vAlign w:val="center"/>
                </w:tcPr>
                <w:p w14:paraId="443DED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668F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5D9169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2787A66C">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五日生化</w:t>
                  </w:r>
                </w:p>
                <w:p w14:paraId="1B788081">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需氧量（BOD</w:t>
                  </w:r>
                  <w:r>
                    <w:rPr>
                      <w:rFonts w:hint="default" w:ascii="Times New Roman" w:hAnsi="Times New Roman" w:eastAsia="宋体" w:cs="Times New Roman"/>
                      <w:color w:val="auto"/>
                      <w:sz w:val="21"/>
                      <w:szCs w:val="21"/>
                      <w:highlight w:val="none"/>
                      <w:vertAlign w:val="subscript"/>
                      <w:lang w:eastAsia="zh-CN"/>
                    </w:rPr>
                    <w:t>5</w:t>
                  </w:r>
                  <w:r>
                    <w:rPr>
                      <w:rFonts w:hint="default" w:ascii="Times New Roman" w:hAnsi="Times New Roman" w:eastAsia="宋体" w:cs="Times New Roman"/>
                      <w:color w:val="auto"/>
                      <w:sz w:val="21"/>
                      <w:szCs w:val="21"/>
                      <w:highlight w:val="none"/>
                      <w:lang w:eastAsia="zh-CN"/>
                    </w:rPr>
                    <w:t>）</w:t>
                  </w:r>
                </w:p>
              </w:tc>
              <w:tc>
                <w:tcPr>
                  <w:tcW w:w="1152" w:type="pct"/>
                  <w:tcBorders>
                    <w:tl2br w:val="nil"/>
                    <w:tr2bl w:val="nil"/>
                  </w:tcBorders>
                  <w:shd w:val="clear" w:color="auto" w:fill="auto"/>
                  <w:vAlign w:val="center"/>
                </w:tcPr>
                <w:p w14:paraId="274976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3.3</w:t>
                  </w:r>
                </w:p>
              </w:tc>
              <w:tc>
                <w:tcPr>
                  <w:tcW w:w="1157" w:type="pct"/>
                  <w:tcBorders>
                    <w:tl2br w:val="nil"/>
                    <w:tr2bl w:val="nil"/>
                  </w:tcBorders>
                  <w:shd w:val="clear" w:color="auto" w:fill="auto"/>
                  <w:vAlign w:val="center"/>
                </w:tcPr>
                <w:p w14:paraId="728C39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3.7</w:t>
                  </w:r>
                </w:p>
              </w:tc>
              <w:tc>
                <w:tcPr>
                  <w:tcW w:w="603" w:type="pct"/>
                  <w:tcBorders>
                    <w:tl2br w:val="nil"/>
                    <w:tr2bl w:val="nil"/>
                  </w:tcBorders>
                  <w:vAlign w:val="center"/>
                </w:tcPr>
                <w:p w14:paraId="1C59B1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w:t>
                  </w:r>
                </w:p>
              </w:tc>
              <w:tc>
                <w:tcPr>
                  <w:tcW w:w="604" w:type="pct"/>
                  <w:tcBorders>
                    <w:tl2br w:val="nil"/>
                    <w:tr2bl w:val="nil"/>
                  </w:tcBorders>
                  <w:vAlign w:val="center"/>
                </w:tcPr>
                <w:p w14:paraId="47D0CF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0CD7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2FE980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665E2019">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color w:val="auto"/>
                      <w:sz w:val="21"/>
                      <w:szCs w:val="21"/>
                      <w:highlight w:val="none"/>
                      <w:lang w:val="en-US" w:eastAsia="zh-CN"/>
                    </w:rPr>
                    <w:t>石油类</w:t>
                  </w:r>
                </w:p>
              </w:tc>
              <w:tc>
                <w:tcPr>
                  <w:tcW w:w="1152" w:type="pct"/>
                  <w:tcBorders>
                    <w:tl2br w:val="nil"/>
                    <w:tr2bl w:val="nil"/>
                  </w:tcBorders>
                  <w:shd w:val="clear" w:color="auto" w:fill="auto"/>
                  <w:vAlign w:val="center"/>
                </w:tcPr>
                <w:p w14:paraId="2C34D1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0.03</w:t>
                  </w:r>
                </w:p>
              </w:tc>
              <w:tc>
                <w:tcPr>
                  <w:tcW w:w="1157" w:type="pct"/>
                  <w:tcBorders>
                    <w:tl2br w:val="nil"/>
                    <w:tr2bl w:val="nil"/>
                  </w:tcBorders>
                  <w:shd w:val="clear" w:color="auto" w:fill="auto"/>
                  <w:vAlign w:val="center"/>
                </w:tcPr>
                <w:p w14:paraId="593006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0.03</w:t>
                  </w:r>
                </w:p>
              </w:tc>
              <w:tc>
                <w:tcPr>
                  <w:tcW w:w="603" w:type="pct"/>
                  <w:tcBorders>
                    <w:tl2br w:val="nil"/>
                    <w:tr2bl w:val="nil"/>
                  </w:tcBorders>
                  <w:vAlign w:val="center"/>
                </w:tcPr>
                <w:p w14:paraId="7220FC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0.05</w:t>
                  </w:r>
                </w:p>
              </w:tc>
              <w:tc>
                <w:tcPr>
                  <w:tcW w:w="604" w:type="pct"/>
                  <w:tcBorders>
                    <w:tl2br w:val="nil"/>
                    <w:tr2bl w:val="nil"/>
                  </w:tcBorders>
                  <w:vAlign w:val="center"/>
                </w:tcPr>
                <w:p w14:paraId="3EA4FE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0B29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tcBorders>
                    <w:tl2br w:val="nil"/>
                    <w:tr2bl w:val="nil"/>
                  </w:tcBorders>
                  <w:vAlign w:val="center"/>
                </w:tcPr>
                <w:p w14:paraId="3D5520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2026-01-16</w:t>
                  </w:r>
                </w:p>
              </w:tc>
              <w:tc>
                <w:tcPr>
                  <w:tcW w:w="833" w:type="pct"/>
                  <w:tcBorders>
                    <w:tl2br w:val="nil"/>
                    <w:tr2bl w:val="nil"/>
                  </w:tcBorders>
                  <w:shd w:val="clear" w:color="auto" w:fill="auto"/>
                  <w:vAlign w:val="center"/>
                </w:tcPr>
                <w:p w14:paraId="590A4890">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ascii="Times New Roman" w:hAnsi="Times New Roman" w:eastAsia="宋体" w:cs="Times New Roman"/>
                      <w:i w:val="0"/>
                      <w:iCs w:val="0"/>
                      <w:color w:val="auto"/>
                      <w:kern w:val="0"/>
                      <w:sz w:val="21"/>
                      <w:szCs w:val="21"/>
                      <w:highlight w:val="none"/>
                      <w:u w:val="none"/>
                      <w:lang w:val="en-US" w:eastAsia="zh-CN" w:bidi="ar"/>
                    </w:rPr>
                    <w:t>值</w:t>
                  </w:r>
                </w:p>
              </w:tc>
              <w:tc>
                <w:tcPr>
                  <w:tcW w:w="1152" w:type="pct"/>
                  <w:tcBorders>
                    <w:tl2br w:val="nil"/>
                    <w:tr2bl w:val="nil"/>
                  </w:tcBorders>
                  <w:shd w:val="clear" w:color="auto" w:fill="auto"/>
                  <w:vAlign w:val="center"/>
                </w:tcPr>
                <w:p w14:paraId="68D942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7.4</w:t>
                  </w:r>
                </w:p>
              </w:tc>
              <w:tc>
                <w:tcPr>
                  <w:tcW w:w="1157" w:type="pct"/>
                  <w:tcBorders>
                    <w:tl2br w:val="nil"/>
                    <w:tr2bl w:val="nil"/>
                  </w:tcBorders>
                  <w:shd w:val="clear" w:color="auto" w:fill="auto"/>
                  <w:vAlign w:val="center"/>
                </w:tcPr>
                <w:p w14:paraId="6986B7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7.2</w:t>
                  </w:r>
                </w:p>
              </w:tc>
              <w:tc>
                <w:tcPr>
                  <w:tcW w:w="603" w:type="pct"/>
                  <w:tcBorders>
                    <w:tl2br w:val="nil"/>
                    <w:tr2bl w:val="nil"/>
                  </w:tcBorders>
                  <w:shd w:val="clear" w:color="auto" w:fill="auto"/>
                  <w:vAlign w:val="center"/>
                </w:tcPr>
                <w:p w14:paraId="2B29CB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6~9</w:t>
                  </w:r>
                </w:p>
              </w:tc>
              <w:tc>
                <w:tcPr>
                  <w:tcW w:w="604" w:type="pct"/>
                  <w:tcBorders>
                    <w:tl2br w:val="nil"/>
                    <w:tr2bl w:val="nil"/>
                  </w:tcBorders>
                  <w:shd w:val="clear" w:color="auto" w:fill="auto"/>
                  <w:vAlign w:val="center"/>
                </w:tcPr>
                <w:p w14:paraId="7C1AF1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无量纲</w:t>
                  </w:r>
                </w:p>
              </w:tc>
            </w:tr>
            <w:tr w14:paraId="2C9E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36FC5A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14A18DE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p>
                <w:p w14:paraId="7ECDA17E">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宋体" w:hAnsi="宋体" w:eastAsia="宋体" w:cs="宋体"/>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（SS）</w:t>
                  </w:r>
                </w:p>
              </w:tc>
              <w:tc>
                <w:tcPr>
                  <w:tcW w:w="1152" w:type="pct"/>
                  <w:tcBorders>
                    <w:tl2br w:val="nil"/>
                    <w:tr2bl w:val="nil"/>
                  </w:tcBorders>
                  <w:shd w:val="clear" w:color="auto" w:fill="auto"/>
                  <w:vAlign w:val="center"/>
                </w:tcPr>
                <w:p w14:paraId="71AE83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w:t>
                  </w:r>
                </w:p>
              </w:tc>
              <w:tc>
                <w:tcPr>
                  <w:tcW w:w="1157" w:type="pct"/>
                  <w:tcBorders>
                    <w:tl2br w:val="nil"/>
                    <w:tr2bl w:val="nil"/>
                  </w:tcBorders>
                  <w:shd w:val="clear" w:color="auto" w:fill="auto"/>
                  <w:vAlign w:val="center"/>
                </w:tcPr>
                <w:p w14:paraId="4093BF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6</w:t>
                  </w:r>
                </w:p>
              </w:tc>
              <w:tc>
                <w:tcPr>
                  <w:tcW w:w="603" w:type="pct"/>
                  <w:tcBorders>
                    <w:tl2br w:val="nil"/>
                    <w:tr2bl w:val="nil"/>
                  </w:tcBorders>
                  <w:shd w:val="clear" w:color="auto" w:fill="auto"/>
                  <w:vAlign w:val="center"/>
                </w:tcPr>
                <w:p w14:paraId="2D1D7B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604" w:type="pct"/>
                  <w:tcBorders>
                    <w:tl2br w:val="nil"/>
                    <w:tr2bl w:val="nil"/>
                  </w:tcBorders>
                  <w:shd w:val="clear" w:color="auto" w:fill="auto"/>
                  <w:vAlign w:val="center"/>
                </w:tcPr>
                <w:p w14:paraId="4D3410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olor w:val="auto"/>
                      <w:sz w:val="21"/>
                      <w:szCs w:val="21"/>
                      <w:highlight w:val="none"/>
                      <w:lang w:eastAsia="zh-CN"/>
                    </w:rPr>
                    <w:t>mg/L</w:t>
                  </w:r>
                </w:p>
              </w:tc>
            </w:tr>
            <w:tr w14:paraId="70FB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19AADB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7E52AD6A">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化学需氧量（CODcr）</w:t>
                  </w:r>
                </w:p>
              </w:tc>
              <w:tc>
                <w:tcPr>
                  <w:tcW w:w="1152" w:type="pct"/>
                  <w:tcBorders>
                    <w:tl2br w:val="nil"/>
                    <w:tr2bl w:val="nil"/>
                  </w:tcBorders>
                  <w:shd w:val="clear" w:color="auto" w:fill="auto"/>
                  <w:vAlign w:val="center"/>
                </w:tcPr>
                <w:p w14:paraId="7AE9C2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9</w:t>
                  </w:r>
                </w:p>
              </w:tc>
              <w:tc>
                <w:tcPr>
                  <w:tcW w:w="1157" w:type="pct"/>
                  <w:tcBorders>
                    <w:tl2br w:val="nil"/>
                    <w:tr2bl w:val="nil"/>
                  </w:tcBorders>
                  <w:shd w:val="clear" w:color="auto" w:fill="auto"/>
                  <w:vAlign w:val="center"/>
                </w:tcPr>
                <w:p w14:paraId="0A4D53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17</w:t>
                  </w:r>
                </w:p>
              </w:tc>
              <w:tc>
                <w:tcPr>
                  <w:tcW w:w="603" w:type="pct"/>
                  <w:tcBorders>
                    <w:tl2br w:val="nil"/>
                    <w:tr2bl w:val="nil"/>
                  </w:tcBorders>
                  <w:shd w:val="clear" w:color="auto" w:fill="auto"/>
                  <w:vAlign w:val="center"/>
                </w:tcPr>
                <w:p w14:paraId="2C4FA4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w:t>
                  </w:r>
                </w:p>
              </w:tc>
              <w:tc>
                <w:tcPr>
                  <w:tcW w:w="604" w:type="pct"/>
                  <w:tcBorders>
                    <w:tl2br w:val="nil"/>
                    <w:tr2bl w:val="nil"/>
                  </w:tcBorders>
                  <w:shd w:val="clear" w:color="auto" w:fill="auto"/>
                  <w:vAlign w:val="center"/>
                </w:tcPr>
                <w:p w14:paraId="7F6C2D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6BA3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56B308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158C32B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氨氮</w:t>
                  </w:r>
                </w:p>
                <w:p w14:paraId="3FFE81E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（NH</w:t>
                  </w:r>
                  <w:r>
                    <w:rPr>
                      <w:rFonts w:hint="eastAsia" w:ascii="Times New Roman" w:hAnsi="Times New Roman" w:eastAsia="宋体"/>
                      <w:color w:val="auto"/>
                      <w:sz w:val="21"/>
                      <w:szCs w:val="21"/>
                      <w:highlight w:val="none"/>
                      <w:vertAlign w:val="subscript"/>
                      <w:lang w:eastAsia="zh-CN"/>
                    </w:rPr>
                    <w:t>3</w:t>
                  </w:r>
                  <w:r>
                    <w:rPr>
                      <w:rFonts w:hint="eastAsia" w:ascii="Times New Roman" w:hAnsi="Times New Roman" w:eastAsia="宋体"/>
                      <w:color w:val="auto"/>
                      <w:sz w:val="21"/>
                      <w:szCs w:val="21"/>
                      <w:highlight w:val="none"/>
                      <w:lang w:eastAsia="zh-CN"/>
                    </w:rPr>
                    <w:t>-N）</w:t>
                  </w:r>
                </w:p>
              </w:tc>
              <w:tc>
                <w:tcPr>
                  <w:tcW w:w="1152" w:type="pct"/>
                  <w:tcBorders>
                    <w:tl2br w:val="nil"/>
                    <w:tr2bl w:val="nil"/>
                  </w:tcBorders>
                  <w:shd w:val="clear" w:color="auto" w:fill="auto"/>
                  <w:vAlign w:val="center"/>
                </w:tcPr>
                <w:p w14:paraId="1FE1B4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0.067</w:t>
                  </w:r>
                </w:p>
              </w:tc>
              <w:tc>
                <w:tcPr>
                  <w:tcW w:w="1157" w:type="pct"/>
                  <w:tcBorders>
                    <w:tl2br w:val="nil"/>
                    <w:tr2bl w:val="nil"/>
                  </w:tcBorders>
                  <w:shd w:val="clear" w:color="auto" w:fill="auto"/>
                  <w:vAlign w:val="center"/>
                </w:tcPr>
                <w:p w14:paraId="0FB2A8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0.454</w:t>
                  </w:r>
                </w:p>
              </w:tc>
              <w:tc>
                <w:tcPr>
                  <w:tcW w:w="603" w:type="pct"/>
                  <w:tcBorders>
                    <w:tl2br w:val="nil"/>
                    <w:tr2bl w:val="nil"/>
                  </w:tcBorders>
                  <w:shd w:val="clear" w:color="auto" w:fill="auto"/>
                  <w:vAlign w:val="center"/>
                </w:tcPr>
                <w:p w14:paraId="4ADB82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04" w:type="pct"/>
                  <w:tcBorders>
                    <w:tl2br w:val="nil"/>
                    <w:tr2bl w:val="nil"/>
                  </w:tcBorders>
                  <w:shd w:val="clear" w:color="auto" w:fill="auto"/>
                  <w:vAlign w:val="center"/>
                </w:tcPr>
                <w:p w14:paraId="794F36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365B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0F2EEB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37FCF57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五日生化</w:t>
                  </w:r>
                </w:p>
                <w:p w14:paraId="533EA09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需氧量（BOD</w:t>
                  </w:r>
                  <w:r>
                    <w:rPr>
                      <w:rFonts w:hint="default" w:ascii="Times New Roman" w:hAnsi="Times New Roman" w:eastAsia="宋体" w:cs="Times New Roman"/>
                      <w:color w:val="auto"/>
                      <w:sz w:val="21"/>
                      <w:szCs w:val="21"/>
                      <w:highlight w:val="none"/>
                      <w:vertAlign w:val="subscript"/>
                      <w:lang w:eastAsia="zh-CN"/>
                    </w:rPr>
                    <w:t>5</w:t>
                  </w:r>
                  <w:r>
                    <w:rPr>
                      <w:rFonts w:hint="default" w:ascii="Times New Roman" w:hAnsi="Times New Roman" w:eastAsia="宋体" w:cs="Times New Roman"/>
                      <w:color w:val="auto"/>
                      <w:sz w:val="21"/>
                      <w:szCs w:val="21"/>
                      <w:highlight w:val="none"/>
                      <w:lang w:eastAsia="zh-CN"/>
                    </w:rPr>
                    <w:t>）</w:t>
                  </w:r>
                </w:p>
              </w:tc>
              <w:tc>
                <w:tcPr>
                  <w:tcW w:w="1152" w:type="pct"/>
                  <w:tcBorders>
                    <w:tl2br w:val="nil"/>
                    <w:tr2bl w:val="nil"/>
                  </w:tcBorders>
                  <w:shd w:val="clear" w:color="auto" w:fill="auto"/>
                  <w:vAlign w:val="center"/>
                </w:tcPr>
                <w:p w14:paraId="083316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3.1</w:t>
                  </w:r>
                </w:p>
              </w:tc>
              <w:tc>
                <w:tcPr>
                  <w:tcW w:w="1157" w:type="pct"/>
                  <w:tcBorders>
                    <w:tl2br w:val="nil"/>
                    <w:tr2bl w:val="nil"/>
                  </w:tcBorders>
                  <w:shd w:val="clear" w:color="auto" w:fill="auto"/>
                  <w:vAlign w:val="center"/>
                </w:tcPr>
                <w:p w14:paraId="79E5DE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3.7</w:t>
                  </w:r>
                </w:p>
              </w:tc>
              <w:tc>
                <w:tcPr>
                  <w:tcW w:w="603" w:type="pct"/>
                  <w:tcBorders>
                    <w:tl2br w:val="nil"/>
                    <w:tr2bl w:val="nil"/>
                  </w:tcBorders>
                  <w:shd w:val="clear" w:color="auto" w:fill="auto"/>
                  <w:vAlign w:val="center"/>
                </w:tcPr>
                <w:p w14:paraId="02B8A3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w:t>
                  </w:r>
                </w:p>
              </w:tc>
              <w:tc>
                <w:tcPr>
                  <w:tcW w:w="604" w:type="pct"/>
                  <w:tcBorders>
                    <w:tl2br w:val="nil"/>
                    <w:tr2bl w:val="nil"/>
                  </w:tcBorders>
                  <w:shd w:val="clear" w:color="auto" w:fill="auto"/>
                  <w:vAlign w:val="center"/>
                </w:tcPr>
                <w:p w14:paraId="0738D8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54E3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65AE8D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567A74B0">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color w:val="auto"/>
                      <w:sz w:val="21"/>
                      <w:szCs w:val="21"/>
                      <w:highlight w:val="none"/>
                      <w:lang w:val="en-US" w:eastAsia="zh-CN"/>
                    </w:rPr>
                    <w:t>石油类</w:t>
                  </w:r>
                </w:p>
              </w:tc>
              <w:tc>
                <w:tcPr>
                  <w:tcW w:w="1152" w:type="pct"/>
                  <w:tcBorders>
                    <w:tl2br w:val="nil"/>
                    <w:tr2bl w:val="nil"/>
                  </w:tcBorders>
                  <w:shd w:val="clear" w:color="auto" w:fill="auto"/>
                  <w:vAlign w:val="center"/>
                </w:tcPr>
                <w:p w14:paraId="0F0C3C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0.03</w:t>
                  </w:r>
                </w:p>
              </w:tc>
              <w:tc>
                <w:tcPr>
                  <w:tcW w:w="1157" w:type="pct"/>
                  <w:tcBorders>
                    <w:tl2br w:val="nil"/>
                    <w:tr2bl w:val="nil"/>
                  </w:tcBorders>
                  <w:shd w:val="clear" w:color="auto" w:fill="auto"/>
                  <w:vAlign w:val="center"/>
                </w:tcPr>
                <w:p w14:paraId="7BD3F6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0.04</w:t>
                  </w:r>
                </w:p>
              </w:tc>
              <w:tc>
                <w:tcPr>
                  <w:tcW w:w="603" w:type="pct"/>
                  <w:tcBorders>
                    <w:tl2br w:val="nil"/>
                    <w:tr2bl w:val="nil"/>
                  </w:tcBorders>
                  <w:shd w:val="clear" w:color="auto" w:fill="auto"/>
                  <w:vAlign w:val="center"/>
                </w:tcPr>
                <w:p w14:paraId="0525D5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0.05</w:t>
                  </w:r>
                </w:p>
              </w:tc>
              <w:tc>
                <w:tcPr>
                  <w:tcW w:w="604" w:type="pct"/>
                  <w:tcBorders>
                    <w:tl2br w:val="nil"/>
                    <w:tr2bl w:val="nil"/>
                  </w:tcBorders>
                  <w:shd w:val="clear" w:color="auto" w:fill="auto"/>
                  <w:vAlign w:val="center"/>
                </w:tcPr>
                <w:p w14:paraId="1EDEE8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6F03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tcBorders>
                    <w:tl2br w:val="nil"/>
                    <w:tr2bl w:val="nil"/>
                  </w:tcBorders>
                  <w:vAlign w:val="center"/>
                </w:tcPr>
                <w:p w14:paraId="2EF0F0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2026-01-17</w:t>
                  </w:r>
                </w:p>
              </w:tc>
              <w:tc>
                <w:tcPr>
                  <w:tcW w:w="833" w:type="pct"/>
                  <w:tcBorders>
                    <w:tl2br w:val="nil"/>
                    <w:tr2bl w:val="nil"/>
                  </w:tcBorders>
                  <w:shd w:val="clear" w:color="auto" w:fill="auto"/>
                  <w:vAlign w:val="center"/>
                </w:tcPr>
                <w:p w14:paraId="76BBE6D6">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ascii="Times New Roman" w:hAnsi="Times New Roman" w:eastAsia="宋体" w:cs="Times New Roman"/>
                      <w:i w:val="0"/>
                      <w:iCs w:val="0"/>
                      <w:color w:val="auto"/>
                      <w:kern w:val="0"/>
                      <w:sz w:val="21"/>
                      <w:szCs w:val="21"/>
                      <w:highlight w:val="none"/>
                      <w:u w:val="none"/>
                      <w:lang w:val="en-US" w:eastAsia="zh-CN" w:bidi="ar"/>
                    </w:rPr>
                    <w:t>值</w:t>
                  </w:r>
                </w:p>
              </w:tc>
              <w:tc>
                <w:tcPr>
                  <w:tcW w:w="1152" w:type="pct"/>
                  <w:tcBorders>
                    <w:tl2br w:val="nil"/>
                    <w:tr2bl w:val="nil"/>
                  </w:tcBorders>
                  <w:shd w:val="clear" w:color="auto" w:fill="auto"/>
                  <w:vAlign w:val="center"/>
                </w:tcPr>
                <w:p w14:paraId="5DA9A9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7.5</w:t>
                  </w:r>
                </w:p>
              </w:tc>
              <w:tc>
                <w:tcPr>
                  <w:tcW w:w="1157" w:type="pct"/>
                  <w:tcBorders>
                    <w:tl2br w:val="nil"/>
                    <w:tr2bl w:val="nil"/>
                  </w:tcBorders>
                  <w:shd w:val="clear" w:color="auto" w:fill="auto"/>
                  <w:vAlign w:val="center"/>
                </w:tcPr>
                <w:p w14:paraId="045910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7.1</w:t>
                  </w:r>
                </w:p>
              </w:tc>
              <w:tc>
                <w:tcPr>
                  <w:tcW w:w="603" w:type="pct"/>
                  <w:tcBorders>
                    <w:tl2br w:val="nil"/>
                    <w:tr2bl w:val="nil"/>
                  </w:tcBorders>
                  <w:shd w:val="clear" w:color="auto" w:fill="auto"/>
                  <w:vAlign w:val="center"/>
                </w:tcPr>
                <w:p w14:paraId="2116FA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6~9</w:t>
                  </w:r>
                </w:p>
              </w:tc>
              <w:tc>
                <w:tcPr>
                  <w:tcW w:w="604" w:type="pct"/>
                  <w:tcBorders>
                    <w:tl2br w:val="nil"/>
                    <w:tr2bl w:val="nil"/>
                  </w:tcBorders>
                  <w:shd w:val="clear" w:color="auto" w:fill="auto"/>
                  <w:vAlign w:val="center"/>
                </w:tcPr>
                <w:p w14:paraId="4130FE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无量纲</w:t>
                  </w:r>
                </w:p>
              </w:tc>
            </w:tr>
            <w:tr w14:paraId="7EFA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7B619F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5807F13F">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p>
                <w:p w14:paraId="0DEE7B36">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宋体" w:hAnsi="宋体" w:eastAsia="宋体" w:cs="宋体"/>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（SS）</w:t>
                  </w:r>
                </w:p>
              </w:tc>
              <w:tc>
                <w:tcPr>
                  <w:tcW w:w="1152" w:type="pct"/>
                  <w:tcBorders>
                    <w:tl2br w:val="nil"/>
                    <w:tr2bl w:val="nil"/>
                  </w:tcBorders>
                  <w:shd w:val="clear" w:color="auto" w:fill="auto"/>
                  <w:vAlign w:val="center"/>
                </w:tcPr>
                <w:p w14:paraId="66C284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w:t>
                  </w:r>
                </w:p>
              </w:tc>
              <w:tc>
                <w:tcPr>
                  <w:tcW w:w="1157" w:type="pct"/>
                  <w:tcBorders>
                    <w:tl2br w:val="nil"/>
                    <w:tr2bl w:val="nil"/>
                  </w:tcBorders>
                  <w:shd w:val="clear" w:color="auto" w:fill="auto"/>
                  <w:vAlign w:val="center"/>
                </w:tcPr>
                <w:p w14:paraId="05C4DF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w:t>
                  </w:r>
                </w:p>
              </w:tc>
              <w:tc>
                <w:tcPr>
                  <w:tcW w:w="603" w:type="pct"/>
                  <w:tcBorders>
                    <w:tl2br w:val="nil"/>
                    <w:tr2bl w:val="nil"/>
                  </w:tcBorders>
                  <w:shd w:val="clear" w:color="auto" w:fill="auto"/>
                  <w:vAlign w:val="center"/>
                </w:tcPr>
                <w:p w14:paraId="1889C2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604" w:type="pct"/>
                  <w:tcBorders>
                    <w:tl2br w:val="nil"/>
                    <w:tr2bl w:val="nil"/>
                  </w:tcBorders>
                  <w:shd w:val="clear" w:color="auto" w:fill="auto"/>
                  <w:vAlign w:val="center"/>
                </w:tcPr>
                <w:p w14:paraId="6BA645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olor w:val="auto"/>
                      <w:sz w:val="21"/>
                      <w:szCs w:val="21"/>
                      <w:highlight w:val="none"/>
                      <w:lang w:eastAsia="zh-CN"/>
                    </w:rPr>
                    <w:t>mg/L</w:t>
                  </w:r>
                </w:p>
              </w:tc>
            </w:tr>
            <w:tr w14:paraId="0CEB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2AE5E5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3D8063E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化学需氧量（CODcr）</w:t>
                  </w:r>
                </w:p>
              </w:tc>
              <w:tc>
                <w:tcPr>
                  <w:tcW w:w="1152" w:type="pct"/>
                  <w:tcBorders>
                    <w:tl2br w:val="nil"/>
                    <w:tr2bl w:val="nil"/>
                  </w:tcBorders>
                  <w:shd w:val="clear" w:color="auto" w:fill="auto"/>
                  <w:vAlign w:val="center"/>
                </w:tcPr>
                <w:p w14:paraId="0382FF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11</w:t>
                  </w:r>
                </w:p>
              </w:tc>
              <w:tc>
                <w:tcPr>
                  <w:tcW w:w="1157" w:type="pct"/>
                  <w:tcBorders>
                    <w:tl2br w:val="nil"/>
                    <w:tr2bl w:val="nil"/>
                  </w:tcBorders>
                  <w:shd w:val="clear" w:color="auto" w:fill="auto"/>
                  <w:vAlign w:val="center"/>
                </w:tcPr>
                <w:p w14:paraId="16AFDD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16</w:t>
                  </w:r>
                </w:p>
              </w:tc>
              <w:tc>
                <w:tcPr>
                  <w:tcW w:w="603" w:type="pct"/>
                  <w:tcBorders>
                    <w:tl2br w:val="nil"/>
                    <w:tr2bl w:val="nil"/>
                  </w:tcBorders>
                  <w:shd w:val="clear" w:color="auto" w:fill="auto"/>
                  <w:vAlign w:val="center"/>
                </w:tcPr>
                <w:p w14:paraId="503019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w:t>
                  </w:r>
                </w:p>
              </w:tc>
              <w:tc>
                <w:tcPr>
                  <w:tcW w:w="604" w:type="pct"/>
                  <w:tcBorders>
                    <w:tl2br w:val="nil"/>
                    <w:tr2bl w:val="nil"/>
                  </w:tcBorders>
                  <w:shd w:val="clear" w:color="auto" w:fill="auto"/>
                  <w:vAlign w:val="center"/>
                </w:tcPr>
                <w:p w14:paraId="255F2E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08A2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764B60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2E47CFF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氨氮</w:t>
                  </w:r>
                </w:p>
                <w:p w14:paraId="5AFE708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（NH</w:t>
                  </w:r>
                  <w:r>
                    <w:rPr>
                      <w:rFonts w:hint="eastAsia" w:ascii="Times New Roman" w:hAnsi="Times New Roman" w:eastAsia="宋体"/>
                      <w:color w:val="auto"/>
                      <w:sz w:val="21"/>
                      <w:szCs w:val="21"/>
                      <w:highlight w:val="none"/>
                      <w:vertAlign w:val="subscript"/>
                      <w:lang w:eastAsia="zh-CN"/>
                    </w:rPr>
                    <w:t>3</w:t>
                  </w:r>
                  <w:r>
                    <w:rPr>
                      <w:rFonts w:hint="eastAsia" w:ascii="Times New Roman" w:hAnsi="Times New Roman" w:eastAsia="宋体"/>
                      <w:color w:val="auto"/>
                      <w:sz w:val="21"/>
                      <w:szCs w:val="21"/>
                      <w:highlight w:val="none"/>
                      <w:lang w:eastAsia="zh-CN"/>
                    </w:rPr>
                    <w:t>-N）</w:t>
                  </w:r>
                </w:p>
              </w:tc>
              <w:tc>
                <w:tcPr>
                  <w:tcW w:w="1152" w:type="pct"/>
                  <w:tcBorders>
                    <w:tl2br w:val="nil"/>
                    <w:tr2bl w:val="nil"/>
                  </w:tcBorders>
                  <w:shd w:val="clear" w:color="auto" w:fill="auto"/>
                  <w:vAlign w:val="center"/>
                </w:tcPr>
                <w:p w14:paraId="29EBF0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0.051</w:t>
                  </w:r>
                </w:p>
              </w:tc>
              <w:tc>
                <w:tcPr>
                  <w:tcW w:w="1157" w:type="pct"/>
                  <w:tcBorders>
                    <w:tl2br w:val="nil"/>
                    <w:tr2bl w:val="nil"/>
                  </w:tcBorders>
                  <w:shd w:val="clear" w:color="auto" w:fill="auto"/>
                  <w:vAlign w:val="center"/>
                </w:tcPr>
                <w:p w14:paraId="5E08B9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0.484</w:t>
                  </w:r>
                </w:p>
              </w:tc>
              <w:tc>
                <w:tcPr>
                  <w:tcW w:w="603" w:type="pct"/>
                  <w:tcBorders>
                    <w:tl2br w:val="nil"/>
                    <w:tr2bl w:val="nil"/>
                  </w:tcBorders>
                  <w:shd w:val="clear" w:color="auto" w:fill="auto"/>
                  <w:vAlign w:val="center"/>
                </w:tcPr>
                <w:p w14:paraId="0C8D6E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04" w:type="pct"/>
                  <w:tcBorders>
                    <w:tl2br w:val="nil"/>
                    <w:tr2bl w:val="nil"/>
                  </w:tcBorders>
                  <w:shd w:val="clear" w:color="auto" w:fill="auto"/>
                  <w:vAlign w:val="center"/>
                </w:tcPr>
                <w:p w14:paraId="6F4FC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56BC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666410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44D137D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五日生化</w:t>
                  </w:r>
                </w:p>
                <w:p w14:paraId="450FFBDF">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需氧量（BOD</w:t>
                  </w:r>
                  <w:r>
                    <w:rPr>
                      <w:rFonts w:hint="default" w:ascii="Times New Roman" w:hAnsi="Times New Roman" w:eastAsia="宋体" w:cs="Times New Roman"/>
                      <w:color w:val="auto"/>
                      <w:sz w:val="21"/>
                      <w:szCs w:val="21"/>
                      <w:highlight w:val="none"/>
                      <w:vertAlign w:val="subscript"/>
                      <w:lang w:eastAsia="zh-CN"/>
                    </w:rPr>
                    <w:t>5</w:t>
                  </w:r>
                  <w:r>
                    <w:rPr>
                      <w:rFonts w:hint="default" w:ascii="Times New Roman" w:hAnsi="Times New Roman" w:eastAsia="宋体" w:cs="Times New Roman"/>
                      <w:color w:val="auto"/>
                      <w:sz w:val="21"/>
                      <w:szCs w:val="21"/>
                      <w:highlight w:val="none"/>
                      <w:lang w:eastAsia="zh-CN"/>
                    </w:rPr>
                    <w:t>）</w:t>
                  </w:r>
                </w:p>
              </w:tc>
              <w:tc>
                <w:tcPr>
                  <w:tcW w:w="1152" w:type="pct"/>
                  <w:tcBorders>
                    <w:tl2br w:val="nil"/>
                    <w:tr2bl w:val="nil"/>
                  </w:tcBorders>
                  <w:shd w:val="clear" w:color="auto" w:fill="auto"/>
                  <w:vAlign w:val="center"/>
                </w:tcPr>
                <w:p w14:paraId="52DD7D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3.1</w:t>
                  </w:r>
                </w:p>
              </w:tc>
              <w:tc>
                <w:tcPr>
                  <w:tcW w:w="1157" w:type="pct"/>
                  <w:tcBorders>
                    <w:tl2br w:val="nil"/>
                    <w:tr2bl w:val="nil"/>
                  </w:tcBorders>
                  <w:shd w:val="clear" w:color="auto" w:fill="auto"/>
                  <w:vAlign w:val="center"/>
                </w:tcPr>
                <w:p w14:paraId="0FC84F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3.3</w:t>
                  </w:r>
                </w:p>
              </w:tc>
              <w:tc>
                <w:tcPr>
                  <w:tcW w:w="603" w:type="pct"/>
                  <w:tcBorders>
                    <w:tl2br w:val="nil"/>
                    <w:tr2bl w:val="nil"/>
                  </w:tcBorders>
                  <w:shd w:val="clear" w:color="auto" w:fill="auto"/>
                  <w:vAlign w:val="center"/>
                </w:tcPr>
                <w:p w14:paraId="5BC679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w:t>
                  </w:r>
                </w:p>
              </w:tc>
              <w:tc>
                <w:tcPr>
                  <w:tcW w:w="604" w:type="pct"/>
                  <w:tcBorders>
                    <w:tl2br w:val="nil"/>
                    <w:tr2bl w:val="nil"/>
                  </w:tcBorders>
                  <w:shd w:val="clear" w:color="auto" w:fill="auto"/>
                  <w:vAlign w:val="center"/>
                </w:tcPr>
                <w:p w14:paraId="499149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5579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28D5C2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28C267FC">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color w:val="auto"/>
                      <w:sz w:val="21"/>
                      <w:szCs w:val="21"/>
                      <w:highlight w:val="none"/>
                      <w:lang w:val="en-US" w:eastAsia="zh-CN"/>
                    </w:rPr>
                    <w:t>石油类</w:t>
                  </w:r>
                </w:p>
              </w:tc>
              <w:tc>
                <w:tcPr>
                  <w:tcW w:w="1152" w:type="pct"/>
                  <w:tcBorders>
                    <w:tl2br w:val="nil"/>
                    <w:tr2bl w:val="nil"/>
                  </w:tcBorders>
                  <w:shd w:val="clear" w:color="auto" w:fill="auto"/>
                  <w:vAlign w:val="center"/>
                </w:tcPr>
                <w:p w14:paraId="407ABB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0.03</w:t>
                  </w:r>
                </w:p>
              </w:tc>
              <w:tc>
                <w:tcPr>
                  <w:tcW w:w="1157" w:type="pct"/>
                  <w:tcBorders>
                    <w:tl2br w:val="nil"/>
                    <w:tr2bl w:val="nil"/>
                  </w:tcBorders>
                  <w:shd w:val="clear" w:color="auto" w:fill="auto"/>
                  <w:vAlign w:val="center"/>
                </w:tcPr>
                <w:p w14:paraId="60D300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0.02</w:t>
                  </w:r>
                </w:p>
              </w:tc>
              <w:tc>
                <w:tcPr>
                  <w:tcW w:w="603" w:type="pct"/>
                  <w:tcBorders>
                    <w:tl2br w:val="nil"/>
                    <w:tr2bl w:val="nil"/>
                  </w:tcBorders>
                  <w:shd w:val="clear" w:color="auto" w:fill="auto"/>
                  <w:vAlign w:val="center"/>
                </w:tcPr>
                <w:p w14:paraId="01A053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0.05</w:t>
                  </w:r>
                </w:p>
              </w:tc>
              <w:tc>
                <w:tcPr>
                  <w:tcW w:w="604" w:type="pct"/>
                  <w:tcBorders>
                    <w:tl2br w:val="nil"/>
                    <w:tr2bl w:val="nil"/>
                  </w:tcBorders>
                  <w:shd w:val="clear" w:color="auto" w:fill="auto"/>
                  <w:vAlign w:val="center"/>
                </w:tcPr>
                <w:p w14:paraId="553991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7FAE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l2br w:val="nil"/>
                    <w:tr2bl w:val="nil"/>
                  </w:tcBorders>
                  <w:vAlign w:val="center"/>
                </w:tcPr>
                <w:p w14:paraId="6A671A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备注</w:t>
                  </w:r>
                </w:p>
              </w:tc>
              <w:tc>
                <w:tcPr>
                  <w:tcW w:w="4349" w:type="pct"/>
                  <w:gridSpan w:val="5"/>
                  <w:tcBorders>
                    <w:tl2br w:val="nil"/>
                    <w:tr2bl w:val="nil"/>
                  </w:tcBorders>
                  <w:shd w:val="clear" w:color="auto" w:fill="auto"/>
                  <w:vAlign w:val="center"/>
                </w:tcPr>
                <w:p w14:paraId="2A4FA59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left"/>
                    <w:textAlignment w:val="baseline"/>
                    <w:rPr>
                      <w:rFonts w:hint="default"/>
                      <w:color w:val="auto"/>
                      <w:highlight w:val="none"/>
                      <w:lang w:val="en-US" w:eastAsia="zh-CN"/>
                    </w:rPr>
                  </w:pPr>
                  <w:r>
                    <w:rPr>
                      <w:rFonts w:hint="eastAsia" w:ascii="Times New Roman" w:hAnsi="Times New Roman" w:eastAsia="宋体" w:cs="Times New Roman"/>
                      <w:color w:val="auto"/>
                      <w:highlight w:val="none"/>
                      <w:lang w:val="en-US" w:eastAsia="zh-CN"/>
                    </w:rPr>
                    <w:t>1.参考执行</w:t>
                  </w:r>
                  <w:r>
                    <w:rPr>
                      <w:rFonts w:hint="eastAsia" w:ascii="Times New Roman" w:hAnsi="Times New Roman" w:eastAsia="宋体" w:cs="Times New Roman"/>
                      <w:color w:val="auto"/>
                      <w:kern w:val="0"/>
                      <w:sz w:val="21"/>
                      <w:szCs w:val="21"/>
                      <w:highlight w:val="none"/>
                      <w:lang w:val="en-US" w:eastAsia="zh-CN"/>
                    </w:rPr>
                    <w:t>《地表水环境质量标准》GB 3838-2002表1中</w:t>
                  </w:r>
                  <w:r>
                    <w:rPr>
                      <w:rFonts w:hint="default" w:ascii="Times New Roman" w:hAnsi="Times New Roman" w:eastAsia="宋体" w:cs="Times New Roman"/>
                      <w:color w:val="auto"/>
                      <w:kern w:val="0"/>
                      <w:sz w:val="21"/>
                      <w:szCs w:val="21"/>
                      <w:highlight w:val="none"/>
                      <w:lang w:val="en-US" w:eastAsia="zh-CN"/>
                    </w:rPr>
                    <w:t>Ⅲ</w:t>
                  </w:r>
                  <w:r>
                    <w:rPr>
                      <w:rFonts w:hint="eastAsia" w:ascii="Times New Roman" w:hAnsi="Times New Roman" w:eastAsia="宋体" w:cs="Times New Roman"/>
                      <w:color w:val="auto"/>
                      <w:kern w:val="0"/>
                      <w:sz w:val="21"/>
                      <w:szCs w:val="21"/>
                      <w:highlight w:val="none"/>
                      <w:lang w:val="en-US" w:eastAsia="zh-CN"/>
                    </w:rPr>
                    <w:t>类标准限值要求；</w:t>
                  </w:r>
                </w:p>
                <w:p w14:paraId="544BCA6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left"/>
                    <w:textAlignment w:val="baseline"/>
                    <w:rPr>
                      <w:rFonts w:hint="default"/>
                      <w:color w:val="auto"/>
                      <w:highlight w:val="none"/>
                      <w:lang w:val="en-US" w:eastAsia="zh-CN"/>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aps w:val="0"/>
                      <w:color w:val="auto"/>
                      <w:spacing w:val="-4"/>
                      <w:sz w:val="21"/>
                      <w:szCs w:val="21"/>
                      <w:highlight w:val="none"/>
                      <w:lang w:val="en-US" w:eastAsia="zh-CN"/>
                    </w:rPr>
                    <w:t>表示对应标准中无相关限值要求。</w:t>
                  </w:r>
                </w:p>
              </w:tc>
            </w:tr>
          </w:tbl>
          <w:p w14:paraId="28CB9496">
            <w:pPr>
              <w:spacing w:line="360" w:lineRule="auto"/>
              <w:ind w:firstLine="480" w:firstLineChars="200"/>
              <w:rPr>
                <w:rFonts w:hint="default" w:ascii="Times New Roman" w:hAnsi="Times New Roman" w:eastAsia="宋体" w:cs="Times New Roman"/>
                <w:color w:val="auto"/>
                <w:sz w:val="24"/>
                <w:szCs w:val="32"/>
                <w:highlight w:val="none"/>
                <w:u w:val="single"/>
              </w:rPr>
            </w:pPr>
            <w:r>
              <w:rPr>
                <w:rFonts w:hint="default" w:ascii="Times New Roman" w:hAnsi="Times New Roman" w:eastAsia="宋体" w:cs="Times New Roman"/>
                <w:color w:val="auto"/>
                <w:sz w:val="24"/>
                <w:szCs w:val="32"/>
                <w:highlight w:val="none"/>
                <w:u w:val="none"/>
                <w:lang w:val="en-US" w:eastAsia="zh-CN"/>
              </w:rPr>
              <w:t>由上表可知，</w:t>
            </w:r>
            <w:r>
              <w:rPr>
                <w:rFonts w:hint="eastAsia" w:cs="Times New Roman"/>
                <w:color w:val="auto"/>
                <w:sz w:val="24"/>
                <w:szCs w:val="32"/>
                <w:highlight w:val="none"/>
                <w:u w:val="none"/>
                <w:lang w:val="en-US" w:eastAsia="zh-CN"/>
              </w:rPr>
              <w:t>监测点位各监测因子均</w:t>
            </w:r>
            <w:r>
              <w:rPr>
                <w:rFonts w:hint="default" w:ascii="Times New Roman" w:hAnsi="Times New Roman" w:eastAsia="宋体" w:cs="Times New Roman"/>
                <w:color w:val="auto"/>
                <w:sz w:val="24"/>
                <w:szCs w:val="32"/>
                <w:highlight w:val="none"/>
                <w:u w:val="none"/>
              </w:rPr>
              <w:t>满足《地表水环境质量标准》（GB3838-2002）III类标准要求</w:t>
            </w:r>
            <w:r>
              <w:rPr>
                <w:rFonts w:hint="eastAsia" w:ascii="Times New Roman" w:hAnsi="Times New Roman" w:eastAsia="宋体" w:cs="Times New Roman"/>
                <w:color w:val="auto"/>
                <w:sz w:val="24"/>
                <w:szCs w:val="32"/>
                <w:highlight w:val="none"/>
                <w:u w:val="none"/>
                <w:lang w:eastAsia="zh-CN"/>
              </w:rPr>
              <w:t>，</w:t>
            </w:r>
            <w:r>
              <w:rPr>
                <w:rFonts w:hint="default" w:ascii="Times New Roman" w:hAnsi="Times New Roman" w:eastAsia="宋体" w:cs="Times New Roman"/>
                <w:color w:val="auto"/>
                <w:sz w:val="24"/>
                <w:szCs w:val="32"/>
                <w:highlight w:val="none"/>
                <w:u w:val="none"/>
              </w:rPr>
              <w:t>水环境质量状况良好。</w:t>
            </w:r>
          </w:p>
          <w:p w14:paraId="5493F9BF">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3、声环境</w:t>
            </w:r>
          </w:p>
          <w:p w14:paraId="0F646C12">
            <w:pPr>
              <w:adjustRightInd w:val="0"/>
              <w:snapToGrid w:val="0"/>
              <w:spacing w:line="360" w:lineRule="auto"/>
              <w:ind w:firstLine="480" w:firstLineChars="200"/>
              <w:jc w:val="left"/>
              <w:rPr>
                <w:rFonts w:hint="eastAsia"/>
                <w:color w:val="auto"/>
                <w:szCs w:val="21"/>
                <w:highlight w:val="none"/>
              </w:rPr>
            </w:pPr>
            <w:r>
              <w:rPr>
                <w:rFonts w:hint="eastAsia"/>
                <w:color w:val="auto"/>
                <w:szCs w:val="21"/>
                <w:highlight w:val="none"/>
              </w:rPr>
              <w:t>本次评价委托</w:t>
            </w:r>
            <w:r>
              <w:rPr>
                <w:rFonts w:hint="eastAsia"/>
                <w:color w:val="auto"/>
                <w:szCs w:val="21"/>
                <w:highlight w:val="none"/>
                <w:lang w:eastAsia="zh-CN"/>
              </w:rPr>
              <w:t>湖南博联检测集团有限责任公司</w:t>
            </w:r>
            <w:r>
              <w:rPr>
                <w:rFonts w:hint="eastAsia"/>
                <w:color w:val="auto"/>
                <w:szCs w:val="21"/>
                <w:highlight w:val="none"/>
              </w:rPr>
              <w:t>于202</w:t>
            </w:r>
            <w:r>
              <w:rPr>
                <w:rFonts w:hint="eastAsia"/>
                <w:color w:val="auto"/>
                <w:szCs w:val="21"/>
                <w:highlight w:val="none"/>
                <w:lang w:val="en-US" w:eastAsia="zh-CN"/>
              </w:rPr>
              <w:t>6</w:t>
            </w:r>
            <w:r>
              <w:rPr>
                <w:rFonts w:hint="eastAsia"/>
                <w:color w:val="auto"/>
                <w:szCs w:val="21"/>
                <w:highlight w:val="none"/>
              </w:rPr>
              <w:t>年</w:t>
            </w: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15日</w:t>
            </w:r>
            <w:r>
              <w:rPr>
                <w:rFonts w:hint="eastAsia"/>
                <w:color w:val="auto"/>
                <w:szCs w:val="21"/>
                <w:highlight w:val="none"/>
              </w:rPr>
              <w:t>对项目</w:t>
            </w:r>
            <w:r>
              <w:rPr>
                <w:rFonts w:hint="eastAsia"/>
                <w:color w:val="auto"/>
                <w:szCs w:val="21"/>
                <w:highlight w:val="none"/>
                <w:lang w:val="en-US" w:eastAsia="zh-CN"/>
              </w:rPr>
              <w:t>东侧</w:t>
            </w:r>
            <w:r>
              <w:rPr>
                <w:rFonts w:hint="eastAsia" w:cs="Times New Roman"/>
                <w:color w:val="auto"/>
                <w:sz w:val="24"/>
                <w:szCs w:val="24"/>
                <w:highlight w:val="none"/>
                <w:lang w:val="en-US" w:eastAsia="zh-CN"/>
              </w:rPr>
              <w:t>最近居民点（距矿区110m，距工业场地220m，距办公楼约30m）</w:t>
            </w:r>
            <w:r>
              <w:rPr>
                <w:rFonts w:hint="eastAsia"/>
                <w:color w:val="auto"/>
                <w:szCs w:val="21"/>
                <w:highlight w:val="none"/>
              </w:rPr>
              <w:t>进行了昼、夜噪声环境现状监测。监测结果见表3-</w:t>
            </w:r>
            <w:r>
              <w:rPr>
                <w:rFonts w:hint="eastAsia"/>
                <w:color w:val="auto"/>
                <w:szCs w:val="21"/>
                <w:highlight w:val="none"/>
                <w:lang w:val="en-US" w:eastAsia="zh-CN"/>
              </w:rPr>
              <w:t>5</w:t>
            </w:r>
            <w:r>
              <w:rPr>
                <w:rFonts w:hint="eastAsia"/>
                <w:color w:val="auto"/>
                <w:szCs w:val="21"/>
                <w:highlight w:val="none"/>
              </w:rPr>
              <w:t>。</w:t>
            </w:r>
          </w:p>
          <w:p w14:paraId="5808D1AF">
            <w:pPr>
              <w:adjustRightInd w:val="0"/>
              <w:snapToGrid w:val="0"/>
              <w:spacing w:line="360" w:lineRule="auto"/>
              <w:ind w:left="0" w:leftChars="0" w:firstLine="0" w:firstLineChars="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 xml:space="preserve">  项目区域声环境现状评价表</w:t>
            </w:r>
          </w:p>
          <w:tbl>
            <w:tblPr>
              <w:tblStyle w:val="21"/>
              <w:tblW w:w="793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47"/>
              <w:gridCol w:w="1550"/>
              <w:gridCol w:w="1117"/>
              <w:gridCol w:w="1325"/>
              <w:gridCol w:w="1108"/>
              <w:gridCol w:w="736"/>
              <w:gridCol w:w="954"/>
            </w:tblGrid>
            <w:tr w14:paraId="1DFAC4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1147" w:type="dxa"/>
                  <w:tcBorders>
                    <w:tl2br w:val="nil"/>
                    <w:tr2bl w:val="nil"/>
                  </w:tcBorders>
                  <w:noWrap w:val="0"/>
                  <w:vAlign w:val="center"/>
                </w:tcPr>
                <w:p w14:paraId="12A0F96C">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监测</w:t>
                  </w:r>
                  <w:r>
                    <w:rPr>
                      <w:rFonts w:hint="eastAsia" w:ascii="Times New Roman" w:hAnsi="Times New Roman" w:eastAsia="宋体" w:cs="Times New Roman"/>
                      <w:b/>
                      <w:bCs/>
                      <w:color w:val="auto"/>
                      <w:sz w:val="21"/>
                      <w:szCs w:val="21"/>
                      <w:highlight w:val="none"/>
                    </w:rPr>
                    <w:t>类别</w:t>
                  </w:r>
                </w:p>
              </w:tc>
              <w:tc>
                <w:tcPr>
                  <w:tcW w:w="1550" w:type="dxa"/>
                  <w:tcBorders>
                    <w:tl2br w:val="nil"/>
                    <w:tr2bl w:val="nil"/>
                  </w:tcBorders>
                  <w:noWrap w:val="0"/>
                  <w:vAlign w:val="center"/>
                </w:tcPr>
                <w:p w14:paraId="388925EF">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监测</w:t>
                  </w:r>
                  <w:r>
                    <w:rPr>
                      <w:rFonts w:hint="eastAsia" w:ascii="Times New Roman" w:hAnsi="Times New Roman" w:eastAsia="宋体" w:cs="Times New Roman"/>
                      <w:b/>
                      <w:bCs/>
                      <w:color w:val="auto"/>
                      <w:sz w:val="21"/>
                      <w:szCs w:val="21"/>
                      <w:highlight w:val="none"/>
                    </w:rPr>
                    <w:t>点位</w:t>
                  </w:r>
                </w:p>
              </w:tc>
              <w:tc>
                <w:tcPr>
                  <w:tcW w:w="1117" w:type="dxa"/>
                  <w:tcBorders>
                    <w:tl2br w:val="nil"/>
                    <w:tr2bl w:val="nil"/>
                  </w:tcBorders>
                  <w:noWrap w:val="0"/>
                  <w:vAlign w:val="center"/>
                </w:tcPr>
                <w:p w14:paraId="7F9D3E96">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监测</w:t>
                  </w:r>
                  <w:r>
                    <w:rPr>
                      <w:rFonts w:hint="eastAsia" w:ascii="Times New Roman" w:hAnsi="Times New Roman" w:eastAsia="宋体" w:cs="Times New Roman"/>
                      <w:b/>
                      <w:bCs/>
                      <w:color w:val="auto"/>
                      <w:sz w:val="21"/>
                      <w:szCs w:val="21"/>
                      <w:highlight w:val="none"/>
                    </w:rPr>
                    <w:t>时间</w:t>
                  </w:r>
                </w:p>
              </w:tc>
              <w:tc>
                <w:tcPr>
                  <w:tcW w:w="1325" w:type="dxa"/>
                  <w:tcBorders>
                    <w:tl2br w:val="nil"/>
                    <w:tr2bl w:val="nil"/>
                  </w:tcBorders>
                  <w:noWrap w:val="0"/>
                  <w:vAlign w:val="center"/>
                </w:tcPr>
                <w:p w14:paraId="35ECCF4D">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监测</w:t>
                  </w:r>
                  <w:r>
                    <w:rPr>
                      <w:rFonts w:hint="eastAsia" w:ascii="Times New Roman" w:hAnsi="Times New Roman" w:eastAsia="宋体" w:cs="Times New Roman"/>
                      <w:b/>
                      <w:bCs/>
                      <w:color w:val="auto"/>
                      <w:sz w:val="21"/>
                      <w:szCs w:val="21"/>
                      <w:highlight w:val="none"/>
                    </w:rPr>
                    <w:t>时段</w:t>
                  </w:r>
                </w:p>
              </w:tc>
              <w:tc>
                <w:tcPr>
                  <w:tcW w:w="1108" w:type="dxa"/>
                  <w:tcBorders>
                    <w:tl2br w:val="nil"/>
                    <w:tr2bl w:val="nil"/>
                  </w:tcBorders>
                  <w:noWrap w:val="0"/>
                  <w:vAlign w:val="center"/>
                </w:tcPr>
                <w:p w14:paraId="65ED1BC3">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监测</w:t>
                  </w:r>
                  <w:r>
                    <w:rPr>
                      <w:rFonts w:hint="eastAsia" w:ascii="Times New Roman" w:hAnsi="Times New Roman" w:eastAsia="宋体" w:cs="Times New Roman"/>
                      <w:b/>
                      <w:bCs/>
                      <w:color w:val="auto"/>
                      <w:sz w:val="21"/>
                      <w:szCs w:val="21"/>
                      <w:highlight w:val="none"/>
                    </w:rPr>
                    <w:t>结果</w:t>
                  </w:r>
                </w:p>
              </w:tc>
              <w:tc>
                <w:tcPr>
                  <w:tcW w:w="736" w:type="dxa"/>
                  <w:tcBorders>
                    <w:tl2br w:val="nil"/>
                    <w:tr2bl w:val="nil"/>
                  </w:tcBorders>
                  <w:noWrap w:val="0"/>
                  <w:vAlign w:val="center"/>
                </w:tcPr>
                <w:p w14:paraId="0E2ED4EF">
                  <w:pPr>
                    <w:spacing w:line="276"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标准</w:t>
                  </w:r>
                </w:p>
              </w:tc>
              <w:tc>
                <w:tcPr>
                  <w:tcW w:w="954" w:type="dxa"/>
                  <w:tcBorders>
                    <w:tl2br w:val="nil"/>
                    <w:tr2bl w:val="nil"/>
                  </w:tcBorders>
                  <w:noWrap w:val="0"/>
                  <w:vAlign w:val="center"/>
                </w:tcPr>
                <w:p w14:paraId="64595B79">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单位</w:t>
                  </w:r>
                </w:p>
              </w:tc>
            </w:tr>
            <w:tr w14:paraId="60408C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47" w:type="dxa"/>
                  <w:vMerge w:val="restart"/>
                  <w:tcBorders>
                    <w:tl2br w:val="nil"/>
                    <w:tr2bl w:val="nil"/>
                  </w:tcBorders>
                  <w:noWrap w:val="0"/>
                  <w:vAlign w:val="center"/>
                </w:tcPr>
                <w:p w14:paraId="2B6CFE70">
                  <w:pPr>
                    <w:spacing w:line="276"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噪声</w:t>
                  </w:r>
                </w:p>
              </w:tc>
              <w:tc>
                <w:tcPr>
                  <w:tcW w:w="1550" w:type="dxa"/>
                  <w:vMerge w:val="restart"/>
                  <w:tcBorders>
                    <w:tl2br w:val="nil"/>
                    <w:tr2bl w:val="nil"/>
                  </w:tcBorders>
                  <w:noWrap w:val="0"/>
                  <w:vAlign w:val="center"/>
                </w:tcPr>
                <w:p w14:paraId="5CBE3FDD">
                  <w:pPr>
                    <w:spacing w:line="276"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项目东侧最近居民点</w:t>
                  </w:r>
                </w:p>
              </w:tc>
              <w:tc>
                <w:tcPr>
                  <w:tcW w:w="1117" w:type="dxa"/>
                  <w:vMerge w:val="restart"/>
                  <w:tcBorders>
                    <w:tl2br w:val="nil"/>
                    <w:tr2bl w:val="nil"/>
                  </w:tcBorders>
                  <w:noWrap w:val="0"/>
                  <w:vAlign w:val="center"/>
                </w:tcPr>
                <w:p w14:paraId="6E8108F4">
                  <w:pPr>
                    <w:spacing w:line="276"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年</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月</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日</w:t>
                  </w:r>
                </w:p>
              </w:tc>
              <w:tc>
                <w:tcPr>
                  <w:tcW w:w="1325" w:type="dxa"/>
                  <w:tcBorders>
                    <w:tl2br w:val="nil"/>
                    <w:tr2bl w:val="nil"/>
                  </w:tcBorders>
                  <w:noWrap w:val="0"/>
                  <w:vAlign w:val="center"/>
                </w:tcPr>
                <w:p w14:paraId="47E270C8">
                  <w:pPr>
                    <w:spacing w:line="276"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昼间</w:t>
                  </w:r>
                </w:p>
              </w:tc>
              <w:tc>
                <w:tcPr>
                  <w:tcW w:w="1108" w:type="dxa"/>
                  <w:tcBorders>
                    <w:tl2br w:val="nil"/>
                    <w:tr2bl w:val="nil"/>
                  </w:tcBorders>
                  <w:noWrap w:val="0"/>
                  <w:vAlign w:val="center"/>
                </w:tcPr>
                <w:p w14:paraId="2373D16D">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54.0</w:t>
                  </w:r>
                </w:p>
              </w:tc>
              <w:tc>
                <w:tcPr>
                  <w:tcW w:w="736" w:type="dxa"/>
                  <w:tcBorders>
                    <w:tl2br w:val="nil"/>
                    <w:tr2bl w:val="nil"/>
                  </w:tcBorders>
                  <w:noWrap w:val="0"/>
                  <w:vAlign w:val="center"/>
                </w:tcPr>
                <w:p w14:paraId="23B53111">
                  <w:pPr>
                    <w:spacing w:line="276"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954" w:type="dxa"/>
                  <w:tcBorders>
                    <w:tl2br w:val="nil"/>
                    <w:tr2bl w:val="nil"/>
                  </w:tcBorders>
                  <w:noWrap w:val="0"/>
                  <w:vAlign w:val="center"/>
                </w:tcPr>
                <w:p w14:paraId="17F5BA09">
                  <w:pPr>
                    <w:spacing w:line="276"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dB（A）</w:t>
                  </w:r>
                </w:p>
              </w:tc>
            </w:tr>
            <w:tr w14:paraId="6B3C01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47" w:type="dxa"/>
                  <w:vMerge w:val="continue"/>
                  <w:tcBorders>
                    <w:tl2br w:val="nil"/>
                    <w:tr2bl w:val="nil"/>
                  </w:tcBorders>
                  <w:noWrap w:val="0"/>
                  <w:vAlign w:val="center"/>
                </w:tcPr>
                <w:p w14:paraId="7A126A4E">
                  <w:pPr>
                    <w:spacing w:line="276" w:lineRule="auto"/>
                    <w:ind w:firstLine="0" w:firstLineChars="0"/>
                    <w:jc w:val="center"/>
                    <w:rPr>
                      <w:rFonts w:hint="eastAsia" w:ascii="Times New Roman" w:hAnsi="Times New Roman" w:eastAsia="宋体" w:cs="Times New Roman"/>
                      <w:color w:val="auto"/>
                      <w:sz w:val="21"/>
                      <w:szCs w:val="21"/>
                      <w:highlight w:val="none"/>
                    </w:rPr>
                  </w:pPr>
                </w:p>
              </w:tc>
              <w:tc>
                <w:tcPr>
                  <w:tcW w:w="1550" w:type="dxa"/>
                  <w:vMerge w:val="continue"/>
                  <w:tcBorders>
                    <w:tl2br w:val="nil"/>
                    <w:tr2bl w:val="nil"/>
                  </w:tcBorders>
                  <w:noWrap w:val="0"/>
                  <w:vAlign w:val="center"/>
                </w:tcPr>
                <w:p w14:paraId="4842FB99">
                  <w:pPr>
                    <w:spacing w:line="276" w:lineRule="auto"/>
                    <w:ind w:firstLine="0" w:firstLineChars="0"/>
                    <w:jc w:val="center"/>
                    <w:rPr>
                      <w:rFonts w:hint="default" w:ascii="Times New Roman" w:hAnsi="Times New Roman" w:eastAsia="宋体" w:cs="Times New Roman"/>
                      <w:color w:val="auto"/>
                      <w:sz w:val="21"/>
                      <w:szCs w:val="21"/>
                      <w:highlight w:val="none"/>
                    </w:rPr>
                  </w:pPr>
                </w:p>
              </w:tc>
              <w:tc>
                <w:tcPr>
                  <w:tcW w:w="1117" w:type="dxa"/>
                  <w:vMerge w:val="continue"/>
                  <w:tcBorders>
                    <w:tl2br w:val="nil"/>
                    <w:tr2bl w:val="nil"/>
                  </w:tcBorders>
                  <w:noWrap w:val="0"/>
                  <w:vAlign w:val="center"/>
                </w:tcPr>
                <w:p w14:paraId="23123166">
                  <w:pPr>
                    <w:spacing w:line="276" w:lineRule="auto"/>
                    <w:ind w:firstLine="0" w:firstLineChars="0"/>
                    <w:jc w:val="center"/>
                    <w:rPr>
                      <w:rFonts w:hint="eastAsia" w:ascii="Times New Roman" w:hAnsi="Times New Roman" w:eastAsia="宋体" w:cs="Times New Roman"/>
                      <w:color w:val="auto"/>
                      <w:sz w:val="21"/>
                      <w:szCs w:val="21"/>
                      <w:highlight w:val="none"/>
                    </w:rPr>
                  </w:pPr>
                </w:p>
              </w:tc>
              <w:tc>
                <w:tcPr>
                  <w:tcW w:w="1325" w:type="dxa"/>
                  <w:tcBorders>
                    <w:tl2br w:val="nil"/>
                    <w:tr2bl w:val="nil"/>
                  </w:tcBorders>
                  <w:noWrap w:val="0"/>
                  <w:vAlign w:val="center"/>
                </w:tcPr>
                <w:p w14:paraId="6E06905A">
                  <w:pPr>
                    <w:spacing w:line="276"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夜间</w:t>
                  </w:r>
                </w:p>
              </w:tc>
              <w:tc>
                <w:tcPr>
                  <w:tcW w:w="1108" w:type="dxa"/>
                  <w:tcBorders>
                    <w:tl2br w:val="nil"/>
                    <w:tr2bl w:val="nil"/>
                  </w:tcBorders>
                  <w:noWrap w:val="0"/>
                  <w:vAlign w:val="center"/>
                </w:tcPr>
                <w:p w14:paraId="60A0513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44.1</w:t>
                  </w:r>
                </w:p>
              </w:tc>
              <w:tc>
                <w:tcPr>
                  <w:tcW w:w="736" w:type="dxa"/>
                  <w:tcBorders>
                    <w:tl2br w:val="nil"/>
                    <w:tr2bl w:val="nil"/>
                  </w:tcBorders>
                  <w:noWrap w:val="0"/>
                  <w:vAlign w:val="center"/>
                </w:tcPr>
                <w:p w14:paraId="0796EAE8">
                  <w:pPr>
                    <w:spacing w:line="276"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954" w:type="dxa"/>
                  <w:tcBorders>
                    <w:tl2br w:val="nil"/>
                    <w:tr2bl w:val="nil"/>
                  </w:tcBorders>
                  <w:noWrap w:val="0"/>
                  <w:vAlign w:val="center"/>
                </w:tcPr>
                <w:p w14:paraId="679F140A">
                  <w:pPr>
                    <w:spacing w:line="276"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dB（A）</w:t>
                  </w:r>
                </w:p>
              </w:tc>
            </w:tr>
          </w:tbl>
          <w:p w14:paraId="5632B96E">
            <w:pPr>
              <w:adjustRightInd w:val="0"/>
              <w:snapToGrid w:val="0"/>
              <w:spacing w:line="360" w:lineRule="auto"/>
              <w:ind w:left="0" w:leftChars="0" w:firstLine="480" w:firstLineChars="200"/>
              <w:jc w:val="left"/>
              <w:rPr>
                <w:rFonts w:hint="default" w:ascii="Times New Roman" w:hAnsi="Times New Roman" w:cs="Times New Roman"/>
                <w:color w:val="auto"/>
                <w:szCs w:val="24"/>
                <w:highlight w:val="none"/>
              </w:rPr>
            </w:pPr>
            <w:r>
              <w:rPr>
                <w:rFonts w:hint="eastAsia"/>
                <w:color w:val="auto"/>
                <w:szCs w:val="21"/>
                <w:highlight w:val="none"/>
              </w:rPr>
              <w:t>经检测，项目</w:t>
            </w:r>
            <w:r>
              <w:rPr>
                <w:rFonts w:hint="eastAsia"/>
                <w:color w:val="auto"/>
                <w:szCs w:val="21"/>
                <w:highlight w:val="none"/>
                <w:lang w:val="en-US" w:eastAsia="zh-CN"/>
              </w:rPr>
              <w:t>东侧敏感点</w:t>
            </w:r>
            <w:r>
              <w:rPr>
                <w:rFonts w:hint="eastAsia"/>
                <w:color w:val="auto"/>
                <w:szCs w:val="21"/>
                <w:highlight w:val="none"/>
              </w:rPr>
              <w:t>昼、夜声环境质量均达到《声环境质量标准》（GB3096-2008）2类声环境质量标准，说明该区域声环境质量良好。</w:t>
            </w:r>
          </w:p>
          <w:p w14:paraId="27EB6C83">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4、地下水环境</w:t>
            </w:r>
          </w:p>
          <w:p w14:paraId="74B9F6FC">
            <w:pPr>
              <w:ind w:firstLine="480"/>
              <w:rPr>
                <w:color w:val="auto"/>
                <w:sz w:val="24"/>
                <w:highlight w:val="none"/>
                <w:u w:val="single"/>
              </w:rPr>
            </w:pPr>
            <w:r>
              <w:rPr>
                <w:color w:val="auto"/>
                <w:sz w:val="24"/>
                <w:highlight w:val="none"/>
                <w:u w:val="single"/>
              </w:rPr>
              <w:t>根据《建设项目环境影响报告表编制技术指南（污染影响类）（试行）》，本项目可不开展地下水环境现状调查。</w:t>
            </w:r>
          </w:p>
          <w:p w14:paraId="6C20C94D">
            <w:pPr>
              <w:ind w:firstLine="480"/>
              <w:rPr>
                <w:rFonts w:hint="eastAsia"/>
                <w:color w:val="auto"/>
                <w:sz w:val="24"/>
                <w:highlight w:val="none"/>
                <w:u w:val="single"/>
              </w:rPr>
            </w:pPr>
            <w:r>
              <w:rPr>
                <w:rFonts w:hint="eastAsia" w:cs="Times New Roman"/>
                <w:color w:val="auto"/>
                <w:szCs w:val="24"/>
                <w:highlight w:val="none"/>
                <w:u w:val="single"/>
                <w:lang w:eastAsia="zh-CN"/>
              </w:rPr>
              <w:t>根据《</w:t>
            </w:r>
            <w:r>
              <w:rPr>
                <w:rFonts w:hint="eastAsia" w:ascii="Times New Roman" w:hAnsi="Times New Roman" w:eastAsia="宋体" w:cs="Times New Roman"/>
                <w:color w:val="auto"/>
                <w:szCs w:val="24"/>
                <w:highlight w:val="none"/>
                <w:u w:val="single"/>
                <w:lang w:val="en-US" w:eastAsia="zh-CN"/>
              </w:rPr>
              <w:t>湖南省澧县屠夫垭矿区建筑石料用灰岩矿资源开发利用方案</w:t>
            </w:r>
            <w:r>
              <w:rPr>
                <w:rFonts w:hint="eastAsia" w:cs="Times New Roman"/>
                <w:color w:val="auto"/>
                <w:szCs w:val="24"/>
                <w:highlight w:val="none"/>
                <w:u w:val="single"/>
                <w:lang w:eastAsia="zh-CN"/>
              </w:rPr>
              <w:t>》，</w:t>
            </w:r>
            <w:r>
              <w:rPr>
                <w:rFonts w:hint="eastAsia"/>
                <w:color w:val="auto"/>
                <w:sz w:val="24"/>
                <w:highlight w:val="none"/>
                <w:u w:val="single"/>
              </w:rPr>
              <w:t>矿区及附近地层出露主要有第四系、三叠系下统大冶组及嘉陵江组。根据调查结果与以往的水文地质资料，地下水的赋存空间、水理性质和动力条件，区内地下水类型有赋存于第四系残坡积层中的松散岩类孔隙水以及赋存于三叠系下统灰岩的岩溶裂隙水两种类型。</w:t>
            </w:r>
          </w:p>
          <w:p w14:paraId="46ABFF2D">
            <w:pPr>
              <w:ind w:firstLine="480"/>
              <w:rPr>
                <w:rFonts w:hint="eastAsia"/>
                <w:color w:val="auto"/>
                <w:sz w:val="24"/>
                <w:highlight w:val="none"/>
                <w:u w:val="single"/>
              </w:rPr>
            </w:pPr>
            <w:r>
              <w:rPr>
                <w:rFonts w:hint="eastAsia"/>
                <w:color w:val="auto"/>
                <w:sz w:val="24"/>
                <w:highlight w:val="none"/>
                <w:u w:val="single"/>
                <w:lang w:eastAsia="zh-CN"/>
              </w:rPr>
              <w:t>（</w:t>
            </w:r>
            <w:r>
              <w:rPr>
                <w:rFonts w:hint="eastAsia"/>
                <w:color w:val="auto"/>
                <w:sz w:val="24"/>
                <w:highlight w:val="none"/>
                <w:u w:val="single"/>
                <w:lang w:val="en-US" w:eastAsia="zh-CN"/>
              </w:rPr>
              <w:t>1</w:t>
            </w:r>
            <w:r>
              <w:rPr>
                <w:rFonts w:hint="eastAsia"/>
                <w:color w:val="auto"/>
                <w:sz w:val="24"/>
                <w:highlight w:val="none"/>
                <w:u w:val="single"/>
                <w:lang w:eastAsia="zh-CN"/>
              </w:rPr>
              <w:t>）</w:t>
            </w:r>
            <w:r>
              <w:rPr>
                <w:rFonts w:hint="eastAsia"/>
                <w:color w:val="auto"/>
                <w:sz w:val="24"/>
                <w:highlight w:val="none"/>
                <w:u w:val="single"/>
              </w:rPr>
              <w:t>松散岩类孔隙水</w:t>
            </w:r>
          </w:p>
          <w:p w14:paraId="660F7250">
            <w:pPr>
              <w:ind w:firstLine="480"/>
              <w:rPr>
                <w:color w:val="auto"/>
                <w:sz w:val="24"/>
                <w:highlight w:val="none"/>
                <w:u w:val="single"/>
              </w:rPr>
            </w:pPr>
            <w:r>
              <w:rPr>
                <w:rFonts w:hint="eastAsia"/>
                <w:color w:val="auto"/>
                <w:sz w:val="24"/>
                <w:highlight w:val="none"/>
                <w:u w:val="single"/>
              </w:rPr>
              <w:t>在矿区及周边零星分布在山体表层，厚度极小，一般小于1m，基本不含水；在勘查区外围主要分布在南西侧的红岩峪溪沟和北东侧涔水的北支流河流谷平原和丘坡地带，含水岩组上部为厚2~5米的粘性土，下部为厚度2~3米的角砾碎石层，含孔隙潜水，局部含上层滞水。本次工作在此层见下降泉水（W1）一处，人工开挖揭露，出露标高124.80m，位置在矿区外西南侧150m处，取水样分析其总矿化度277.12mg/L，属HC0。-Ca型水，PH为8.2，三角堰测得泉流量0.869L/s，早季与冬天流量变小，泉水流量随季节性变化而变化，补水来源于松散岩类孔隙水（Q.地层）。此层富水性中等。</w:t>
            </w:r>
          </w:p>
          <w:p w14:paraId="1EBE95D1">
            <w:pPr>
              <w:ind w:firstLine="480"/>
              <w:rPr>
                <w:rFonts w:hint="eastAsia"/>
                <w:color w:val="auto"/>
                <w:sz w:val="24"/>
                <w:highlight w:val="none"/>
                <w:u w:val="single"/>
                <w:lang w:val="en-US" w:eastAsia="zh-CN"/>
              </w:rPr>
            </w:pPr>
            <w:r>
              <w:rPr>
                <w:rFonts w:hint="eastAsia"/>
                <w:color w:val="auto"/>
                <w:sz w:val="24"/>
                <w:highlight w:val="none"/>
                <w:u w:val="single"/>
                <w:lang w:val="en-US" w:eastAsia="zh-CN"/>
              </w:rPr>
              <w:t>2、岩溶发育情况</w:t>
            </w:r>
          </w:p>
          <w:p w14:paraId="0418059B">
            <w:pPr>
              <w:ind w:firstLine="480"/>
              <w:rPr>
                <w:rFonts w:hint="eastAsia"/>
                <w:color w:val="auto"/>
                <w:sz w:val="24"/>
                <w:highlight w:val="none"/>
                <w:u w:val="single"/>
                <w:lang w:val="en-US" w:eastAsia="zh-CN"/>
              </w:rPr>
            </w:pPr>
            <w:r>
              <w:rPr>
                <w:rFonts w:hint="eastAsia"/>
                <w:color w:val="auto"/>
                <w:sz w:val="24"/>
                <w:highlight w:val="none"/>
                <w:u w:val="single"/>
                <w:lang w:val="en-US" w:eastAsia="zh-CN"/>
              </w:rPr>
              <w:t>矿山为裸露型碳酸盐岩区，在此次水文地质调查时，见地表溶孔、溶沟、溶槽等较发育，在水文地质测绘时，地表见3处的落水洞，在地表形成串珠形态，落水溶洞平面呈一般椭圆状分布，长轴方向约76至62m，短轴方向约57至40m，上宽下窄，呈喇叭状，可见深度约2~10米。落水洞底部为粘土夹小碎块石混杂充填。落水洞无水，多见灌木、针茅生长。</w:t>
            </w:r>
          </w:p>
          <w:p w14:paraId="37DA9972">
            <w:pPr>
              <w:ind w:firstLine="480"/>
              <w:rPr>
                <w:rFonts w:hint="eastAsia"/>
                <w:color w:val="auto"/>
                <w:sz w:val="24"/>
                <w:highlight w:val="none"/>
                <w:u w:val="single"/>
                <w:lang w:val="en-US" w:eastAsia="zh-CN"/>
              </w:rPr>
            </w:pPr>
            <w:r>
              <w:rPr>
                <w:rFonts w:hint="eastAsia"/>
                <w:color w:val="auto"/>
                <w:sz w:val="24"/>
                <w:highlight w:val="none"/>
                <w:u w:val="single"/>
                <w:lang w:val="en-US" w:eastAsia="zh-CN"/>
              </w:rPr>
              <w:t>通过查阅勘查报告，矿区范围内施工钻孔7个，漏水严重，钻孔终孔后进行稳定水位观测，均为干孔。钻孔控制高程底板高程区间值为+85.7~+64.2m，钻孔揭露最低标高+64.2m。钻孔岩芯的溶蚀裂隙较发育，以垂直裂隙为主。矿山地下岩溶、裂隙较发育。未来矿山最低开采标高+110m以上不会出现岩溶涌水现象。因此矿山开采只是改变了+110m以上局部岩溶裂隙水给地下水的径流补给通道。对当地的地下水资源、区域地下水均衡影响较小。</w:t>
            </w:r>
          </w:p>
          <w:p w14:paraId="4EB4159B">
            <w:pPr>
              <w:ind w:firstLine="480"/>
              <w:rPr>
                <w:rFonts w:hint="eastAsia"/>
                <w:color w:val="auto"/>
                <w:sz w:val="24"/>
                <w:highlight w:val="none"/>
                <w:u w:val="single"/>
                <w:lang w:val="en-US" w:eastAsia="zh-CN"/>
              </w:rPr>
            </w:pPr>
            <w:r>
              <w:rPr>
                <w:rFonts w:hint="eastAsia"/>
                <w:color w:val="auto"/>
                <w:sz w:val="24"/>
                <w:highlight w:val="none"/>
                <w:u w:val="single"/>
                <w:lang w:val="en-US" w:eastAsia="zh-CN"/>
              </w:rPr>
              <w:t>（3）三叠系下统嘉陵江组及大冶组灰岩裂隙水</w:t>
            </w:r>
          </w:p>
          <w:p w14:paraId="43B3FA64">
            <w:pPr>
              <w:ind w:firstLine="480"/>
              <w:rPr>
                <w:rFonts w:hint="eastAsia"/>
                <w:color w:val="auto"/>
                <w:sz w:val="24"/>
                <w:highlight w:val="none"/>
                <w:u w:val="single"/>
                <w:lang w:val="en-US" w:eastAsia="zh-CN"/>
              </w:rPr>
            </w:pPr>
            <w:r>
              <w:rPr>
                <w:rFonts w:hint="eastAsia"/>
                <w:color w:val="auto"/>
                <w:sz w:val="24"/>
                <w:highlight w:val="none"/>
                <w:u w:val="single"/>
                <w:lang w:val="en-US" w:eastAsia="zh-CN"/>
              </w:rPr>
              <w:t>嘉陵江组及大冶组灰岩中未见有明显的隔水层。嘉陵江组主要分布在矿区的东南部，呈东南向展布。岩性主要为浅红色、浅灰色厚层状白云质灰岩、灰质白云岩，地表发育有三个落水洞（R2、R3、R4），呈串珠状分布在勘查区南部，落水洞上宽下窄，呈喇叭状，可见深度约2~10米，落水洞底部为粘土夹小碎块石混杂充填，调查期间见落水洞无水。大冶组灰岩主要分布在矿区的北西部，大致呈东西向展布。岩性主要为灰色、深灰色微晶灰岩，层理较发育。此层地表岩溶现象多呈溶孔、溶沟、溶槽为主，未见规模较大的溶洞、溶蚀裂隙。在矿区水文地质调查时，未见导水溶蚀裂隙泉水涌出现象。</w:t>
            </w:r>
          </w:p>
          <w:p w14:paraId="6ADA23E5">
            <w:pPr>
              <w:ind w:firstLine="480"/>
              <w:rPr>
                <w:rFonts w:hint="eastAsia"/>
                <w:color w:val="auto"/>
                <w:sz w:val="24"/>
                <w:highlight w:val="none"/>
                <w:u w:val="single"/>
                <w:lang w:val="en-US" w:eastAsia="zh-CN"/>
              </w:rPr>
            </w:pPr>
            <w:r>
              <w:rPr>
                <w:rFonts w:hint="eastAsia"/>
                <w:color w:val="auto"/>
                <w:sz w:val="24"/>
                <w:highlight w:val="none"/>
                <w:u w:val="single"/>
                <w:lang w:val="en-US" w:eastAsia="zh-CN"/>
              </w:rPr>
              <w:t>本矿山未来开采最低标高（+110m）高于当地基准侵蚀面（+90m），岩层中垂直裂隙较发育，地下水以垂直运动为主，水平运动为次，两组地层均未见明显的溶蚀裂隙泉水涌出现象，本次施工的7个钻孔均为干孔，嘉陵江组及大冶组灰岩中未见地下水露头。大气降水通过嘉陵江组地层中的落水洞及大冶组灰岩岩溶裂隙渗入补给灰岩地层。据访问调查，三个落水洞仅暴雨天短期有水流，但持续时间较短，表明此地层在地下岩溶裂隙连通性良好。总体认为此地层属弱至中等富水性。</w:t>
            </w:r>
          </w:p>
          <w:p w14:paraId="3739966B">
            <w:pPr>
              <w:ind w:firstLine="480"/>
              <w:rPr>
                <w:rFonts w:hint="eastAsia"/>
                <w:color w:val="auto"/>
                <w:sz w:val="24"/>
                <w:highlight w:val="none"/>
                <w:u w:val="single"/>
                <w:lang w:val="en-US" w:eastAsia="zh-CN"/>
              </w:rPr>
            </w:pPr>
            <w:r>
              <w:rPr>
                <w:rFonts w:hint="eastAsia"/>
                <w:color w:val="auto"/>
                <w:sz w:val="24"/>
                <w:highlight w:val="none"/>
                <w:u w:val="single"/>
                <w:lang w:val="en-US" w:eastAsia="zh-CN"/>
              </w:rPr>
              <w:t>（4）断裂构造带含、导水性</w:t>
            </w:r>
          </w:p>
          <w:p w14:paraId="5D6BC4F6">
            <w:pPr>
              <w:ind w:firstLine="480"/>
              <w:rPr>
                <w:rFonts w:hint="eastAsia"/>
                <w:color w:val="auto"/>
                <w:sz w:val="24"/>
                <w:highlight w:val="none"/>
                <w:u w:val="single"/>
                <w:lang w:val="en-US" w:eastAsia="zh-CN"/>
              </w:rPr>
            </w:pPr>
            <w:r>
              <w:rPr>
                <w:rFonts w:hint="eastAsia"/>
                <w:color w:val="auto"/>
                <w:sz w:val="24"/>
                <w:highlight w:val="none"/>
                <w:u w:val="single"/>
                <w:lang w:val="en-US" w:eastAsia="zh-CN"/>
              </w:rPr>
              <w:t>矿区范围属杨家坊向斜东部西北翼。区域断裂不发育，区内地层呈单斜产出，岩层走向北西~南东，其产状倾向120°~160°，倾角一般4°~18°。建筑石料用灰岩矿层直接受杨家坊向斜轴构造控制。总体产状变化不大，区内断裂破碎带等不甚发育，仅局部见小挠曲，小型节理及裂隙。采场降雨自然排泄，无积水与明显裂隙水渗流现象，构造带对矿床充水的影响小。对矿山开采影响不大。</w:t>
            </w:r>
          </w:p>
          <w:p w14:paraId="18BFED0A">
            <w:pPr>
              <w:ind w:firstLine="480"/>
              <w:rPr>
                <w:rFonts w:hint="eastAsia"/>
                <w:color w:val="auto"/>
                <w:sz w:val="24"/>
                <w:highlight w:val="none"/>
                <w:u w:val="single"/>
                <w:lang w:val="en-US" w:eastAsia="zh-CN"/>
              </w:rPr>
            </w:pPr>
            <w:r>
              <w:rPr>
                <w:rFonts w:hint="eastAsia"/>
                <w:color w:val="auto"/>
                <w:sz w:val="24"/>
                <w:highlight w:val="none"/>
                <w:u w:val="single"/>
                <w:lang w:val="en-US" w:eastAsia="zh-CN"/>
              </w:rPr>
              <w:t>（5）地下水的补给、径流、排泄条件</w:t>
            </w:r>
          </w:p>
          <w:p w14:paraId="4CD6463E">
            <w:pPr>
              <w:ind w:firstLine="480"/>
              <w:rPr>
                <w:rFonts w:hint="default"/>
                <w:color w:val="auto"/>
                <w:sz w:val="24"/>
                <w:highlight w:val="none"/>
                <w:u w:val="single"/>
                <w:lang w:val="en-US" w:eastAsia="zh-CN"/>
              </w:rPr>
            </w:pPr>
            <w:r>
              <w:rPr>
                <w:rFonts w:hint="default"/>
                <w:color w:val="auto"/>
                <w:sz w:val="24"/>
                <w:highlight w:val="none"/>
                <w:u w:val="single"/>
                <w:lang w:val="en-US" w:eastAsia="zh-CN"/>
              </w:rPr>
              <w:t>①</w:t>
            </w:r>
            <w:r>
              <w:rPr>
                <w:rFonts w:hint="eastAsia"/>
                <w:color w:val="auto"/>
                <w:sz w:val="24"/>
                <w:highlight w:val="none"/>
                <w:u w:val="single"/>
                <w:lang w:val="en-US" w:eastAsia="zh-CN"/>
              </w:rPr>
              <w:t>地下水的补给条件</w:t>
            </w:r>
          </w:p>
          <w:p w14:paraId="0473AC91">
            <w:pPr>
              <w:ind w:firstLine="480"/>
              <w:rPr>
                <w:rFonts w:hint="eastAsia"/>
                <w:color w:val="auto"/>
                <w:sz w:val="24"/>
                <w:highlight w:val="none"/>
                <w:u w:val="single"/>
                <w:lang w:val="en-US" w:eastAsia="zh-CN"/>
              </w:rPr>
            </w:pPr>
            <w:r>
              <w:rPr>
                <w:rFonts w:hint="eastAsia"/>
                <w:color w:val="auto"/>
                <w:sz w:val="24"/>
                <w:highlight w:val="none"/>
                <w:u w:val="single"/>
                <w:lang w:val="en-US" w:eastAsia="zh-CN"/>
              </w:rPr>
              <w:t>地下水的主要补给来源为大气降雨。矿区为裸露型岩溶区，灌木发育较好，大气降雨直接经过灌木或面流的形式渗透补给矿区。矿区的三叠系下统嘉陵江组（Tij）、三叠系下统大冶组（Tidy）等地层的灰岩与白云质灰岩、灰质白云岩，含岩溶裂隙水。</w:t>
            </w:r>
          </w:p>
          <w:p w14:paraId="43CFDB76">
            <w:pPr>
              <w:ind w:firstLine="480"/>
              <w:rPr>
                <w:rFonts w:hint="eastAsia"/>
                <w:color w:val="auto"/>
                <w:sz w:val="24"/>
                <w:highlight w:val="none"/>
                <w:u w:val="single"/>
                <w:lang w:val="en-US" w:eastAsia="zh-CN"/>
              </w:rPr>
            </w:pPr>
            <w:r>
              <w:rPr>
                <w:rFonts w:hint="eastAsia"/>
                <w:color w:val="auto"/>
                <w:sz w:val="24"/>
                <w:highlight w:val="none"/>
                <w:u w:val="single"/>
                <w:lang w:val="en-US" w:eastAsia="zh-CN"/>
              </w:rPr>
              <w:t>②地下水的径流条件</w:t>
            </w:r>
          </w:p>
          <w:p w14:paraId="18FA392D">
            <w:pPr>
              <w:ind w:firstLine="480"/>
              <w:rPr>
                <w:rFonts w:hint="eastAsia"/>
                <w:color w:val="auto"/>
                <w:sz w:val="24"/>
                <w:highlight w:val="none"/>
                <w:u w:val="single"/>
                <w:lang w:val="en-US" w:eastAsia="zh-CN"/>
              </w:rPr>
            </w:pPr>
            <w:r>
              <w:rPr>
                <w:rFonts w:hint="eastAsia"/>
                <w:color w:val="auto"/>
                <w:sz w:val="24"/>
                <w:highlight w:val="none"/>
                <w:u w:val="single"/>
                <w:lang w:val="en-US" w:eastAsia="zh-CN"/>
              </w:rPr>
              <w:t>矿区地下水径流形式主要为裂隙管道混合型。大气降雨直接通过灌木或面流渗透补给矿区含水层的过程中，地下水径流为溶蚀裂隙水，它沿岩溶裂隙洞穴管道系统渗漏与运移，呈暗河或溶洞泉水的形式排泄于矿区的低洼（溪沟）地带。溶洞泉水一般沿裂隙交汇面或裂隙与岩层交汇面，经溶蚀一崩垮一再溶蚀发育而成，流量大小不一，视水的补给区范围而定，且皆出露于溪沟边或低洼地带，溶洞泉水皆为下降泉。</w:t>
            </w:r>
          </w:p>
          <w:p w14:paraId="6922441E">
            <w:pPr>
              <w:ind w:firstLine="480"/>
              <w:rPr>
                <w:rFonts w:hint="eastAsia"/>
                <w:color w:val="auto"/>
                <w:sz w:val="24"/>
                <w:highlight w:val="none"/>
                <w:u w:val="single"/>
                <w:lang w:val="en-US" w:eastAsia="zh-CN"/>
              </w:rPr>
            </w:pPr>
            <w:r>
              <w:rPr>
                <w:rFonts w:hint="eastAsia"/>
                <w:color w:val="auto"/>
                <w:sz w:val="24"/>
                <w:highlight w:val="none"/>
                <w:u w:val="single"/>
                <w:lang w:val="en-US" w:eastAsia="zh-CN"/>
              </w:rPr>
              <w:t>③地下水排泄</w:t>
            </w:r>
          </w:p>
          <w:p w14:paraId="35A1450B">
            <w:pPr>
              <w:ind w:firstLine="480"/>
              <w:rPr>
                <w:rFonts w:hint="eastAsia" w:ascii="Times New Roman" w:hAnsi="Times New Roman" w:eastAsia="宋体" w:cs="Times New Roman"/>
                <w:color w:val="auto"/>
                <w:szCs w:val="24"/>
                <w:highlight w:val="none"/>
                <w:lang w:val="en-US" w:eastAsia="zh-CN"/>
              </w:rPr>
            </w:pPr>
            <w:r>
              <w:rPr>
                <w:rFonts w:hint="eastAsia"/>
                <w:color w:val="auto"/>
                <w:sz w:val="24"/>
                <w:highlight w:val="none"/>
                <w:u w:val="single"/>
                <w:lang w:val="en-US" w:eastAsia="zh-CN"/>
              </w:rPr>
              <w:t>矿区地下水以泉水和岩溶溶洞泉水的形式排泄于矿区的低洼地带，区内地下水流向总为东南向。</w:t>
            </w:r>
          </w:p>
          <w:p w14:paraId="26DD146E">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5、土壤环境</w:t>
            </w:r>
          </w:p>
          <w:p w14:paraId="27B02C6E">
            <w:pPr>
              <w:ind w:firstLine="480"/>
              <w:rPr>
                <w:rFonts w:hint="default" w:ascii="Times New Roman" w:hAnsi="Times New Roman" w:cs="Times New Roman"/>
                <w:color w:val="auto"/>
                <w:szCs w:val="24"/>
                <w:highlight w:val="none"/>
              </w:rPr>
            </w:pPr>
            <w:r>
              <w:rPr>
                <w:color w:val="auto"/>
                <w:sz w:val="24"/>
                <w:highlight w:val="none"/>
                <w:u w:val="single"/>
              </w:rPr>
              <w:t>根据《建设项目环境影响报告表编制技术指南（污染影响类）（试行）》，本项目可不开展土壤环境现状调查。</w:t>
            </w:r>
          </w:p>
          <w:p w14:paraId="2830BA1B">
            <w:pPr>
              <w:ind w:firstLine="0" w:firstLineChars="0"/>
              <w:rPr>
                <w:rFonts w:hint="default" w:ascii="Times New Roman" w:hAnsi="Times New Roman" w:eastAsia="宋体" w:cs="Times New Roman"/>
                <w:b/>
                <w:bCs/>
                <w:color w:val="auto"/>
                <w:szCs w:val="24"/>
                <w:highlight w:val="none"/>
              </w:rPr>
            </w:pPr>
            <w:r>
              <w:rPr>
                <w:rFonts w:hint="eastAsia" w:ascii="Times New Roman" w:hAnsi="Times New Roman" w:eastAsia="宋体" w:cs="Times New Roman"/>
                <w:b/>
                <w:bCs/>
                <w:color w:val="auto"/>
                <w:szCs w:val="24"/>
                <w:highlight w:val="none"/>
              </w:rPr>
              <w:t>6、</w:t>
            </w:r>
            <w:r>
              <w:rPr>
                <w:rFonts w:hint="default" w:ascii="Times New Roman" w:hAnsi="Times New Roman" w:eastAsia="宋体" w:cs="Times New Roman"/>
                <w:b/>
                <w:bCs/>
                <w:color w:val="auto"/>
                <w:szCs w:val="24"/>
                <w:highlight w:val="none"/>
              </w:rPr>
              <w:t>电磁辐射</w:t>
            </w:r>
          </w:p>
          <w:p w14:paraId="1C552783">
            <w:pPr>
              <w:ind w:firstLine="480"/>
              <w:rPr>
                <w:rFonts w:hint="default" w:ascii="Times New Roman" w:hAnsi="Times New Roman" w:cs="Times New Roman"/>
                <w:color w:val="auto"/>
                <w:sz w:val="21"/>
                <w:szCs w:val="21"/>
                <w:highlight w:val="none"/>
              </w:rPr>
            </w:pPr>
            <w:r>
              <w:rPr>
                <w:rFonts w:ascii="Times New Roman" w:hAnsi="Times New Roman" w:eastAsia="宋体" w:cs="Times New Roman"/>
                <w:color w:val="auto"/>
                <w:sz w:val="24"/>
                <w:highlight w:val="none"/>
              </w:rPr>
              <w:t>本项目不涉及电磁辐射设备，不进行电磁辐射影响评价，因此无需进行电磁辐射环境现状调查。</w:t>
            </w:r>
          </w:p>
        </w:tc>
      </w:tr>
      <w:tr w14:paraId="40D9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8E02373">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与项目有关的原有环境污染和生态破坏问题</w:t>
            </w:r>
          </w:p>
        </w:tc>
        <w:tc>
          <w:tcPr>
            <w:tcW w:w="8101" w:type="dxa"/>
          </w:tcPr>
          <w:p w14:paraId="47BE0BFA">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本项目为新设立采矿权矿山项目，矿区原设有二个采矿权，即“澧县芦桥采石场”和“澧县闸口丰报采石场（已注销）”。</w:t>
            </w:r>
          </w:p>
          <w:p w14:paraId="326D4600">
            <w:pPr>
              <w:keepNext w:val="0"/>
              <w:keepLines w:val="0"/>
              <w:widowControl/>
              <w:suppressLineNumbers w:val="0"/>
              <w:jc w:val="left"/>
              <w:rPr>
                <w:rFonts w:hint="default" w:ascii="Times New Roman" w:hAnsi="Times New Roman" w:eastAsia="宋体" w:cs="Times New Roman"/>
                <w:color w:val="auto"/>
                <w:kern w:val="0"/>
                <w:sz w:val="24"/>
                <w:szCs w:val="24"/>
                <w:highlight w:val="none"/>
                <w:u w:val="single"/>
                <w:lang w:val="en-US" w:eastAsia="zh-CN" w:bidi="ar"/>
              </w:rPr>
            </w:pPr>
            <w:r>
              <w:rPr>
                <w:rFonts w:hint="default" w:ascii="Times New Roman" w:hAnsi="Times New Roman" w:eastAsia="宋体" w:cs="Times New Roman"/>
                <w:color w:val="auto"/>
                <w:kern w:val="0"/>
                <w:sz w:val="24"/>
                <w:szCs w:val="24"/>
                <w:highlight w:val="none"/>
                <w:u w:val="single"/>
                <w:lang w:val="en-US" w:eastAsia="zh-CN" w:bidi="ar"/>
              </w:rPr>
              <w:t>澧县闸口乡丰报采石场二场形成采石场2处，未开展环境恢复治理和土地复垦工作。</w:t>
            </w:r>
          </w:p>
          <w:p w14:paraId="49FF0A50">
            <w:pPr>
              <w:keepNext w:val="0"/>
              <w:keepLines w:val="0"/>
              <w:widowControl/>
              <w:suppressLineNumbers w:val="0"/>
              <w:jc w:val="left"/>
              <w:rPr>
                <w:rFonts w:hint="default" w:ascii="Times New Roman" w:hAnsi="Times New Roman" w:cs="Times New Roman"/>
                <w:color w:val="auto"/>
                <w:highlight w:val="none"/>
                <w:u w:val="single"/>
              </w:rPr>
            </w:pPr>
            <w:r>
              <w:rPr>
                <w:rFonts w:hint="default" w:ascii="Times New Roman" w:hAnsi="Times New Roman" w:eastAsia="宋体" w:cs="Times New Roman"/>
                <w:color w:val="auto"/>
                <w:kern w:val="0"/>
                <w:sz w:val="24"/>
                <w:szCs w:val="24"/>
                <w:highlight w:val="none"/>
                <w:u w:val="single"/>
                <w:lang w:val="en-US" w:eastAsia="zh-CN" w:bidi="ar"/>
              </w:rPr>
              <w:t>芦桥采石场，已形成东西宽261m，南北长141m的露天采场，采坑面积3.68hm²，大致形成4级开采台阶，整合前矿山按相关要求编制了矿山地质环境综合防治方案，并按要求对整合后将不会利用的区域与部分继续利用的区域进行了矿山地质环境保护与恢复治理工作。闭坑矿山生态环境得到有效修复与保护，达到闭坑矿山生态恢复治理要求。2024年湖南省城市地质调查监测所为该矿山编制了《湖南省澧县芦桥采石场矿山生态保护修复关闭验收报告》。</w:t>
            </w:r>
          </w:p>
          <w:p w14:paraId="366B6891">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u w:val="single"/>
                <w:lang w:val="en-US" w:eastAsia="zh-CN"/>
              </w:rPr>
              <w:t>矿山已形成的采坑、</w:t>
            </w:r>
            <w:r>
              <w:rPr>
                <w:rFonts w:hint="eastAsia" w:cs="Times New Roman"/>
                <w:color w:val="auto"/>
                <w:highlight w:val="none"/>
                <w:u w:val="single"/>
                <w:lang w:val="en-US" w:eastAsia="zh-CN"/>
              </w:rPr>
              <w:t>工业场地</w:t>
            </w:r>
            <w:r>
              <w:rPr>
                <w:rFonts w:hint="default" w:ascii="Times New Roman" w:hAnsi="Times New Roman" w:eastAsia="宋体" w:cs="Times New Roman"/>
                <w:color w:val="auto"/>
                <w:highlight w:val="none"/>
                <w:u w:val="single"/>
                <w:lang w:val="en-US" w:eastAsia="zh-CN"/>
              </w:rPr>
              <w:t>、矿山公路后期均都需继续利用，新设矿权闭坑前可不用重复进行生态修复。</w:t>
            </w:r>
          </w:p>
          <w:p w14:paraId="419B0C3B">
            <w:pPr>
              <w:ind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1、矿山生态保护修复工程</w:t>
            </w:r>
          </w:p>
          <w:p w14:paraId="4329E518">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u w:val="single"/>
                <w:lang w:val="en-US" w:eastAsia="zh-CN"/>
              </w:rPr>
              <w:t>关闭矿山“澧县芦桥采石场”整合前开采期间形成的废弃堆土区、进矿公路边坡已进行了人工复绿（详见</w:t>
            </w:r>
            <w:r>
              <w:rPr>
                <w:rFonts w:hint="default" w:ascii="Times New Roman" w:hAnsi="Times New Roman" w:cs="Times New Roman"/>
                <w:color w:val="auto"/>
                <w:highlight w:val="none"/>
                <w:u w:val="single"/>
                <w:lang w:val="en-US" w:eastAsia="zh-CN"/>
              </w:rPr>
              <w:t>下图</w:t>
            </w:r>
            <w:r>
              <w:rPr>
                <w:rFonts w:hint="default" w:ascii="Times New Roman" w:hAnsi="Times New Roman" w:eastAsia="宋体" w:cs="Times New Roman"/>
                <w:color w:val="auto"/>
                <w:highlight w:val="none"/>
                <w:u w:val="single"/>
                <w:lang w:val="en-US" w:eastAsia="zh-CN"/>
              </w:rPr>
              <w:t>）；2019年1月至2024年8月矿山投入资金约10万元对矿山废石堆场进行了清运，并采用人工复绿方式进行绿化治理，对进矿公路边坡、废石堆场地进行了覆土平整，覆土、栽种楠树（或红叶石楠），树间撒播草籽进行绿化。生态修复区覆土厚度0.3~0.5m，人工栽种苗木与撒播草种成活率80%左右，成活后的植被长势良好，覆盖率约占破坏面积的80%左右，生态修复面积1.29hm²，界外压占区（新设矿权不利用区域）均已得到修复治理。基本满足闭坑矿山生态保护修复要求。</w:t>
            </w:r>
          </w:p>
          <w:p w14:paraId="6A904619">
            <w:pPr>
              <w:ind w:left="0" w:leftChars="0" w:firstLine="0" w:firstLineChars="0"/>
              <w:rPr>
                <w:rFonts w:hint="eastAsia" w:eastAsia="宋体" w:cs="Times New Roman"/>
                <w:color w:val="auto"/>
                <w:highlight w:val="none"/>
                <w:lang w:val="en-US" w:eastAsia="zh-CN"/>
              </w:rPr>
            </w:pPr>
            <w:r>
              <w:rPr>
                <w:color w:val="auto"/>
                <w:highlight w:val="none"/>
              </w:rPr>
              <w:drawing>
                <wp:inline distT="0" distB="0" distL="114300" distR="114300">
                  <wp:extent cx="2447290" cy="1781175"/>
                  <wp:effectExtent l="0" t="0" r="1016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8"/>
                          <a:srcRect r="10346"/>
                          <a:stretch>
                            <a:fillRect/>
                          </a:stretch>
                        </pic:blipFill>
                        <pic:spPr>
                          <a:xfrm>
                            <a:off x="0" y="0"/>
                            <a:ext cx="2447290" cy="1781175"/>
                          </a:xfrm>
                          <a:prstGeom prst="rect">
                            <a:avLst/>
                          </a:prstGeom>
                          <a:noFill/>
                          <a:ln>
                            <a:noFill/>
                          </a:ln>
                        </pic:spPr>
                      </pic:pic>
                    </a:graphicData>
                  </a:graphic>
                </wp:inline>
              </w:drawing>
            </w:r>
            <w:r>
              <w:rPr>
                <w:rFonts w:hint="eastAsia"/>
                <w:color w:val="auto"/>
                <w:highlight w:val="none"/>
                <w:lang w:val="en-US" w:eastAsia="zh-CN"/>
              </w:rPr>
              <w:t xml:space="preserve"> </w:t>
            </w:r>
            <w:r>
              <w:rPr>
                <w:color w:val="auto"/>
                <w:highlight w:val="none"/>
              </w:rPr>
              <w:drawing>
                <wp:inline distT="0" distB="0" distL="114300" distR="114300">
                  <wp:extent cx="2456815" cy="1756410"/>
                  <wp:effectExtent l="0" t="0" r="635" b="152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9"/>
                          <a:stretch>
                            <a:fillRect/>
                          </a:stretch>
                        </pic:blipFill>
                        <pic:spPr>
                          <a:xfrm>
                            <a:off x="0" y="0"/>
                            <a:ext cx="2456815" cy="1756410"/>
                          </a:xfrm>
                          <a:prstGeom prst="rect">
                            <a:avLst/>
                          </a:prstGeom>
                          <a:noFill/>
                          <a:ln>
                            <a:noFill/>
                          </a:ln>
                        </pic:spPr>
                      </pic:pic>
                    </a:graphicData>
                  </a:graphic>
                </wp:inline>
              </w:drawing>
            </w:r>
          </w:p>
          <w:p w14:paraId="0DCF15E7">
            <w:pPr>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ascii="Times New Roman" w:hAnsi="Times New Roman" w:eastAsia="宋体" w:cs="Times New Roman"/>
                <w:b/>
                <w:bCs/>
                <w:color w:val="auto"/>
                <w:sz w:val="21"/>
                <w:szCs w:val="21"/>
                <w:highlight w:val="none"/>
                <w:u w:val="single"/>
                <w:lang w:val="en-US" w:eastAsia="zh-CN"/>
              </w:rPr>
              <w:t>图3-</w:t>
            </w:r>
            <w:r>
              <w:rPr>
                <w:rFonts w:hint="eastAsia" w:cs="Times New Roman"/>
                <w:b/>
                <w:bCs/>
                <w:color w:val="auto"/>
                <w:sz w:val="21"/>
                <w:szCs w:val="21"/>
                <w:highlight w:val="none"/>
                <w:u w:val="single"/>
                <w:lang w:val="en-US" w:eastAsia="zh-CN"/>
              </w:rPr>
              <w:t>1</w:t>
            </w:r>
            <w:r>
              <w:rPr>
                <w:rFonts w:hint="eastAsia" w:ascii="Times New Roman" w:hAnsi="Times New Roman" w:eastAsia="宋体" w:cs="Times New Roman"/>
                <w:b/>
                <w:bCs/>
                <w:color w:val="auto"/>
                <w:sz w:val="21"/>
                <w:szCs w:val="21"/>
                <w:highlight w:val="none"/>
                <w:u w:val="single"/>
                <w:lang w:val="en-US" w:eastAsia="zh-CN"/>
              </w:rPr>
              <w:t xml:space="preserve">  </w:t>
            </w:r>
            <w:r>
              <w:rPr>
                <w:rFonts w:hint="eastAsia" w:cs="Times New Roman"/>
                <w:b/>
                <w:bCs/>
                <w:color w:val="auto"/>
                <w:sz w:val="21"/>
                <w:szCs w:val="21"/>
                <w:highlight w:val="none"/>
                <w:u w:val="single"/>
                <w:lang w:val="en-US" w:eastAsia="zh-CN"/>
              </w:rPr>
              <w:t>废弃堆土区覆土复绿现状</w:t>
            </w:r>
          </w:p>
          <w:p w14:paraId="79469736">
            <w:pPr>
              <w:ind w:firstLine="480"/>
              <w:rPr>
                <w:rFonts w:hint="eastAsia" w:cs="Times New Roman"/>
                <w:color w:val="auto"/>
                <w:highlight w:val="none"/>
                <w:u w:val="single"/>
                <w:lang w:val="en-US" w:eastAsia="zh-CN"/>
              </w:rPr>
            </w:pPr>
            <w:r>
              <w:rPr>
                <w:rFonts w:hint="eastAsia" w:cs="Times New Roman"/>
                <w:color w:val="auto"/>
                <w:highlight w:val="none"/>
                <w:u w:val="single"/>
                <w:lang w:val="en-US" w:eastAsia="zh-CN"/>
              </w:rPr>
              <w:t xml:space="preserve"> 2、矿山水资源水生态修复与改善工程</w:t>
            </w:r>
          </w:p>
          <w:p w14:paraId="2726A861">
            <w:pPr>
              <w:ind w:firstLine="480"/>
              <w:rPr>
                <w:rFonts w:hint="eastAsia" w:cs="Times New Roman"/>
                <w:color w:val="auto"/>
                <w:highlight w:val="none"/>
                <w:lang w:val="en-US" w:eastAsia="zh-CN"/>
              </w:rPr>
            </w:pPr>
            <w:r>
              <w:rPr>
                <w:rFonts w:hint="eastAsia" w:cs="Times New Roman"/>
                <w:color w:val="auto"/>
                <w:highlight w:val="none"/>
                <w:u w:val="single"/>
                <w:lang w:val="en-US" w:eastAsia="zh-CN"/>
              </w:rPr>
              <w:t>矿山在进矿公路内侧、矿界北东侧外围修建了截排水沟，沉淀池。实施的水资源水生态修复与改善工程质量满足生态保护修复方案的要求。</w:t>
            </w:r>
          </w:p>
          <w:p w14:paraId="7FE0D0FD">
            <w:pPr>
              <w:ind w:left="0" w:leftChars="0" w:firstLine="0" w:firstLineChars="0"/>
              <w:rPr>
                <w:rFonts w:hint="eastAsia" w:eastAsia="宋体" w:cs="Times New Roman"/>
                <w:color w:val="auto"/>
                <w:highlight w:val="none"/>
                <w:lang w:val="en-US" w:eastAsia="zh-CN"/>
              </w:rPr>
            </w:pPr>
            <w:r>
              <w:rPr>
                <w:color w:val="auto"/>
                <w:highlight w:val="none"/>
              </w:rPr>
              <w:drawing>
                <wp:inline distT="0" distB="0" distL="114300" distR="114300">
                  <wp:extent cx="2506345" cy="1617980"/>
                  <wp:effectExtent l="0" t="0" r="8255" b="127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30"/>
                          <a:srcRect r="10811"/>
                          <a:stretch>
                            <a:fillRect/>
                          </a:stretch>
                        </pic:blipFill>
                        <pic:spPr>
                          <a:xfrm>
                            <a:off x="0" y="0"/>
                            <a:ext cx="2506345" cy="1617980"/>
                          </a:xfrm>
                          <a:prstGeom prst="rect">
                            <a:avLst/>
                          </a:prstGeom>
                          <a:noFill/>
                          <a:ln>
                            <a:noFill/>
                          </a:ln>
                        </pic:spPr>
                      </pic:pic>
                    </a:graphicData>
                  </a:graphic>
                </wp:inline>
              </w:drawing>
            </w:r>
            <w:r>
              <w:rPr>
                <w:rFonts w:hint="eastAsia"/>
                <w:color w:val="auto"/>
                <w:highlight w:val="none"/>
                <w:lang w:val="en-US" w:eastAsia="zh-CN"/>
              </w:rPr>
              <w:t xml:space="preserve"> </w:t>
            </w:r>
            <w:r>
              <w:rPr>
                <w:color w:val="auto"/>
                <w:highlight w:val="none"/>
              </w:rPr>
              <w:drawing>
                <wp:inline distT="0" distB="0" distL="114300" distR="114300">
                  <wp:extent cx="2399665" cy="1619250"/>
                  <wp:effectExtent l="0" t="0" r="635"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1"/>
                          <a:stretch>
                            <a:fillRect/>
                          </a:stretch>
                        </pic:blipFill>
                        <pic:spPr>
                          <a:xfrm>
                            <a:off x="0" y="0"/>
                            <a:ext cx="2399665" cy="1619250"/>
                          </a:xfrm>
                          <a:prstGeom prst="rect">
                            <a:avLst/>
                          </a:prstGeom>
                          <a:noFill/>
                          <a:ln>
                            <a:noFill/>
                          </a:ln>
                        </pic:spPr>
                      </pic:pic>
                    </a:graphicData>
                  </a:graphic>
                </wp:inline>
              </w:drawing>
            </w:r>
          </w:p>
          <w:p w14:paraId="53EF074D">
            <w:pPr>
              <w:ind w:left="0" w:leftChars="0" w:firstLine="0" w:firstLineChars="0"/>
              <w:jc w:val="center"/>
              <w:rPr>
                <w:rFonts w:hint="eastAsia" w:cs="Times New Roman"/>
                <w:color w:val="auto"/>
                <w:highlight w:val="none"/>
                <w:u w:val="single"/>
                <w:lang w:val="en-US" w:eastAsia="zh-CN"/>
              </w:rPr>
            </w:pPr>
            <w:r>
              <w:rPr>
                <w:rFonts w:hint="eastAsia" w:ascii="Times New Roman" w:hAnsi="Times New Roman" w:eastAsia="宋体" w:cs="Times New Roman"/>
                <w:b/>
                <w:bCs/>
                <w:color w:val="auto"/>
                <w:sz w:val="21"/>
                <w:szCs w:val="21"/>
                <w:highlight w:val="none"/>
                <w:u w:val="single"/>
                <w:lang w:val="en-US" w:eastAsia="zh-CN"/>
              </w:rPr>
              <w:t>图3-</w:t>
            </w:r>
            <w:r>
              <w:rPr>
                <w:rFonts w:hint="eastAsia" w:cs="Times New Roman"/>
                <w:b/>
                <w:bCs/>
                <w:color w:val="auto"/>
                <w:sz w:val="21"/>
                <w:szCs w:val="21"/>
                <w:highlight w:val="none"/>
                <w:u w:val="single"/>
                <w:lang w:val="en-US" w:eastAsia="zh-CN"/>
              </w:rPr>
              <w:t>2</w:t>
            </w:r>
            <w:r>
              <w:rPr>
                <w:rFonts w:hint="eastAsia" w:ascii="Times New Roman" w:hAnsi="Times New Roman" w:eastAsia="宋体" w:cs="Times New Roman"/>
                <w:b/>
                <w:bCs/>
                <w:color w:val="auto"/>
                <w:sz w:val="21"/>
                <w:szCs w:val="21"/>
                <w:highlight w:val="none"/>
                <w:u w:val="single"/>
                <w:lang w:val="en-US" w:eastAsia="zh-CN"/>
              </w:rPr>
              <w:t xml:space="preserve">  </w:t>
            </w:r>
            <w:r>
              <w:rPr>
                <w:rFonts w:hint="eastAsia" w:cs="Times New Roman"/>
                <w:b/>
                <w:bCs/>
                <w:color w:val="auto"/>
                <w:sz w:val="21"/>
                <w:szCs w:val="21"/>
                <w:highlight w:val="none"/>
                <w:u w:val="single"/>
                <w:lang w:val="en-US" w:eastAsia="zh-CN"/>
              </w:rPr>
              <w:t>矿山修建的排水沟沉淀池现状</w:t>
            </w:r>
          </w:p>
          <w:p w14:paraId="4C45DD84">
            <w:pPr>
              <w:ind w:firstLine="480"/>
              <w:rPr>
                <w:rFonts w:hint="eastAsia" w:cs="Times New Roman"/>
                <w:color w:val="auto"/>
                <w:highlight w:val="none"/>
                <w:u w:val="single"/>
                <w:lang w:val="en-US" w:eastAsia="zh-CN"/>
              </w:rPr>
            </w:pPr>
            <w:r>
              <w:rPr>
                <w:rFonts w:hint="eastAsia" w:cs="Times New Roman"/>
                <w:color w:val="auto"/>
                <w:highlight w:val="none"/>
                <w:u w:val="single"/>
                <w:lang w:val="en-US" w:eastAsia="zh-CN"/>
              </w:rPr>
              <w:t>3、矿山地质灾害防治工程</w:t>
            </w:r>
          </w:p>
          <w:p w14:paraId="3F493162">
            <w:pPr>
              <w:ind w:firstLine="480"/>
              <w:rPr>
                <w:rFonts w:hint="eastAsia" w:cs="Times New Roman"/>
                <w:color w:val="auto"/>
                <w:highlight w:val="none"/>
                <w:u w:val="single"/>
                <w:lang w:val="en-US" w:eastAsia="zh-CN"/>
              </w:rPr>
            </w:pPr>
            <w:r>
              <w:rPr>
                <w:rFonts w:hint="eastAsia" w:cs="Times New Roman"/>
                <w:color w:val="auto"/>
                <w:highlight w:val="none"/>
                <w:u w:val="single"/>
                <w:lang w:val="en-US" w:eastAsia="zh-CN"/>
              </w:rPr>
              <w:t>矿山对覆土复绿区域及工业场地区域边坡下沿采用浆砌块石修筑了挡土墙，本次调查未见破损。对部分不规范的陡峭边坡进行削坡减载。矿区地质安全隐患得到有效治理。</w:t>
            </w:r>
          </w:p>
          <w:p w14:paraId="704B870F">
            <w:pPr>
              <w:ind w:left="0" w:leftChars="0" w:firstLine="0" w:firstLineChars="0"/>
              <w:rPr>
                <w:rFonts w:hint="eastAsia" w:eastAsia="宋体" w:cs="Times New Roman"/>
                <w:color w:val="auto"/>
                <w:highlight w:val="none"/>
                <w:lang w:val="en-US" w:eastAsia="zh-CN"/>
              </w:rPr>
            </w:pPr>
            <w:r>
              <w:rPr>
                <w:color w:val="auto"/>
                <w:highlight w:val="none"/>
              </w:rPr>
              <w:drawing>
                <wp:inline distT="0" distB="0" distL="114300" distR="114300">
                  <wp:extent cx="2478405" cy="1695450"/>
                  <wp:effectExtent l="0" t="0" r="17145"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2"/>
                          <a:srcRect r="3952"/>
                          <a:stretch>
                            <a:fillRect/>
                          </a:stretch>
                        </pic:blipFill>
                        <pic:spPr>
                          <a:xfrm>
                            <a:off x="0" y="0"/>
                            <a:ext cx="2478405" cy="1695450"/>
                          </a:xfrm>
                          <a:prstGeom prst="rect">
                            <a:avLst/>
                          </a:prstGeom>
                          <a:noFill/>
                          <a:ln>
                            <a:noFill/>
                          </a:ln>
                        </pic:spPr>
                      </pic:pic>
                    </a:graphicData>
                  </a:graphic>
                </wp:inline>
              </w:drawing>
            </w:r>
            <w:r>
              <w:rPr>
                <w:rFonts w:hint="eastAsia"/>
                <w:color w:val="auto"/>
                <w:highlight w:val="none"/>
                <w:lang w:val="en-US" w:eastAsia="zh-CN"/>
              </w:rPr>
              <w:t xml:space="preserve"> </w:t>
            </w:r>
            <w:r>
              <w:rPr>
                <w:color w:val="auto"/>
                <w:highlight w:val="none"/>
              </w:rPr>
              <w:drawing>
                <wp:inline distT="0" distB="0" distL="114300" distR="114300">
                  <wp:extent cx="2410460" cy="1694815"/>
                  <wp:effectExtent l="0" t="0" r="8890" b="63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3"/>
                          <a:stretch>
                            <a:fillRect/>
                          </a:stretch>
                        </pic:blipFill>
                        <pic:spPr>
                          <a:xfrm>
                            <a:off x="0" y="0"/>
                            <a:ext cx="2410460" cy="1694815"/>
                          </a:xfrm>
                          <a:prstGeom prst="rect">
                            <a:avLst/>
                          </a:prstGeom>
                          <a:noFill/>
                          <a:ln>
                            <a:noFill/>
                          </a:ln>
                        </pic:spPr>
                      </pic:pic>
                    </a:graphicData>
                  </a:graphic>
                </wp:inline>
              </w:drawing>
            </w:r>
          </w:p>
          <w:p w14:paraId="7D4930C8">
            <w:pPr>
              <w:ind w:left="0" w:leftChars="0" w:firstLine="0" w:firstLineChars="0"/>
              <w:jc w:val="center"/>
              <w:rPr>
                <w:rFonts w:hint="default" w:cs="Times New Roman"/>
                <w:color w:val="auto"/>
                <w:highlight w:val="none"/>
                <w:lang w:val="en-US" w:eastAsia="zh-CN"/>
              </w:rPr>
            </w:pPr>
            <w:r>
              <w:rPr>
                <w:rFonts w:hint="eastAsia" w:ascii="Times New Roman" w:hAnsi="Times New Roman" w:eastAsia="宋体" w:cs="Times New Roman"/>
                <w:b/>
                <w:bCs/>
                <w:color w:val="auto"/>
                <w:sz w:val="21"/>
                <w:szCs w:val="21"/>
                <w:highlight w:val="none"/>
                <w:u w:val="single"/>
                <w:lang w:val="en-US" w:eastAsia="zh-CN"/>
              </w:rPr>
              <w:t>图3-</w:t>
            </w:r>
            <w:r>
              <w:rPr>
                <w:rFonts w:hint="eastAsia" w:cs="Times New Roman"/>
                <w:b/>
                <w:bCs/>
                <w:color w:val="auto"/>
                <w:sz w:val="21"/>
                <w:szCs w:val="21"/>
                <w:highlight w:val="none"/>
                <w:u w:val="single"/>
                <w:lang w:val="en-US" w:eastAsia="zh-CN"/>
              </w:rPr>
              <w:t>3</w:t>
            </w:r>
            <w:r>
              <w:rPr>
                <w:rFonts w:hint="eastAsia" w:ascii="Times New Roman" w:hAnsi="Times New Roman" w:eastAsia="宋体" w:cs="Times New Roman"/>
                <w:b/>
                <w:bCs/>
                <w:color w:val="auto"/>
                <w:sz w:val="21"/>
                <w:szCs w:val="21"/>
                <w:highlight w:val="none"/>
                <w:u w:val="single"/>
                <w:lang w:val="en-US" w:eastAsia="zh-CN"/>
              </w:rPr>
              <w:t xml:space="preserve">  </w:t>
            </w:r>
            <w:r>
              <w:rPr>
                <w:rFonts w:hint="eastAsia" w:cs="Times New Roman"/>
                <w:b/>
                <w:bCs/>
                <w:color w:val="auto"/>
                <w:sz w:val="21"/>
                <w:szCs w:val="21"/>
                <w:highlight w:val="none"/>
                <w:u w:val="single"/>
                <w:lang w:val="en-US" w:eastAsia="zh-CN"/>
              </w:rPr>
              <w:t>矿山挡土墙现状</w:t>
            </w:r>
          </w:p>
        </w:tc>
      </w:tr>
      <w:tr w14:paraId="69A9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54F4D6B">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生态环境保护</w:t>
            </w:r>
          </w:p>
          <w:p w14:paraId="701B2064">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目标</w:t>
            </w:r>
          </w:p>
        </w:tc>
        <w:tc>
          <w:tcPr>
            <w:tcW w:w="8101" w:type="dxa"/>
          </w:tcPr>
          <w:p w14:paraId="6B82052F">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1、生态环境保护目标</w:t>
            </w:r>
          </w:p>
          <w:p w14:paraId="2DD95893">
            <w:pPr>
              <w:ind w:firstLine="480"/>
              <w:rPr>
                <w:rFonts w:hint="default" w:ascii="Times New Roman" w:hAnsi="Times New Roman" w:cs="Times New Roman"/>
                <w:color w:val="auto"/>
                <w:highlight w:val="none"/>
              </w:rPr>
            </w:pPr>
            <w:r>
              <w:rPr>
                <w:rFonts w:hint="eastAsia" w:ascii="Times New Roman" w:hAnsi="Times New Roman" w:eastAsia="宋体" w:cs="Times New Roman"/>
                <w:color w:val="auto"/>
                <w:szCs w:val="24"/>
                <w:highlight w:val="none"/>
                <w:u w:val="single"/>
                <w:lang w:val="en-US" w:eastAsia="zh-CN"/>
              </w:rPr>
              <w:t>项目区域周边自然保护区有湖南澧洲</w:t>
            </w:r>
            <w:r>
              <w:rPr>
                <w:rFonts w:hint="default" w:ascii="Times New Roman" w:hAnsi="Times New Roman" w:eastAsia="宋体" w:cs="Times New Roman"/>
                <w:color w:val="auto"/>
                <w:szCs w:val="24"/>
                <w:highlight w:val="none"/>
                <w:u w:val="single"/>
                <w:lang w:val="en-US" w:eastAsia="zh-CN"/>
              </w:rPr>
              <w:t>涔槐</w:t>
            </w:r>
            <w:r>
              <w:rPr>
                <w:rFonts w:hint="eastAsia" w:ascii="Times New Roman" w:hAnsi="Times New Roman" w:eastAsia="宋体" w:cs="Times New Roman"/>
                <w:color w:val="auto"/>
                <w:szCs w:val="24"/>
                <w:highlight w:val="none"/>
                <w:u w:val="single"/>
                <w:lang w:val="en-US" w:eastAsia="zh-CN"/>
              </w:rPr>
              <w:t>国家湿地公园和湖南澧县天供山省级自然公园，本项目距湖南澧洲</w:t>
            </w:r>
            <w:r>
              <w:rPr>
                <w:rFonts w:hint="default" w:ascii="Times New Roman" w:hAnsi="Times New Roman" w:eastAsia="宋体" w:cs="Times New Roman"/>
                <w:color w:val="auto"/>
                <w:szCs w:val="24"/>
                <w:highlight w:val="none"/>
                <w:u w:val="single"/>
                <w:lang w:val="en-US" w:eastAsia="zh-CN"/>
              </w:rPr>
              <w:t>涔槐</w:t>
            </w:r>
            <w:r>
              <w:rPr>
                <w:rFonts w:hint="eastAsia" w:ascii="Times New Roman" w:hAnsi="Times New Roman" w:eastAsia="宋体" w:cs="Times New Roman"/>
                <w:color w:val="auto"/>
                <w:szCs w:val="24"/>
                <w:highlight w:val="none"/>
                <w:u w:val="single"/>
                <w:lang w:val="en-US" w:eastAsia="zh-CN"/>
              </w:rPr>
              <w:t>国家湿地公园最近距离约1.7km，距离湖南澧县天供山省级自然公园最近距离约4km（位置关系见附图8），不在本项目生态评价范围内。</w:t>
            </w:r>
            <w:r>
              <w:rPr>
                <w:rFonts w:hint="default" w:ascii="Times New Roman" w:hAnsi="Times New Roman" w:cs="Times New Roman"/>
                <w:color w:val="auto"/>
                <w:highlight w:val="none"/>
                <w:u w:val="single"/>
              </w:rPr>
              <w:t>项目矿山周边不存在自然保护区、风景名胜区，属于一般生态区域，不存在遭到占用、损失难以预防、恢复的生态功能区；也不存在森林公园、原始森林等生态敏感区，项目矿山与生态保护红线无重叠。因此，项目生态环境保护目标主要为矿山周边植被及动物。</w:t>
            </w:r>
          </w:p>
          <w:p w14:paraId="2B4A3AAC">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表3-</w:t>
            </w:r>
            <w:r>
              <w:rPr>
                <w:rFonts w:hint="eastAsia" w:cs="Times New Roman"/>
                <w:b/>
                <w:bCs/>
                <w:color w:val="auto"/>
                <w:sz w:val="21"/>
                <w:szCs w:val="21"/>
                <w:highlight w:val="none"/>
                <w:u w:val="single"/>
                <w:lang w:val="en-US" w:eastAsia="zh-CN"/>
              </w:rPr>
              <w:t>6</w:t>
            </w:r>
            <w:r>
              <w:rPr>
                <w:rFonts w:hint="default" w:ascii="Times New Roman" w:hAnsi="Times New Roman" w:cs="Times New Roman"/>
                <w:b/>
                <w:bCs/>
                <w:color w:val="auto"/>
                <w:sz w:val="21"/>
                <w:szCs w:val="21"/>
                <w:highlight w:val="none"/>
                <w:u w:val="single"/>
              </w:rPr>
              <w:t xml:space="preserve">  项目生态环境保护目标</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372"/>
              <w:gridCol w:w="2130"/>
              <w:gridCol w:w="911"/>
              <w:gridCol w:w="1948"/>
            </w:tblGrid>
            <w:tr w14:paraId="0B68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9" w:type="dxa"/>
                  <w:vAlign w:val="center"/>
                </w:tcPr>
                <w:p w14:paraId="667DD7F1">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保护对象</w:t>
                  </w:r>
                </w:p>
              </w:tc>
              <w:tc>
                <w:tcPr>
                  <w:tcW w:w="1372" w:type="dxa"/>
                  <w:vAlign w:val="center"/>
                </w:tcPr>
                <w:p w14:paraId="01E830AF">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功能区类别</w:t>
                  </w:r>
                </w:p>
              </w:tc>
              <w:tc>
                <w:tcPr>
                  <w:tcW w:w="2130" w:type="dxa"/>
                  <w:vAlign w:val="center"/>
                </w:tcPr>
                <w:p w14:paraId="67EC5A42">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相对厂址方向</w:t>
                  </w:r>
                </w:p>
              </w:tc>
              <w:tc>
                <w:tcPr>
                  <w:tcW w:w="911" w:type="dxa"/>
                  <w:vAlign w:val="center"/>
                </w:tcPr>
                <w:p w14:paraId="723FBEEA">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距离</w:t>
                  </w:r>
                </w:p>
              </w:tc>
              <w:tc>
                <w:tcPr>
                  <w:tcW w:w="1948" w:type="dxa"/>
                  <w:vAlign w:val="center"/>
                </w:tcPr>
                <w:p w14:paraId="402B8A82">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保护要求</w:t>
                  </w:r>
                </w:p>
              </w:tc>
            </w:tr>
            <w:tr w14:paraId="75D2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9" w:type="dxa"/>
                  <w:vAlign w:val="center"/>
                </w:tcPr>
                <w:p w14:paraId="7B2FCF53">
                  <w:pPr>
                    <w:spacing w:line="276"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原始植被及野生动物</w:t>
                  </w:r>
                </w:p>
              </w:tc>
              <w:tc>
                <w:tcPr>
                  <w:tcW w:w="1372" w:type="dxa"/>
                  <w:vAlign w:val="center"/>
                </w:tcPr>
                <w:p w14:paraId="69F6B352">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一般生态区域</w:t>
                  </w:r>
                </w:p>
              </w:tc>
              <w:tc>
                <w:tcPr>
                  <w:tcW w:w="2130" w:type="dxa"/>
                  <w:vAlign w:val="center"/>
                </w:tcPr>
                <w:p w14:paraId="13FDD1C6">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项目</w:t>
                  </w:r>
                  <w:r>
                    <w:rPr>
                      <w:rFonts w:hint="eastAsia" w:cs="Times New Roman"/>
                      <w:color w:val="auto"/>
                      <w:sz w:val="21"/>
                      <w:szCs w:val="21"/>
                      <w:highlight w:val="none"/>
                      <w:u w:val="single"/>
                      <w:lang w:val="en-US" w:eastAsia="zh-CN"/>
                    </w:rPr>
                    <w:t>矿山及工业场地厂界四周3</w:t>
                  </w:r>
                  <w:r>
                    <w:rPr>
                      <w:rFonts w:hint="default" w:ascii="Times New Roman" w:hAnsi="Times New Roman" w:cs="Times New Roman"/>
                      <w:color w:val="auto"/>
                      <w:sz w:val="21"/>
                      <w:szCs w:val="21"/>
                      <w:highlight w:val="none"/>
                      <w:u w:val="single"/>
                    </w:rPr>
                    <w:t>00m范围</w:t>
                  </w:r>
                </w:p>
              </w:tc>
              <w:tc>
                <w:tcPr>
                  <w:tcW w:w="911" w:type="dxa"/>
                  <w:vAlign w:val="center"/>
                </w:tcPr>
                <w:p w14:paraId="0B160EF9">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3</w:t>
                  </w:r>
                  <w:r>
                    <w:rPr>
                      <w:rFonts w:hint="default" w:ascii="Times New Roman" w:hAnsi="Times New Roman" w:cs="Times New Roman"/>
                      <w:color w:val="auto"/>
                      <w:sz w:val="21"/>
                      <w:szCs w:val="21"/>
                      <w:highlight w:val="none"/>
                      <w:u w:val="single"/>
                    </w:rPr>
                    <w:t>00m</w:t>
                  </w:r>
                </w:p>
              </w:tc>
              <w:tc>
                <w:tcPr>
                  <w:tcW w:w="1948" w:type="dxa"/>
                  <w:vAlign w:val="center"/>
                </w:tcPr>
                <w:p w14:paraId="35407488">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不遭到占用、损失及难以预防恢复的破坏</w:t>
                  </w:r>
                </w:p>
              </w:tc>
            </w:tr>
          </w:tbl>
          <w:p w14:paraId="3A830F39">
            <w:pPr>
              <w:spacing w:before="156" w:beforeLines="50"/>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2、大气环境保护目标</w:t>
            </w:r>
          </w:p>
          <w:p w14:paraId="2F9F269B">
            <w:pPr>
              <w:keepNext w:val="0"/>
              <w:keepLines w:val="0"/>
              <w:widowControl/>
              <w:suppressLineNumbers w:val="0"/>
              <w:jc w:val="left"/>
              <w:rPr>
                <w:rFonts w:hint="default" w:ascii="Times New Roman" w:hAnsi="Times New Roman" w:cs="Times New Roman"/>
                <w:b/>
                <w:bCs/>
                <w:color w:val="auto"/>
                <w:sz w:val="21"/>
                <w:szCs w:val="21"/>
                <w:highlight w:val="none"/>
                <w:u w:val="none"/>
              </w:rPr>
            </w:pPr>
            <w:r>
              <w:rPr>
                <w:rFonts w:hint="eastAsia" w:ascii="宋体" w:hAnsi="宋体" w:eastAsia="宋体" w:cs="宋体"/>
                <w:color w:val="auto"/>
                <w:kern w:val="0"/>
                <w:sz w:val="24"/>
                <w:szCs w:val="24"/>
                <w:highlight w:val="none"/>
                <w:lang w:val="en-US" w:eastAsia="zh-CN" w:bidi="ar"/>
              </w:rPr>
              <w:t xml:space="preserve">本项目不涉及自然保护区、风景名胜区等生态敏感区，大气环境保护目标主要为周边 </w:t>
            </w:r>
            <w:r>
              <w:rPr>
                <w:rFonts w:hint="default" w:ascii="Times New Roman" w:hAnsi="Times New Roman" w:eastAsia="宋体" w:cs="Times New Roman"/>
                <w:color w:val="auto"/>
                <w:kern w:val="0"/>
                <w:sz w:val="24"/>
                <w:szCs w:val="24"/>
                <w:highlight w:val="none"/>
                <w:lang w:val="en-US" w:eastAsia="zh-CN" w:bidi="ar"/>
              </w:rPr>
              <w:t xml:space="preserve">500m </w:t>
            </w:r>
            <w:r>
              <w:rPr>
                <w:rFonts w:hint="eastAsia" w:ascii="宋体" w:hAnsi="宋体" w:eastAsia="宋体" w:cs="宋体"/>
                <w:color w:val="auto"/>
                <w:kern w:val="0"/>
                <w:sz w:val="24"/>
                <w:szCs w:val="24"/>
                <w:highlight w:val="none"/>
                <w:lang w:val="en-US" w:eastAsia="zh-CN" w:bidi="ar"/>
              </w:rPr>
              <w:t>范围内的居民。</w:t>
            </w:r>
          </w:p>
          <w:p w14:paraId="4262C6AE">
            <w:pPr>
              <w:ind w:firstLine="0" w:firstLineChars="0"/>
              <w:jc w:val="center"/>
              <w:rPr>
                <w:rFonts w:hint="eastAsia" w:ascii="Times New Roman" w:hAnsi="Times New Roman" w:eastAsia="宋体" w:cs="Times New Roman"/>
                <w:b/>
                <w:bCs/>
                <w:color w:val="auto"/>
                <w:sz w:val="21"/>
                <w:szCs w:val="21"/>
                <w:highlight w:val="none"/>
                <w:u w:val="single"/>
                <w:lang w:eastAsia="zh-CN"/>
              </w:rPr>
            </w:pPr>
            <w:r>
              <w:rPr>
                <w:rFonts w:hint="default" w:ascii="Times New Roman" w:hAnsi="Times New Roman" w:cs="Times New Roman"/>
                <w:b/>
                <w:bCs/>
                <w:color w:val="auto"/>
                <w:sz w:val="21"/>
                <w:szCs w:val="21"/>
                <w:highlight w:val="none"/>
                <w:u w:val="single"/>
              </w:rPr>
              <w:t>表3-</w:t>
            </w:r>
            <w:r>
              <w:rPr>
                <w:rFonts w:hint="eastAsia" w:cs="Times New Roman"/>
                <w:b/>
                <w:bCs/>
                <w:color w:val="auto"/>
                <w:sz w:val="21"/>
                <w:szCs w:val="21"/>
                <w:highlight w:val="none"/>
                <w:u w:val="single"/>
                <w:lang w:val="en-US" w:eastAsia="zh-CN"/>
              </w:rPr>
              <w:t>7</w:t>
            </w:r>
            <w:r>
              <w:rPr>
                <w:rFonts w:hint="default" w:ascii="Times New Roman" w:hAnsi="Times New Roman" w:cs="Times New Roman"/>
                <w:b/>
                <w:bCs/>
                <w:color w:val="auto"/>
                <w:sz w:val="21"/>
                <w:szCs w:val="21"/>
                <w:highlight w:val="none"/>
                <w:u w:val="single"/>
              </w:rPr>
              <w:t xml:space="preserve">  环境空气保护目标</w:t>
            </w:r>
            <w:r>
              <w:rPr>
                <w:rFonts w:hint="eastAsia" w:cs="Times New Roman"/>
                <w:b/>
                <w:bCs/>
                <w:color w:val="auto"/>
                <w:sz w:val="21"/>
                <w:szCs w:val="21"/>
                <w:highlight w:val="none"/>
                <w:u w:val="single"/>
                <w:lang w:eastAsia="zh-CN"/>
              </w:rPr>
              <w:t>（</w:t>
            </w:r>
            <w:r>
              <w:rPr>
                <w:rFonts w:hint="eastAsia" w:cs="Times New Roman"/>
                <w:b/>
                <w:bCs/>
                <w:color w:val="auto"/>
                <w:sz w:val="21"/>
                <w:szCs w:val="21"/>
                <w:highlight w:val="none"/>
                <w:u w:val="single"/>
                <w:lang w:val="en-US" w:eastAsia="zh-CN"/>
              </w:rPr>
              <w:t>现状</w:t>
            </w:r>
            <w:r>
              <w:rPr>
                <w:rFonts w:hint="eastAsia" w:cs="Times New Roman"/>
                <w:b/>
                <w:bCs/>
                <w:color w:val="auto"/>
                <w:sz w:val="21"/>
                <w:szCs w:val="21"/>
                <w:highlight w:val="none"/>
                <w:u w:val="single"/>
                <w:lang w:eastAsia="zh-CN"/>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87"/>
              <w:gridCol w:w="1596"/>
              <w:gridCol w:w="766"/>
              <w:gridCol w:w="695"/>
              <w:gridCol w:w="981"/>
              <w:gridCol w:w="1265"/>
              <w:gridCol w:w="1198"/>
            </w:tblGrid>
            <w:tr w14:paraId="38C2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14:paraId="719F6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区域</w:t>
                  </w:r>
                </w:p>
              </w:tc>
              <w:tc>
                <w:tcPr>
                  <w:tcW w:w="436" w:type="pct"/>
                  <w:vAlign w:val="center"/>
                </w:tcPr>
                <w:p w14:paraId="58BF9A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名称</w:t>
                  </w:r>
                </w:p>
              </w:tc>
              <w:tc>
                <w:tcPr>
                  <w:tcW w:w="1013" w:type="pct"/>
                  <w:vAlign w:val="center"/>
                </w:tcPr>
                <w:p w14:paraId="54445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坐标</w:t>
                  </w:r>
                </w:p>
              </w:tc>
              <w:tc>
                <w:tcPr>
                  <w:tcW w:w="486" w:type="pct"/>
                  <w:vAlign w:val="center"/>
                </w:tcPr>
                <w:p w14:paraId="7E4FD2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保护对象</w:t>
                  </w:r>
                </w:p>
              </w:tc>
              <w:tc>
                <w:tcPr>
                  <w:tcW w:w="441" w:type="pct"/>
                  <w:vAlign w:val="center"/>
                </w:tcPr>
                <w:p w14:paraId="13090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保护内容</w:t>
                  </w:r>
                </w:p>
              </w:tc>
              <w:tc>
                <w:tcPr>
                  <w:tcW w:w="622" w:type="pct"/>
                  <w:vAlign w:val="center"/>
                </w:tcPr>
                <w:p w14:paraId="6B7385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保护功能区</w:t>
                  </w:r>
                </w:p>
              </w:tc>
              <w:tc>
                <w:tcPr>
                  <w:tcW w:w="803" w:type="pct"/>
                  <w:vAlign w:val="center"/>
                </w:tcPr>
                <w:p w14:paraId="41A7A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相对</w:t>
                  </w:r>
                  <w:r>
                    <w:rPr>
                      <w:rFonts w:hint="eastAsia" w:cs="Times New Roman"/>
                      <w:b/>
                      <w:bCs/>
                      <w:color w:val="auto"/>
                      <w:sz w:val="21"/>
                      <w:szCs w:val="21"/>
                      <w:highlight w:val="none"/>
                      <w:u w:val="single"/>
                      <w:lang w:val="en-US" w:eastAsia="zh-CN"/>
                    </w:rPr>
                    <w:t>厂界</w:t>
                  </w:r>
                  <w:r>
                    <w:rPr>
                      <w:rFonts w:hint="default" w:ascii="Times New Roman" w:hAnsi="Times New Roman" w:cs="Times New Roman"/>
                      <w:b/>
                      <w:bCs/>
                      <w:color w:val="auto"/>
                      <w:sz w:val="21"/>
                      <w:szCs w:val="21"/>
                      <w:highlight w:val="none"/>
                      <w:u w:val="single"/>
                    </w:rPr>
                    <w:t>方位</w:t>
                  </w:r>
                </w:p>
              </w:tc>
              <w:tc>
                <w:tcPr>
                  <w:tcW w:w="760" w:type="pct"/>
                  <w:vAlign w:val="center"/>
                </w:tcPr>
                <w:p w14:paraId="6CF5F0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相对厂界距离/m</w:t>
                  </w:r>
                </w:p>
              </w:tc>
            </w:tr>
            <w:tr w14:paraId="5364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272B9B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矿区</w:t>
                  </w:r>
                </w:p>
              </w:tc>
              <w:tc>
                <w:tcPr>
                  <w:tcW w:w="436" w:type="pct"/>
                  <w:vAlign w:val="center"/>
                </w:tcPr>
                <w:p w14:paraId="325966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屠夫垭</w:t>
                  </w:r>
                </w:p>
              </w:tc>
              <w:tc>
                <w:tcPr>
                  <w:tcW w:w="1013" w:type="pct"/>
                  <w:vAlign w:val="center"/>
                </w:tcPr>
                <w:p w14:paraId="27E86B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111.485666434,29.866214624</w:t>
                  </w:r>
                </w:p>
              </w:tc>
              <w:tc>
                <w:tcPr>
                  <w:tcW w:w="486" w:type="pct"/>
                  <w:vAlign w:val="center"/>
                </w:tcPr>
                <w:p w14:paraId="7A594B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6DD49C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36</w:t>
                  </w:r>
                  <w:r>
                    <w:rPr>
                      <w:rFonts w:hint="default" w:ascii="Times New Roman" w:hAnsi="Times New Roman" w:eastAsia="宋体" w:cs="Times New Roman"/>
                      <w:color w:val="auto"/>
                      <w:sz w:val="21"/>
                      <w:szCs w:val="21"/>
                      <w:highlight w:val="none"/>
                      <w:u w:val="single"/>
                    </w:rPr>
                    <w:t>户</w:t>
                  </w:r>
                </w:p>
              </w:tc>
              <w:tc>
                <w:tcPr>
                  <w:tcW w:w="622" w:type="pct"/>
                  <w:vAlign w:val="center"/>
                </w:tcPr>
                <w:p w14:paraId="0470F2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05CCB6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东</w:t>
                  </w:r>
                  <w:r>
                    <w:rPr>
                      <w:rFonts w:hint="default" w:ascii="Times New Roman" w:hAnsi="Times New Roman" w:eastAsia="宋体" w:cs="Times New Roman"/>
                      <w:color w:val="auto"/>
                      <w:sz w:val="21"/>
                      <w:szCs w:val="21"/>
                      <w:highlight w:val="none"/>
                      <w:u w:val="single"/>
                    </w:rPr>
                    <w:t>面</w:t>
                  </w:r>
                </w:p>
              </w:tc>
              <w:tc>
                <w:tcPr>
                  <w:tcW w:w="760" w:type="pct"/>
                  <w:vAlign w:val="center"/>
                </w:tcPr>
                <w:p w14:paraId="6B5D89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11</w:t>
                  </w:r>
                  <w:r>
                    <w:rPr>
                      <w:rFonts w:hint="eastAsia" w:ascii="Times New Roman" w:hAnsi="Times New Roman" w:eastAsia="宋体" w:cs="Times New Roman"/>
                      <w:color w:val="auto"/>
                      <w:sz w:val="21"/>
                      <w:szCs w:val="21"/>
                      <w:highlight w:val="none"/>
                      <w:u w:val="single"/>
                      <w:lang w:val="en-US" w:eastAsia="zh-CN"/>
                    </w:rPr>
                    <w:t>0</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eastAsia" w:ascii="Times New Roman" w:hAnsi="Times New Roman" w:eastAsia="宋体" w:cs="Times New Roman"/>
                      <w:color w:val="auto"/>
                      <w:sz w:val="21"/>
                      <w:szCs w:val="21"/>
                      <w:highlight w:val="none"/>
                      <w:u w:val="single"/>
                      <w:lang w:val="en-US" w:eastAsia="zh-CN"/>
                    </w:rPr>
                    <w:t>0</w:t>
                  </w:r>
                </w:p>
              </w:tc>
            </w:tr>
            <w:tr w14:paraId="50E5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6A57E6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248226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郑家屋场</w:t>
                  </w:r>
                </w:p>
              </w:tc>
              <w:tc>
                <w:tcPr>
                  <w:tcW w:w="1013" w:type="pct"/>
                  <w:vAlign w:val="center"/>
                </w:tcPr>
                <w:p w14:paraId="12831C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111.483595769,29.870098463</w:t>
                  </w:r>
                </w:p>
              </w:tc>
              <w:tc>
                <w:tcPr>
                  <w:tcW w:w="486" w:type="pct"/>
                  <w:vAlign w:val="center"/>
                </w:tcPr>
                <w:p w14:paraId="34429B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43DFB2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35</w:t>
                  </w:r>
                  <w:r>
                    <w:rPr>
                      <w:rFonts w:hint="default" w:ascii="Times New Roman" w:hAnsi="Times New Roman" w:eastAsia="宋体" w:cs="Times New Roman"/>
                      <w:color w:val="auto"/>
                      <w:sz w:val="21"/>
                      <w:szCs w:val="21"/>
                      <w:highlight w:val="none"/>
                      <w:u w:val="single"/>
                    </w:rPr>
                    <w:t>户</w:t>
                  </w:r>
                </w:p>
              </w:tc>
              <w:tc>
                <w:tcPr>
                  <w:tcW w:w="622" w:type="pct"/>
                  <w:vAlign w:val="center"/>
                </w:tcPr>
                <w:p w14:paraId="170E89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7BE94B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北</w:t>
                  </w:r>
                  <w:r>
                    <w:rPr>
                      <w:rFonts w:hint="default" w:ascii="Times New Roman" w:hAnsi="Times New Roman" w:eastAsia="宋体" w:cs="Times New Roman"/>
                      <w:color w:val="auto"/>
                      <w:sz w:val="21"/>
                      <w:szCs w:val="21"/>
                      <w:highlight w:val="none"/>
                      <w:u w:val="single"/>
                    </w:rPr>
                    <w:t>面</w:t>
                  </w:r>
                </w:p>
              </w:tc>
              <w:tc>
                <w:tcPr>
                  <w:tcW w:w="760" w:type="pct"/>
                  <w:vAlign w:val="center"/>
                </w:tcPr>
                <w:p w14:paraId="3D43D4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280-500</w:t>
                  </w:r>
                </w:p>
              </w:tc>
            </w:tr>
            <w:tr w14:paraId="43B8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54A01E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4CC371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水氽洞村村</w:t>
                  </w:r>
                </w:p>
              </w:tc>
              <w:tc>
                <w:tcPr>
                  <w:tcW w:w="1013" w:type="pct"/>
                  <w:vAlign w:val="center"/>
                </w:tcPr>
                <w:p w14:paraId="0E246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111.482662360,29.861901632</w:t>
                  </w:r>
                </w:p>
              </w:tc>
              <w:tc>
                <w:tcPr>
                  <w:tcW w:w="486" w:type="pct"/>
                  <w:vAlign w:val="center"/>
                </w:tcPr>
                <w:p w14:paraId="2F7CF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369A66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28</w:t>
                  </w:r>
                  <w:r>
                    <w:rPr>
                      <w:rFonts w:hint="default" w:ascii="Times New Roman" w:hAnsi="Times New Roman" w:eastAsia="宋体" w:cs="Times New Roman"/>
                      <w:color w:val="auto"/>
                      <w:sz w:val="21"/>
                      <w:szCs w:val="21"/>
                      <w:highlight w:val="none"/>
                      <w:u w:val="single"/>
                    </w:rPr>
                    <w:t>户</w:t>
                  </w:r>
                </w:p>
              </w:tc>
              <w:tc>
                <w:tcPr>
                  <w:tcW w:w="622" w:type="pct"/>
                  <w:vAlign w:val="center"/>
                </w:tcPr>
                <w:p w14:paraId="08EABD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4E6019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南</w:t>
                  </w:r>
                  <w:r>
                    <w:rPr>
                      <w:rFonts w:hint="default" w:ascii="Times New Roman" w:hAnsi="Times New Roman" w:eastAsia="宋体" w:cs="Times New Roman"/>
                      <w:color w:val="auto"/>
                      <w:sz w:val="21"/>
                      <w:szCs w:val="21"/>
                      <w:highlight w:val="none"/>
                      <w:u w:val="single"/>
                    </w:rPr>
                    <w:t>面</w:t>
                  </w:r>
                </w:p>
              </w:tc>
              <w:tc>
                <w:tcPr>
                  <w:tcW w:w="760" w:type="pct"/>
                  <w:vAlign w:val="center"/>
                </w:tcPr>
                <w:p w14:paraId="351181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160</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default" w:ascii="Times New Roman" w:hAnsi="Times New Roman" w:eastAsia="宋体" w:cs="Times New Roman"/>
                      <w:color w:val="auto"/>
                      <w:sz w:val="21"/>
                      <w:szCs w:val="21"/>
                      <w:highlight w:val="none"/>
                      <w:u w:val="single"/>
                    </w:rPr>
                    <w:t>0</w:t>
                  </w:r>
                </w:p>
              </w:tc>
            </w:tr>
            <w:tr w14:paraId="4EA9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08CF4D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29F3E2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芦桥村</w:t>
                  </w:r>
                </w:p>
              </w:tc>
              <w:tc>
                <w:tcPr>
                  <w:tcW w:w="1013" w:type="pct"/>
                  <w:vAlign w:val="center"/>
                </w:tcPr>
                <w:p w14:paraId="3A255B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111.478478114,29.870409599</w:t>
                  </w:r>
                </w:p>
              </w:tc>
              <w:tc>
                <w:tcPr>
                  <w:tcW w:w="486" w:type="pct"/>
                  <w:vAlign w:val="center"/>
                </w:tcPr>
                <w:p w14:paraId="37B84F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2BD4D5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4</w:t>
                  </w:r>
                  <w:r>
                    <w:rPr>
                      <w:rFonts w:hint="eastAsia" w:cs="Times New Roman"/>
                      <w:color w:val="auto"/>
                      <w:sz w:val="21"/>
                      <w:szCs w:val="21"/>
                      <w:highlight w:val="none"/>
                      <w:u w:val="single"/>
                      <w:lang w:val="en-US" w:eastAsia="zh-CN"/>
                    </w:rPr>
                    <w:t>2</w:t>
                  </w:r>
                  <w:r>
                    <w:rPr>
                      <w:rFonts w:hint="eastAsia" w:ascii="Times New Roman" w:hAnsi="Times New Roman" w:eastAsia="宋体" w:cs="Times New Roman"/>
                      <w:color w:val="auto"/>
                      <w:sz w:val="21"/>
                      <w:szCs w:val="21"/>
                      <w:highlight w:val="none"/>
                      <w:u w:val="single"/>
                      <w:lang w:val="en-US" w:eastAsia="zh-CN"/>
                    </w:rPr>
                    <w:t>户</w:t>
                  </w:r>
                </w:p>
              </w:tc>
              <w:tc>
                <w:tcPr>
                  <w:tcW w:w="622" w:type="pct"/>
                  <w:vAlign w:val="center"/>
                </w:tcPr>
                <w:p w14:paraId="47802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794A85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西面</w:t>
                  </w:r>
                </w:p>
              </w:tc>
              <w:tc>
                <w:tcPr>
                  <w:tcW w:w="760" w:type="pct"/>
                  <w:vAlign w:val="center"/>
                </w:tcPr>
                <w:p w14:paraId="6B5E70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100-500</w:t>
                  </w:r>
                </w:p>
              </w:tc>
            </w:tr>
            <w:tr w14:paraId="2653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270E6A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p>
              </w:tc>
              <w:tc>
                <w:tcPr>
                  <w:tcW w:w="436" w:type="pct"/>
                  <w:vAlign w:val="center"/>
                </w:tcPr>
                <w:p w14:paraId="562F0D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屠夫垭</w:t>
                  </w:r>
                </w:p>
              </w:tc>
              <w:tc>
                <w:tcPr>
                  <w:tcW w:w="1013" w:type="pct"/>
                  <w:vAlign w:val="center"/>
                </w:tcPr>
                <w:p w14:paraId="5AF44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111.485666434,29.866214624</w:t>
                  </w:r>
                </w:p>
              </w:tc>
              <w:tc>
                <w:tcPr>
                  <w:tcW w:w="486" w:type="pct"/>
                  <w:vAlign w:val="center"/>
                </w:tcPr>
                <w:p w14:paraId="4B2589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3094D8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30</w:t>
                  </w:r>
                  <w:r>
                    <w:rPr>
                      <w:rFonts w:hint="default" w:ascii="Times New Roman" w:hAnsi="Times New Roman" w:eastAsia="宋体" w:cs="Times New Roman"/>
                      <w:color w:val="auto"/>
                      <w:sz w:val="21"/>
                      <w:szCs w:val="21"/>
                      <w:highlight w:val="none"/>
                      <w:u w:val="single"/>
                    </w:rPr>
                    <w:t>户</w:t>
                  </w:r>
                </w:p>
              </w:tc>
              <w:tc>
                <w:tcPr>
                  <w:tcW w:w="622" w:type="pct"/>
                  <w:vAlign w:val="center"/>
                </w:tcPr>
                <w:p w14:paraId="368282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5494E2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东</w:t>
                  </w:r>
                  <w:r>
                    <w:rPr>
                      <w:rFonts w:hint="default" w:ascii="Times New Roman" w:hAnsi="Times New Roman" w:eastAsia="宋体" w:cs="Times New Roman"/>
                      <w:color w:val="auto"/>
                      <w:sz w:val="21"/>
                      <w:szCs w:val="21"/>
                      <w:highlight w:val="none"/>
                      <w:u w:val="single"/>
                    </w:rPr>
                    <w:t>面</w:t>
                  </w:r>
                </w:p>
              </w:tc>
              <w:tc>
                <w:tcPr>
                  <w:tcW w:w="760" w:type="pct"/>
                  <w:vAlign w:val="center"/>
                </w:tcPr>
                <w:p w14:paraId="6AD2AB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22</w:t>
                  </w:r>
                  <w:r>
                    <w:rPr>
                      <w:rFonts w:hint="eastAsia" w:ascii="Times New Roman" w:hAnsi="Times New Roman" w:eastAsia="宋体" w:cs="Times New Roman"/>
                      <w:color w:val="auto"/>
                      <w:sz w:val="21"/>
                      <w:szCs w:val="21"/>
                      <w:highlight w:val="none"/>
                      <w:u w:val="single"/>
                      <w:lang w:val="en-US" w:eastAsia="zh-CN"/>
                    </w:rPr>
                    <w:t>0</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eastAsia" w:ascii="Times New Roman" w:hAnsi="Times New Roman" w:eastAsia="宋体" w:cs="Times New Roman"/>
                      <w:color w:val="auto"/>
                      <w:sz w:val="21"/>
                      <w:szCs w:val="21"/>
                      <w:highlight w:val="none"/>
                      <w:u w:val="single"/>
                      <w:lang w:val="en-US" w:eastAsia="zh-CN"/>
                    </w:rPr>
                    <w:t>0</w:t>
                  </w:r>
                </w:p>
              </w:tc>
            </w:tr>
            <w:tr w14:paraId="5E9E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476B34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348886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郑家屋场</w:t>
                  </w:r>
                </w:p>
              </w:tc>
              <w:tc>
                <w:tcPr>
                  <w:tcW w:w="1013" w:type="pct"/>
                  <w:vAlign w:val="center"/>
                </w:tcPr>
                <w:p w14:paraId="640652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111.483595769,29.870098463</w:t>
                  </w:r>
                </w:p>
              </w:tc>
              <w:tc>
                <w:tcPr>
                  <w:tcW w:w="486" w:type="pct"/>
                  <w:vAlign w:val="center"/>
                </w:tcPr>
                <w:p w14:paraId="51DD5D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52486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35</w:t>
                  </w:r>
                  <w:r>
                    <w:rPr>
                      <w:rFonts w:hint="default" w:ascii="Times New Roman" w:hAnsi="Times New Roman" w:eastAsia="宋体" w:cs="Times New Roman"/>
                      <w:color w:val="auto"/>
                      <w:sz w:val="21"/>
                      <w:szCs w:val="21"/>
                      <w:highlight w:val="none"/>
                      <w:u w:val="single"/>
                    </w:rPr>
                    <w:t>户</w:t>
                  </w:r>
                </w:p>
              </w:tc>
              <w:tc>
                <w:tcPr>
                  <w:tcW w:w="622" w:type="pct"/>
                  <w:vAlign w:val="center"/>
                </w:tcPr>
                <w:p w14:paraId="1CAE8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6D20D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北</w:t>
                  </w:r>
                  <w:r>
                    <w:rPr>
                      <w:rFonts w:hint="default" w:ascii="Times New Roman" w:hAnsi="Times New Roman" w:eastAsia="宋体" w:cs="Times New Roman"/>
                      <w:color w:val="auto"/>
                      <w:sz w:val="21"/>
                      <w:szCs w:val="21"/>
                      <w:highlight w:val="none"/>
                      <w:u w:val="single"/>
                    </w:rPr>
                    <w:t>面</w:t>
                  </w:r>
                </w:p>
              </w:tc>
              <w:tc>
                <w:tcPr>
                  <w:tcW w:w="760" w:type="pct"/>
                  <w:vAlign w:val="center"/>
                </w:tcPr>
                <w:p w14:paraId="4F56AF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180-460</w:t>
                  </w:r>
                </w:p>
              </w:tc>
            </w:tr>
            <w:tr w14:paraId="760E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14:paraId="603784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排土场</w:t>
                  </w:r>
                </w:p>
              </w:tc>
              <w:tc>
                <w:tcPr>
                  <w:tcW w:w="436" w:type="pct"/>
                  <w:vAlign w:val="center"/>
                </w:tcPr>
                <w:p w14:paraId="475A56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芦桥村</w:t>
                  </w:r>
                </w:p>
              </w:tc>
              <w:tc>
                <w:tcPr>
                  <w:tcW w:w="1013" w:type="pct"/>
                  <w:vAlign w:val="center"/>
                </w:tcPr>
                <w:p w14:paraId="72501F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111.478478114,29.870409599</w:t>
                  </w:r>
                </w:p>
              </w:tc>
              <w:tc>
                <w:tcPr>
                  <w:tcW w:w="486" w:type="pct"/>
                  <w:vAlign w:val="center"/>
                </w:tcPr>
                <w:p w14:paraId="43EB7E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71547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3</w:t>
                  </w:r>
                  <w:r>
                    <w:rPr>
                      <w:rFonts w:hint="eastAsia" w:cs="Times New Roman"/>
                      <w:color w:val="auto"/>
                      <w:sz w:val="21"/>
                      <w:szCs w:val="21"/>
                      <w:highlight w:val="none"/>
                      <w:u w:val="single"/>
                      <w:lang w:val="en-US" w:eastAsia="zh-CN"/>
                    </w:rPr>
                    <w:t>2</w:t>
                  </w:r>
                  <w:r>
                    <w:rPr>
                      <w:rFonts w:hint="eastAsia" w:ascii="Times New Roman" w:hAnsi="Times New Roman" w:eastAsia="宋体" w:cs="Times New Roman"/>
                      <w:color w:val="auto"/>
                      <w:sz w:val="21"/>
                      <w:szCs w:val="21"/>
                      <w:highlight w:val="none"/>
                      <w:u w:val="single"/>
                      <w:lang w:val="en-US" w:eastAsia="zh-CN"/>
                    </w:rPr>
                    <w:t>户</w:t>
                  </w:r>
                </w:p>
              </w:tc>
              <w:tc>
                <w:tcPr>
                  <w:tcW w:w="622" w:type="pct"/>
                  <w:vAlign w:val="center"/>
                </w:tcPr>
                <w:p w14:paraId="0BABB6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06305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西面</w:t>
                  </w:r>
                </w:p>
              </w:tc>
              <w:tc>
                <w:tcPr>
                  <w:tcW w:w="760" w:type="pct"/>
                  <w:vAlign w:val="center"/>
                </w:tcPr>
                <w:p w14:paraId="30BFBE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105-500</w:t>
                  </w:r>
                </w:p>
              </w:tc>
            </w:tr>
          </w:tbl>
          <w:p w14:paraId="7CDB422B">
            <w:pPr>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Times New Roman" w:hAnsi="Times New Roman" w:eastAsia="宋体" w:cs="Times New Roman"/>
                <w:bCs/>
                <w:color w:val="auto"/>
                <w:sz w:val="24"/>
                <w:szCs w:val="24"/>
                <w:highlight w:val="none"/>
                <w:u w:val="single"/>
                <w:lang w:val="en-US" w:eastAsia="zh-CN"/>
              </w:rPr>
              <w:t>矿区</w:t>
            </w:r>
            <w:r>
              <w:rPr>
                <w:rFonts w:hint="default" w:ascii="Times New Roman" w:hAnsi="Times New Roman" w:eastAsia="宋体" w:cs="Times New Roman"/>
                <w:bCs/>
                <w:color w:val="auto"/>
                <w:sz w:val="24"/>
                <w:szCs w:val="24"/>
                <w:highlight w:val="none"/>
                <w:u w:val="single"/>
                <w:lang w:val="en-US" w:eastAsia="zh-CN"/>
              </w:rPr>
              <w:t>300m范围内有居民住宅28栋</w:t>
            </w:r>
            <w:r>
              <w:rPr>
                <w:rFonts w:hint="eastAsia" w:ascii="Times New Roman" w:hAnsi="Times New Roman" w:eastAsia="宋体" w:cs="Times New Roman"/>
                <w:bCs/>
                <w:color w:val="auto"/>
                <w:sz w:val="24"/>
                <w:szCs w:val="24"/>
                <w:highlight w:val="none"/>
                <w:u w:val="single"/>
                <w:lang w:val="en-US" w:eastAsia="zh-CN"/>
              </w:rPr>
              <w:t>，</w:t>
            </w:r>
            <w:r>
              <w:rPr>
                <w:rFonts w:hint="eastAsia" w:cs="Times New Roman"/>
                <w:color w:val="auto"/>
                <w:szCs w:val="24"/>
                <w:highlight w:val="none"/>
                <w:u w:val="single"/>
                <w:lang w:val="en-US" w:eastAsia="zh-CN"/>
              </w:rPr>
              <w:t>建设单位</w:t>
            </w:r>
            <w:r>
              <w:rPr>
                <w:rFonts w:hint="eastAsia" w:ascii="Times New Roman" w:hAnsi="Times New Roman" w:cs="Times New Roman"/>
                <w:color w:val="auto"/>
                <w:szCs w:val="24"/>
                <w:highlight w:val="none"/>
                <w:u w:val="single"/>
                <w:lang w:eastAsia="zh-CN"/>
              </w:rPr>
              <w:t>澧县锦锋砂石有限公司</w:t>
            </w:r>
            <w:r>
              <w:rPr>
                <w:rFonts w:hint="default" w:ascii="Times New Roman" w:hAnsi="Times New Roman" w:cs="Times New Roman"/>
                <w:color w:val="auto"/>
                <w:szCs w:val="24"/>
                <w:highlight w:val="none"/>
                <w:u w:val="single"/>
              </w:rPr>
              <w:t>已承诺在</w:t>
            </w:r>
            <w:r>
              <w:rPr>
                <w:rFonts w:hint="eastAsia" w:cs="Times New Roman"/>
                <w:color w:val="auto"/>
                <w:szCs w:val="24"/>
                <w:highlight w:val="none"/>
                <w:u w:val="single"/>
                <w:lang w:val="en-US" w:eastAsia="zh-CN"/>
              </w:rPr>
              <w:t>矿山投产</w:t>
            </w:r>
            <w:r>
              <w:rPr>
                <w:rFonts w:hint="default" w:ascii="Times New Roman" w:hAnsi="Times New Roman" w:cs="Times New Roman"/>
                <w:color w:val="auto"/>
                <w:szCs w:val="24"/>
                <w:highlight w:val="none"/>
                <w:u w:val="single"/>
              </w:rPr>
              <w:t>前</w:t>
            </w:r>
            <w:r>
              <w:rPr>
                <w:rFonts w:hint="eastAsia" w:cs="Times New Roman"/>
                <w:color w:val="auto"/>
                <w:szCs w:val="24"/>
                <w:highlight w:val="none"/>
                <w:u w:val="single"/>
                <w:lang w:val="en-US" w:eastAsia="zh-CN"/>
              </w:rPr>
              <w:t>自行</w:t>
            </w:r>
            <w:r>
              <w:rPr>
                <w:rFonts w:hint="default" w:ascii="Times New Roman" w:hAnsi="Times New Roman" w:cs="Times New Roman"/>
                <w:color w:val="auto"/>
                <w:szCs w:val="24"/>
                <w:highlight w:val="none"/>
                <w:u w:val="single"/>
              </w:rPr>
              <w:t>拆迁</w:t>
            </w:r>
            <w:r>
              <w:rPr>
                <w:rFonts w:hint="eastAsia" w:cs="Times New Roman"/>
                <w:color w:val="auto"/>
                <w:szCs w:val="24"/>
                <w:highlight w:val="none"/>
                <w:u w:val="single"/>
                <w:lang w:val="en-US" w:eastAsia="zh-CN"/>
              </w:rPr>
              <w:t>处理，拆迁处理后的</w:t>
            </w:r>
            <w:r>
              <w:rPr>
                <w:rFonts w:hint="eastAsia" w:ascii="宋体" w:hAnsi="宋体" w:eastAsia="宋体" w:cs="宋体"/>
                <w:color w:val="auto"/>
                <w:kern w:val="0"/>
                <w:sz w:val="24"/>
                <w:szCs w:val="24"/>
                <w:highlight w:val="none"/>
                <w:u w:val="single"/>
                <w:lang w:val="en-US" w:eastAsia="zh-CN" w:bidi="ar"/>
              </w:rPr>
              <w:t>大气环境保护目标见下表。</w:t>
            </w:r>
          </w:p>
          <w:p w14:paraId="50680199">
            <w:pPr>
              <w:ind w:firstLine="0" w:firstLineChars="0"/>
              <w:jc w:val="center"/>
              <w:rPr>
                <w:rFonts w:hint="eastAsia" w:ascii="Times New Roman" w:hAnsi="Times New Roman" w:eastAsia="宋体" w:cs="Times New Roman"/>
                <w:b/>
                <w:bCs/>
                <w:color w:val="auto"/>
                <w:sz w:val="21"/>
                <w:szCs w:val="21"/>
                <w:highlight w:val="none"/>
                <w:u w:val="single"/>
                <w:lang w:eastAsia="zh-CN"/>
              </w:rPr>
            </w:pPr>
            <w:r>
              <w:rPr>
                <w:rFonts w:hint="default" w:ascii="Times New Roman" w:hAnsi="Times New Roman" w:cs="Times New Roman"/>
                <w:b/>
                <w:bCs/>
                <w:color w:val="auto"/>
                <w:sz w:val="21"/>
                <w:szCs w:val="21"/>
                <w:highlight w:val="none"/>
                <w:u w:val="single"/>
              </w:rPr>
              <w:t>表3-</w:t>
            </w:r>
            <w:r>
              <w:rPr>
                <w:rFonts w:hint="eastAsia" w:cs="Times New Roman"/>
                <w:b/>
                <w:bCs/>
                <w:color w:val="auto"/>
                <w:sz w:val="21"/>
                <w:szCs w:val="21"/>
                <w:highlight w:val="none"/>
                <w:u w:val="single"/>
                <w:lang w:val="en-US" w:eastAsia="zh-CN"/>
              </w:rPr>
              <w:t>8</w:t>
            </w:r>
            <w:r>
              <w:rPr>
                <w:rFonts w:hint="default" w:ascii="Times New Roman" w:hAnsi="Times New Roman" w:cs="Times New Roman"/>
                <w:b/>
                <w:bCs/>
                <w:color w:val="auto"/>
                <w:sz w:val="21"/>
                <w:szCs w:val="21"/>
                <w:highlight w:val="none"/>
                <w:u w:val="single"/>
              </w:rPr>
              <w:t xml:space="preserve">  环境空气保护目标</w:t>
            </w:r>
            <w:r>
              <w:rPr>
                <w:rFonts w:hint="eastAsia" w:cs="Times New Roman"/>
                <w:b/>
                <w:bCs/>
                <w:color w:val="auto"/>
                <w:sz w:val="21"/>
                <w:szCs w:val="21"/>
                <w:highlight w:val="none"/>
                <w:u w:val="single"/>
                <w:lang w:eastAsia="zh-CN"/>
              </w:rPr>
              <w:t>（</w:t>
            </w:r>
            <w:r>
              <w:rPr>
                <w:rFonts w:hint="eastAsia" w:cs="Times New Roman"/>
                <w:b/>
                <w:bCs/>
                <w:color w:val="auto"/>
                <w:sz w:val="21"/>
                <w:szCs w:val="21"/>
                <w:highlight w:val="none"/>
                <w:u w:val="single"/>
                <w:lang w:val="en-US" w:eastAsia="zh-CN"/>
              </w:rPr>
              <w:t>拆迁后</w:t>
            </w:r>
            <w:r>
              <w:rPr>
                <w:rFonts w:hint="eastAsia" w:cs="Times New Roman"/>
                <w:b/>
                <w:bCs/>
                <w:color w:val="auto"/>
                <w:sz w:val="21"/>
                <w:szCs w:val="21"/>
                <w:highlight w:val="none"/>
                <w:u w:val="single"/>
                <w:lang w:eastAsia="zh-CN"/>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87"/>
              <w:gridCol w:w="1596"/>
              <w:gridCol w:w="766"/>
              <w:gridCol w:w="695"/>
              <w:gridCol w:w="981"/>
              <w:gridCol w:w="1265"/>
              <w:gridCol w:w="1198"/>
            </w:tblGrid>
            <w:tr w14:paraId="544C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14:paraId="743424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区域</w:t>
                  </w:r>
                </w:p>
              </w:tc>
              <w:tc>
                <w:tcPr>
                  <w:tcW w:w="436" w:type="pct"/>
                  <w:vAlign w:val="center"/>
                </w:tcPr>
                <w:p w14:paraId="77D238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名称</w:t>
                  </w:r>
                </w:p>
              </w:tc>
              <w:tc>
                <w:tcPr>
                  <w:tcW w:w="1013" w:type="pct"/>
                  <w:vAlign w:val="center"/>
                </w:tcPr>
                <w:p w14:paraId="449399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坐标</w:t>
                  </w:r>
                </w:p>
              </w:tc>
              <w:tc>
                <w:tcPr>
                  <w:tcW w:w="486" w:type="pct"/>
                  <w:vAlign w:val="center"/>
                </w:tcPr>
                <w:p w14:paraId="57D8A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保护对象</w:t>
                  </w:r>
                </w:p>
              </w:tc>
              <w:tc>
                <w:tcPr>
                  <w:tcW w:w="441" w:type="pct"/>
                  <w:vAlign w:val="center"/>
                </w:tcPr>
                <w:p w14:paraId="1719D9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保护内容</w:t>
                  </w:r>
                </w:p>
              </w:tc>
              <w:tc>
                <w:tcPr>
                  <w:tcW w:w="622" w:type="pct"/>
                  <w:vAlign w:val="center"/>
                </w:tcPr>
                <w:p w14:paraId="26E929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保护功能区</w:t>
                  </w:r>
                </w:p>
              </w:tc>
              <w:tc>
                <w:tcPr>
                  <w:tcW w:w="803" w:type="pct"/>
                  <w:vAlign w:val="center"/>
                </w:tcPr>
                <w:p w14:paraId="45CAD0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相对</w:t>
                  </w:r>
                  <w:r>
                    <w:rPr>
                      <w:rFonts w:hint="eastAsia" w:cs="Times New Roman"/>
                      <w:b/>
                      <w:bCs/>
                      <w:color w:val="auto"/>
                      <w:sz w:val="21"/>
                      <w:szCs w:val="21"/>
                      <w:highlight w:val="none"/>
                      <w:u w:val="single"/>
                      <w:lang w:val="en-US" w:eastAsia="zh-CN"/>
                    </w:rPr>
                    <w:t>厂界</w:t>
                  </w:r>
                  <w:r>
                    <w:rPr>
                      <w:rFonts w:hint="default" w:ascii="Times New Roman" w:hAnsi="Times New Roman" w:cs="Times New Roman"/>
                      <w:b/>
                      <w:bCs/>
                      <w:color w:val="auto"/>
                      <w:sz w:val="21"/>
                      <w:szCs w:val="21"/>
                      <w:highlight w:val="none"/>
                      <w:u w:val="single"/>
                    </w:rPr>
                    <w:t>方位</w:t>
                  </w:r>
                </w:p>
              </w:tc>
              <w:tc>
                <w:tcPr>
                  <w:tcW w:w="760" w:type="pct"/>
                  <w:vAlign w:val="center"/>
                </w:tcPr>
                <w:p w14:paraId="66E177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相对厂界距离/m</w:t>
                  </w:r>
                </w:p>
              </w:tc>
            </w:tr>
            <w:tr w14:paraId="2999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5B375A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矿区</w:t>
                  </w:r>
                </w:p>
              </w:tc>
              <w:tc>
                <w:tcPr>
                  <w:tcW w:w="436" w:type="pct"/>
                  <w:vAlign w:val="center"/>
                </w:tcPr>
                <w:p w14:paraId="12E3E2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屠夫垭</w:t>
                  </w:r>
                </w:p>
              </w:tc>
              <w:tc>
                <w:tcPr>
                  <w:tcW w:w="1013" w:type="pct"/>
                  <w:vAlign w:val="center"/>
                </w:tcPr>
                <w:p w14:paraId="2CE8A6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111.485666434,29.866214624</w:t>
                  </w:r>
                </w:p>
              </w:tc>
              <w:tc>
                <w:tcPr>
                  <w:tcW w:w="486" w:type="pct"/>
                  <w:vAlign w:val="center"/>
                </w:tcPr>
                <w:p w14:paraId="0AA928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2B3A5E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30</w:t>
                  </w:r>
                  <w:r>
                    <w:rPr>
                      <w:rFonts w:hint="default" w:ascii="Times New Roman" w:hAnsi="Times New Roman" w:eastAsia="宋体" w:cs="Times New Roman"/>
                      <w:color w:val="auto"/>
                      <w:sz w:val="21"/>
                      <w:szCs w:val="21"/>
                      <w:highlight w:val="none"/>
                      <w:u w:val="single"/>
                    </w:rPr>
                    <w:t>户</w:t>
                  </w:r>
                </w:p>
              </w:tc>
              <w:tc>
                <w:tcPr>
                  <w:tcW w:w="622" w:type="pct"/>
                  <w:vAlign w:val="center"/>
                </w:tcPr>
                <w:p w14:paraId="3EAB38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3CEBF5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东</w:t>
                  </w:r>
                  <w:r>
                    <w:rPr>
                      <w:rFonts w:hint="default" w:ascii="Times New Roman" w:hAnsi="Times New Roman" w:eastAsia="宋体" w:cs="Times New Roman"/>
                      <w:color w:val="auto"/>
                      <w:sz w:val="21"/>
                      <w:szCs w:val="21"/>
                      <w:highlight w:val="none"/>
                      <w:u w:val="single"/>
                    </w:rPr>
                    <w:t>面</w:t>
                  </w:r>
                </w:p>
              </w:tc>
              <w:tc>
                <w:tcPr>
                  <w:tcW w:w="760" w:type="pct"/>
                  <w:vAlign w:val="center"/>
                </w:tcPr>
                <w:p w14:paraId="724A27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305</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eastAsia" w:ascii="Times New Roman" w:hAnsi="Times New Roman" w:eastAsia="宋体" w:cs="Times New Roman"/>
                      <w:color w:val="auto"/>
                      <w:sz w:val="21"/>
                      <w:szCs w:val="21"/>
                      <w:highlight w:val="none"/>
                      <w:u w:val="single"/>
                      <w:lang w:val="en-US" w:eastAsia="zh-CN"/>
                    </w:rPr>
                    <w:t>0</w:t>
                  </w:r>
                </w:p>
              </w:tc>
            </w:tr>
            <w:tr w14:paraId="070E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270DE2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72A643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郑家屋场</w:t>
                  </w:r>
                </w:p>
              </w:tc>
              <w:tc>
                <w:tcPr>
                  <w:tcW w:w="1013" w:type="pct"/>
                  <w:vAlign w:val="center"/>
                </w:tcPr>
                <w:p w14:paraId="343C43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111.483595769,29.870098463</w:t>
                  </w:r>
                </w:p>
              </w:tc>
              <w:tc>
                <w:tcPr>
                  <w:tcW w:w="486" w:type="pct"/>
                  <w:vAlign w:val="center"/>
                </w:tcPr>
                <w:p w14:paraId="718BA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6B4A03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32</w:t>
                  </w:r>
                  <w:r>
                    <w:rPr>
                      <w:rFonts w:hint="default" w:ascii="Times New Roman" w:hAnsi="Times New Roman" w:eastAsia="宋体" w:cs="Times New Roman"/>
                      <w:color w:val="auto"/>
                      <w:sz w:val="21"/>
                      <w:szCs w:val="21"/>
                      <w:highlight w:val="none"/>
                      <w:u w:val="single"/>
                    </w:rPr>
                    <w:t>户</w:t>
                  </w:r>
                </w:p>
              </w:tc>
              <w:tc>
                <w:tcPr>
                  <w:tcW w:w="622" w:type="pct"/>
                  <w:vAlign w:val="center"/>
                </w:tcPr>
                <w:p w14:paraId="2AD26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2F3393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北</w:t>
                  </w:r>
                  <w:r>
                    <w:rPr>
                      <w:rFonts w:hint="default" w:ascii="Times New Roman" w:hAnsi="Times New Roman" w:eastAsia="宋体" w:cs="Times New Roman"/>
                      <w:color w:val="auto"/>
                      <w:sz w:val="21"/>
                      <w:szCs w:val="21"/>
                      <w:highlight w:val="none"/>
                      <w:u w:val="single"/>
                    </w:rPr>
                    <w:t>面</w:t>
                  </w:r>
                </w:p>
              </w:tc>
              <w:tc>
                <w:tcPr>
                  <w:tcW w:w="760" w:type="pct"/>
                  <w:vAlign w:val="center"/>
                </w:tcPr>
                <w:p w14:paraId="369BBD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300-500</w:t>
                  </w:r>
                </w:p>
              </w:tc>
            </w:tr>
            <w:tr w14:paraId="27DE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42F6C7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4CA0BB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水氽洞村村</w:t>
                  </w:r>
                </w:p>
              </w:tc>
              <w:tc>
                <w:tcPr>
                  <w:tcW w:w="1013" w:type="pct"/>
                  <w:vAlign w:val="center"/>
                </w:tcPr>
                <w:p w14:paraId="34D03B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111.482662360,29.861901632</w:t>
                  </w:r>
                </w:p>
              </w:tc>
              <w:tc>
                <w:tcPr>
                  <w:tcW w:w="486" w:type="pct"/>
                  <w:vAlign w:val="center"/>
                </w:tcPr>
                <w:p w14:paraId="0FBF86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6DD077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23</w:t>
                  </w:r>
                  <w:r>
                    <w:rPr>
                      <w:rFonts w:hint="default" w:ascii="Times New Roman" w:hAnsi="Times New Roman" w:eastAsia="宋体" w:cs="Times New Roman"/>
                      <w:color w:val="auto"/>
                      <w:sz w:val="21"/>
                      <w:szCs w:val="21"/>
                      <w:highlight w:val="none"/>
                      <w:u w:val="single"/>
                    </w:rPr>
                    <w:t>户</w:t>
                  </w:r>
                </w:p>
              </w:tc>
              <w:tc>
                <w:tcPr>
                  <w:tcW w:w="622" w:type="pct"/>
                  <w:vAlign w:val="center"/>
                </w:tcPr>
                <w:p w14:paraId="62E7A8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11808B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南</w:t>
                  </w:r>
                  <w:r>
                    <w:rPr>
                      <w:rFonts w:hint="default" w:ascii="Times New Roman" w:hAnsi="Times New Roman" w:eastAsia="宋体" w:cs="Times New Roman"/>
                      <w:color w:val="auto"/>
                      <w:sz w:val="21"/>
                      <w:szCs w:val="21"/>
                      <w:highlight w:val="none"/>
                      <w:u w:val="single"/>
                    </w:rPr>
                    <w:t>面</w:t>
                  </w:r>
                </w:p>
              </w:tc>
              <w:tc>
                <w:tcPr>
                  <w:tcW w:w="760" w:type="pct"/>
                  <w:vAlign w:val="center"/>
                </w:tcPr>
                <w:p w14:paraId="144F3C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310</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default" w:ascii="Times New Roman" w:hAnsi="Times New Roman" w:eastAsia="宋体" w:cs="Times New Roman"/>
                      <w:color w:val="auto"/>
                      <w:sz w:val="21"/>
                      <w:szCs w:val="21"/>
                      <w:highlight w:val="none"/>
                      <w:u w:val="single"/>
                    </w:rPr>
                    <w:t>0</w:t>
                  </w:r>
                </w:p>
              </w:tc>
            </w:tr>
            <w:tr w14:paraId="75D0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6D077D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3B5765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芦桥村</w:t>
                  </w:r>
                </w:p>
              </w:tc>
              <w:tc>
                <w:tcPr>
                  <w:tcW w:w="1013" w:type="pct"/>
                  <w:vAlign w:val="center"/>
                </w:tcPr>
                <w:p w14:paraId="471AB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111.478478114,29.870409599</w:t>
                  </w:r>
                </w:p>
              </w:tc>
              <w:tc>
                <w:tcPr>
                  <w:tcW w:w="486" w:type="pct"/>
                  <w:vAlign w:val="center"/>
                </w:tcPr>
                <w:p w14:paraId="233F22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1986B3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28户</w:t>
                  </w:r>
                </w:p>
              </w:tc>
              <w:tc>
                <w:tcPr>
                  <w:tcW w:w="622" w:type="pct"/>
                  <w:vAlign w:val="center"/>
                </w:tcPr>
                <w:p w14:paraId="55D792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486D7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西面</w:t>
                  </w:r>
                </w:p>
              </w:tc>
              <w:tc>
                <w:tcPr>
                  <w:tcW w:w="760" w:type="pct"/>
                  <w:vAlign w:val="center"/>
                </w:tcPr>
                <w:p w14:paraId="3D0ECA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315-500</w:t>
                  </w:r>
                </w:p>
              </w:tc>
            </w:tr>
            <w:tr w14:paraId="2174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22BFBD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p>
              </w:tc>
              <w:tc>
                <w:tcPr>
                  <w:tcW w:w="436" w:type="pct"/>
                  <w:vAlign w:val="center"/>
                </w:tcPr>
                <w:p w14:paraId="1FA006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屠夫垭</w:t>
                  </w:r>
                </w:p>
              </w:tc>
              <w:tc>
                <w:tcPr>
                  <w:tcW w:w="1013" w:type="pct"/>
                  <w:vAlign w:val="center"/>
                </w:tcPr>
                <w:p w14:paraId="4DBE48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111.485666434,29.866214624</w:t>
                  </w:r>
                </w:p>
              </w:tc>
              <w:tc>
                <w:tcPr>
                  <w:tcW w:w="486" w:type="pct"/>
                  <w:vAlign w:val="center"/>
                </w:tcPr>
                <w:p w14:paraId="1DFFD5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1A58A1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30</w:t>
                  </w:r>
                  <w:r>
                    <w:rPr>
                      <w:rFonts w:hint="default" w:ascii="Times New Roman" w:hAnsi="Times New Roman" w:eastAsia="宋体" w:cs="Times New Roman"/>
                      <w:color w:val="auto"/>
                      <w:sz w:val="21"/>
                      <w:szCs w:val="21"/>
                      <w:highlight w:val="none"/>
                      <w:u w:val="single"/>
                    </w:rPr>
                    <w:t>户</w:t>
                  </w:r>
                </w:p>
              </w:tc>
              <w:tc>
                <w:tcPr>
                  <w:tcW w:w="622" w:type="pct"/>
                  <w:vAlign w:val="center"/>
                </w:tcPr>
                <w:p w14:paraId="23B7A8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54B7A2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东</w:t>
                  </w:r>
                  <w:r>
                    <w:rPr>
                      <w:rFonts w:hint="default" w:ascii="Times New Roman" w:hAnsi="Times New Roman" w:eastAsia="宋体" w:cs="Times New Roman"/>
                      <w:color w:val="auto"/>
                      <w:sz w:val="21"/>
                      <w:szCs w:val="21"/>
                      <w:highlight w:val="none"/>
                      <w:u w:val="single"/>
                    </w:rPr>
                    <w:t>面</w:t>
                  </w:r>
                </w:p>
              </w:tc>
              <w:tc>
                <w:tcPr>
                  <w:tcW w:w="760" w:type="pct"/>
                  <w:vAlign w:val="center"/>
                </w:tcPr>
                <w:p w14:paraId="4EAB6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280</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eastAsia" w:ascii="Times New Roman" w:hAnsi="Times New Roman" w:eastAsia="宋体" w:cs="Times New Roman"/>
                      <w:color w:val="auto"/>
                      <w:sz w:val="21"/>
                      <w:szCs w:val="21"/>
                      <w:highlight w:val="none"/>
                      <w:u w:val="single"/>
                      <w:lang w:val="en-US" w:eastAsia="zh-CN"/>
                    </w:rPr>
                    <w:t>0</w:t>
                  </w:r>
                </w:p>
              </w:tc>
            </w:tr>
            <w:tr w14:paraId="583B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09E530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6A8F08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郑家屋场</w:t>
                  </w:r>
                </w:p>
              </w:tc>
              <w:tc>
                <w:tcPr>
                  <w:tcW w:w="1013" w:type="pct"/>
                  <w:vAlign w:val="center"/>
                </w:tcPr>
                <w:p w14:paraId="5B75DC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111.483595769,29.870098463</w:t>
                  </w:r>
                </w:p>
              </w:tc>
              <w:tc>
                <w:tcPr>
                  <w:tcW w:w="486" w:type="pct"/>
                  <w:vAlign w:val="center"/>
                </w:tcPr>
                <w:p w14:paraId="1C794B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32C9BA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32</w:t>
                  </w:r>
                  <w:r>
                    <w:rPr>
                      <w:rFonts w:hint="default" w:ascii="Times New Roman" w:hAnsi="Times New Roman" w:eastAsia="宋体" w:cs="Times New Roman"/>
                      <w:color w:val="auto"/>
                      <w:sz w:val="21"/>
                      <w:szCs w:val="21"/>
                      <w:highlight w:val="none"/>
                      <w:u w:val="single"/>
                    </w:rPr>
                    <w:t>户</w:t>
                  </w:r>
                </w:p>
              </w:tc>
              <w:tc>
                <w:tcPr>
                  <w:tcW w:w="622" w:type="pct"/>
                  <w:vAlign w:val="center"/>
                </w:tcPr>
                <w:p w14:paraId="3B66FE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5427A1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北</w:t>
                  </w:r>
                  <w:r>
                    <w:rPr>
                      <w:rFonts w:hint="default" w:ascii="Times New Roman" w:hAnsi="Times New Roman" w:eastAsia="宋体" w:cs="Times New Roman"/>
                      <w:color w:val="auto"/>
                      <w:sz w:val="21"/>
                      <w:szCs w:val="21"/>
                      <w:highlight w:val="none"/>
                      <w:u w:val="single"/>
                    </w:rPr>
                    <w:t>面</w:t>
                  </w:r>
                </w:p>
              </w:tc>
              <w:tc>
                <w:tcPr>
                  <w:tcW w:w="760" w:type="pct"/>
                  <w:vAlign w:val="center"/>
                </w:tcPr>
                <w:p w14:paraId="76C307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240-460</w:t>
                  </w:r>
                </w:p>
              </w:tc>
            </w:tr>
            <w:tr w14:paraId="4254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14:paraId="20735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排土场</w:t>
                  </w:r>
                </w:p>
              </w:tc>
              <w:tc>
                <w:tcPr>
                  <w:tcW w:w="436" w:type="pct"/>
                  <w:vAlign w:val="center"/>
                </w:tcPr>
                <w:p w14:paraId="4C8981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芦桥村</w:t>
                  </w:r>
                </w:p>
              </w:tc>
              <w:tc>
                <w:tcPr>
                  <w:tcW w:w="1013" w:type="pct"/>
                  <w:vAlign w:val="center"/>
                </w:tcPr>
                <w:p w14:paraId="02047C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111.478478114,29.870409599</w:t>
                  </w:r>
                </w:p>
              </w:tc>
              <w:tc>
                <w:tcPr>
                  <w:tcW w:w="486" w:type="pct"/>
                  <w:vAlign w:val="center"/>
                </w:tcPr>
                <w:p w14:paraId="55EF0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4AC5A8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3</w:t>
                  </w:r>
                  <w:r>
                    <w:rPr>
                      <w:rFonts w:hint="eastAsia" w:cs="Times New Roman"/>
                      <w:color w:val="auto"/>
                      <w:sz w:val="21"/>
                      <w:szCs w:val="21"/>
                      <w:highlight w:val="none"/>
                      <w:u w:val="single"/>
                      <w:lang w:val="en-US" w:eastAsia="zh-CN"/>
                    </w:rPr>
                    <w:t>2</w:t>
                  </w:r>
                  <w:r>
                    <w:rPr>
                      <w:rFonts w:hint="eastAsia" w:ascii="Times New Roman" w:hAnsi="Times New Roman" w:eastAsia="宋体" w:cs="Times New Roman"/>
                      <w:color w:val="auto"/>
                      <w:sz w:val="21"/>
                      <w:szCs w:val="21"/>
                      <w:highlight w:val="none"/>
                      <w:u w:val="single"/>
                      <w:lang w:val="en-US" w:eastAsia="zh-CN"/>
                    </w:rPr>
                    <w:t>户</w:t>
                  </w:r>
                </w:p>
              </w:tc>
              <w:tc>
                <w:tcPr>
                  <w:tcW w:w="622" w:type="pct"/>
                  <w:vAlign w:val="center"/>
                </w:tcPr>
                <w:p w14:paraId="2868C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2564FA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西面</w:t>
                  </w:r>
                </w:p>
              </w:tc>
              <w:tc>
                <w:tcPr>
                  <w:tcW w:w="760" w:type="pct"/>
                  <w:vAlign w:val="center"/>
                </w:tcPr>
                <w:p w14:paraId="35AF3C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212-500</w:t>
                  </w:r>
                </w:p>
              </w:tc>
            </w:tr>
          </w:tbl>
          <w:p w14:paraId="155F0ED6">
            <w:pPr>
              <w:spacing w:before="156" w:beforeLines="50"/>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3</w:t>
            </w:r>
            <w:r>
              <w:rPr>
                <w:rFonts w:hint="default" w:ascii="Times New Roman" w:hAnsi="Times New Roman" w:cs="Times New Roman"/>
                <w:b/>
                <w:bCs/>
                <w:color w:val="auto"/>
                <w:szCs w:val="24"/>
                <w:highlight w:val="none"/>
              </w:rPr>
              <w:t>、</w:t>
            </w:r>
            <w:r>
              <w:rPr>
                <w:rFonts w:hint="eastAsia" w:cs="Times New Roman"/>
                <w:b/>
                <w:bCs/>
                <w:color w:val="auto"/>
                <w:szCs w:val="24"/>
                <w:highlight w:val="none"/>
                <w:lang w:val="en-US" w:eastAsia="zh-CN"/>
              </w:rPr>
              <w:t>声</w:t>
            </w:r>
            <w:r>
              <w:rPr>
                <w:rFonts w:hint="default" w:ascii="Times New Roman" w:hAnsi="Times New Roman" w:cs="Times New Roman"/>
                <w:b/>
                <w:bCs/>
                <w:color w:val="auto"/>
                <w:szCs w:val="24"/>
                <w:highlight w:val="none"/>
              </w:rPr>
              <w:t>环境保护目标</w:t>
            </w:r>
          </w:p>
          <w:p w14:paraId="0A6B6560">
            <w:pPr>
              <w:ind w:firstLine="480" w:firstLineChars="200"/>
              <w:jc w:val="left"/>
              <w:rPr>
                <w:rFonts w:hint="default" w:ascii="Times New Roman" w:hAnsi="Times New Roman" w:cs="Times New Roman"/>
                <w:b/>
                <w:bCs/>
                <w:color w:val="auto"/>
                <w:sz w:val="21"/>
                <w:szCs w:val="21"/>
                <w:highlight w:val="none"/>
                <w:u w:val="none"/>
              </w:rPr>
            </w:pPr>
            <w:r>
              <w:rPr>
                <w:rFonts w:hint="eastAsia"/>
                <w:bCs/>
                <w:color w:val="auto"/>
                <w:sz w:val="24"/>
                <w:szCs w:val="24"/>
                <w:highlight w:val="none"/>
                <w:u w:val="none"/>
                <w:lang w:val="en-US" w:eastAsia="zh-CN"/>
              </w:rPr>
              <w:t>本项目矿区、工业场地以及排土场周边50m范围内无声环境保护目标。</w:t>
            </w:r>
          </w:p>
          <w:p w14:paraId="0D4F566E">
            <w:pPr>
              <w:pStyle w:val="55"/>
              <w:spacing w:line="360" w:lineRule="auto"/>
              <w:ind w:left="0" w:leftChars="0" w:firstLine="0" w:firstLineChars="0"/>
              <w:jc w:val="left"/>
              <w:rPr>
                <w:rFonts w:hint="default"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4、地表水环境保护目标</w:t>
            </w:r>
          </w:p>
          <w:p w14:paraId="0E623CCA">
            <w:pPr>
              <w:spacing w:line="360" w:lineRule="auto"/>
              <w:ind w:firstLine="480" w:firstLineChars="200"/>
              <w:rPr>
                <w:rFonts w:hint="default" w:ascii="宋体" w:hAnsi="宋体" w:eastAsia="宋体" w:cs="宋体"/>
                <w:b w:val="0"/>
                <w:bCs w:val="0"/>
                <w:i w:val="0"/>
                <w:iCs w:val="0"/>
                <w:color w:val="auto"/>
                <w:kern w:val="0"/>
                <w:sz w:val="24"/>
                <w:szCs w:val="24"/>
                <w:highlight w:val="none"/>
                <w:u w:val="single"/>
                <w:lang w:val="en-US" w:eastAsia="zh-CN" w:bidi="ar"/>
              </w:rPr>
            </w:pPr>
            <w:r>
              <w:rPr>
                <w:rFonts w:hint="eastAsia" w:ascii="Times New Roman" w:hAnsi="Times New Roman" w:eastAsia="宋体" w:cs="Times New Roman"/>
                <w:color w:val="auto"/>
                <w:sz w:val="24"/>
                <w:highlight w:val="none"/>
                <w:u w:val="single"/>
                <w:lang w:val="en-US" w:eastAsia="zh-CN"/>
              </w:rPr>
              <w:t>项目区域地表水主要排水路径为通过西南侧红岩溪和北侧肖家河，再进入王家厂水库</w:t>
            </w:r>
            <w:r>
              <w:rPr>
                <w:rFonts w:hint="eastAsia" w:ascii="Times New Roman" w:hAnsi="Times New Roman" w:eastAsia="宋体" w:cs="Times New Roman"/>
                <w:color w:val="auto"/>
                <w:sz w:val="24"/>
                <w:highlight w:val="none"/>
                <w:u w:val="single"/>
                <w:lang w:eastAsia="zh-CN"/>
              </w:rPr>
              <w:t>。</w:t>
            </w:r>
            <w:r>
              <w:rPr>
                <w:rFonts w:hint="eastAsia" w:ascii="Times New Roman" w:hAnsi="Times New Roman" w:eastAsia="宋体" w:cs="Times New Roman"/>
                <w:color w:val="auto"/>
                <w:sz w:val="24"/>
                <w:highlight w:val="none"/>
                <w:u w:val="single"/>
                <w:lang w:val="en-US" w:eastAsia="zh-CN"/>
              </w:rPr>
              <w:t>本项目不属于王家厂水库饮用水源保护区范围，位置关系如下图。</w:t>
            </w:r>
            <w:r>
              <w:rPr>
                <w:color w:val="auto"/>
                <w:sz w:val="24"/>
                <w:szCs w:val="32"/>
                <w:highlight w:val="none"/>
                <w:u w:val="single"/>
              </w:rPr>
              <w:t>矿区范围内没有集中饮用水源地。</w:t>
            </w:r>
            <w:r>
              <w:rPr>
                <w:rFonts w:hint="eastAsia" w:ascii="宋体" w:hAnsi="宋体" w:eastAsia="宋体" w:cs="宋体"/>
                <w:b w:val="0"/>
                <w:bCs w:val="0"/>
                <w:i w:val="0"/>
                <w:iCs w:val="0"/>
                <w:color w:val="auto"/>
                <w:kern w:val="0"/>
                <w:sz w:val="24"/>
                <w:szCs w:val="24"/>
                <w:highlight w:val="none"/>
                <w:u w:val="single"/>
                <w:lang w:val="en-US" w:eastAsia="zh-CN" w:bidi="ar"/>
              </w:rPr>
              <w:t>项目地表水</w:t>
            </w:r>
            <w:r>
              <w:rPr>
                <w:rFonts w:hint="default" w:ascii="宋体" w:hAnsi="宋体" w:eastAsia="宋体" w:cs="宋体"/>
                <w:b w:val="0"/>
                <w:bCs w:val="0"/>
                <w:i w:val="0"/>
                <w:iCs w:val="0"/>
                <w:color w:val="auto"/>
                <w:kern w:val="0"/>
                <w:sz w:val="24"/>
                <w:szCs w:val="24"/>
                <w:highlight w:val="none"/>
                <w:u w:val="single"/>
                <w:lang w:val="en-US" w:eastAsia="zh-CN" w:bidi="ar"/>
              </w:rPr>
              <w:t>环境保护目标具体情况见下表。</w:t>
            </w:r>
          </w:p>
          <w:p w14:paraId="163F52E1">
            <w:pPr>
              <w:ind w:firstLine="0" w:firstLineChars="0"/>
              <w:jc w:val="center"/>
              <w:rPr>
                <w:rFonts w:hint="default" w:ascii="Times New Roman" w:hAnsi="Times New Roman" w:eastAsia="宋体" w:cs="Times New Roman"/>
                <w:b/>
                <w:bCs/>
                <w:color w:val="auto"/>
                <w:sz w:val="21"/>
                <w:szCs w:val="21"/>
                <w:highlight w:val="none"/>
                <w:u w:val="single"/>
              </w:rPr>
            </w:pPr>
            <w:r>
              <w:rPr>
                <w:color w:val="auto"/>
                <w:sz w:val="28"/>
              </w:rPr>
              <mc:AlternateContent>
                <mc:Choice Requires="wps">
                  <w:drawing>
                    <wp:anchor distT="0" distB="0" distL="114300" distR="114300" simplePos="0" relativeHeight="251664384" behindDoc="0" locked="0" layoutInCell="1" allowOverlap="1">
                      <wp:simplePos x="0" y="0"/>
                      <wp:positionH relativeFrom="column">
                        <wp:posOffset>2375535</wp:posOffset>
                      </wp:positionH>
                      <wp:positionV relativeFrom="paragraph">
                        <wp:posOffset>308610</wp:posOffset>
                      </wp:positionV>
                      <wp:extent cx="142240" cy="37465"/>
                      <wp:effectExtent l="1270" t="12065" r="8890" b="26670"/>
                      <wp:wrapNone/>
                      <wp:docPr id="23" name="直接箭头连接符 23"/>
                      <wp:cNvGraphicFramePr/>
                      <a:graphic xmlns:a="http://schemas.openxmlformats.org/drawingml/2006/main">
                        <a:graphicData uri="http://schemas.microsoft.com/office/word/2010/wordprocessingShape">
                          <wps:wsp>
                            <wps:cNvCnPr/>
                            <wps:spPr>
                              <a:xfrm>
                                <a:off x="0" y="0"/>
                                <a:ext cx="142240" cy="37465"/>
                              </a:xfrm>
                              <a:prstGeom prst="straightConnector1">
                                <a:avLst/>
                              </a:prstGeom>
                              <a:ln w="9525">
                                <a:solidFill>
                                  <a:srgbClr val="FFFF00"/>
                                </a:solidFill>
                                <a:tailEnd type="triangle" w="med" len="sm"/>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7.05pt;margin-top:24.3pt;height:2.95pt;width:11.2pt;z-index:251664384;mso-width-relative:page;mso-height-relative:page;" filled="f" stroked="t" coordsize="21600,21600" o:gfxdata="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Jn7N2QAAAAkBAAAPAAAAAAAAAAEAIAAA&#10;ACIAAABkcnMvZG93bnJldi54bWxQSwECFAAUAAAACACHTuJAElwdLgsCAADgAwAADgAAAAAAAAAB&#10;ACAAAAAoAQAAZHJzL2Uyb0RvYy54bWxQSwUGAAAAAAYABgBZAQAApQUAAAAA&#10;">
                      <v:fill on="f" focussize="0,0"/>
                      <v:stroke color="#FFFF00 [3204]" joinstyle="round" endarrow="block" endarrowlength="short"/>
                      <v:imagedata o:title=""/>
                      <o:lock v:ext="edit" aspectratio="f"/>
                    </v:shape>
                  </w:pict>
                </mc:Fallback>
              </mc:AlternateContent>
            </w:r>
            <w:r>
              <w:rPr>
                <w:color w:val="auto"/>
                <w:sz w:val="28"/>
              </w:rPr>
              <mc:AlternateContent>
                <mc:Choice Requires="wps">
                  <w:drawing>
                    <wp:anchor distT="0" distB="0" distL="114300" distR="114300" simplePos="0" relativeHeight="251663360" behindDoc="0" locked="0" layoutInCell="1" allowOverlap="1">
                      <wp:simplePos x="0" y="0"/>
                      <wp:positionH relativeFrom="column">
                        <wp:posOffset>1924050</wp:posOffset>
                      </wp:positionH>
                      <wp:positionV relativeFrom="paragraph">
                        <wp:posOffset>607695</wp:posOffset>
                      </wp:positionV>
                      <wp:extent cx="160020" cy="208915"/>
                      <wp:effectExtent l="3810" t="3175" r="3810" b="1270"/>
                      <wp:wrapNone/>
                      <wp:docPr id="22" name="直接箭头连接符 22"/>
                      <wp:cNvGraphicFramePr/>
                      <a:graphic xmlns:a="http://schemas.openxmlformats.org/drawingml/2006/main">
                        <a:graphicData uri="http://schemas.microsoft.com/office/word/2010/wordprocessingShape">
                          <wps:wsp>
                            <wps:cNvCnPr/>
                            <wps:spPr>
                              <a:xfrm>
                                <a:off x="3597910" y="1616075"/>
                                <a:ext cx="160020" cy="208915"/>
                              </a:xfrm>
                              <a:prstGeom prst="straightConnector1">
                                <a:avLst/>
                              </a:prstGeom>
                              <a:ln w="9525">
                                <a:solidFill>
                                  <a:srgbClr val="FFFF00"/>
                                </a:solidFill>
                                <a:tailEnd type="triangle" w="med" len="sm"/>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1.5pt;margin-top:47.85pt;height:16.45pt;width:12.6pt;z-index:251663360;mso-width-relative:page;mso-height-relative:page;" filled="f" stroked="t" coordsize="21600,21600" o:gfxdata="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Qx6OtkAAAAKAQAA&#10;DwAAAAAAAAABACAAAAAiAAAAZHJzL2Rvd25yZXYueG1sUEsBAhQAFAAAAAgAh07iQKUhw3QYAgAA&#10;7QMAAA4AAAAAAAAAAQAgAAAAKAEAAGRycy9lMm9Eb2MueG1sUEsFBgAAAAAGAAYAWQEAALIFAAAA&#10;AA==&#10;">
                      <v:fill on="f" focussize="0,0"/>
                      <v:stroke color="#FFFF00 [3204]" joinstyle="round" endarrow="block" endarrowlength="short"/>
                      <v:imagedata o:title=""/>
                      <o:lock v:ext="edit" aspectratio="f"/>
                    </v:shape>
                  </w:pict>
                </mc:Fallback>
              </mc:AlternateContent>
            </w:r>
            <w:r>
              <w:rPr>
                <w:b/>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1459230</wp:posOffset>
                      </wp:positionH>
                      <wp:positionV relativeFrom="paragraph">
                        <wp:posOffset>526415</wp:posOffset>
                      </wp:positionV>
                      <wp:extent cx="798830" cy="362585"/>
                      <wp:effectExtent l="0" t="0" r="0" b="0"/>
                      <wp:wrapNone/>
                      <wp:docPr id="9" name="矩形标注 9"/>
                      <wp:cNvGraphicFramePr/>
                      <a:graphic xmlns:a="http://schemas.openxmlformats.org/drawingml/2006/main">
                        <a:graphicData uri="http://schemas.microsoft.com/office/word/2010/wordprocessingShape">
                          <wps:wsp>
                            <wps:cNvSpPr/>
                            <wps:spPr>
                              <a:xfrm>
                                <a:off x="0" y="0"/>
                                <a:ext cx="798830" cy="362585"/>
                              </a:xfrm>
                              <a:prstGeom prst="wedgeRectCallout">
                                <a:avLst>
                                  <a:gd name="adj1" fmla="val 97579"/>
                                  <a:gd name="adj2" fmla="val -13889"/>
                                </a:avLst>
                              </a:prstGeom>
                              <a:noFill/>
                              <a:ln>
                                <a:noFill/>
                              </a:ln>
                            </wps:spPr>
                            <wps:txbx>
                              <w:txbxContent>
                                <w:p w14:paraId="1CBD186B">
                                  <w:pPr>
                                    <w:ind w:left="0" w:leftChars="0" w:firstLine="0" w:firstLineChars="0"/>
                                    <w:rPr>
                                      <w:rFonts w:hint="eastAsia" w:eastAsia="宋体"/>
                                      <w:b/>
                                      <w:bCs/>
                                      <w:color w:val="FFFF00"/>
                                      <w:sz w:val="22"/>
                                      <w:szCs w:val="21"/>
                                      <w:lang w:val="en-US" w:eastAsia="zh-CN"/>
                                    </w:rPr>
                                  </w:pPr>
                                  <w:r>
                                    <w:rPr>
                                      <w:rFonts w:hint="eastAsia"/>
                                      <w:b/>
                                      <w:bCs/>
                                      <w:color w:val="FFFF00"/>
                                      <w:sz w:val="22"/>
                                      <w:szCs w:val="21"/>
                                      <w:lang w:val="en-US" w:eastAsia="zh-CN"/>
                                    </w:rPr>
                                    <w:t>红岩溪</w:t>
                                  </w:r>
                                </w:p>
                              </w:txbxContent>
                            </wps:txbx>
                            <wps:bodyPr upright="1"/>
                          </wps:wsp>
                        </a:graphicData>
                      </a:graphic>
                    </wp:anchor>
                  </w:drawing>
                </mc:Choice>
                <mc:Fallback>
                  <w:pict>
                    <v:shape id="_x0000_s1026" o:spid="_x0000_s1026" o:spt="61" type="#_x0000_t61" style="position:absolute;left:0pt;margin-left:114.9pt;margin-top:41.45pt;height:28.55pt;width:62.9pt;z-index:251661312;mso-width-relative:page;mso-height-relative:page;" filled="f" stroked="f" coordsize="21600,21600" o:gfxdata="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PNF8H2AAAAAoBAAAPAAAA&#10;AAAAAAEAIAAAACIAAABkcnMvZG93bnJldi54bWxQSwECFAAUAAAACACHTuJA7cpPjtwBAACkAwAA&#10;DgAAAAAAAAABACAAAAAnAQAAZHJzL2Uyb0RvYy54bWxQSwUGAAAAAAYABgBZAQAAdQUAAAAA&#10;" adj="31877,7800">
                      <v:fill on="f" focussize="0,0"/>
                      <v:stroke on="f"/>
                      <v:imagedata o:title=""/>
                      <o:lock v:ext="edit" aspectratio="f"/>
                      <v:textbox>
                        <w:txbxContent>
                          <w:p w14:paraId="1CBD186B">
                            <w:pPr>
                              <w:ind w:left="0" w:leftChars="0" w:firstLine="0" w:firstLineChars="0"/>
                              <w:rPr>
                                <w:rFonts w:hint="eastAsia" w:eastAsia="宋体"/>
                                <w:b/>
                                <w:bCs/>
                                <w:color w:val="FFFF00"/>
                                <w:sz w:val="22"/>
                                <w:szCs w:val="21"/>
                                <w:lang w:val="en-US" w:eastAsia="zh-CN"/>
                              </w:rPr>
                            </w:pPr>
                            <w:r>
                              <w:rPr>
                                <w:rFonts w:hint="eastAsia"/>
                                <w:b/>
                                <w:bCs/>
                                <w:color w:val="FFFF00"/>
                                <w:sz w:val="22"/>
                                <w:szCs w:val="21"/>
                                <w:lang w:val="en-US" w:eastAsia="zh-CN"/>
                              </w:rPr>
                              <w:t>红岩溪</w:t>
                            </w:r>
                          </w:p>
                        </w:txbxContent>
                      </v:textbox>
                    </v:shape>
                  </w:pict>
                </mc:Fallback>
              </mc:AlternateContent>
            </w:r>
            <w:r>
              <w:rPr>
                <w:b/>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2460625</wp:posOffset>
                      </wp:positionH>
                      <wp:positionV relativeFrom="paragraph">
                        <wp:posOffset>2676525</wp:posOffset>
                      </wp:positionV>
                      <wp:extent cx="1016635" cy="362585"/>
                      <wp:effectExtent l="0" t="0" r="0" b="0"/>
                      <wp:wrapNone/>
                      <wp:docPr id="6" name="矩形标注 6"/>
                      <wp:cNvGraphicFramePr/>
                      <a:graphic xmlns:a="http://schemas.openxmlformats.org/drawingml/2006/main">
                        <a:graphicData uri="http://schemas.microsoft.com/office/word/2010/wordprocessingShape">
                          <wps:wsp>
                            <wps:cNvSpPr/>
                            <wps:spPr>
                              <a:xfrm>
                                <a:off x="0" y="0"/>
                                <a:ext cx="1016635" cy="362585"/>
                              </a:xfrm>
                              <a:prstGeom prst="wedgeRectCallout">
                                <a:avLst>
                                  <a:gd name="adj1" fmla="val 97579"/>
                                  <a:gd name="adj2" fmla="val -13889"/>
                                </a:avLst>
                              </a:prstGeom>
                              <a:noFill/>
                              <a:ln>
                                <a:noFill/>
                              </a:ln>
                            </wps:spPr>
                            <wps:txbx>
                              <w:txbxContent>
                                <w:p w14:paraId="5E1B771C">
                                  <w:pPr>
                                    <w:ind w:left="0" w:leftChars="0" w:firstLine="0" w:firstLineChars="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王家厂水库</w:t>
                                  </w:r>
                                </w:p>
                              </w:txbxContent>
                            </wps:txbx>
                            <wps:bodyPr upright="1"/>
                          </wps:wsp>
                        </a:graphicData>
                      </a:graphic>
                    </wp:anchor>
                  </w:drawing>
                </mc:Choice>
                <mc:Fallback>
                  <w:pict>
                    <v:shape id="_x0000_s1026" o:spid="_x0000_s1026" o:spt="61" type="#_x0000_t61" style="position:absolute;left:0pt;margin-left:193.75pt;margin-top:210.75pt;height:28.55pt;width:80.05pt;z-index:251659264;mso-width-relative:page;mso-height-relative:page;" filled="f" stroked="f" coordsize="21600,21600" o:gfxdata="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LQ239kAAAALAQAADwAA&#10;AAAAAAABACAAAAAiAAAAZHJzL2Rvd25yZXYueG1sUEsBAhQAFAAAAAgAh07iQPVDwNjcAQAApQMA&#10;AA4AAAAAAAAAAQAgAAAAKAEAAGRycy9lMm9Eb2MueG1sUEsFBgAAAAAGAAYAWQEAAHYFAAAAAA==&#10;" adj="31877,7800">
                      <v:fill on="f" focussize="0,0"/>
                      <v:stroke on="f"/>
                      <v:imagedata o:title=""/>
                      <o:lock v:ext="edit" aspectratio="f"/>
                      <v:textbox>
                        <w:txbxContent>
                          <w:p w14:paraId="5E1B771C">
                            <w:pPr>
                              <w:ind w:left="0" w:leftChars="0" w:firstLine="0" w:firstLineChars="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王家厂水库</w:t>
                            </w:r>
                          </w:p>
                        </w:txbxContent>
                      </v:textbox>
                    </v:shape>
                  </w:pict>
                </mc:Fallback>
              </mc:AlternateContent>
            </w:r>
            <w:r>
              <w:rPr>
                <w:b/>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1867535</wp:posOffset>
                      </wp:positionH>
                      <wp:positionV relativeFrom="paragraph">
                        <wp:posOffset>85090</wp:posOffset>
                      </wp:positionV>
                      <wp:extent cx="798830" cy="362585"/>
                      <wp:effectExtent l="0" t="0" r="0" b="0"/>
                      <wp:wrapNone/>
                      <wp:docPr id="10" name="矩形标注 10"/>
                      <wp:cNvGraphicFramePr/>
                      <a:graphic xmlns:a="http://schemas.openxmlformats.org/drawingml/2006/main">
                        <a:graphicData uri="http://schemas.microsoft.com/office/word/2010/wordprocessingShape">
                          <wps:wsp>
                            <wps:cNvSpPr/>
                            <wps:spPr>
                              <a:xfrm>
                                <a:off x="0" y="0"/>
                                <a:ext cx="798830" cy="362585"/>
                              </a:xfrm>
                              <a:prstGeom prst="wedgeRectCallout">
                                <a:avLst>
                                  <a:gd name="adj1" fmla="val 97579"/>
                                  <a:gd name="adj2" fmla="val -13889"/>
                                </a:avLst>
                              </a:prstGeom>
                              <a:noFill/>
                              <a:ln>
                                <a:noFill/>
                              </a:ln>
                            </wps:spPr>
                            <wps:txbx>
                              <w:txbxContent>
                                <w:p w14:paraId="32CCFCBC">
                                  <w:pPr>
                                    <w:ind w:left="0" w:leftChars="0" w:firstLine="0" w:firstLineChars="0"/>
                                    <w:rPr>
                                      <w:rFonts w:hint="default" w:eastAsia="宋体"/>
                                      <w:b/>
                                      <w:bCs/>
                                      <w:color w:val="FFFF00"/>
                                      <w:sz w:val="22"/>
                                      <w:szCs w:val="21"/>
                                      <w:lang w:val="en-US" w:eastAsia="zh-CN"/>
                                    </w:rPr>
                                  </w:pPr>
                                  <w:r>
                                    <w:rPr>
                                      <w:rFonts w:hint="eastAsia"/>
                                      <w:b/>
                                      <w:bCs/>
                                      <w:color w:val="FFFF00"/>
                                      <w:sz w:val="22"/>
                                      <w:szCs w:val="21"/>
                                      <w:lang w:val="en-US" w:eastAsia="zh-CN"/>
                                    </w:rPr>
                                    <w:t>肖家河</w:t>
                                  </w:r>
                                </w:p>
                              </w:txbxContent>
                            </wps:txbx>
                            <wps:bodyPr upright="1"/>
                          </wps:wsp>
                        </a:graphicData>
                      </a:graphic>
                    </wp:anchor>
                  </w:drawing>
                </mc:Choice>
                <mc:Fallback>
                  <w:pict>
                    <v:shape id="_x0000_s1026" o:spid="_x0000_s1026" o:spt="61" type="#_x0000_t61" style="position:absolute;left:0pt;margin-left:147.05pt;margin-top:6.7pt;height:28.55pt;width:62.9pt;z-index:251662336;mso-width-relative:page;mso-height-relative:page;" filled="f" stroked="f" coordsize="21600,21600" o:gfxdata="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Lmy9tcAAAAJAQAADwAAAAAA&#10;AAABACAAAAAiAAAAZHJzL2Rvd25yZXYueG1sUEsBAhQAFAAAAAgAh07iQCTdzbXbAQAApgMAAA4A&#10;AAAAAAAAAQAgAAAAJgEAAGRycy9lMm9Eb2MueG1sUEsFBgAAAAAGAAYAWQEAAHMFAAAAAA==&#10;" adj="31877,7800">
                      <v:fill on="f" focussize="0,0"/>
                      <v:stroke on="f"/>
                      <v:imagedata o:title=""/>
                      <o:lock v:ext="edit" aspectratio="f"/>
                      <v:textbox>
                        <w:txbxContent>
                          <w:p w14:paraId="32CCFCBC">
                            <w:pPr>
                              <w:ind w:left="0" w:leftChars="0" w:firstLine="0" w:firstLineChars="0"/>
                              <w:rPr>
                                <w:rFonts w:hint="default" w:eastAsia="宋体"/>
                                <w:b/>
                                <w:bCs/>
                                <w:color w:val="FFFF00"/>
                                <w:sz w:val="22"/>
                                <w:szCs w:val="21"/>
                                <w:lang w:val="en-US" w:eastAsia="zh-CN"/>
                              </w:rPr>
                            </w:pPr>
                            <w:r>
                              <w:rPr>
                                <w:rFonts w:hint="eastAsia"/>
                                <w:b/>
                                <w:bCs/>
                                <w:color w:val="FFFF00"/>
                                <w:sz w:val="22"/>
                                <w:szCs w:val="21"/>
                                <w:lang w:val="en-US" w:eastAsia="zh-CN"/>
                              </w:rPr>
                              <w:t>肖家河</w:t>
                            </w:r>
                          </w:p>
                        </w:txbxContent>
                      </v:textbox>
                    </v:shape>
                  </w:pict>
                </mc:Fallback>
              </mc:AlternateContent>
            </w:r>
            <w:r>
              <w:rPr>
                <w:b/>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1459230</wp:posOffset>
                      </wp:positionH>
                      <wp:positionV relativeFrom="paragraph">
                        <wp:posOffset>276225</wp:posOffset>
                      </wp:positionV>
                      <wp:extent cx="798830" cy="362585"/>
                      <wp:effectExtent l="0" t="0" r="0" b="0"/>
                      <wp:wrapNone/>
                      <wp:docPr id="7" name="矩形标注 7"/>
                      <wp:cNvGraphicFramePr/>
                      <a:graphic xmlns:a="http://schemas.openxmlformats.org/drawingml/2006/main">
                        <a:graphicData uri="http://schemas.microsoft.com/office/word/2010/wordprocessingShape">
                          <wps:wsp>
                            <wps:cNvSpPr/>
                            <wps:spPr>
                              <a:xfrm>
                                <a:off x="0" y="0"/>
                                <a:ext cx="798830" cy="362585"/>
                              </a:xfrm>
                              <a:prstGeom prst="wedgeRectCallout">
                                <a:avLst>
                                  <a:gd name="adj1" fmla="val 97579"/>
                                  <a:gd name="adj2" fmla="val -13889"/>
                                </a:avLst>
                              </a:prstGeom>
                              <a:noFill/>
                              <a:ln>
                                <a:noFill/>
                              </a:ln>
                            </wps:spPr>
                            <wps:txbx>
                              <w:txbxContent>
                                <w:p w14:paraId="1A175F55">
                                  <w:pPr>
                                    <w:ind w:left="0" w:leftChars="0" w:firstLine="0" w:firstLineChars="0"/>
                                    <w:rPr>
                                      <w:rFonts w:hint="eastAsia"/>
                                      <w:b/>
                                      <w:bCs/>
                                      <w:color w:val="FF0000"/>
                                    </w:rPr>
                                  </w:pPr>
                                  <w:r>
                                    <w:rPr>
                                      <w:rFonts w:hint="eastAsia"/>
                                      <w:b/>
                                      <w:bCs/>
                                      <w:color w:val="FF0000"/>
                                    </w:rPr>
                                    <w:t>项目位置</w:t>
                                  </w:r>
                                </w:p>
                              </w:txbxContent>
                            </wps:txbx>
                            <wps:bodyPr upright="1"/>
                          </wps:wsp>
                        </a:graphicData>
                      </a:graphic>
                    </wp:anchor>
                  </w:drawing>
                </mc:Choice>
                <mc:Fallback>
                  <w:pict>
                    <v:shape id="_x0000_s1026" o:spid="_x0000_s1026" o:spt="61" type="#_x0000_t61" style="position:absolute;left:0pt;margin-left:114.9pt;margin-top:21.75pt;height:28.55pt;width:62.9pt;z-index:251660288;mso-width-relative:page;mso-height-relative:page;" filled="f" stroked="f" coordsize="21600,21600" o:gfxdata="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kKJT9cAAAAKAQAADwAAAAAA&#10;AAABACAAAAAiAAAAZHJzL2Rvd25yZXYueG1sUEsBAhQAFAAAAAgAh07iQEwOF7jbAQAApAMAAA4A&#10;AAAAAAAAAQAgAAAAJgEAAGRycy9lMm9Eb2MueG1sUEsFBgAAAAAGAAYAWQEAAHMFAAAAAA==&#10;" adj="31877,7800">
                      <v:fill on="f" focussize="0,0"/>
                      <v:stroke on="f"/>
                      <v:imagedata o:title=""/>
                      <o:lock v:ext="edit" aspectratio="f"/>
                      <v:textbox>
                        <w:txbxContent>
                          <w:p w14:paraId="1A175F55">
                            <w:pPr>
                              <w:ind w:left="0" w:leftChars="0" w:firstLine="0" w:firstLineChars="0"/>
                              <w:rPr>
                                <w:rFonts w:hint="eastAsia"/>
                                <w:b/>
                                <w:bCs/>
                                <w:color w:val="FF0000"/>
                              </w:rPr>
                            </w:pPr>
                            <w:r>
                              <w:rPr>
                                <w:rFonts w:hint="eastAsia"/>
                                <w:b/>
                                <w:bCs/>
                                <w:color w:val="FF0000"/>
                              </w:rPr>
                              <w:t>项目位置</w:t>
                            </w:r>
                          </w:p>
                        </w:txbxContent>
                      </v:textbox>
                    </v:shape>
                  </w:pict>
                </mc:Fallback>
              </mc:AlternateContent>
            </w:r>
            <w:r>
              <w:rPr>
                <w:color w:val="auto"/>
              </w:rPr>
              <w:drawing>
                <wp:inline distT="0" distB="0" distL="114300" distR="114300">
                  <wp:extent cx="4997450" cy="4010025"/>
                  <wp:effectExtent l="0" t="0" r="127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4997450" cy="4010025"/>
                          </a:xfrm>
                          <a:prstGeom prst="rect">
                            <a:avLst/>
                          </a:prstGeom>
                          <a:noFill/>
                          <a:ln>
                            <a:noFill/>
                          </a:ln>
                        </pic:spPr>
                      </pic:pic>
                    </a:graphicData>
                  </a:graphic>
                </wp:inline>
              </w:drawing>
            </w:r>
          </w:p>
          <w:p w14:paraId="31FD284E">
            <w:pPr>
              <w:ind w:firstLine="0" w:firstLineChars="0"/>
              <w:jc w:val="center"/>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表3-</w:t>
            </w:r>
            <w:r>
              <w:rPr>
                <w:rFonts w:hint="eastAsia" w:ascii="Times New Roman" w:hAnsi="Times New Roman" w:eastAsia="宋体" w:cs="Times New Roman"/>
                <w:b/>
                <w:bCs/>
                <w:color w:val="auto"/>
                <w:sz w:val="21"/>
                <w:szCs w:val="21"/>
                <w:highlight w:val="none"/>
                <w:u w:val="single"/>
                <w:lang w:val="en-US" w:eastAsia="zh-CN"/>
              </w:rPr>
              <w:t>9</w:t>
            </w:r>
            <w:r>
              <w:rPr>
                <w:rFonts w:hint="default" w:ascii="Times New Roman" w:hAnsi="Times New Roman" w:eastAsia="宋体" w:cs="Times New Roman"/>
                <w:b/>
                <w:bCs/>
                <w:color w:val="auto"/>
                <w:sz w:val="21"/>
                <w:szCs w:val="21"/>
                <w:highlight w:val="none"/>
                <w:u w:val="single"/>
              </w:rPr>
              <w:t xml:space="preserve">  </w:t>
            </w:r>
            <w:r>
              <w:rPr>
                <w:rFonts w:hint="eastAsia" w:ascii="Times New Roman" w:hAnsi="Times New Roman" w:eastAsia="宋体" w:cs="Times New Roman"/>
                <w:b/>
                <w:bCs/>
                <w:color w:val="auto"/>
                <w:sz w:val="21"/>
                <w:szCs w:val="21"/>
                <w:highlight w:val="none"/>
                <w:u w:val="single"/>
                <w:lang w:eastAsia="zh-CN"/>
              </w:rPr>
              <w:t>地表水</w:t>
            </w:r>
            <w:r>
              <w:rPr>
                <w:rFonts w:hint="default" w:ascii="Times New Roman" w:hAnsi="Times New Roman" w:eastAsia="宋体" w:cs="Times New Roman"/>
                <w:b/>
                <w:bCs/>
                <w:color w:val="auto"/>
                <w:sz w:val="21"/>
                <w:szCs w:val="21"/>
                <w:highlight w:val="none"/>
                <w:u w:val="single"/>
              </w:rPr>
              <w:t>环境保护目标</w:t>
            </w:r>
          </w:p>
          <w:tbl>
            <w:tblPr>
              <w:tblStyle w:val="21"/>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184"/>
              <w:gridCol w:w="1216"/>
              <w:gridCol w:w="2152"/>
              <w:gridCol w:w="2372"/>
            </w:tblGrid>
            <w:tr w14:paraId="3E47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tcBorders>
                    <w:tl2br w:val="nil"/>
                    <w:tr2bl w:val="nil"/>
                  </w:tcBorders>
                  <w:noWrap w:val="0"/>
                  <w:vAlign w:val="center"/>
                </w:tcPr>
                <w:p w14:paraId="3A2FCE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类别</w:t>
                  </w:r>
                </w:p>
              </w:tc>
              <w:tc>
                <w:tcPr>
                  <w:tcW w:w="1184" w:type="dxa"/>
                  <w:tcBorders>
                    <w:tl2br w:val="nil"/>
                    <w:tr2bl w:val="nil"/>
                  </w:tcBorders>
                  <w:noWrap w:val="0"/>
                  <w:vAlign w:val="center"/>
                </w:tcPr>
                <w:p w14:paraId="545E43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环保目标</w:t>
                  </w:r>
                </w:p>
              </w:tc>
              <w:tc>
                <w:tcPr>
                  <w:tcW w:w="1216" w:type="dxa"/>
                  <w:tcBorders>
                    <w:tl2br w:val="nil"/>
                    <w:tr2bl w:val="nil"/>
                  </w:tcBorders>
                  <w:noWrap w:val="0"/>
                  <w:vAlign w:val="center"/>
                </w:tcPr>
                <w:p w14:paraId="4DA72D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single"/>
                      <w:lang w:val="en-US" w:eastAsia="zh-CN"/>
                    </w:rPr>
                  </w:pPr>
                  <w:r>
                    <w:rPr>
                      <w:rFonts w:hint="eastAsia" w:ascii="Times New Roman" w:hAnsi="Times New Roman" w:eastAsia="宋体" w:cs="Times New Roman"/>
                      <w:b/>
                      <w:bCs/>
                      <w:color w:val="auto"/>
                      <w:sz w:val="21"/>
                      <w:szCs w:val="21"/>
                      <w:highlight w:val="none"/>
                      <w:u w:val="single"/>
                      <w:lang w:val="en-US" w:eastAsia="zh-CN"/>
                    </w:rPr>
                    <w:t>规模</w:t>
                  </w:r>
                </w:p>
              </w:tc>
              <w:tc>
                <w:tcPr>
                  <w:tcW w:w="2152" w:type="dxa"/>
                  <w:tcBorders>
                    <w:tl2br w:val="nil"/>
                    <w:tr2bl w:val="nil"/>
                  </w:tcBorders>
                  <w:noWrap w:val="0"/>
                  <w:vAlign w:val="center"/>
                </w:tcPr>
                <w:p w14:paraId="3FE7CA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相对开采区方位距离</w:t>
                  </w:r>
                </w:p>
              </w:tc>
              <w:tc>
                <w:tcPr>
                  <w:tcW w:w="2372" w:type="dxa"/>
                  <w:tcBorders>
                    <w:tl2br w:val="nil"/>
                    <w:tr2bl w:val="nil"/>
                  </w:tcBorders>
                  <w:noWrap w:val="0"/>
                  <w:vAlign w:val="center"/>
                </w:tcPr>
                <w:p w14:paraId="2A8D08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质量标准</w:t>
                  </w:r>
                  <w:r>
                    <w:rPr>
                      <w:rFonts w:hint="eastAsia" w:ascii="Times New Roman" w:hAnsi="Times New Roman" w:eastAsia="宋体" w:cs="Times New Roman"/>
                      <w:b/>
                      <w:bCs/>
                      <w:color w:val="auto"/>
                      <w:sz w:val="21"/>
                      <w:szCs w:val="21"/>
                      <w:highlight w:val="none"/>
                      <w:u w:val="single"/>
                      <w:lang w:val="en-US" w:eastAsia="zh-CN"/>
                    </w:rPr>
                    <w:t>/保护要求</w:t>
                  </w:r>
                </w:p>
              </w:tc>
            </w:tr>
            <w:tr w14:paraId="28B2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restart"/>
                  <w:tcBorders>
                    <w:tl2br w:val="nil"/>
                    <w:tr2bl w:val="nil"/>
                  </w:tcBorders>
                  <w:noWrap w:val="0"/>
                  <w:vAlign w:val="center"/>
                </w:tcPr>
                <w:p w14:paraId="27C5E4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水环境</w:t>
                  </w:r>
                </w:p>
              </w:tc>
              <w:tc>
                <w:tcPr>
                  <w:tcW w:w="1184" w:type="dxa"/>
                  <w:tcBorders>
                    <w:tl2br w:val="nil"/>
                    <w:tr2bl w:val="nil"/>
                  </w:tcBorders>
                  <w:noWrap w:val="0"/>
                  <w:vAlign w:val="center"/>
                </w:tcPr>
                <w:p w14:paraId="775696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红岩溪</w:t>
                  </w:r>
                </w:p>
              </w:tc>
              <w:tc>
                <w:tcPr>
                  <w:tcW w:w="1216" w:type="dxa"/>
                  <w:tcBorders>
                    <w:tl2br w:val="nil"/>
                    <w:tr2bl w:val="nil"/>
                  </w:tcBorders>
                  <w:noWrap w:val="0"/>
                  <w:vAlign w:val="center"/>
                </w:tcPr>
                <w:p w14:paraId="3FBF48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小河</w:t>
                  </w:r>
                </w:p>
              </w:tc>
              <w:tc>
                <w:tcPr>
                  <w:tcW w:w="2152" w:type="dxa"/>
                  <w:tcBorders>
                    <w:tl2br w:val="nil"/>
                    <w:tr2bl w:val="nil"/>
                  </w:tcBorders>
                  <w:noWrap w:val="0"/>
                  <w:vAlign w:val="center"/>
                </w:tcPr>
                <w:p w14:paraId="5FFFD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SW</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10</w:t>
                  </w:r>
                  <w:r>
                    <w:rPr>
                      <w:rFonts w:hint="default" w:ascii="Times New Roman" w:hAnsi="Times New Roman" w:eastAsia="宋体" w:cs="Times New Roman"/>
                      <w:color w:val="auto"/>
                      <w:sz w:val="21"/>
                      <w:szCs w:val="21"/>
                      <w:highlight w:val="none"/>
                      <w:u w:val="single"/>
                      <w:lang w:val="en-US" w:eastAsia="zh-CN"/>
                    </w:rPr>
                    <w:t>0m</w:t>
                  </w:r>
                </w:p>
              </w:tc>
              <w:tc>
                <w:tcPr>
                  <w:tcW w:w="2372" w:type="dxa"/>
                  <w:vMerge w:val="restart"/>
                  <w:tcBorders>
                    <w:tl2br w:val="nil"/>
                    <w:tr2bl w:val="nil"/>
                  </w:tcBorders>
                  <w:noWrap w:val="0"/>
                  <w:vAlign w:val="center"/>
                </w:tcPr>
                <w:p w14:paraId="2D61F5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zh-CN" w:eastAsia="zh-CN"/>
                    </w:rPr>
                    <w:t>《地表水环境质量标准》（GB3838-2002）</w:t>
                  </w:r>
                  <w:r>
                    <w:rPr>
                      <w:rFonts w:hint="default" w:ascii="Times New Roman" w:hAnsi="Times New Roman" w:eastAsia="宋体" w:cs="Times New Roman"/>
                      <w:color w:val="auto"/>
                      <w:sz w:val="21"/>
                      <w:szCs w:val="21"/>
                      <w:highlight w:val="none"/>
                      <w:u w:val="single"/>
                      <w:lang w:val="en-US" w:eastAsia="zh-CN"/>
                    </w:rPr>
                    <w:t>Ⅲ</w:t>
                  </w:r>
                  <w:r>
                    <w:rPr>
                      <w:rFonts w:hint="default" w:ascii="Times New Roman" w:hAnsi="Times New Roman" w:eastAsia="宋体" w:cs="Times New Roman"/>
                      <w:color w:val="auto"/>
                      <w:sz w:val="21"/>
                      <w:szCs w:val="21"/>
                      <w:highlight w:val="none"/>
                      <w:u w:val="single"/>
                      <w:lang w:val="zh-CN" w:eastAsia="zh-CN"/>
                    </w:rPr>
                    <w:t>类标准</w:t>
                  </w:r>
                </w:p>
              </w:tc>
            </w:tr>
            <w:tr w14:paraId="4794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noWrap w:val="0"/>
                  <w:vAlign w:val="center"/>
                </w:tcPr>
                <w:p w14:paraId="3362B9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184" w:type="dxa"/>
                  <w:tcBorders>
                    <w:tl2br w:val="nil"/>
                    <w:tr2bl w:val="nil"/>
                  </w:tcBorders>
                  <w:noWrap w:val="0"/>
                  <w:vAlign w:val="center"/>
                </w:tcPr>
                <w:p w14:paraId="6530FD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肖家河</w:t>
                  </w:r>
                </w:p>
              </w:tc>
              <w:tc>
                <w:tcPr>
                  <w:tcW w:w="1216" w:type="dxa"/>
                  <w:tcBorders>
                    <w:tl2br w:val="nil"/>
                    <w:tr2bl w:val="nil"/>
                  </w:tcBorders>
                  <w:noWrap w:val="0"/>
                  <w:vAlign w:val="center"/>
                </w:tcPr>
                <w:p w14:paraId="0CBE14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中河</w:t>
                  </w:r>
                </w:p>
              </w:tc>
              <w:tc>
                <w:tcPr>
                  <w:tcW w:w="2152" w:type="dxa"/>
                  <w:tcBorders>
                    <w:tl2br w:val="nil"/>
                    <w:tr2bl w:val="nil"/>
                  </w:tcBorders>
                  <w:noWrap w:val="0"/>
                  <w:vAlign w:val="center"/>
                </w:tcPr>
                <w:p w14:paraId="66D2F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N，90m</w:t>
                  </w:r>
                </w:p>
              </w:tc>
              <w:tc>
                <w:tcPr>
                  <w:tcW w:w="2372" w:type="dxa"/>
                  <w:vMerge w:val="continue"/>
                  <w:tcBorders>
                    <w:tl2br w:val="nil"/>
                    <w:tr2bl w:val="nil"/>
                  </w:tcBorders>
                  <w:noWrap w:val="0"/>
                  <w:vAlign w:val="center"/>
                </w:tcPr>
                <w:p w14:paraId="417D86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zh-CN" w:eastAsia="zh-CN"/>
                    </w:rPr>
                  </w:pPr>
                </w:p>
              </w:tc>
            </w:tr>
          </w:tbl>
          <w:p w14:paraId="09E54AFC">
            <w:pPr>
              <w:spacing w:before="156" w:beforeLines="50"/>
              <w:ind w:firstLine="0" w:firstLineChars="0"/>
              <w:rPr>
                <w:rFonts w:hint="default" w:ascii="Times New Roman" w:hAnsi="Times New Roman" w:cs="Times New Roman"/>
                <w:b/>
                <w:bCs/>
                <w:color w:val="auto"/>
                <w:szCs w:val="24"/>
                <w:highlight w:val="none"/>
                <w:u w:val="single"/>
              </w:rPr>
            </w:pPr>
            <w:r>
              <w:rPr>
                <w:rFonts w:hint="eastAsia" w:cs="Times New Roman"/>
                <w:b/>
                <w:bCs/>
                <w:color w:val="auto"/>
                <w:szCs w:val="24"/>
                <w:highlight w:val="none"/>
                <w:u w:val="single"/>
                <w:lang w:val="en-US" w:eastAsia="zh-CN"/>
              </w:rPr>
              <w:t>5</w:t>
            </w:r>
            <w:r>
              <w:rPr>
                <w:rFonts w:hint="default" w:ascii="Times New Roman" w:hAnsi="Times New Roman" w:cs="Times New Roman"/>
                <w:b/>
                <w:bCs/>
                <w:color w:val="auto"/>
                <w:szCs w:val="24"/>
                <w:highlight w:val="none"/>
                <w:u w:val="single"/>
              </w:rPr>
              <w:t>、</w:t>
            </w:r>
            <w:r>
              <w:rPr>
                <w:rFonts w:hint="eastAsia" w:cs="Times New Roman"/>
                <w:b/>
                <w:bCs/>
                <w:color w:val="auto"/>
                <w:szCs w:val="24"/>
                <w:highlight w:val="none"/>
                <w:u w:val="single"/>
                <w:lang w:val="en-US" w:eastAsia="zh-CN"/>
              </w:rPr>
              <w:t>道路运输环境</w:t>
            </w:r>
            <w:r>
              <w:rPr>
                <w:rFonts w:hint="default" w:ascii="Times New Roman" w:hAnsi="Times New Roman" w:cs="Times New Roman"/>
                <w:b/>
                <w:bCs/>
                <w:color w:val="auto"/>
                <w:szCs w:val="24"/>
                <w:highlight w:val="none"/>
                <w:u w:val="single"/>
              </w:rPr>
              <w:t>保护目标</w:t>
            </w:r>
          </w:p>
          <w:p w14:paraId="3A2F9732">
            <w:pPr>
              <w:keepNext w:val="0"/>
              <w:keepLines w:val="0"/>
              <w:widowControl/>
              <w:suppressLineNumbers w:val="0"/>
              <w:jc w:val="left"/>
              <w:rPr>
                <w:color w:val="auto"/>
                <w:highlight w:val="none"/>
                <w:u w:val="single"/>
              </w:rPr>
            </w:pPr>
            <w:r>
              <w:rPr>
                <w:rFonts w:hint="eastAsia" w:ascii="宋体" w:hAnsi="宋体" w:eastAsia="宋体" w:cs="宋体"/>
                <w:color w:val="auto"/>
                <w:kern w:val="0"/>
                <w:sz w:val="24"/>
                <w:szCs w:val="24"/>
                <w:highlight w:val="none"/>
                <w:u w:val="single"/>
                <w:lang w:val="en-US" w:eastAsia="zh-CN" w:bidi="ar"/>
              </w:rPr>
              <w:t>项目原矿石、废土利用矿区外现有的道路分别转运至工业场地、排土场，运距较短</w:t>
            </w:r>
            <w:r>
              <w:rPr>
                <w:rFonts w:hint="eastAsia" w:ascii="宋体" w:hAnsi="宋体" w:cs="宋体"/>
                <w:color w:val="auto"/>
                <w:kern w:val="0"/>
                <w:sz w:val="24"/>
                <w:szCs w:val="24"/>
                <w:highlight w:val="none"/>
                <w:u w:val="single"/>
                <w:lang w:val="en-US" w:eastAsia="zh-CN" w:bidi="ar"/>
              </w:rPr>
              <w:t>，场内道路周</w:t>
            </w:r>
            <w:r>
              <w:rPr>
                <w:rFonts w:hint="eastAsia" w:ascii="Times New Roman" w:hAnsi="Times New Roman" w:eastAsia="宋体" w:cs="Times New Roman"/>
                <w:bCs/>
                <w:color w:val="auto"/>
                <w:sz w:val="24"/>
                <w:szCs w:val="24"/>
                <w:highlight w:val="none"/>
                <w:u w:val="single"/>
                <w:lang w:val="en-US" w:eastAsia="zh-CN"/>
              </w:rPr>
              <w:t>边200m范围内无敏</w:t>
            </w:r>
            <w:r>
              <w:rPr>
                <w:rFonts w:hint="eastAsia" w:ascii="宋体" w:hAnsi="宋体" w:cs="宋体"/>
                <w:color w:val="auto"/>
                <w:kern w:val="0"/>
                <w:sz w:val="24"/>
                <w:szCs w:val="24"/>
                <w:highlight w:val="none"/>
                <w:u w:val="single"/>
                <w:lang w:val="en-US" w:eastAsia="zh-CN" w:bidi="ar"/>
              </w:rPr>
              <w:t>感点</w:t>
            </w:r>
            <w:r>
              <w:rPr>
                <w:rFonts w:hint="eastAsia" w:ascii="宋体" w:hAnsi="宋体" w:eastAsia="宋体" w:cs="宋体"/>
                <w:color w:val="auto"/>
                <w:kern w:val="0"/>
                <w:sz w:val="24"/>
                <w:szCs w:val="24"/>
                <w:highlight w:val="none"/>
                <w:u w:val="single"/>
                <w:lang w:val="en-US" w:eastAsia="zh-CN" w:bidi="ar"/>
              </w:rPr>
              <w:t>。因此，本次运输道路环保目标主要为矿区外运输道路周边环保目标。</w:t>
            </w:r>
          </w:p>
          <w:p w14:paraId="273C9CFA">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表3-</w:t>
            </w:r>
            <w:r>
              <w:rPr>
                <w:rFonts w:hint="eastAsia" w:cs="Times New Roman"/>
                <w:b/>
                <w:bCs/>
                <w:color w:val="auto"/>
                <w:sz w:val="21"/>
                <w:szCs w:val="21"/>
                <w:highlight w:val="none"/>
                <w:u w:val="single"/>
                <w:lang w:val="en-US" w:eastAsia="zh-CN"/>
              </w:rPr>
              <w:t>10</w:t>
            </w:r>
            <w:r>
              <w:rPr>
                <w:rFonts w:hint="default" w:ascii="Times New Roman" w:hAnsi="Times New Roman" w:cs="Times New Roman"/>
                <w:b/>
                <w:bCs/>
                <w:color w:val="auto"/>
                <w:sz w:val="21"/>
                <w:szCs w:val="21"/>
                <w:highlight w:val="none"/>
                <w:u w:val="single"/>
              </w:rPr>
              <w:t xml:space="preserve">  </w:t>
            </w:r>
            <w:r>
              <w:rPr>
                <w:rFonts w:hint="eastAsia" w:cs="Times New Roman"/>
                <w:b/>
                <w:bCs/>
                <w:color w:val="auto"/>
                <w:sz w:val="21"/>
                <w:szCs w:val="21"/>
                <w:highlight w:val="none"/>
                <w:u w:val="single"/>
                <w:lang w:val="en-US" w:eastAsia="zh-CN"/>
              </w:rPr>
              <w:t>运输道路</w:t>
            </w:r>
            <w:r>
              <w:rPr>
                <w:rFonts w:hint="default" w:ascii="Times New Roman" w:hAnsi="Times New Roman" w:cs="Times New Roman"/>
                <w:b/>
                <w:bCs/>
                <w:color w:val="auto"/>
                <w:sz w:val="21"/>
                <w:szCs w:val="21"/>
                <w:highlight w:val="none"/>
                <w:u w:val="single"/>
              </w:rPr>
              <w:t>环境保护目标</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43"/>
              <w:gridCol w:w="1869"/>
              <w:gridCol w:w="1451"/>
              <w:gridCol w:w="2181"/>
            </w:tblGrid>
            <w:tr w14:paraId="1DB6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Align w:val="center"/>
                </w:tcPr>
                <w:p w14:paraId="69C9D4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环境要素</w:t>
                  </w:r>
                </w:p>
              </w:tc>
              <w:tc>
                <w:tcPr>
                  <w:tcW w:w="979" w:type="pct"/>
                  <w:vAlign w:val="center"/>
                </w:tcPr>
                <w:p w14:paraId="4745D0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保护目标</w:t>
                  </w:r>
                </w:p>
              </w:tc>
              <w:tc>
                <w:tcPr>
                  <w:tcW w:w="1186" w:type="pct"/>
                  <w:vAlign w:val="center"/>
                </w:tcPr>
                <w:p w14:paraId="500920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方位及距离</w:t>
                  </w:r>
                </w:p>
              </w:tc>
              <w:tc>
                <w:tcPr>
                  <w:tcW w:w="921" w:type="pct"/>
                  <w:vAlign w:val="center"/>
                </w:tcPr>
                <w:p w14:paraId="72B6C2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规模及功能</w:t>
                  </w:r>
                </w:p>
              </w:tc>
              <w:tc>
                <w:tcPr>
                  <w:tcW w:w="1384" w:type="pct"/>
                  <w:vAlign w:val="center"/>
                </w:tcPr>
                <w:p w14:paraId="7FED4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保护级别</w:t>
                  </w:r>
                </w:p>
              </w:tc>
            </w:tr>
            <w:tr w14:paraId="4162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restart"/>
                  <w:vAlign w:val="center"/>
                </w:tcPr>
                <w:p w14:paraId="16A319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大气环境</w:t>
                  </w:r>
                </w:p>
              </w:tc>
              <w:tc>
                <w:tcPr>
                  <w:tcW w:w="979" w:type="pct"/>
                  <w:vAlign w:val="center"/>
                </w:tcPr>
                <w:p w14:paraId="6FE8B1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芦桥村居民</w:t>
                  </w:r>
                </w:p>
              </w:tc>
              <w:tc>
                <w:tcPr>
                  <w:tcW w:w="1186" w:type="pct"/>
                  <w:vAlign w:val="center"/>
                </w:tcPr>
                <w:p w14:paraId="710601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36BFFA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60户</w:t>
                  </w:r>
                </w:p>
              </w:tc>
              <w:tc>
                <w:tcPr>
                  <w:tcW w:w="1384" w:type="pct"/>
                  <w:vMerge w:val="restart"/>
                  <w:vAlign w:val="center"/>
                </w:tcPr>
                <w:p w14:paraId="2CA4B2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《环境空气质量标准》（</w:t>
                  </w:r>
                  <w:r>
                    <w:rPr>
                      <w:rFonts w:hint="default" w:ascii="Times New Roman" w:hAnsi="Times New Roman" w:eastAsia="宋体" w:cs="Times New Roman"/>
                      <w:color w:val="auto"/>
                      <w:sz w:val="21"/>
                      <w:szCs w:val="21"/>
                      <w:highlight w:val="none"/>
                      <w:u w:val="single"/>
                      <w:lang w:val="en-US" w:eastAsia="zh-CN"/>
                    </w:rPr>
                    <w:t>GB3095-20</w:t>
                  </w:r>
                  <w:r>
                    <w:rPr>
                      <w:rFonts w:hint="eastAsia" w:ascii="Times New Roman" w:hAnsi="Times New Roman" w:eastAsia="宋体" w:cs="Times New Roman"/>
                      <w:color w:val="auto"/>
                      <w:sz w:val="21"/>
                      <w:szCs w:val="21"/>
                      <w:highlight w:val="none"/>
                      <w:u w:val="single"/>
                      <w:lang w:val="en-US" w:eastAsia="zh-CN"/>
                    </w:rPr>
                    <w:t>26）</w:t>
                  </w:r>
                </w:p>
              </w:tc>
            </w:tr>
            <w:tr w14:paraId="6846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vAlign w:val="center"/>
                </w:tcPr>
                <w:p w14:paraId="0ABF8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sz w:val="21"/>
                      <w:szCs w:val="21"/>
                      <w:highlight w:val="none"/>
                      <w:u w:val="single"/>
                      <w:lang w:val="en-US" w:eastAsia="zh-CN"/>
                    </w:rPr>
                  </w:pPr>
                </w:p>
              </w:tc>
              <w:tc>
                <w:tcPr>
                  <w:tcW w:w="979" w:type="pct"/>
                  <w:vAlign w:val="center"/>
                </w:tcPr>
                <w:p w14:paraId="0D5BDB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澧县闸口中学</w:t>
                  </w:r>
                </w:p>
              </w:tc>
              <w:tc>
                <w:tcPr>
                  <w:tcW w:w="1186" w:type="pct"/>
                  <w:vAlign w:val="center"/>
                </w:tcPr>
                <w:p w14:paraId="2B4DF5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05C24B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师生约500人</w:t>
                  </w:r>
                </w:p>
              </w:tc>
              <w:tc>
                <w:tcPr>
                  <w:tcW w:w="1384" w:type="pct"/>
                  <w:vMerge w:val="continue"/>
                  <w:vAlign w:val="center"/>
                </w:tcPr>
                <w:p w14:paraId="7F2EA9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p>
              </w:tc>
            </w:tr>
            <w:tr w14:paraId="583B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vAlign w:val="center"/>
                </w:tcPr>
                <w:p w14:paraId="2F4AD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rPr>
                  </w:pPr>
                </w:p>
              </w:tc>
              <w:tc>
                <w:tcPr>
                  <w:tcW w:w="979" w:type="pct"/>
                  <w:vAlign w:val="center"/>
                </w:tcPr>
                <w:p w14:paraId="70DFC4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闸口乡居民</w:t>
                  </w:r>
                </w:p>
              </w:tc>
              <w:tc>
                <w:tcPr>
                  <w:tcW w:w="1186" w:type="pct"/>
                  <w:vAlign w:val="center"/>
                </w:tcPr>
                <w:p w14:paraId="495C65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3DA666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160户</w:t>
                  </w:r>
                </w:p>
              </w:tc>
              <w:tc>
                <w:tcPr>
                  <w:tcW w:w="1384" w:type="pct"/>
                  <w:vMerge w:val="continue"/>
                  <w:vAlign w:val="center"/>
                </w:tcPr>
                <w:p w14:paraId="1C2F2B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rPr>
                  </w:pPr>
                </w:p>
              </w:tc>
            </w:tr>
            <w:tr w14:paraId="7A8F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restart"/>
                  <w:vAlign w:val="center"/>
                </w:tcPr>
                <w:p w14:paraId="247F6C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声环境</w:t>
                  </w:r>
                </w:p>
              </w:tc>
              <w:tc>
                <w:tcPr>
                  <w:tcW w:w="979" w:type="pct"/>
                  <w:vAlign w:val="center"/>
                </w:tcPr>
                <w:p w14:paraId="2246A0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cs="Times New Roman"/>
                      <w:b w:val="0"/>
                      <w:bCs w:val="0"/>
                      <w:color w:val="auto"/>
                      <w:sz w:val="21"/>
                      <w:szCs w:val="21"/>
                      <w:highlight w:val="none"/>
                      <w:u w:val="single"/>
                      <w:lang w:val="en-US" w:eastAsia="zh-CN"/>
                    </w:rPr>
                    <w:t>芦桥村居民</w:t>
                  </w:r>
                </w:p>
              </w:tc>
              <w:tc>
                <w:tcPr>
                  <w:tcW w:w="1186" w:type="pct"/>
                  <w:vAlign w:val="center"/>
                </w:tcPr>
                <w:p w14:paraId="647A94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3C6BB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cs="Times New Roman"/>
                      <w:b w:val="0"/>
                      <w:bCs w:val="0"/>
                      <w:color w:val="auto"/>
                      <w:sz w:val="21"/>
                      <w:szCs w:val="21"/>
                      <w:highlight w:val="none"/>
                      <w:u w:val="single"/>
                      <w:lang w:val="en-US" w:eastAsia="zh-CN"/>
                    </w:rPr>
                    <w:t>60户</w:t>
                  </w:r>
                </w:p>
              </w:tc>
              <w:tc>
                <w:tcPr>
                  <w:tcW w:w="1384" w:type="pct"/>
                  <w:vMerge w:val="restart"/>
                  <w:vAlign w:val="center"/>
                </w:tcPr>
                <w:p w14:paraId="657DE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eastAsia="zh-CN"/>
                    </w:rPr>
                    <w:t>《</w:t>
                  </w:r>
                  <w:r>
                    <w:rPr>
                      <w:rFonts w:hint="eastAsia" w:ascii="Times New Roman" w:hAnsi="Times New Roman" w:eastAsia="宋体" w:cs="Times New Roman"/>
                      <w:color w:val="auto"/>
                      <w:sz w:val="21"/>
                      <w:szCs w:val="21"/>
                      <w:highlight w:val="none"/>
                      <w:u w:val="single"/>
                      <w:lang w:val="en-US" w:eastAsia="zh-CN"/>
                    </w:rPr>
                    <w:t>声环境质量标准</w:t>
                  </w:r>
                  <w:r>
                    <w:rPr>
                      <w:rFonts w:hint="eastAsia" w:ascii="Times New Roman" w:hAnsi="Times New Roman" w:eastAsia="宋体" w:cs="Times New Roman"/>
                      <w:color w:val="auto"/>
                      <w:sz w:val="21"/>
                      <w:szCs w:val="21"/>
                      <w:highlight w:val="none"/>
                      <w:u w:val="single"/>
                      <w:lang w:eastAsia="zh-CN"/>
                    </w:rPr>
                    <w:t>》</w:t>
                  </w:r>
                  <w:r>
                    <w:rPr>
                      <w:rFonts w:hint="eastAsia" w:ascii="Times New Roman" w:hAnsi="Times New Roman" w:eastAsia="宋体" w:cs="Times New Roman"/>
                      <w:color w:val="auto"/>
                      <w:sz w:val="21"/>
                      <w:szCs w:val="21"/>
                      <w:highlight w:val="none"/>
                      <w:u w:val="single"/>
                    </w:rPr>
                    <w:t>（GB3096-2008）2类</w:t>
                  </w:r>
                </w:p>
              </w:tc>
            </w:tr>
            <w:tr w14:paraId="13C0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vAlign w:val="center"/>
                </w:tcPr>
                <w:p w14:paraId="49C888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p>
              </w:tc>
              <w:tc>
                <w:tcPr>
                  <w:tcW w:w="979" w:type="pct"/>
                  <w:vAlign w:val="center"/>
                </w:tcPr>
                <w:p w14:paraId="78D3EF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澧县闸口中学</w:t>
                  </w:r>
                </w:p>
              </w:tc>
              <w:tc>
                <w:tcPr>
                  <w:tcW w:w="1186" w:type="pct"/>
                  <w:vAlign w:val="center"/>
                </w:tcPr>
                <w:p w14:paraId="7EF13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1A231C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师生约500人</w:t>
                  </w:r>
                </w:p>
              </w:tc>
              <w:tc>
                <w:tcPr>
                  <w:tcW w:w="1384" w:type="pct"/>
                  <w:vMerge w:val="continue"/>
                  <w:vAlign w:val="center"/>
                </w:tcPr>
                <w:p w14:paraId="22CD89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p>
              </w:tc>
            </w:tr>
            <w:tr w14:paraId="72B2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vAlign w:val="center"/>
                </w:tcPr>
                <w:p w14:paraId="09D9D3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p>
              </w:tc>
              <w:tc>
                <w:tcPr>
                  <w:tcW w:w="979" w:type="pct"/>
                  <w:vAlign w:val="center"/>
                </w:tcPr>
                <w:p w14:paraId="30AC3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闸口乡居民</w:t>
                  </w:r>
                </w:p>
              </w:tc>
              <w:tc>
                <w:tcPr>
                  <w:tcW w:w="1186" w:type="pct"/>
                  <w:vAlign w:val="center"/>
                </w:tcPr>
                <w:p w14:paraId="766607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38C66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160户</w:t>
                  </w:r>
                </w:p>
              </w:tc>
              <w:tc>
                <w:tcPr>
                  <w:tcW w:w="1384" w:type="pct"/>
                  <w:vMerge w:val="continue"/>
                  <w:vAlign w:val="center"/>
                </w:tcPr>
                <w:p w14:paraId="1301EB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p>
              </w:tc>
            </w:tr>
          </w:tbl>
          <w:p w14:paraId="40617BD5">
            <w:pPr>
              <w:ind w:firstLine="480"/>
              <w:rPr>
                <w:rFonts w:hint="default" w:ascii="Times New Roman" w:hAnsi="Times New Roman" w:cs="Times New Roman"/>
                <w:color w:val="auto"/>
                <w:highlight w:val="none"/>
              </w:rPr>
            </w:pPr>
          </w:p>
        </w:tc>
      </w:tr>
      <w:tr w14:paraId="5F03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B804621">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评价</w:t>
            </w:r>
          </w:p>
          <w:p w14:paraId="7958EA50">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4"/>
                <w:highlight w:val="none"/>
              </w:rPr>
              <w:t>标准</w:t>
            </w:r>
          </w:p>
        </w:tc>
        <w:tc>
          <w:tcPr>
            <w:tcW w:w="8101" w:type="dxa"/>
          </w:tcPr>
          <w:p w14:paraId="1206AEF2">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1、环境质量标准</w:t>
            </w:r>
          </w:p>
          <w:p w14:paraId="71CAE78D">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（1）环境空气</w:t>
            </w:r>
          </w:p>
          <w:p w14:paraId="4D447D0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项目位于环境空气功能区的二类区，</w:t>
            </w:r>
            <w:r>
              <w:rPr>
                <w:rFonts w:hint="eastAsia"/>
                <w:bCs/>
                <w:color w:val="auto"/>
                <w:sz w:val="24"/>
                <w:szCs w:val="24"/>
                <w:highlight w:val="none"/>
              </w:rPr>
              <w:t>SO</w:t>
            </w:r>
            <w:r>
              <w:rPr>
                <w:rFonts w:hint="eastAsia"/>
                <w:bCs/>
                <w:color w:val="auto"/>
                <w:sz w:val="24"/>
                <w:szCs w:val="24"/>
                <w:highlight w:val="none"/>
                <w:vertAlign w:val="subscript"/>
              </w:rPr>
              <w:t>2</w:t>
            </w:r>
            <w:r>
              <w:rPr>
                <w:rFonts w:hint="eastAsia"/>
                <w:bCs/>
                <w:color w:val="auto"/>
                <w:sz w:val="24"/>
                <w:szCs w:val="24"/>
                <w:highlight w:val="none"/>
              </w:rPr>
              <w:t>、NO</w:t>
            </w:r>
            <w:r>
              <w:rPr>
                <w:rFonts w:hint="eastAsia"/>
                <w:bCs/>
                <w:color w:val="auto"/>
                <w:sz w:val="24"/>
                <w:szCs w:val="24"/>
                <w:highlight w:val="none"/>
                <w:vertAlign w:val="subscript"/>
              </w:rPr>
              <w:t>2</w:t>
            </w:r>
            <w:r>
              <w:rPr>
                <w:rFonts w:hint="eastAsia"/>
                <w:bCs/>
                <w:color w:val="auto"/>
                <w:sz w:val="24"/>
                <w:szCs w:val="24"/>
                <w:highlight w:val="none"/>
              </w:rPr>
              <w:t>、CO、O</w:t>
            </w:r>
            <w:r>
              <w:rPr>
                <w:rFonts w:hint="eastAsia"/>
                <w:bCs/>
                <w:color w:val="auto"/>
                <w:sz w:val="24"/>
                <w:szCs w:val="24"/>
                <w:highlight w:val="none"/>
                <w:vertAlign w:val="subscript"/>
              </w:rPr>
              <w:t>3</w:t>
            </w:r>
            <w:r>
              <w:rPr>
                <w:rFonts w:hint="eastAsia"/>
                <w:bCs/>
                <w:color w:val="auto"/>
                <w:sz w:val="24"/>
                <w:szCs w:val="24"/>
                <w:highlight w:val="none"/>
              </w:rPr>
              <w:t>、PM</w:t>
            </w:r>
            <w:r>
              <w:rPr>
                <w:rFonts w:hint="eastAsia"/>
                <w:bCs/>
                <w:color w:val="auto"/>
                <w:sz w:val="24"/>
                <w:szCs w:val="24"/>
                <w:highlight w:val="none"/>
                <w:vertAlign w:val="subscript"/>
              </w:rPr>
              <w:t>10</w:t>
            </w:r>
            <w:r>
              <w:rPr>
                <w:rFonts w:hint="eastAsia"/>
                <w:bCs/>
                <w:color w:val="auto"/>
                <w:sz w:val="24"/>
                <w:szCs w:val="24"/>
                <w:highlight w:val="none"/>
              </w:rPr>
              <w:t>、PM</w:t>
            </w:r>
            <w:r>
              <w:rPr>
                <w:rFonts w:hint="eastAsia"/>
                <w:bCs/>
                <w:color w:val="auto"/>
                <w:sz w:val="24"/>
                <w:szCs w:val="24"/>
                <w:highlight w:val="none"/>
                <w:vertAlign w:val="subscript"/>
              </w:rPr>
              <w:t>2.5</w:t>
            </w:r>
            <w:r>
              <w:rPr>
                <w:rFonts w:hint="default" w:ascii="Times New Roman" w:hAnsi="Times New Roman" w:cs="Times New Roman"/>
                <w:color w:val="auto"/>
                <w:highlight w:val="none"/>
              </w:rPr>
              <w:t>执行《环境空气质量标准》</w:t>
            </w:r>
            <w:r>
              <w:rPr>
                <w:rFonts w:hint="eastAsia"/>
                <w:bCs/>
                <w:color w:val="auto"/>
                <w:sz w:val="24"/>
                <w:szCs w:val="24"/>
                <w:highlight w:val="none"/>
              </w:rPr>
              <w:t>（GB3095-20</w:t>
            </w:r>
            <w:r>
              <w:rPr>
                <w:rFonts w:hint="eastAsia"/>
                <w:bCs/>
                <w:color w:val="auto"/>
                <w:sz w:val="24"/>
                <w:szCs w:val="24"/>
                <w:highlight w:val="none"/>
                <w:lang w:val="en-US" w:eastAsia="zh-CN"/>
              </w:rPr>
              <w:t>26</w:t>
            </w:r>
            <w:r>
              <w:rPr>
                <w:rFonts w:hint="eastAsia"/>
                <w:bCs/>
                <w:color w:val="auto"/>
                <w:sz w:val="24"/>
                <w:szCs w:val="24"/>
                <w:highlight w:val="none"/>
              </w:rPr>
              <w:t>）</w:t>
            </w:r>
            <w:r>
              <w:rPr>
                <w:rFonts w:hint="eastAsia"/>
                <w:bCs/>
                <w:color w:val="auto"/>
                <w:sz w:val="24"/>
                <w:szCs w:val="24"/>
                <w:highlight w:val="none"/>
                <w:lang w:val="en-US" w:eastAsia="zh-CN"/>
              </w:rPr>
              <w:t>表1</w:t>
            </w:r>
            <w:r>
              <w:rPr>
                <w:rFonts w:hint="eastAsia"/>
                <w:bCs/>
                <w:color w:val="auto"/>
                <w:sz w:val="24"/>
                <w:szCs w:val="24"/>
                <w:highlight w:val="none"/>
              </w:rPr>
              <w:t>中的</w:t>
            </w:r>
            <w:r>
              <w:rPr>
                <w:rFonts w:hint="eastAsia"/>
                <w:bCs/>
                <w:color w:val="auto"/>
                <w:sz w:val="24"/>
                <w:szCs w:val="24"/>
                <w:highlight w:val="none"/>
                <w:lang w:val="en-US" w:eastAsia="zh-CN"/>
              </w:rPr>
              <w:t>过渡阶段</w:t>
            </w:r>
            <w:r>
              <w:rPr>
                <w:rFonts w:hint="eastAsia"/>
                <w:bCs/>
                <w:color w:val="auto"/>
                <w:sz w:val="24"/>
                <w:szCs w:val="24"/>
                <w:highlight w:val="none"/>
              </w:rPr>
              <w:t>浓度限值</w:t>
            </w:r>
            <w:r>
              <w:rPr>
                <w:rFonts w:hint="eastAsia"/>
                <w:bCs/>
                <w:color w:val="auto"/>
                <w:sz w:val="24"/>
                <w:szCs w:val="24"/>
                <w:highlight w:val="none"/>
                <w:lang w:val="en-US" w:eastAsia="zh-CN"/>
              </w:rPr>
              <w:t>二级标准，TSP执行</w:t>
            </w:r>
            <w:r>
              <w:rPr>
                <w:rFonts w:hint="default" w:ascii="Times New Roman" w:hAnsi="Times New Roman" w:cs="Times New Roman"/>
                <w:color w:val="auto"/>
                <w:highlight w:val="none"/>
              </w:rPr>
              <w:t>《环境空气质量标准》</w:t>
            </w:r>
            <w:r>
              <w:rPr>
                <w:rFonts w:hint="eastAsia"/>
                <w:bCs/>
                <w:color w:val="auto"/>
                <w:sz w:val="24"/>
                <w:szCs w:val="24"/>
                <w:highlight w:val="none"/>
              </w:rPr>
              <w:t>（GB3095-20</w:t>
            </w:r>
            <w:r>
              <w:rPr>
                <w:rFonts w:hint="eastAsia"/>
                <w:bCs/>
                <w:color w:val="auto"/>
                <w:sz w:val="24"/>
                <w:szCs w:val="24"/>
                <w:highlight w:val="none"/>
                <w:lang w:val="en-US" w:eastAsia="zh-CN"/>
              </w:rPr>
              <w:t>26</w:t>
            </w:r>
            <w:r>
              <w:rPr>
                <w:rFonts w:hint="eastAsia"/>
                <w:bCs/>
                <w:color w:val="auto"/>
                <w:sz w:val="24"/>
                <w:szCs w:val="24"/>
                <w:highlight w:val="none"/>
              </w:rPr>
              <w:t>）</w:t>
            </w:r>
            <w:r>
              <w:rPr>
                <w:rFonts w:hint="eastAsia"/>
                <w:bCs/>
                <w:color w:val="auto"/>
                <w:sz w:val="24"/>
                <w:szCs w:val="24"/>
                <w:highlight w:val="none"/>
                <w:lang w:val="en-US" w:eastAsia="zh-CN"/>
              </w:rPr>
              <w:t>表2</w:t>
            </w:r>
            <w:r>
              <w:rPr>
                <w:rFonts w:hint="eastAsia"/>
                <w:bCs/>
                <w:color w:val="auto"/>
                <w:sz w:val="24"/>
                <w:szCs w:val="24"/>
                <w:highlight w:val="none"/>
              </w:rPr>
              <w:t>中</w:t>
            </w:r>
            <w:r>
              <w:rPr>
                <w:rFonts w:hint="eastAsia"/>
                <w:bCs/>
                <w:color w:val="auto"/>
                <w:sz w:val="24"/>
                <w:szCs w:val="24"/>
                <w:highlight w:val="none"/>
                <w:lang w:val="en-US" w:eastAsia="zh-CN"/>
              </w:rPr>
              <w:t>的二级标准</w:t>
            </w:r>
            <w:r>
              <w:rPr>
                <w:rFonts w:hint="default" w:ascii="Times New Roman" w:hAnsi="Times New Roman" w:cs="Times New Roman"/>
                <w:color w:val="auto"/>
                <w:highlight w:val="none"/>
              </w:rPr>
              <w:t>。</w:t>
            </w:r>
          </w:p>
          <w:p w14:paraId="31CCE546">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表3-</w:t>
            </w:r>
            <w:r>
              <w:rPr>
                <w:rFonts w:hint="eastAsia" w:cs="Times New Roman"/>
                <w:b/>
                <w:color w:val="auto"/>
                <w:sz w:val="21"/>
                <w:szCs w:val="21"/>
                <w:highlight w:val="none"/>
                <w:lang w:val="en-US" w:eastAsia="zh-CN"/>
              </w:rPr>
              <w:t>20</w:t>
            </w:r>
            <w:r>
              <w:rPr>
                <w:rFonts w:hint="default" w:ascii="Times New Roman" w:hAnsi="Times New Roman" w:cs="Times New Roman"/>
                <w:b/>
                <w:color w:val="auto"/>
                <w:sz w:val="21"/>
                <w:szCs w:val="21"/>
                <w:highlight w:val="none"/>
              </w:rPr>
              <w:t xml:space="preserve">  环境空气质量标准  </w:t>
            </w:r>
          </w:p>
          <w:tbl>
            <w:tblPr>
              <w:tblStyle w:val="21"/>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924"/>
              <w:gridCol w:w="1671"/>
              <w:gridCol w:w="3011"/>
            </w:tblGrid>
            <w:tr w14:paraId="65BE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Align w:val="center"/>
                </w:tcPr>
                <w:p w14:paraId="7BAEEEF4">
                  <w:pPr>
                    <w:spacing w:line="32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w:t>
                  </w:r>
                </w:p>
              </w:tc>
              <w:tc>
                <w:tcPr>
                  <w:tcW w:w="1924" w:type="dxa"/>
                  <w:vAlign w:val="center"/>
                </w:tcPr>
                <w:p w14:paraId="37D070E7">
                  <w:pPr>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平均时间</w:t>
                  </w:r>
                </w:p>
              </w:tc>
              <w:tc>
                <w:tcPr>
                  <w:tcW w:w="1671" w:type="dxa"/>
                  <w:vAlign w:val="center"/>
                </w:tcPr>
                <w:p w14:paraId="3C13AA5C">
                  <w:pPr>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标准限值（μg/m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w:t>
                  </w:r>
                </w:p>
              </w:tc>
              <w:tc>
                <w:tcPr>
                  <w:tcW w:w="3011" w:type="dxa"/>
                  <w:vAlign w:val="center"/>
                </w:tcPr>
                <w:p w14:paraId="60B72D8E">
                  <w:pPr>
                    <w:spacing w:line="32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标准来源</w:t>
                  </w:r>
                </w:p>
              </w:tc>
            </w:tr>
            <w:tr w14:paraId="0A1E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36C3449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924" w:type="dxa"/>
                  <w:vAlign w:val="center"/>
                </w:tcPr>
                <w:p w14:paraId="18ED5BA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671" w:type="dxa"/>
                  <w:vAlign w:val="center"/>
                </w:tcPr>
                <w:p w14:paraId="46AD36A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3011" w:type="dxa"/>
                  <w:vMerge w:val="restart"/>
                  <w:vAlign w:val="center"/>
                </w:tcPr>
                <w:p w14:paraId="5D537568">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w:t>
                  </w:r>
                  <w:r>
                    <w:rPr>
                      <w:rFonts w:hint="eastAsia"/>
                      <w:bCs/>
                      <w:color w:val="auto"/>
                      <w:sz w:val="21"/>
                      <w:szCs w:val="21"/>
                      <w:highlight w:val="none"/>
                    </w:rPr>
                    <w:t>（GB3095-20</w:t>
                  </w:r>
                  <w:r>
                    <w:rPr>
                      <w:rFonts w:hint="eastAsia"/>
                      <w:bCs/>
                      <w:color w:val="auto"/>
                      <w:sz w:val="21"/>
                      <w:szCs w:val="21"/>
                      <w:highlight w:val="none"/>
                      <w:lang w:val="en-US" w:eastAsia="zh-CN"/>
                    </w:rPr>
                    <w:t>26</w:t>
                  </w:r>
                  <w:r>
                    <w:rPr>
                      <w:rFonts w:hint="eastAsia"/>
                      <w:bCs/>
                      <w:color w:val="auto"/>
                      <w:sz w:val="21"/>
                      <w:szCs w:val="21"/>
                      <w:highlight w:val="none"/>
                    </w:rPr>
                    <w:t>）</w:t>
                  </w:r>
                </w:p>
              </w:tc>
            </w:tr>
            <w:tr w14:paraId="3341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62297FF1">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7FC3329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1D7542E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tc>
              <w:tc>
                <w:tcPr>
                  <w:tcW w:w="3011" w:type="dxa"/>
                  <w:vMerge w:val="continue"/>
                  <w:vAlign w:val="center"/>
                </w:tcPr>
                <w:p w14:paraId="5A11E76B">
                  <w:pPr>
                    <w:spacing w:line="320" w:lineRule="exact"/>
                    <w:ind w:firstLine="0" w:firstLineChars="0"/>
                    <w:jc w:val="center"/>
                    <w:rPr>
                      <w:rFonts w:hint="default" w:ascii="Times New Roman" w:hAnsi="Times New Roman" w:cs="Times New Roman"/>
                      <w:color w:val="auto"/>
                      <w:sz w:val="21"/>
                      <w:szCs w:val="21"/>
                      <w:highlight w:val="none"/>
                    </w:rPr>
                  </w:pPr>
                </w:p>
              </w:tc>
            </w:tr>
            <w:tr w14:paraId="5F21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7254528B">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5A9BBDE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1671" w:type="dxa"/>
                  <w:vAlign w:val="center"/>
                </w:tcPr>
                <w:p w14:paraId="6FF5686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c>
                <w:tcPr>
                  <w:tcW w:w="3011" w:type="dxa"/>
                  <w:vMerge w:val="continue"/>
                  <w:vAlign w:val="center"/>
                </w:tcPr>
                <w:p w14:paraId="5CDCF125">
                  <w:pPr>
                    <w:spacing w:line="320" w:lineRule="exact"/>
                    <w:ind w:firstLine="0" w:firstLineChars="0"/>
                    <w:jc w:val="center"/>
                    <w:rPr>
                      <w:rFonts w:hint="default" w:ascii="Times New Roman" w:hAnsi="Times New Roman" w:cs="Times New Roman"/>
                      <w:color w:val="auto"/>
                      <w:sz w:val="21"/>
                      <w:szCs w:val="21"/>
                      <w:highlight w:val="none"/>
                    </w:rPr>
                  </w:pPr>
                </w:p>
              </w:tc>
            </w:tr>
            <w:tr w14:paraId="42E7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5EBEE46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1924" w:type="dxa"/>
                  <w:vAlign w:val="center"/>
                </w:tcPr>
                <w:p w14:paraId="7A4F389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671" w:type="dxa"/>
                  <w:vAlign w:val="center"/>
                </w:tcPr>
                <w:p w14:paraId="2D55EA8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3011" w:type="dxa"/>
                  <w:vMerge w:val="continue"/>
                  <w:vAlign w:val="center"/>
                </w:tcPr>
                <w:p w14:paraId="55ED7A20">
                  <w:pPr>
                    <w:spacing w:line="320" w:lineRule="exact"/>
                    <w:ind w:firstLine="0" w:firstLineChars="0"/>
                    <w:jc w:val="center"/>
                    <w:rPr>
                      <w:rFonts w:hint="default" w:ascii="Times New Roman" w:hAnsi="Times New Roman" w:cs="Times New Roman"/>
                      <w:color w:val="auto"/>
                      <w:sz w:val="21"/>
                      <w:szCs w:val="21"/>
                      <w:highlight w:val="none"/>
                    </w:rPr>
                  </w:pPr>
                </w:p>
              </w:tc>
            </w:tr>
            <w:tr w14:paraId="103F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1C64577C">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2A5A1DC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54B6FB8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tc>
              <w:tc>
                <w:tcPr>
                  <w:tcW w:w="3011" w:type="dxa"/>
                  <w:vMerge w:val="continue"/>
                  <w:vAlign w:val="center"/>
                </w:tcPr>
                <w:p w14:paraId="67EBC2B5">
                  <w:pPr>
                    <w:spacing w:line="320" w:lineRule="exact"/>
                    <w:ind w:firstLine="0" w:firstLineChars="0"/>
                    <w:jc w:val="center"/>
                    <w:rPr>
                      <w:rFonts w:hint="default" w:ascii="Times New Roman" w:hAnsi="Times New Roman" w:cs="Times New Roman"/>
                      <w:color w:val="auto"/>
                      <w:sz w:val="21"/>
                      <w:szCs w:val="21"/>
                      <w:highlight w:val="none"/>
                    </w:rPr>
                  </w:pPr>
                </w:p>
              </w:tc>
            </w:tr>
            <w:tr w14:paraId="047D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36A44C87">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001FEF7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1671" w:type="dxa"/>
                  <w:vAlign w:val="center"/>
                </w:tcPr>
                <w:p w14:paraId="0E9166F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c>
                <w:tcPr>
                  <w:tcW w:w="3011" w:type="dxa"/>
                  <w:vMerge w:val="continue"/>
                  <w:vAlign w:val="center"/>
                </w:tcPr>
                <w:p w14:paraId="6C6D0AEC">
                  <w:pPr>
                    <w:spacing w:line="320" w:lineRule="exact"/>
                    <w:ind w:firstLine="0" w:firstLineChars="0"/>
                    <w:jc w:val="center"/>
                    <w:rPr>
                      <w:rFonts w:hint="default" w:ascii="Times New Roman" w:hAnsi="Times New Roman" w:cs="Times New Roman"/>
                      <w:color w:val="auto"/>
                      <w:sz w:val="21"/>
                      <w:szCs w:val="21"/>
                      <w:highlight w:val="none"/>
                    </w:rPr>
                  </w:pPr>
                </w:p>
              </w:tc>
            </w:tr>
            <w:tr w14:paraId="4BBA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3FA8C0F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1924" w:type="dxa"/>
                  <w:vAlign w:val="center"/>
                </w:tcPr>
                <w:p w14:paraId="2CBA26E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65609DFC">
                  <w:pPr>
                    <w:spacing w:line="240" w:lineRule="auto"/>
                    <w:ind w:firstLine="0" w:firstLineChars="0"/>
                    <w:jc w:val="center"/>
                    <w:rPr>
                      <w:rFonts w:hint="default" w:ascii="Times New Roman" w:hAnsi="Times New Roman" w:cs="Times New Roman"/>
                      <w:color w:val="auto"/>
                      <w:sz w:val="21"/>
                      <w:szCs w:val="21"/>
                      <w:highlight w:val="none"/>
                      <w:vertAlign w:val="superscript"/>
                    </w:rPr>
                  </w:pPr>
                  <w:r>
                    <w:rPr>
                      <w:rFonts w:hint="default" w:ascii="Times New Roman" w:hAnsi="Times New Roman" w:cs="Times New Roman"/>
                      <w:color w:val="auto"/>
                      <w:sz w:val="21"/>
                      <w:szCs w:val="21"/>
                      <w:highlight w:val="none"/>
                    </w:rPr>
                    <w:t>4mg/m</w:t>
                  </w:r>
                  <w:r>
                    <w:rPr>
                      <w:rFonts w:hint="default" w:ascii="Times New Roman" w:hAnsi="Times New Roman" w:cs="Times New Roman"/>
                      <w:color w:val="auto"/>
                      <w:sz w:val="21"/>
                      <w:szCs w:val="21"/>
                      <w:highlight w:val="none"/>
                      <w:vertAlign w:val="superscript"/>
                    </w:rPr>
                    <w:t>3</w:t>
                  </w:r>
                </w:p>
              </w:tc>
              <w:tc>
                <w:tcPr>
                  <w:tcW w:w="3011" w:type="dxa"/>
                  <w:vMerge w:val="continue"/>
                  <w:vAlign w:val="center"/>
                </w:tcPr>
                <w:p w14:paraId="1BAC28B6">
                  <w:pPr>
                    <w:spacing w:line="240" w:lineRule="auto"/>
                    <w:ind w:firstLine="0" w:firstLineChars="0"/>
                    <w:jc w:val="center"/>
                    <w:rPr>
                      <w:rFonts w:hint="default" w:ascii="Times New Roman" w:hAnsi="Times New Roman" w:cs="Times New Roman"/>
                      <w:color w:val="auto"/>
                      <w:sz w:val="21"/>
                      <w:szCs w:val="21"/>
                      <w:highlight w:val="none"/>
                    </w:rPr>
                  </w:pPr>
                </w:p>
              </w:tc>
            </w:tr>
            <w:tr w14:paraId="512C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32050DAC">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5A30875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1671" w:type="dxa"/>
                  <w:vAlign w:val="center"/>
                </w:tcPr>
                <w:p w14:paraId="6AE0BAB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10mg/m</w:t>
                  </w:r>
                  <w:r>
                    <w:rPr>
                      <w:rFonts w:hint="default" w:ascii="Times New Roman" w:hAnsi="Times New Roman" w:cs="Times New Roman"/>
                      <w:color w:val="auto"/>
                      <w:sz w:val="21"/>
                      <w:szCs w:val="21"/>
                      <w:highlight w:val="none"/>
                      <w:vertAlign w:val="superscript"/>
                    </w:rPr>
                    <w:t>3</w:t>
                  </w:r>
                </w:p>
              </w:tc>
              <w:tc>
                <w:tcPr>
                  <w:tcW w:w="3011" w:type="dxa"/>
                  <w:vMerge w:val="continue"/>
                  <w:vAlign w:val="center"/>
                </w:tcPr>
                <w:p w14:paraId="5EF2FE67">
                  <w:pPr>
                    <w:spacing w:line="240" w:lineRule="auto"/>
                    <w:ind w:firstLine="0" w:firstLineChars="0"/>
                    <w:jc w:val="center"/>
                    <w:rPr>
                      <w:rFonts w:hint="default" w:ascii="Times New Roman" w:hAnsi="Times New Roman" w:cs="Times New Roman"/>
                      <w:color w:val="auto"/>
                      <w:sz w:val="21"/>
                      <w:szCs w:val="21"/>
                      <w:highlight w:val="none"/>
                    </w:rPr>
                  </w:pPr>
                </w:p>
              </w:tc>
            </w:tr>
            <w:tr w14:paraId="4155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6A028ECE">
                  <w:pPr>
                    <w:spacing w:line="240" w:lineRule="auto"/>
                    <w:ind w:firstLine="0" w:firstLineChars="0"/>
                    <w:jc w:val="center"/>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1924" w:type="dxa"/>
                  <w:vAlign w:val="center"/>
                </w:tcPr>
                <w:p w14:paraId="127F318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日最大8小时平均</w:t>
                  </w:r>
                </w:p>
              </w:tc>
              <w:tc>
                <w:tcPr>
                  <w:tcW w:w="1671" w:type="dxa"/>
                  <w:vAlign w:val="center"/>
                </w:tcPr>
                <w:p w14:paraId="7B66031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p>
              </w:tc>
              <w:tc>
                <w:tcPr>
                  <w:tcW w:w="3011" w:type="dxa"/>
                  <w:vMerge w:val="continue"/>
                  <w:vAlign w:val="center"/>
                </w:tcPr>
                <w:p w14:paraId="15FC1FB7">
                  <w:pPr>
                    <w:spacing w:line="240" w:lineRule="auto"/>
                    <w:ind w:firstLine="0" w:firstLineChars="0"/>
                    <w:jc w:val="center"/>
                    <w:rPr>
                      <w:rFonts w:hint="default" w:ascii="Times New Roman" w:hAnsi="Times New Roman" w:cs="Times New Roman"/>
                      <w:color w:val="auto"/>
                      <w:sz w:val="21"/>
                      <w:szCs w:val="21"/>
                      <w:highlight w:val="none"/>
                      <w:vertAlign w:val="subscript"/>
                    </w:rPr>
                  </w:pPr>
                </w:p>
              </w:tc>
            </w:tr>
            <w:tr w14:paraId="5EBB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726CFE05">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055C33D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1671" w:type="dxa"/>
                  <w:vAlign w:val="center"/>
                </w:tcPr>
                <w:p w14:paraId="33CA2CF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c>
                <w:tcPr>
                  <w:tcW w:w="3011" w:type="dxa"/>
                  <w:vMerge w:val="continue"/>
                  <w:vAlign w:val="center"/>
                </w:tcPr>
                <w:p w14:paraId="314EC116">
                  <w:pPr>
                    <w:spacing w:line="240" w:lineRule="auto"/>
                    <w:ind w:firstLine="0" w:firstLineChars="0"/>
                    <w:jc w:val="center"/>
                    <w:rPr>
                      <w:rFonts w:hint="default" w:ascii="Times New Roman" w:hAnsi="Times New Roman" w:cs="Times New Roman"/>
                      <w:color w:val="auto"/>
                      <w:sz w:val="21"/>
                      <w:szCs w:val="21"/>
                      <w:highlight w:val="none"/>
                    </w:rPr>
                  </w:pPr>
                </w:p>
              </w:tc>
            </w:tr>
            <w:tr w14:paraId="7DE6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5660037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1924" w:type="dxa"/>
                  <w:vAlign w:val="center"/>
                </w:tcPr>
                <w:p w14:paraId="605751E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671" w:type="dxa"/>
                  <w:vAlign w:val="center"/>
                </w:tcPr>
                <w:p w14:paraId="446AE3A1">
                  <w:pPr>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0</w:t>
                  </w:r>
                </w:p>
              </w:tc>
              <w:tc>
                <w:tcPr>
                  <w:tcW w:w="3011" w:type="dxa"/>
                  <w:vMerge w:val="continue"/>
                  <w:vAlign w:val="center"/>
                </w:tcPr>
                <w:p w14:paraId="527000E6">
                  <w:pPr>
                    <w:spacing w:line="240" w:lineRule="auto"/>
                    <w:ind w:firstLine="0" w:firstLineChars="0"/>
                    <w:jc w:val="center"/>
                    <w:rPr>
                      <w:rFonts w:hint="default" w:ascii="Times New Roman" w:hAnsi="Times New Roman" w:cs="Times New Roman"/>
                      <w:color w:val="auto"/>
                      <w:sz w:val="21"/>
                      <w:szCs w:val="21"/>
                      <w:highlight w:val="none"/>
                    </w:rPr>
                  </w:pPr>
                </w:p>
              </w:tc>
            </w:tr>
            <w:tr w14:paraId="23AD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2441937D">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738BE67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65B7664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0</w:t>
                  </w:r>
                </w:p>
              </w:tc>
              <w:tc>
                <w:tcPr>
                  <w:tcW w:w="3011" w:type="dxa"/>
                  <w:vMerge w:val="continue"/>
                  <w:vAlign w:val="center"/>
                </w:tcPr>
                <w:p w14:paraId="2F1D22A2">
                  <w:pPr>
                    <w:spacing w:line="240" w:lineRule="auto"/>
                    <w:ind w:firstLine="0" w:firstLineChars="0"/>
                    <w:jc w:val="center"/>
                    <w:rPr>
                      <w:rFonts w:hint="default" w:ascii="Times New Roman" w:hAnsi="Times New Roman" w:cs="Times New Roman"/>
                      <w:color w:val="auto"/>
                      <w:sz w:val="21"/>
                      <w:szCs w:val="21"/>
                      <w:highlight w:val="none"/>
                    </w:rPr>
                  </w:pPr>
                </w:p>
              </w:tc>
            </w:tr>
            <w:tr w14:paraId="148B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19D4353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p>
              </w:tc>
              <w:tc>
                <w:tcPr>
                  <w:tcW w:w="1924" w:type="dxa"/>
                  <w:vAlign w:val="center"/>
                </w:tcPr>
                <w:p w14:paraId="0EE24AE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671" w:type="dxa"/>
                  <w:vAlign w:val="center"/>
                </w:tcPr>
                <w:p w14:paraId="59435702">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3</w:t>
                  </w:r>
                  <w:r>
                    <w:rPr>
                      <w:rFonts w:hint="eastAsia" w:cs="Times New Roman"/>
                      <w:color w:val="auto"/>
                      <w:sz w:val="21"/>
                      <w:szCs w:val="21"/>
                      <w:highlight w:val="none"/>
                      <w:lang w:val="en-US" w:eastAsia="zh-CN"/>
                    </w:rPr>
                    <w:t>0</w:t>
                  </w:r>
                </w:p>
              </w:tc>
              <w:tc>
                <w:tcPr>
                  <w:tcW w:w="3011" w:type="dxa"/>
                  <w:vMerge w:val="continue"/>
                  <w:vAlign w:val="center"/>
                </w:tcPr>
                <w:p w14:paraId="4D0F26E5">
                  <w:pPr>
                    <w:spacing w:line="240" w:lineRule="auto"/>
                    <w:ind w:firstLine="0" w:firstLineChars="0"/>
                    <w:jc w:val="center"/>
                    <w:rPr>
                      <w:rFonts w:hint="default" w:ascii="Times New Roman" w:hAnsi="Times New Roman" w:cs="Times New Roman"/>
                      <w:color w:val="auto"/>
                      <w:sz w:val="21"/>
                      <w:szCs w:val="21"/>
                      <w:highlight w:val="none"/>
                    </w:rPr>
                  </w:pPr>
                </w:p>
              </w:tc>
            </w:tr>
            <w:tr w14:paraId="4E80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27113181">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6D8608F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6516926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3011" w:type="dxa"/>
                  <w:vMerge w:val="continue"/>
                  <w:vAlign w:val="center"/>
                </w:tcPr>
                <w:p w14:paraId="013AB882">
                  <w:pPr>
                    <w:spacing w:line="240" w:lineRule="auto"/>
                    <w:ind w:firstLine="0" w:firstLineChars="0"/>
                    <w:jc w:val="center"/>
                    <w:rPr>
                      <w:rFonts w:hint="default" w:ascii="Times New Roman" w:hAnsi="Times New Roman" w:cs="Times New Roman"/>
                      <w:color w:val="auto"/>
                      <w:sz w:val="21"/>
                      <w:szCs w:val="21"/>
                      <w:highlight w:val="none"/>
                    </w:rPr>
                  </w:pPr>
                </w:p>
              </w:tc>
            </w:tr>
            <w:tr w14:paraId="13D9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29475C2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TSP</w:t>
                  </w:r>
                </w:p>
              </w:tc>
              <w:tc>
                <w:tcPr>
                  <w:tcW w:w="1924" w:type="dxa"/>
                  <w:vAlign w:val="center"/>
                </w:tcPr>
                <w:p w14:paraId="1661B8D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671" w:type="dxa"/>
                  <w:vAlign w:val="center"/>
                </w:tcPr>
                <w:p w14:paraId="0516CE9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3011" w:type="dxa"/>
                  <w:vMerge w:val="continue"/>
                  <w:vAlign w:val="center"/>
                </w:tcPr>
                <w:p w14:paraId="6D18B01A">
                  <w:pPr>
                    <w:spacing w:line="240" w:lineRule="auto"/>
                    <w:ind w:firstLine="0" w:firstLineChars="0"/>
                    <w:jc w:val="center"/>
                    <w:rPr>
                      <w:rFonts w:hint="default" w:ascii="Times New Roman" w:hAnsi="Times New Roman" w:cs="Times New Roman"/>
                      <w:color w:val="auto"/>
                      <w:sz w:val="21"/>
                      <w:szCs w:val="21"/>
                      <w:highlight w:val="none"/>
                    </w:rPr>
                  </w:pPr>
                </w:p>
              </w:tc>
            </w:tr>
            <w:tr w14:paraId="72F2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14E454EB">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161ADA3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5F9801A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3011" w:type="dxa"/>
                  <w:vMerge w:val="continue"/>
                  <w:vAlign w:val="center"/>
                </w:tcPr>
                <w:p w14:paraId="3C1EAD0E">
                  <w:pPr>
                    <w:spacing w:line="240" w:lineRule="auto"/>
                    <w:ind w:firstLine="0" w:firstLineChars="0"/>
                    <w:jc w:val="center"/>
                    <w:rPr>
                      <w:rFonts w:hint="default" w:ascii="Times New Roman" w:hAnsi="Times New Roman" w:cs="Times New Roman"/>
                      <w:color w:val="auto"/>
                      <w:sz w:val="21"/>
                      <w:szCs w:val="21"/>
                      <w:highlight w:val="none"/>
                    </w:rPr>
                  </w:pPr>
                </w:p>
              </w:tc>
            </w:tr>
          </w:tbl>
          <w:p w14:paraId="6F3429FD">
            <w:pPr>
              <w:spacing w:before="156" w:beforeLines="50"/>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（2）地表水环境</w:t>
            </w:r>
          </w:p>
          <w:p w14:paraId="618471D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根据区域功能区划，项目</w:t>
            </w:r>
            <w:r>
              <w:rPr>
                <w:rFonts w:hint="eastAsia" w:cs="Times New Roman"/>
                <w:color w:val="auto"/>
                <w:highlight w:val="none"/>
                <w:u w:val="none"/>
                <w:lang w:val="en-US" w:eastAsia="zh-CN"/>
              </w:rPr>
              <w:t>所在区域</w:t>
            </w:r>
            <w:r>
              <w:rPr>
                <w:rFonts w:hint="default" w:ascii="Times New Roman" w:hAnsi="Times New Roman" w:cs="Times New Roman"/>
                <w:color w:val="auto"/>
                <w:highlight w:val="none"/>
                <w:u w:val="none"/>
              </w:rPr>
              <w:t>地表水执行《地表水环境质量标准》（GB3838-2002）中Ⅲ类标准。</w:t>
            </w:r>
          </w:p>
          <w:p w14:paraId="29520C77">
            <w:pPr>
              <w:ind w:firstLine="0" w:firstLineChars="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表3-</w:t>
            </w:r>
            <w:r>
              <w:rPr>
                <w:rFonts w:hint="eastAsia" w:cs="Times New Roman"/>
                <w:b/>
                <w:color w:val="auto"/>
                <w:sz w:val="21"/>
                <w:szCs w:val="21"/>
                <w:highlight w:val="none"/>
                <w:u w:val="none"/>
                <w:lang w:val="en-US" w:eastAsia="zh-CN"/>
              </w:rPr>
              <w:t>21</w:t>
            </w:r>
            <w:r>
              <w:rPr>
                <w:rFonts w:hint="default" w:ascii="Times New Roman" w:hAnsi="Times New Roman" w:cs="Times New Roman"/>
                <w:b/>
                <w:color w:val="auto"/>
                <w:sz w:val="21"/>
                <w:szCs w:val="21"/>
                <w:highlight w:val="none"/>
                <w:u w:val="none"/>
              </w:rPr>
              <w:t xml:space="preserve"> 地表水环境质量标准</w:t>
            </w:r>
          </w:p>
          <w:tbl>
            <w:tblPr>
              <w:tblStyle w:val="21"/>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8"/>
              <w:gridCol w:w="2413"/>
              <w:gridCol w:w="2739"/>
            </w:tblGrid>
            <w:tr w14:paraId="3230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2462AE20">
                  <w:pPr>
                    <w:spacing w:line="320" w:lineRule="exact"/>
                    <w:ind w:firstLine="0" w:firstLineChars="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项目</w:t>
                  </w:r>
                </w:p>
              </w:tc>
              <w:tc>
                <w:tcPr>
                  <w:tcW w:w="1831" w:type="dxa"/>
                  <w:vAlign w:val="center"/>
                </w:tcPr>
                <w:p w14:paraId="708AD4A9">
                  <w:pPr>
                    <w:spacing w:line="320" w:lineRule="exact"/>
                    <w:ind w:firstLine="0" w:firstLineChars="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Ⅲ类标准</w:t>
                  </w:r>
                </w:p>
              </w:tc>
              <w:tc>
                <w:tcPr>
                  <w:tcW w:w="2079" w:type="dxa"/>
                  <w:vAlign w:val="center"/>
                </w:tcPr>
                <w:p w14:paraId="6962BA3C">
                  <w:pPr>
                    <w:spacing w:line="320" w:lineRule="exact"/>
                    <w:ind w:firstLine="0" w:firstLineChars="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单位</w:t>
                  </w:r>
                </w:p>
              </w:tc>
            </w:tr>
            <w:tr w14:paraId="7575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6A2E664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pH</w:t>
                  </w:r>
                </w:p>
              </w:tc>
              <w:tc>
                <w:tcPr>
                  <w:tcW w:w="1831" w:type="dxa"/>
                  <w:vAlign w:val="center"/>
                </w:tcPr>
                <w:p w14:paraId="6E43DFD1">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6-9</w:t>
                  </w:r>
                </w:p>
              </w:tc>
              <w:tc>
                <w:tcPr>
                  <w:tcW w:w="2079" w:type="dxa"/>
                  <w:vAlign w:val="center"/>
                </w:tcPr>
                <w:p w14:paraId="1C75843D">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无量纲</w:t>
                  </w:r>
                </w:p>
              </w:tc>
            </w:tr>
            <w:tr w14:paraId="22E7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20943FD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COD</w:t>
                  </w:r>
                </w:p>
              </w:tc>
              <w:tc>
                <w:tcPr>
                  <w:tcW w:w="1831" w:type="dxa"/>
                  <w:vAlign w:val="center"/>
                </w:tcPr>
                <w:p w14:paraId="3A15DC34">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w:t>
                  </w:r>
                </w:p>
              </w:tc>
              <w:tc>
                <w:tcPr>
                  <w:tcW w:w="2079" w:type="dxa"/>
                  <w:vAlign w:val="center"/>
                </w:tcPr>
                <w:p w14:paraId="7C1CA252">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r w14:paraId="241E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31EADFC8">
                  <w:pPr>
                    <w:spacing w:line="240" w:lineRule="auto"/>
                    <w:ind w:firstLine="0" w:firstLineChars="0"/>
                    <w:jc w:val="center"/>
                    <w:rPr>
                      <w:rFonts w:hint="default" w:ascii="Times New Roman" w:hAnsi="Times New Roman" w:cs="Times New Roman"/>
                      <w:color w:val="auto"/>
                      <w:sz w:val="21"/>
                      <w:szCs w:val="21"/>
                      <w:highlight w:val="none"/>
                      <w:u w:val="none"/>
                      <w:vertAlign w:val="subscript"/>
                    </w:rPr>
                  </w:pPr>
                  <w:r>
                    <w:rPr>
                      <w:rFonts w:hint="default" w:ascii="Times New Roman" w:hAnsi="Times New Roman" w:cs="Times New Roman"/>
                      <w:color w:val="auto"/>
                      <w:sz w:val="21"/>
                      <w:szCs w:val="21"/>
                      <w:highlight w:val="none"/>
                      <w:u w:val="none"/>
                    </w:rPr>
                    <w:t>BOD</w:t>
                  </w:r>
                  <w:r>
                    <w:rPr>
                      <w:rFonts w:hint="default" w:ascii="Times New Roman" w:hAnsi="Times New Roman" w:cs="Times New Roman"/>
                      <w:color w:val="auto"/>
                      <w:sz w:val="21"/>
                      <w:szCs w:val="21"/>
                      <w:highlight w:val="none"/>
                      <w:u w:val="none"/>
                      <w:vertAlign w:val="subscript"/>
                    </w:rPr>
                    <w:t>5</w:t>
                  </w:r>
                </w:p>
              </w:tc>
              <w:tc>
                <w:tcPr>
                  <w:tcW w:w="1831" w:type="dxa"/>
                  <w:vAlign w:val="center"/>
                </w:tcPr>
                <w:p w14:paraId="7D9046B9">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4</w:t>
                  </w:r>
                </w:p>
              </w:tc>
              <w:tc>
                <w:tcPr>
                  <w:tcW w:w="2079" w:type="dxa"/>
                  <w:vAlign w:val="center"/>
                </w:tcPr>
                <w:p w14:paraId="1B6A0BF9">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r w14:paraId="0927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3981BF99">
                  <w:pPr>
                    <w:spacing w:line="240" w:lineRule="auto"/>
                    <w:ind w:firstLine="0" w:firstLineChars="0"/>
                    <w:jc w:val="center"/>
                    <w:rPr>
                      <w:rFonts w:hint="default" w:ascii="Times New Roman" w:hAnsi="Times New Roman" w:cs="Times New Roman"/>
                      <w:color w:val="auto"/>
                      <w:sz w:val="21"/>
                      <w:szCs w:val="21"/>
                      <w:highlight w:val="none"/>
                      <w:u w:val="none"/>
                      <w:vertAlign w:val="subscript"/>
                    </w:rPr>
                  </w:pPr>
                  <w:r>
                    <w:rPr>
                      <w:rFonts w:hint="default" w:ascii="Times New Roman" w:hAnsi="Times New Roman" w:cs="Times New Roman"/>
                      <w:color w:val="auto"/>
                      <w:sz w:val="21"/>
                      <w:szCs w:val="21"/>
                      <w:highlight w:val="none"/>
                      <w:u w:val="none"/>
                    </w:rPr>
                    <w:t>氨氮</w:t>
                  </w:r>
                </w:p>
              </w:tc>
              <w:tc>
                <w:tcPr>
                  <w:tcW w:w="1831" w:type="dxa"/>
                  <w:vAlign w:val="center"/>
                </w:tcPr>
                <w:p w14:paraId="64826AE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1.0</w:t>
                  </w:r>
                </w:p>
              </w:tc>
              <w:tc>
                <w:tcPr>
                  <w:tcW w:w="2079" w:type="dxa"/>
                  <w:vAlign w:val="center"/>
                </w:tcPr>
                <w:p w14:paraId="3CF0B0B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r w14:paraId="68BC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6C12588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总磷</w:t>
                  </w:r>
                </w:p>
              </w:tc>
              <w:tc>
                <w:tcPr>
                  <w:tcW w:w="1831" w:type="dxa"/>
                  <w:vAlign w:val="center"/>
                </w:tcPr>
                <w:p w14:paraId="28634B00">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0.2</w:t>
                  </w:r>
                </w:p>
              </w:tc>
              <w:tc>
                <w:tcPr>
                  <w:tcW w:w="2079" w:type="dxa"/>
                  <w:vAlign w:val="center"/>
                </w:tcPr>
                <w:p w14:paraId="35C7831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r w14:paraId="3363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7FB0088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总氮</w:t>
                  </w:r>
                </w:p>
              </w:tc>
              <w:tc>
                <w:tcPr>
                  <w:tcW w:w="1831" w:type="dxa"/>
                  <w:vAlign w:val="center"/>
                </w:tcPr>
                <w:p w14:paraId="4D820FC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w:t>
                  </w:r>
                </w:p>
              </w:tc>
              <w:tc>
                <w:tcPr>
                  <w:tcW w:w="2079" w:type="dxa"/>
                  <w:vAlign w:val="center"/>
                </w:tcPr>
                <w:p w14:paraId="4538945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r w14:paraId="07DB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19FCCCE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石油类</w:t>
                  </w:r>
                </w:p>
              </w:tc>
              <w:tc>
                <w:tcPr>
                  <w:tcW w:w="1831" w:type="dxa"/>
                  <w:vAlign w:val="center"/>
                </w:tcPr>
                <w:p w14:paraId="535A9B9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0.05</w:t>
                  </w:r>
                </w:p>
              </w:tc>
              <w:tc>
                <w:tcPr>
                  <w:tcW w:w="2079" w:type="dxa"/>
                  <w:vAlign w:val="center"/>
                </w:tcPr>
                <w:p w14:paraId="04EF696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bl>
          <w:p w14:paraId="62DDCE7D">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（3）声环境</w:t>
            </w:r>
          </w:p>
          <w:p w14:paraId="329BCB7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项目所在区域声环境质量执行《声环境质量标准》（GB3096-2008）中2类标准。</w:t>
            </w:r>
          </w:p>
          <w:p w14:paraId="3B35937F">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表3-</w:t>
            </w:r>
            <w:r>
              <w:rPr>
                <w:rFonts w:hint="eastAsia" w:cs="Times New Roman"/>
                <w:b/>
                <w:color w:val="auto"/>
                <w:sz w:val="21"/>
                <w:szCs w:val="21"/>
                <w:highlight w:val="none"/>
                <w:lang w:val="en-US" w:eastAsia="zh-CN"/>
              </w:rPr>
              <w:t>22</w:t>
            </w:r>
            <w:r>
              <w:rPr>
                <w:rFonts w:hint="default" w:ascii="Times New Roman" w:hAnsi="Times New Roman" w:cs="Times New Roman"/>
                <w:b/>
                <w:color w:val="auto"/>
                <w:sz w:val="21"/>
                <w:szCs w:val="21"/>
                <w:highlight w:val="none"/>
              </w:rPr>
              <w:t xml:space="preserve">  声环境质量标准</w:t>
            </w:r>
          </w:p>
          <w:tbl>
            <w:tblPr>
              <w:tblStyle w:val="21"/>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6"/>
              <w:gridCol w:w="2637"/>
              <w:gridCol w:w="2637"/>
            </w:tblGrid>
            <w:tr w14:paraId="570E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8" w:type="dxa"/>
                  <w:vAlign w:val="center"/>
                </w:tcPr>
                <w:p w14:paraId="7A6576EA">
                  <w:pPr>
                    <w:spacing w:line="32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类别</w:t>
                  </w:r>
                </w:p>
              </w:tc>
              <w:tc>
                <w:tcPr>
                  <w:tcW w:w="1749" w:type="dxa"/>
                  <w:vAlign w:val="center"/>
                </w:tcPr>
                <w:p w14:paraId="2A49BA7E">
                  <w:pPr>
                    <w:spacing w:line="32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昼间</w:t>
                  </w:r>
                </w:p>
              </w:tc>
              <w:tc>
                <w:tcPr>
                  <w:tcW w:w="1749" w:type="dxa"/>
                  <w:vAlign w:val="center"/>
                </w:tcPr>
                <w:p w14:paraId="7666C0DF">
                  <w:pPr>
                    <w:spacing w:line="32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夜间</w:t>
                  </w:r>
                </w:p>
              </w:tc>
            </w:tr>
            <w:tr w14:paraId="4668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748" w:type="dxa"/>
                  <w:vAlign w:val="center"/>
                </w:tcPr>
                <w:p w14:paraId="330E20BA">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w:t>
                  </w:r>
                </w:p>
              </w:tc>
              <w:tc>
                <w:tcPr>
                  <w:tcW w:w="1749" w:type="dxa"/>
                  <w:vAlign w:val="center"/>
                </w:tcPr>
                <w:p w14:paraId="698E4B9E">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60dB（A）</w:t>
                  </w:r>
                </w:p>
              </w:tc>
              <w:tc>
                <w:tcPr>
                  <w:tcW w:w="1749" w:type="dxa"/>
                  <w:vAlign w:val="center"/>
                </w:tcPr>
                <w:p w14:paraId="58DE75B2">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50dB（A）</w:t>
                  </w:r>
                </w:p>
              </w:tc>
            </w:tr>
          </w:tbl>
          <w:p w14:paraId="616021EB">
            <w:pPr>
              <w:spacing w:before="156" w:beforeLines="50"/>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2、污染物排放标准</w:t>
            </w:r>
          </w:p>
          <w:p w14:paraId="40388A2D">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（1）大气污染物排放标准</w:t>
            </w:r>
          </w:p>
          <w:p w14:paraId="1A24C99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施工期废气主要为施工扬尘，执行《大气污染物综合排放标准》（GB16297-1996）表2中的无组织排放监控浓度限值。</w:t>
            </w:r>
            <w:r>
              <w:rPr>
                <w:rFonts w:hint="default" w:ascii="Times New Roman" w:hAnsi="Times New Roman" w:cs="Times New Roman"/>
                <w:color w:val="auto"/>
                <w:highlight w:val="none"/>
                <w:u w:val="none"/>
              </w:rPr>
              <w:t>营运期颗粒物排放标准执行《大气污染物综合排放标准》（GB16297-1996）表2中</w:t>
            </w:r>
            <w:r>
              <w:rPr>
                <w:rFonts w:hint="eastAsia" w:cs="Times New Roman"/>
                <w:color w:val="auto"/>
                <w:highlight w:val="none"/>
                <w:u w:val="none"/>
                <w:lang w:val="en-US" w:eastAsia="zh-CN"/>
              </w:rPr>
              <w:t>污染物排放</w:t>
            </w:r>
            <w:r>
              <w:rPr>
                <w:rFonts w:hint="default" w:ascii="Times New Roman" w:hAnsi="Times New Roman" w:cs="Times New Roman"/>
                <w:color w:val="auto"/>
                <w:highlight w:val="none"/>
                <w:u w:val="none"/>
              </w:rPr>
              <w:t>限值。</w:t>
            </w:r>
            <w:r>
              <w:rPr>
                <w:rFonts w:hint="default" w:ascii="Times New Roman" w:hAnsi="Times New Roman" w:cs="Times New Roman"/>
                <w:color w:val="auto"/>
                <w:highlight w:val="none"/>
              </w:rPr>
              <w:t>采矿区域机械排放的尾气执行《非道路移动机械用柴油机排气污染物排放限值及测量方法（中国第三、四阶段）》（GB20891-2014）及修改单的标准要求。具体标准值见下表所示。</w:t>
            </w:r>
          </w:p>
          <w:p w14:paraId="5D973025">
            <w:pPr>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表3-</w:t>
            </w:r>
            <w:r>
              <w:rPr>
                <w:rFonts w:hint="eastAsia" w:cs="Times New Roman"/>
                <w:b/>
                <w:bCs/>
                <w:color w:val="auto"/>
                <w:sz w:val="21"/>
                <w:szCs w:val="21"/>
                <w:highlight w:val="none"/>
                <w:u w:val="none"/>
                <w:lang w:val="en-US" w:eastAsia="zh-CN"/>
              </w:rPr>
              <w:t>23</w:t>
            </w:r>
            <w:r>
              <w:rPr>
                <w:rFonts w:hint="default" w:ascii="Times New Roman" w:hAnsi="Times New Roman" w:cs="Times New Roman"/>
                <w:b/>
                <w:bCs/>
                <w:color w:val="auto"/>
                <w:sz w:val="21"/>
                <w:szCs w:val="21"/>
                <w:highlight w:val="none"/>
                <w:u w:val="none"/>
              </w:rPr>
              <w:t xml:space="preserve">  大气污染物排放标准限值一览表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271"/>
              <w:gridCol w:w="929"/>
              <w:gridCol w:w="1171"/>
              <w:gridCol w:w="1993"/>
              <w:gridCol w:w="1574"/>
            </w:tblGrid>
            <w:tr w14:paraId="1E94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vMerge w:val="restart"/>
                  <w:vAlign w:val="center"/>
                </w:tcPr>
                <w:p w14:paraId="5290C47B">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污染物</w:t>
                  </w:r>
                </w:p>
              </w:tc>
              <w:tc>
                <w:tcPr>
                  <w:tcW w:w="1271" w:type="dxa"/>
                  <w:vMerge w:val="restart"/>
                  <w:vAlign w:val="center"/>
                </w:tcPr>
                <w:p w14:paraId="29A25E0D">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最高允许排放浓度</w:t>
                  </w:r>
                </w:p>
              </w:tc>
              <w:tc>
                <w:tcPr>
                  <w:tcW w:w="2100" w:type="dxa"/>
                  <w:gridSpan w:val="2"/>
                  <w:vAlign w:val="center"/>
                </w:tcPr>
                <w:p w14:paraId="5386F0E4">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最高允许排放速率</w:t>
                  </w:r>
                </w:p>
              </w:tc>
              <w:tc>
                <w:tcPr>
                  <w:tcW w:w="3567" w:type="dxa"/>
                  <w:gridSpan w:val="2"/>
                  <w:vAlign w:val="center"/>
                </w:tcPr>
                <w:p w14:paraId="41B75184">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无组织排放监控浓度</w:t>
                  </w:r>
                </w:p>
              </w:tc>
            </w:tr>
            <w:tr w14:paraId="3B76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37" w:type="dxa"/>
                  <w:vMerge w:val="continue"/>
                  <w:vAlign w:val="center"/>
                </w:tcPr>
                <w:p w14:paraId="2FC3CC7A">
                  <w:pPr>
                    <w:spacing w:line="240" w:lineRule="auto"/>
                    <w:ind w:firstLine="0" w:firstLineChars="0"/>
                    <w:jc w:val="center"/>
                    <w:rPr>
                      <w:rFonts w:hint="default" w:ascii="Times New Roman" w:hAnsi="Times New Roman" w:cs="Times New Roman"/>
                      <w:bCs/>
                      <w:color w:val="auto"/>
                      <w:sz w:val="21"/>
                      <w:szCs w:val="21"/>
                      <w:highlight w:val="none"/>
                      <w:u w:val="none"/>
                    </w:rPr>
                  </w:pPr>
                </w:p>
              </w:tc>
              <w:tc>
                <w:tcPr>
                  <w:tcW w:w="1271" w:type="dxa"/>
                  <w:vMerge w:val="continue"/>
                  <w:vAlign w:val="center"/>
                </w:tcPr>
                <w:p w14:paraId="46CE79CD">
                  <w:pPr>
                    <w:spacing w:line="240" w:lineRule="auto"/>
                    <w:ind w:firstLine="0" w:firstLineChars="0"/>
                    <w:jc w:val="center"/>
                    <w:rPr>
                      <w:rFonts w:hint="default" w:ascii="Times New Roman" w:hAnsi="Times New Roman" w:cs="Times New Roman"/>
                      <w:bCs/>
                      <w:color w:val="auto"/>
                      <w:sz w:val="21"/>
                      <w:szCs w:val="21"/>
                      <w:highlight w:val="none"/>
                      <w:u w:val="none"/>
                    </w:rPr>
                  </w:pPr>
                </w:p>
              </w:tc>
              <w:tc>
                <w:tcPr>
                  <w:tcW w:w="929" w:type="dxa"/>
                  <w:vAlign w:val="center"/>
                </w:tcPr>
                <w:p w14:paraId="1933BBAB">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default" w:ascii="Times New Roman" w:hAnsi="Times New Roman" w:cs="Times New Roman"/>
                      <w:b/>
                      <w:bCs/>
                      <w:color w:val="auto"/>
                      <w:sz w:val="21"/>
                      <w:szCs w:val="21"/>
                      <w:highlight w:val="none"/>
                      <w:u w:val="none"/>
                    </w:rPr>
                    <w:t>排气筒</w:t>
                  </w:r>
                  <w:r>
                    <w:rPr>
                      <w:rFonts w:hint="eastAsia" w:cs="Times New Roman"/>
                      <w:b/>
                      <w:bCs/>
                      <w:color w:val="auto"/>
                      <w:sz w:val="21"/>
                      <w:szCs w:val="21"/>
                      <w:highlight w:val="none"/>
                      <w:u w:val="none"/>
                      <w:lang w:eastAsia="zh-CN"/>
                    </w:rPr>
                    <w:t>（</w:t>
                  </w:r>
                  <w:r>
                    <w:rPr>
                      <w:rFonts w:hint="eastAsia" w:cs="Times New Roman"/>
                      <w:b/>
                      <w:bCs/>
                      <w:color w:val="auto"/>
                      <w:sz w:val="21"/>
                      <w:szCs w:val="21"/>
                      <w:highlight w:val="none"/>
                      <w:u w:val="none"/>
                      <w:lang w:val="en-US" w:eastAsia="zh-CN"/>
                    </w:rPr>
                    <w:t>m</w:t>
                  </w:r>
                  <w:r>
                    <w:rPr>
                      <w:rFonts w:hint="eastAsia" w:cs="Times New Roman"/>
                      <w:b/>
                      <w:bCs/>
                      <w:color w:val="auto"/>
                      <w:sz w:val="21"/>
                      <w:szCs w:val="21"/>
                      <w:highlight w:val="none"/>
                      <w:u w:val="none"/>
                      <w:lang w:eastAsia="zh-CN"/>
                    </w:rPr>
                    <w:t>）</w:t>
                  </w:r>
                </w:p>
              </w:tc>
              <w:tc>
                <w:tcPr>
                  <w:tcW w:w="1171" w:type="dxa"/>
                  <w:vAlign w:val="center"/>
                </w:tcPr>
                <w:p w14:paraId="6BFD7623">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二级（kg/h）</w:t>
                  </w:r>
                </w:p>
              </w:tc>
              <w:tc>
                <w:tcPr>
                  <w:tcW w:w="1993" w:type="dxa"/>
                  <w:vAlign w:val="center"/>
                </w:tcPr>
                <w:p w14:paraId="210BBE8B">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监控点</w:t>
                  </w:r>
                </w:p>
              </w:tc>
              <w:tc>
                <w:tcPr>
                  <w:tcW w:w="1574" w:type="dxa"/>
                  <w:vAlign w:val="center"/>
                </w:tcPr>
                <w:p w14:paraId="70CB5191">
                  <w:pPr>
                    <w:spacing w:line="240" w:lineRule="auto"/>
                    <w:ind w:firstLine="0" w:firstLineChars="0"/>
                    <w:jc w:val="center"/>
                    <w:rPr>
                      <w:rFonts w:hint="default" w:ascii="Times New Roman" w:hAnsi="Times New Roman" w:cs="Times New Roman"/>
                      <w:bCs/>
                      <w:color w:val="auto"/>
                      <w:sz w:val="21"/>
                      <w:szCs w:val="21"/>
                      <w:highlight w:val="none"/>
                      <w:u w:val="none"/>
                    </w:rPr>
                  </w:pPr>
                  <w:r>
                    <w:rPr>
                      <w:rFonts w:hint="default" w:ascii="Times New Roman" w:hAnsi="Times New Roman" w:cs="Times New Roman"/>
                      <w:b/>
                      <w:bCs/>
                      <w:color w:val="auto"/>
                      <w:sz w:val="21"/>
                      <w:szCs w:val="21"/>
                      <w:highlight w:val="none"/>
                      <w:u w:val="none"/>
                    </w:rPr>
                    <w:t>浓度（mg/m</w:t>
                  </w:r>
                  <w:r>
                    <w:rPr>
                      <w:rFonts w:hint="default" w:ascii="Times New Roman" w:hAnsi="Times New Roman" w:cs="Times New Roman"/>
                      <w:b/>
                      <w:bCs/>
                      <w:color w:val="auto"/>
                      <w:sz w:val="21"/>
                      <w:szCs w:val="21"/>
                      <w:highlight w:val="none"/>
                      <w:u w:val="none"/>
                      <w:vertAlign w:val="superscript"/>
                    </w:rPr>
                    <w:t>3</w:t>
                  </w:r>
                  <w:r>
                    <w:rPr>
                      <w:rFonts w:hint="default" w:ascii="Times New Roman" w:hAnsi="Times New Roman" w:cs="Times New Roman"/>
                      <w:b/>
                      <w:bCs/>
                      <w:color w:val="auto"/>
                      <w:sz w:val="21"/>
                      <w:szCs w:val="21"/>
                      <w:highlight w:val="none"/>
                      <w:u w:val="none"/>
                    </w:rPr>
                    <w:t>）</w:t>
                  </w:r>
                </w:p>
              </w:tc>
            </w:tr>
            <w:tr w14:paraId="0A25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2013088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颗粒物</w:t>
                  </w:r>
                </w:p>
              </w:tc>
              <w:tc>
                <w:tcPr>
                  <w:tcW w:w="1271" w:type="dxa"/>
                  <w:vAlign w:val="center"/>
                </w:tcPr>
                <w:p w14:paraId="20F7B92B">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120</w:t>
                  </w:r>
                </w:p>
              </w:tc>
              <w:tc>
                <w:tcPr>
                  <w:tcW w:w="929" w:type="dxa"/>
                  <w:vAlign w:val="center"/>
                </w:tcPr>
                <w:p w14:paraId="762149E9">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15</w:t>
                  </w:r>
                </w:p>
              </w:tc>
              <w:tc>
                <w:tcPr>
                  <w:tcW w:w="1171" w:type="dxa"/>
                  <w:vAlign w:val="center"/>
                </w:tcPr>
                <w:p w14:paraId="2415D7E7">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3.5</w:t>
                  </w:r>
                </w:p>
              </w:tc>
              <w:tc>
                <w:tcPr>
                  <w:tcW w:w="1993" w:type="dxa"/>
                  <w:vAlign w:val="center"/>
                </w:tcPr>
                <w:p w14:paraId="58937C9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周界外浓度最高点</w:t>
                  </w:r>
                </w:p>
              </w:tc>
              <w:tc>
                <w:tcPr>
                  <w:tcW w:w="1574" w:type="dxa"/>
                  <w:vAlign w:val="center"/>
                </w:tcPr>
                <w:p w14:paraId="695DBA8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1.0</w:t>
                  </w:r>
                </w:p>
              </w:tc>
            </w:tr>
          </w:tbl>
          <w:p w14:paraId="0A5005DB">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24</w:t>
            </w:r>
            <w:r>
              <w:rPr>
                <w:rFonts w:hint="default" w:ascii="Times New Roman" w:hAnsi="Times New Roman" w:cs="Times New Roman"/>
                <w:b/>
                <w:bCs/>
                <w:color w:val="auto"/>
                <w:sz w:val="21"/>
                <w:szCs w:val="21"/>
                <w:highlight w:val="none"/>
              </w:rPr>
              <w:t xml:space="preserve">  机械排放尾气执行标准</w:t>
            </w:r>
          </w:p>
          <w:tbl>
            <w:tblPr>
              <w:tblStyle w:val="22"/>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771"/>
              <w:gridCol w:w="1770"/>
              <w:gridCol w:w="1770"/>
            </w:tblGrid>
            <w:tr w14:paraId="43D5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642" w:type="pct"/>
                  <w:vAlign w:val="center"/>
                </w:tcPr>
                <w:p w14:paraId="657F06B9">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119" w:type="pct"/>
                  <w:vAlign w:val="center"/>
                </w:tcPr>
                <w:p w14:paraId="77958423">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CO</w:t>
                  </w:r>
                </w:p>
              </w:tc>
              <w:tc>
                <w:tcPr>
                  <w:tcW w:w="1119" w:type="pct"/>
                  <w:vAlign w:val="center"/>
                </w:tcPr>
                <w:p w14:paraId="135EACE5">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HC+NO</w:t>
                  </w:r>
                  <w:r>
                    <w:rPr>
                      <w:rFonts w:hint="default" w:ascii="Times New Roman" w:hAnsi="Times New Roman" w:cs="Times New Roman"/>
                      <w:b/>
                      <w:bCs/>
                      <w:color w:val="auto"/>
                      <w:sz w:val="21"/>
                      <w:szCs w:val="21"/>
                      <w:highlight w:val="none"/>
                      <w:vertAlign w:val="subscript"/>
                    </w:rPr>
                    <w:t>X</w:t>
                  </w:r>
                </w:p>
              </w:tc>
              <w:tc>
                <w:tcPr>
                  <w:tcW w:w="1119" w:type="pct"/>
                  <w:vAlign w:val="center"/>
                </w:tcPr>
                <w:p w14:paraId="034B63C8">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PM</w:t>
                  </w:r>
                </w:p>
              </w:tc>
            </w:tr>
            <w:tr w14:paraId="4DD9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2" w:type="pct"/>
                  <w:vAlign w:val="center"/>
                </w:tcPr>
                <w:p w14:paraId="6FC11411">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P</w:t>
                  </w:r>
                  <w:r>
                    <w:rPr>
                      <w:rFonts w:hint="default" w:ascii="Times New Roman" w:hAnsi="Times New Roman" w:cs="Times New Roman"/>
                      <w:bCs/>
                      <w:color w:val="auto"/>
                      <w:sz w:val="21"/>
                      <w:szCs w:val="21"/>
                      <w:highlight w:val="none"/>
                      <w:vertAlign w:val="subscript"/>
                    </w:rPr>
                    <w:t>max</w:t>
                  </w:r>
                  <w:r>
                    <w:rPr>
                      <w:rFonts w:hint="default" w:ascii="Times New Roman" w:hAnsi="Times New Roman" w:cs="Times New Roman"/>
                      <w:bCs/>
                      <w:color w:val="auto"/>
                      <w:sz w:val="21"/>
                      <w:szCs w:val="21"/>
                      <w:highlight w:val="none"/>
                    </w:rPr>
                    <w:t>&gt;560kW柴油机排气污染物限值（g/kWh）</w:t>
                  </w:r>
                </w:p>
              </w:tc>
              <w:tc>
                <w:tcPr>
                  <w:tcW w:w="1119" w:type="pct"/>
                  <w:vAlign w:val="center"/>
                </w:tcPr>
                <w:p w14:paraId="65CD520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1119" w:type="pct"/>
                  <w:vAlign w:val="center"/>
                </w:tcPr>
                <w:p w14:paraId="73FCBB1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w:t>
                  </w:r>
                </w:p>
              </w:tc>
              <w:tc>
                <w:tcPr>
                  <w:tcW w:w="1119" w:type="pct"/>
                  <w:vAlign w:val="center"/>
                </w:tcPr>
                <w:p w14:paraId="09F19DB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0.20</w:t>
                  </w:r>
                </w:p>
              </w:tc>
            </w:tr>
          </w:tbl>
          <w:p w14:paraId="157082C7">
            <w:pPr>
              <w:spacing w:before="156" w:beforeLines="50"/>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（2）水污染物排放标准</w:t>
            </w:r>
          </w:p>
          <w:p w14:paraId="638E6A4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施工期产生的施工废水循环利用不外排，营运期矿区雨水</w:t>
            </w:r>
            <w:r>
              <w:rPr>
                <w:rFonts w:hint="eastAsia" w:cs="Times New Roman"/>
                <w:color w:val="auto"/>
                <w:highlight w:val="none"/>
                <w:lang w:val="en-US" w:eastAsia="zh-CN"/>
              </w:rPr>
              <w:t>及工业场地、产品堆场雨水</w:t>
            </w:r>
            <w:r>
              <w:rPr>
                <w:rFonts w:hint="default" w:ascii="Times New Roman" w:hAnsi="Times New Roman" w:cs="Times New Roman"/>
                <w:color w:val="auto"/>
                <w:highlight w:val="none"/>
              </w:rPr>
              <w:t>经沉淀后用于抑尘用水，生活污水经化粪池处理后用于周边</w:t>
            </w:r>
            <w:r>
              <w:rPr>
                <w:rFonts w:hint="eastAsia" w:cs="Times New Roman"/>
                <w:color w:val="auto"/>
                <w:highlight w:val="none"/>
                <w:lang w:val="en-US" w:eastAsia="zh-CN"/>
              </w:rPr>
              <w:t>农田</w:t>
            </w:r>
            <w:r>
              <w:rPr>
                <w:rFonts w:hint="default" w:ascii="Times New Roman" w:hAnsi="Times New Roman" w:cs="Times New Roman"/>
                <w:color w:val="auto"/>
                <w:highlight w:val="none"/>
              </w:rPr>
              <w:t>施肥，项目无废水外排。</w:t>
            </w:r>
          </w:p>
          <w:p w14:paraId="71BC8D96">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（3）噪声排放标准</w:t>
            </w:r>
          </w:p>
          <w:p w14:paraId="5536D87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施工期噪声执行《建筑施工噪声排放标准》（GB12523-20</w:t>
            </w:r>
            <w:r>
              <w:rPr>
                <w:rFonts w:hint="eastAsia" w:cs="Times New Roman"/>
                <w:color w:val="auto"/>
                <w:highlight w:val="none"/>
                <w:lang w:val="en-US" w:eastAsia="zh-CN"/>
              </w:rPr>
              <w:t>25</w:t>
            </w:r>
            <w:r>
              <w:rPr>
                <w:rFonts w:hint="default" w:ascii="Times New Roman" w:hAnsi="Times New Roman" w:cs="Times New Roman"/>
                <w:color w:val="auto"/>
                <w:highlight w:val="none"/>
              </w:rPr>
              <w:t>）。项目厂界噪声执行《工业企业厂界环境噪声排放标准》（GB12348-2008）2类标准。</w:t>
            </w:r>
          </w:p>
          <w:p w14:paraId="2B202AD1">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25</w:t>
            </w:r>
            <w:r>
              <w:rPr>
                <w:rFonts w:hint="default" w:ascii="Times New Roman" w:hAnsi="Times New Roman" w:cs="Times New Roman"/>
                <w:b/>
                <w:bCs/>
                <w:color w:val="auto"/>
                <w:sz w:val="21"/>
                <w:szCs w:val="21"/>
                <w:highlight w:val="none"/>
              </w:rPr>
              <w:t xml:space="preserve">  噪声污染排放标准限值一览表</w:t>
            </w:r>
          </w:p>
          <w:tbl>
            <w:tblPr>
              <w:tblStyle w:val="22"/>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118"/>
              <w:gridCol w:w="1538"/>
              <w:gridCol w:w="1539"/>
              <w:gridCol w:w="2694"/>
            </w:tblGrid>
            <w:tr w14:paraId="0F8B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45" w:type="pct"/>
                  <w:vAlign w:val="center"/>
                </w:tcPr>
                <w:p w14:paraId="56DB4827">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时期</w:t>
                  </w:r>
                </w:p>
              </w:tc>
              <w:tc>
                <w:tcPr>
                  <w:tcW w:w="707" w:type="pct"/>
                  <w:vAlign w:val="center"/>
                </w:tcPr>
                <w:p w14:paraId="4237CA53">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972" w:type="pct"/>
                  <w:vAlign w:val="center"/>
                </w:tcPr>
                <w:p w14:paraId="36D1EA16">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昼间dB（A）</w:t>
                  </w:r>
                </w:p>
              </w:tc>
              <w:tc>
                <w:tcPr>
                  <w:tcW w:w="973" w:type="pct"/>
                  <w:vAlign w:val="center"/>
                </w:tcPr>
                <w:p w14:paraId="2CB6D907">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夜间dB（A）</w:t>
                  </w:r>
                </w:p>
              </w:tc>
              <w:tc>
                <w:tcPr>
                  <w:tcW w:w="1703" w:type="pct"/>
                  <w:vAlign w:val="center"/>
                </w:tcPr>
                <w:p w14:paraId="366AF471">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r>
            <w:tr w14:paraId="66A3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45" w:type="pct"/>
                  <w:vAlign w:val="center"/>
                </w:tcPr>
                <w:p w14:paraId="29C9DED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707" w:type="pct"/>
                  <w:vAlign w:val="center"/>
                </w:tcPr>
                <w:p w14:paraId="43BD976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72" w:type="pct"/>
                  <w:vAlign w:val="center"/>
                </w:tcPr>
                <w:p w14:paraId="06A8787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973" w:type="pct"/>
                  <w:vAlign w:val="center"/>
                </w:tcPr>
                <w:p w14:paraId="5753FD8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1703" w:type="pct"/>
                  <w:vAlign w:val="center"/>
                </w:tcPr>
                <w:p w14:paraId="17C404E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《建筑施工噪声排放标准》（GB12523-20</w:t>
                  </w:r>
                  <w:r>
                    <w:rPr>
                      <w:rFonts w:hint="eastAsia"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w:t>
                  </w:r>
                </w:p>
              </w:tc>
            </w:tr>
            <w:tr w14:paraId="2BAE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14:paraId="5C7A70F8">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营运期</w:t>
                  </w:r>
                </w:p>
              </w:tc>
              <w:tc>
                <w:tcPr>
                  <w:tcW w:w="707" w:type="pct"/>
                  <w:vAlign w:val="center"/>
                </w:tcPr>
                <w:p w14:paraId="0B2DD93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w:t>
                  </w:r>
                </w:p>
              </w:tc>
              <w:tc>
                <w:tcPr>
                  <w:tcW w:w="972" w:type="pct"/>
                  <w:vAlign w:val="center"/>
                </w:tcPr>
                <w:p w14:paraId="04F84D3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973" w:type="pct"/>
                  <w:vAlign w:val="center"/>
                </w:tcPr>
                <w:p w14:paraId="4509E40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1703" w:type="pct"/>
                  <w:vAlign w:val="center"/>
                </w:tcPr>
                <w:p w14:paraId="5DD7A8A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w:t>
                  </w:r>
                </w:p>
              </w:tc>
            </w:tr>
          </w:tbl>
          <w:p w14:paraId="4A8BC90C">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（4）固体废物</w:t>
            </w:r>
          </w:p>
          <w:p w14:paraId="12C62110">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危险废物储存执行《危险废物贮存污染控制标准》（GB18597-2023），一般固体废物储存执行《</w:t>
            </w:r>
            <w:r>
              <w:rPr>
                <w:rFonts w:hint="eastAsia" w:cs="Times New Roman"/>
                <w:color w:val="auto"/>
                <w:szCs w:val="24"/>
                <w:highlight w:val="none"/>
                <w:lang w:eastAsia="zh-CN"/>
              </w:rPr>
              <w:t>一般工业固体废物贮存和填埋污染控制标准</w:t>
            </w:r>
            <w:r>
              <w:rPr>
                <w:rFonts w:hint="default" w:ascii="Times New Roman" w:hAnsi="Times New Roman" w:cs="Times New Roman"/>
                <w:color w:val="auto"/>
                <w:szCs w:val="24"/>
                <w:highlight w:val="none"/>
              </w:rPr>
              <w:t>》（GB18599-20</w:t>
            </w:r>
            <w:r>
              <w:rPr>
                <w:rFonts w:hint="eastAsia" w:cs="Times New Roman"/>
                <w:color w:val="auto"/>
                <w:szCs w:val="24"/>
                <w:highlight w:val="none"/>
                <w:lang w:val="en-US" w:eastAsia="zh-CN"/>
              </w:rPr>
              <w:t>20</w:t>
            </w:r>
            <w:r>
              <w:rPr>
                <w:rFonts w:hint="default" w:ascii="Times New Roman" w:hAnsi="Times New Roman" w:cs="Times New Roman"/>
                <w:color w:val="auto"/>
                <w:szCs w:val="24"/>
                <w:highlight w:val="none"/>
              </w:rPr>
              <w:t>）。</w:t>
            </w:r>
          </w:p>
        </w:tc>
      </w:tr>
      <w:tr w14:paraId="7E92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7F9FBCD3">
            <w:pPr>
              <w:spacing w:line="276" w:lineRule="auto"/>
              <w:ind w:firstLine="0" w:firstLineChars="0"/>
              <w:jc w:val="center"/>
              <w:rPr>
                <w:rFonts w:hint="eastAsia"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其他</w:t>
            </w:r>
          </w:p>
        </w:tc>
        <w:tc>
          <w:tcPr>
            <w:tcW w:w="8101" w:type="dxa"/>
          </w:tcPr>
          <w:p w14:paraId="3A80C0B8">
            <w:pPr>
              <w:keepNext w:val="0"/>
              <w:keepLines w:val="0"/>
              <w:widowControl/>
              <w:suppressLineNumbers w:val="0"/>
              <w:jc w:val="left"/>
              <w:rPr>
                <w:rFonts w:hint="default" w:ascii="Times New Roman" w:hAnsi="Times New Roman" w:cs="Times New Roman"/>
                <w:color w:val="auto"/>
                <w:szCs w:val="24"/>
                <w:highlight w:val="none"/>
              </w:rPr>
            </w:pPr>
            <w:r>
              <w:rPr>
                <w:rFonts w:hint="eastAsia" w:ascii="宋体" w:hAnsi="宋体" w:eastAsia="宋体" w:cs="宋体"/>
                <w:color w:val="auto"/>
                <w:kern w:val="0"/>
                <w:sz w:val="24"/>
                <w:szCs w:val="24"/>
                <w:highlight w:val="none"/>
                <w:lang w:val="en-US" w:eastAsia="zh-CN" w:bidi="ar"/>
              </w:rPr>
              <w:t xml:space="preserve">根据主要污染物排放总量控制技术规范要求，目前国家主要对 </w:t>
            </w:r>
            <w:r>
              <w:rPr>
                <w:rFonts w:hint="default" w:ascii="Times New Roman" w:hAnsi="Times New Roman" w:eastAsia="宋体" w:cs="Times New Roman"/>
                <w:color w:val="auto"/>
                <w:kern w:val="0"/>
                <w:sz w:val="24"/>
                <w:szCs w:val="24"/>
                <w:highlight w:val="none"/>
                <w:lang w:val="en-US" w:eastAsia="zh-CN" w:bidi="ar"/>
              </w:rPr>
              <w:t>COD</w:t>
            </w:r>
            <w:r>
              <w:rPr>
                <w:rFonts w:hint="eastAsia" w:ascii="宋体" w:hAnsi="宋体" w:eastAsia="宋体" w:cs="宋体"/>
                <w:color w:val="auto"/>
                <w:kern w:val="0"/>
                <w:sz w:val="24"/>
                <w:szCs w:val="24"/>
                <w:highlight w:val="none"/>
                <w:lang w:val="en-US" w:eastAsia="zh-CN" w:bidi="ar"/>
              </w:rPr>
              <w:t>、氨氮、</w:t>
            </w:r>
            <w:r>
              <w:rPr>
                <w:rFonts w:hint="default" w:ascii="Times New Roman" w:hAnsi="Times New Roman" w:eastAsia="宋体" w:cs="Times New Roman"/>
                <w:color w:val="auto"/>
                <w:kern w:val="0"/>
                <w:sz w:val="24"/>
                <w:szCs w:val="24"/>
                <w:highlight w:val="none"/>
                <w:lang w:val="en-US" w:eastAsia="zh-CN" w:bidi="ar"/>
              </w:rPr>
              <w:t>SO</w:t>
            </w:r>
            <w:r>
              <w:rPr>
                <w:rFonts w:hint="default" w:ascii="Times New Roman" w:hAnsi="Times New Roman" w:eastAsia="宋体" w:cs="Times New Roman"/>
                <w:color w:val="auto"/>
                <w:kern w:val="0"/>
                <w:sz w:val="15"/>
                <w:szCs w:val="15"/>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NO</w:t>
            </w:r>
            <w:r>
              <w:rPr>
                <w:rFonts w:hint="default" w:ascii="Times New Roman" w:hAnsi="Times New Roman" w:eastAsia="宋体" w:cs="Times New Roman"/>
                <w:color w:val="auto"/>
                <w:kern w:val="0"/>
                <w:sz w:val="15"/>
                <w:szCs w:val="15"/>
                <w:highlight w:val="none"/>
                <w:lang w:val="en-US" w:eastAsia="zh-CN" w:bidi="ar"/>
              </w:rPr>
              <w:t>X</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VOCs </w:t>
            </w:r>
            <w:r>
              <w:rPr>
                <w:rFonts w:hint="eastAsia" w:ascii="宋体" w:hAnsi="宋体" w:eastAsia="宋体" w:cs="宋体"/>
                <w:color w:val="auto"/>
                <w:kern w:val="0"/>
                <w:sz w:val="24"/>
                <w:szCs w:val="24"/>
                <w:highlight w:val="none"/>
                <w:lang w:val="en-US" w:eastAsia="zh-CN" w:bidi="ar"/>
              </w:rPr>
              <w:t>五项主要污染物实行排放总量控制计划管理。本项目无废水外排，废水主要污染物为</w:t>
            </w:r>
            <w:r>
              <w:rPr>
                <w:rFonts w:hint="default" w:ascii="Times New Roman" w:hAnsi="Times New Roman" w:eastAsia="宋体" w:cs="Times New Roman"/>
                <w:color w:val="auto"/>
                <w:kern w:val="0"/>
                <w:sz w:val="24"/>
                <w:szCs w:val="24"/>
                <w:highlight w:val="none"/>
                <w:lang w:val="en-US" w:eastAsia="zh-CN" w:bidi="ar"/>
              </w:rPr>
              <w:t>SS</w:t>
            </w:r>
            <w:r>
              <w:rPr>
                <w:rFonts w:hint="eastAsia" w:ascii="宋体" w:hAnsi="宋体" w:eastAsia="宋体" w:cs="宋体"/>
                <w:color w:val="auto"/>
                <w:kern w:val="0"/>
                <w:sz w:val="24"/>
                <w:szCs w:val="24"/>
                <w:highlight w:val="none"/>
                <w:lang w:val="en-US" w:eastAsia="zh-CN" w:bidi="ar"/>
              </w:rPr>
              <w:t>，不设置废水总量控制指标；废气主要污染物为颗粒物，因此本项目无须设置总量控制指标。</w:t>
            </w:r>
          </w:p>
        </w:tc>
      </w:tr>
    </w:tbl>
    <w:p w14:paraId="79C9C766">
      <w:pPr>
        <w:pStyle w:val="2"/>
        <w:jc w:val="center"/>
        <w:outlineLvl w:val="9"/>
        <w:rPr>
          <w:rFonts w:hint="default" w:ascii="Times New Roman" w:hAnsi="Times New Roman" w:eastAsia="黑体" w:cs="Times New Roman"/>
          <w:b w:val="0"/>
          <w:bCs w:val="0"/>
          <w:color w:val="auto"/>
          <w:sz w:val="30"/>
          <w:szCs w:val="30"/>
          <w:highlight w:val="none"/>
        </w:rPr>
        <w:sectPr>
          <w:pgSz w:w="11906" w:h="16838"/>
          <w:pgMar w:top="1587" w:right="1531" w:bottom="1644" w:left="1531"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2AB6A386">
      <w:pPr>
        <w:pStyle w:val="2"/>
        <w:jc w:val="center"/>
        <w:rPr>
          <w:rFonts w:hint="default" w:ascii="Times New Roman" w:hAnsi="Times New Roman" w:eastAsia="黑体" w:cs="Times New Roman"/>
          <w:b w:val="0"/>
          <w:bCs w:val="0"/>
          <w:color w:val="auto"/>
          <w:sz w:val="30"/>
          <w:szCs w:val="30"/>
          <w:highlight w:val="none"/>
        </w:rPr>
      </w:pPr>
      <w:bookmarkStart w:id="5" w:name="_Toc16107"/>
      <w:r>
        <w:rPr>
          <w:rFonts w:hint="default" w:ascii="Times New Roman" w:hAnsi="Times New Roman" w:eastAsia="黑体" w:cs="Times New Roman"/>
          <w:b w:val="0"/>
          <w:bCs w:val="0"/>
          <w:color w:val="auto"/>
          <w:sz w:val="30"/>
          <w:szCs w:val="30"/>
          <w:highlight w:val="none"/>
        </w:rPr>
        <w:t>四、生态环境影响分析</w:t>
      </w:r>
      <w:bookmarkEnd w:id="5"/>
    </w:p>
    <w:tbl>
      <w:tblPr>
        <w:tblStyle w:val="22"/>
        <w:tblpPr w:leftFromText="180" w:rightFromText="180" w:vertAnchor="text" w:tblpXSpec="righ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101"/>
      </w:tblGrid>
      <w:tr w14:paraId="4B2A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DA6757C">
            <w:pPr>
              <w:pStyle w:val="17"/>
              <w:spacing w:before="0" w:beforeAutospacing="0" w:after="0" w:afterAutospacing="0" w:line="276" w:lineRule="auto"/>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施工期生态环</w:t>
            </w:r>
          </w:p>
          <w:p w14:paraId="2966D412">
            <w:pPr>
              <w:pStyle w:val="17"/>
              <w:spacing w:before="0" w:beforeAutospacing="0" w:after="0" w:afterAutospacing="0" w:line="276" w:lineRule="auto"/>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境影响分析</w:t>
            </w:r>
          </w:p>
        </w:tc>
        <w:tc>
          <w:tcPr>
            <w:tcW w:w="8101" w:type="dxa"/>
          </w:tcPr>
          <w:p w14:paraId="04FD0673">
            <w:pPr>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一、施工期</w:t>
            </w:r>
          </w:p>
          <w:p w14:paraId="5548D3D6">
            <w:pPr>
              <w:ind w:firstLine="480"/>
              <w:rPr>
                <w:rFonts w:hint="default" w:ascii="Times New Roman" w:hAnsi="Times New Roman" w:cs="Times New Roman"/>
                <w:color w:val="auto"/>
                <w:highlight w:val="none"/>
              </w:rPr>
            </w:pPr>
            <w:r>
              <w:rPr>
                <w:rStyle w:val="24"/>
                <w:rFonts w:hint="eastAsia"/>
                <w:color w:val="auto"/>
                <w:sz w:val="24"/>
                <w:szCs w:val="24"/>
                <w:u w:val="single"/>
              </w:rPr>
              <w:t>本项目建设期的施工内容主要包括：</w:t>
            </w:r>
            <w:r>
              <w:rPr>
                <w:rFonts w:hint="default" w:ascii="Times New Roman" w:hAnsi="Times New Roman" w:cs="Times New Roman"/>
                <w:color w:val="auto"/>
                <w:highlight w:val="none"/>
                <w:u w:val="single"/>
              </w:rPr>
              <w:t>矿山采石平台</w:t>
            </w:r>
            <w:r>
              <w:rPr>
                <w:rFonts w:hint="eastAsia" w:cs="Times New Roman"/>
                <w:color w:val="auto"/>
                <w:highlight w:val="none"/>
                <w:u w:val="single"/>
                <w:lang w:val="en-US" w:eastAsia="zh-CN"/>
              </w:rPr>
              <w:t>及截洪沟、</w:t>
            </w:r>
            <w:r>
              <w:rPr>
                <w:rStyle w:val="24"/>
                <w:rFonts w:hint="eastAsia"/>
                <w:color w:val="auto"/>
                <w:sz w:val="24"/>
                <w:szCs w:val="24"/>
                <w:u w:val="single"/>
              </w:rPr>
              <w:t>沉淀池的建设以及</w:t>
            </w:r>
            <w:r>
              <w:rPr>
                <w:rStyle w:val="24"/>
                <w:rFonts w:hint="eastAsia"/>
                <w:color w:val="auto"/>
                <w:sz w:val="24"/>
                <w:szCs w:val="24"/>
                <w:u w:val="single"/>
                <w:lang w:val="en-US" w:eastAsia="zh-CN"/>
              </w:rPr>
              <w:t>工业场地</w:t>
            </w:r>
            <w:r>
              <w:rPr>
                <w:rStyle w:val="24"/>
                <w:rFonts w:hint="eastAsia"/>
                <w:color w:val="auto"/>
                <w:sz w:val="24"/>
                <w:szCs w:val="24"/>
                <w:u w:val="single"/>
              </w:rPr>
              <w:t>的修缮。</w:t>
            </w:r>
          </w:p>
          <w:p w14:paraId="6938426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1、施工期主要污染工序和保护措施</w:t>
            </w:r>
          </w:p>
          <w:p w14:paraId="55836D8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（1）施工期大气污染源分析</w:t>
            </w:r>
          </w:p>
          <w:p w14:paraId="57EBC6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u w:val="single"/>
                <w:lang w:val="en-US" w:eastAsia="zh-CN"/>
              </w:rPr>
              <w:t>采矿区和工业场地的施工活动大气污染物主要为施工扬尘，主要来源有矿山开采平台、修建排土场、修建截排水沟和沉淀池、</w:t>
            </w:r>
            <w:r>
              <w:rPr>
                <w:rStyle w:val="24"/>
                <w:rFonts w:hint="eastAsia"/>
                <w:color w:val="auto"/>
                <w:sz w:val="24"/>
                <w:szCs w:val="24"/>
                <w:u w:val="single"/>
                <w:lang w:val="en-US" w:eastAsia="zh-CN"/>
              </w:rPr>
              <w:t>工业场地生产车间及堆场</w:t>
            </w:r>
            <w:r>
              <w:rPr>
                <w:rStyle w:val="24"/>
                <w:rFonts w:hint="eastAsia"/>
                <w:color w:val="auto"/>
                <w:sz w:val="24"/>
                <w:szCs w:val="24"/>
                <w:u w:val="single"/>
              </w:rPr>
              <w:t>的修缮</w:t>
            </w:r>
            <w:r>
              <w:rPr>
                <w:rFonts w:hint="eastAsia" w:ascii="Times New Roman" w:hAnsi="Times New Roman" w:eastAsia="宋体" w:cs="Times New Roman"/>
                <w:color w:val="auto"/>
                <w:sz w:val="24"/>
                <w:highlight w:val="none"/>
                <w:u w:val="single"/>
                <w:lang w:val="en-US" w:eastAsia="zh-CN"/>
              </w:rPr>
              <w:t>等，均为无组织排放。</w:t>
            </w:r>
          </w:p>
          <w:p w14:paraId="509CCA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本项目施工期间，堆土裸露，风吹或车辆过往，尘土飞扬，使大气中悬浮颗粒物含量聚增，影响景观和空气环境。施工扬尘可能对附近的植物等蒙上尘土，对施工人员及施工场地周边环境都会产生一定的不利影响。据类比调查，在干燥季节大风天气条件下，施工现场下风向1m处扬尘浓度可达3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以上，25m处为1.5mg/m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，50m处为0.5mg/m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，下风向60m范围内 TSP 浓度有可能超标，但施工扬尘对距离作业点150m以上的区域影响较小。施工扬尘造成的污染仅是短期的、局部的、施工完成后即会消失。施工期对个别严重产尘环节采取洒水降尘，以减少扬尘量。</w:t>
            </w:r>
          </w:p>
          <w:p w14:paraId="0C516B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u w:val="single"/>
                <w:lang w:val="en-US" w:eastAsia="zh-CN"/>
              </w:rPr>
              <w:t>施工期间使用的各种施工燃油机械及运输车辆会产生尾气，尾气中主要污染物有CO、NO</w:t>
            </w:r>
            <w:r>
              <w:rPr>
                <w:rFonts w:hint="eastAsia" w:ascii="Times New Roman" w:hAnsi="Times New Roman" w:eastAsia="宋体" w:cs="Times New Roman"/>
                <w:color w:val="auto"/>
                <w:sz w:val="24"/>
                <w:highlight w:val="none"/>
                <w:u w:val="single"/>
                <w:vertAlign w:val="subscript"/>
                <w:lang w:val="en-US" w:eastAsia="zh-CN"/>
              </w:rPr>
              <w:t>X</w:t>
            </w:r>
            <w:r>
              <w:rPr>
                <w:rFonts w:hint="eastAsia" w:ascii="Times New Roman" w:hAnsi="Times New Roman" w:eastAsia="宋体" w:cs="Times New Roman"/>
                <w:color w:val="auto"/>
                <w:sz w:val="24"/>
                <w:highlight w:val="none"/>
                <w:u w:val="single"/>
                <w:lang w:val="en-US" w:eastAsia="zh-CN"/>
              </w:rPr>
              <w:t>等。据类比调查，在距离现场50m处CO、NO</w:t>
            </w:r>
            <w:r>
              <w:rPr>
                <w:rFonts w:hint="eastAsia" w:ascii="Times New Roman" w:hAnsi="Times New Roman" w:eastAsia="宋体" w:cs="Times New Roman"/>
                <w:color w:val="auto"/>
                <w:sz w:val="24"/>
                <w:highlight w:val="none"/>
                <w:u w:val="single"/>
                <w:vertAlign w:val="subscript"/>
                <w:lang w:val="en-US" w:eastAsia="zh-CN"/>
              </w:rPr>
              <w:t>X</w:t>
            </w:r>
            <w:r>
              <w:rPr>
                <w:rFonts w:hint="eastAsia" w:ascii="Times New Roman" w:hAnsi="Times New Roman" w:eastAsia="宋体" w:cs="Times New Roman"/>
                <w:color w:val="auto"/>
                <w:sz w:val="24"/>
                <w:highlight w:val="none"/>
                <w:u w:val="single"/>
                <w:lang w:val="en-US" w:eastAsia="zh-CN"/>
              </w:rPr>
              <w:t>的1小时平均浓度分别约为0.2mg/m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、0.13mg/m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；日平均浓度分别约为0.13mg/m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和 0.062mg/m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。施工期的机械废气排放均能满足二级标准的要求，对项目周围的环境影响不大。</w:t>
            </w:r>
          </w:p>
          <w:p w14:paraId="43261BD4">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274" w:leftChars="114" w:firstLine="240" w:firstLineChars="100"/>
              <w:textAlignment w:val="auto"/>
              <w:rPr>
                <w:rFonts w:hint="eastAsia" w:ascii="Times New Roman" w:hAnsi="Times New Roman" w:eastAsia="宋体" w:cs="Times New Roman"/>
                <w:color w:val="auto"/>
                <w:sz w:val="24"/>
                <w:highlight w:val="none"/>
                <w:u w:val="single"/>
                <w:lang w:val="en-US" w:eastAsia="zh-CN"/>
              </w:rPr>
            </w:pPr>
            <w:r>
              <w:rPr>
                <w:rFonts w:hint="default" w:ascii="Times New Roman" w:hAnsi="Times New Roman" w:cs="Times New Roman"/>
                <w:color w:val="auto"/>
                <w:highlight w:val="none"/>
                <w:u w:val="single"/>
              </w:rPr>
              <w:t>施工期</w:t>
            </w:r>
            <w:r>
              <w:rPr>
                <w:rFonts w:hint="eastAsia" w:ascii="Times New Roman" w:hAnsi="Times New Roman" w:cs="Times New Roman"/>
                <w:color w:val="auto"/>
                <w:highlight w:val="none"/>
                <w:u w:val="single"/>
                <w:lang w:val="en-US" w:eastAsia="zh-CN"/>
              </w:rPr>
              <w:t>废水</w:t>
            </w:r>
            <w:r>
              <w:rPr>
                <w:rFonts w:hint="default" w:ascii="Times New Roman" w:hAnsi="Times New Roman" w:cs="Times New Roman"/>
                <w:color w:val="auto"/>
                <w:highlight w:val="none"/>
                <w:u w:val="single"/>
              </w:rPr>
              <w:t>污染源分析</w:t>
            </w:r>
          </w:p>
          <w:p w14:paraId="3260F040">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547" w:leftChars="228" w:firstLine="0" w:firstLineChars="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施工期废水主要为地表径流废水、施工废水及施工人员生活污水。</w:t>
            </w:r>
          </w:p>
          <w:p w14:paraId="4B67C27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547" w:leftChars="228" w:firstLine="0" w:firstLineChars="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地表径流废水：雨天在施工场地会形成地面径流。</w:t>
            </w:r>
          </w:p>
          <w:p w14:paraId="0210AFFD">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施工废水：施工期间施工废水为车辆设备清洗废水，其废水主要来自施工车辆清洗过程，清洗废水产生量约2m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/d。该废水主要污染物为 SS，SS浓度约为1000mg/L，经简易沉淀池处理后回用于道路洒水降尘。</w:t>
            </w:r>
          </w:p>
          <w:p w14:paraId="1E9D8B3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施工人员生活污水：项目施工人员产生的生活污水经化粪池收集处理后，用于周边</w:t>
            </w:r>
            <w:r>
              <w:rPr>
                <w:rFonts w:hint="eastAsia" w:cs="Times New Roman"/>
                <w:color w:val="auto"/>
                <w:highlight w:val="none"/>
                <w:u w:val="single"/>
                <w:lang w:val="en-US" w:eastAsia="zh-CN"/>
              </w:rPr>
              <w:t>农灌</w:t>
            </w:r>
            <w:r>
              <w:rPr>
                <w:rFonts w:hint="eastAsia" w:ascii="Times New Roman" w:hAnsi="Times New Roman" w:eastAsia="宋体" w:cs="Times New Roman"/>
                <w:color w:val="auto"/>
                <w:sz w:val="24"/>
                <w:highlight w:val="none"/>
                <w:u w:val="single"/>
                <w:lang w:val="en-US" w:eastAsia="zh-CN"/>
              </w:rPr>
              <w:t>，不外排。</w:t>
            </w:r>
          </w:p>
          <w:p w14:paraId="703F5E9E">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（3）</w:t>
            </w:r>
            <w:r>
              <w:rPr>
                <w:rFonts w:hint="default" w:ascii="Times New Roman" w:hAnsi="Times New Roman" w:cs="Times New Roman"/>
                <w:color w:val="auto"/>
                <w:highlight w:val="none"/>
                <w:u w:val="single"/>
              </w:rPr>
              <w:t>施工期噪声污染源分析</w:t>
            </w:r>
          </w:p>
          <w:p w14:paraId="07CF321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采矿区施工期噪声可分为机械噪声、施工作业噪声、施工车辆噪声及设备安装噪声。</w:t>
            </w:r>
          </w:p>
          <w:p w14:paraId="6C2F995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u w:val="single"/>
                <w:lang w:val="en-US" w:eastAsia="zh-CN"/>
              </w:rPr>
              <w:t>机械噪声主要由施工机械所造成，如挖掘机等，多为点声源，声级约在75～95dB(A)之间；施工作业噪声主要指一些敲打声、装卸车辆的撞击声、拆装模板的撞击声等，多为瞬间噪声，声级约在 80～100dB(A)之间；施工中用到的车辆如翻斗车、载重汽车等，施工车辆的噪声属于交通噪声，声级约在75～85dB(A)。</w:t>
            </w:r>
          </w:p>
          <w:p w14:paraId="43C9D1B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14"/>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（4）</w:t>
            </w:r>
            <w:r>
              <w:rPr>
                <w:rFonts w:hint="default" w:ascii="Times New Roman" w:hAnsi="Times New Roman" w:cs="Times New Roman"/>
                <w:color w:val="auto"/>
                <w:highlight w:val="none"/>
                <w:u w:val="single"/>
              </w:rPr>
              <w:t>施工期固废污染源分析</w:t>
            </w:r>
          </w:p>
          <w:p w14:paraId="44C4D451">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施工期产生的固废主要为</w:t>
            </w:r>
            <w:r>
              <w:rPr>
                <w:rFonts w:hint="default" w:ascii="Times New Roman" w:hAnsi="Times New Roman" w:cs="Times New Roman"/>
                <w:color w:val="auto"/>
                <w:highlight w:val="none"/>
                <w:u w:val="single"/>
              </w:rPr>
              <w:t>表土剥离过程中产生的弃土</w:t>
            </w:r>
            <w:r>
              <w:rPr>
                <w:rFonts w:hint="eastAsia" w:ascii="Times New Roman" w:hAnsi="Times New Roman" w:cs="Times New Roman"/>
                <w:color w:val="auto"/>
                <w:highlight w:val="none"/>
                <w:u w:val="single"/>
                <w:lang w:eastAsia="zh-CN"/>
              </w:rPr>
              <w:t>、</w:t>
            </w:r>
            <w:r>
              <w:rPr>
                <w:rFonts w:hint="eastAsia" w:ascii="Times New Roman" w:hAnsi="Times New Roman" w:eastAsia="宋体" w:cs="Times New Roman"/>
                <w:color w:val="auto"/>
                <w:sz w:val="24"/>
                <w:szCs w:val="24"/>
                <w:u w:val="single"/>
                <w:lang w:val="en-US" w:eastAsia="zh-CN"/>
              </w:rPr>
              <w:t>旧设备维修产生的废机油、废含油抹布</w:t>
            </w:r>
            <w:r>
              <w:rPr>
                <w:rFonts w:hint="eastAsia" w:ascii="Times New Roman" w:hAnsi="Times New Roman" w:eastAsia="宋体" w:cs="Times New Roman"/>
                <w:color w:val="auto"/>
                <w:sz w:val="24"/>
                <w:highlight w:val="none"/>
                <w:u w:val="single"/>
                <w:lang w:val="en-US" w:eastAsia="zh-CN"/>
              </w:rPr>
              <w:t>以及施工人员的生活垃圾。</w:t>
            </w:r>
          </w:p>
          <w:p w14:paraId="0625DE5C">
            <w:pPr>
              <w:ind w:firstLine="480"/>
              <w:rPr>
                <w:rFonts w:hint="default" w:ascii="Times New Roman" w:hAnsi="Times New Roman" w:cs="Times New Roman"/>
                <w:color w:val="auto"/>
                <w:highlight w:val="none"/>
              </w:rPr>
            </w:pPr>
            <w:r>
              <w:rPr>
                <w:rFonts w:hint="eastAsia" w:ascii="Times New Roman" w:hAnsi="Times New Roman" w:eastAsia="宋体" w:cs="Times New Roman"/>
                <w:color w:val="auto"/>
                <w:sz w:val="24"/>
                <w:highlight w:val="none"/>
                <w:u w:val="single"/>
                <w:lang w:val="en-US" w:eastAsia="zh-CN"/>
              </w:rPr>
              <w:t>本项目</w:t>
            </w:r>
            <w:r>
              <w:rPr>
                <w:rFonts w:hint="default" w:ascii="Times New Roman" w:hAnsi="Times New Roman" w:cs="Times New Roman"/>
                <w:color w:val="auto"/>
                <w:highlight w:val="none"/>
                <w:u w:val="single"/>
              </w:rPr>
              <w:t>表土剥离过程中产生的弃土</w:t>
            </w:r>
            <w:r>
              <w:rPr>
                <w:rFonts w:hint="eastAsia" w:ascii="Times New Roman" w:hAnsi="Times New Roman" w:eastAsia="宋体" w:cs="Times New Roman"/>
                <w:color w:val="auto"/>
                <w:sz w:val="24"/>
                <w:highlight w:val="none"/>
                <w:u w:val="single"/>
                <w:lang w:val="en-US" w:eastAsia="zh-CN"/>
              </w:rPr>
              <w:t>堆放于排土场，用于复垦；</w:t>
            </w:r>
            <w:r>
              <w:rPr>
                <w:rFonts w:hint="eastAsia" w:ascii="Times New Roman" w:hAnsi="Times New Roman" w:eastAsia="宋体" w:cs="Times New Roman"/>
                <w:color w:val="auto"/>
                <w:sz w:val="24"/>
                <w:szCs w:val="24"/>
                <w:u w:val="single"/>
                <w:lang w:val="en-US" w:eastAsia="zh-CN"/>
              </w:rPr>
              <w:t>旧设备维修产生的废机油、废含油抹布收集后暂存于危废暂存间，交由有资质单位处理；</w:t>
            </w:r>
            <w:r>
              <w:rPr>
                <w:rFonts w:hint="eastAsia" w:ascii="Times New Roman" w:hAnsi="Times New Roman" w:eastAsia="宋体" w:cs="Times New Roman"/>
                <w:color w:val="auto"/>
                <w:sz w:val="24"/>
                <w:highlight w:val="none"/>
                <w:u w:val="single"/>
                <w:lang w:val="en-US" w:eastAsia="zh-CN"/>
              </w:rPr>
              <w:t>施工人员生活垃圾收集至垃圾箱后，由专人清运至当地垃圾集中收集点。</w:t>
            </w:r>
          </w:p>
          <w:p w14:paraId="1F68EB0C">
            <w:pPr>
              <w:ind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cs="Times New Roman"/>
                <w:color w:val="auto"/>
                <w:highlight w:val="none"/>
                <w:lang w:eastAsia="zh-CN"/>
              </w:rPr>
              <w:t>）</w:t>
            </w:r>
            <w:r>
              <w:rPr>
                <w:rFonts w:hint="default" w:ascii="Times New Roman" w:hAnsi="Times New Roman" w:cs="Times New Roman"/>
                <w:color w:val="auto"/>
                <w:highlight w:val="none"/>
              </w:rPr>
              <w:t>施工期生态影响分析</w:t>
            </w:r>
          </w:p>
          <w:p w14:paraId="7FAF6128">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施工期对生态环境的影响主要体现在破坏地表植被、加剧水土流失等方面。</w:t>
            </w:r>
          </w:p>
          <w:p w14:paraId="6B66061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①对土地资源的影响</w:t>
            </w:r>
          </w:p>
          <w:p w14:paraId="129237C8">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施工期对土地资源的影响主要表现在占用土地资源方面。矿山的</w:t>
            </w:r>
            <w:r>
              <w:rPr>
                <w:rFonts w:hint="eastAsia" w:cs="Times New Roman"/>
                <w:color w:val="auto"/>
                <w:highlight w:val="none"/>
                <w:u w:val="single"/>
                <w:lang w:val="en-US" w:eastAsia="zh-CN"/>
              </w:rPr>
              <w:t>开采</w:t>
            </w:r>
            <w:r>
              <w:rPr>
                <w:rFonts w:hint="default" w:ascii="Times New Roman" w:hAnsi="Times New Roman" w:cs="Times New Roman"/>
                <w:color w:val="auto"/>
                <w:highlight w:val="none"/>
                <w:u w:val="single"/>
              </w:rPr>
              <w:t>会造成水土流失加剧，如遇长时间的强暴雨时则有可能出现山体滑坡。</w:t>
            </w:r>
          </w:p>
          <w:p w14:paraId="69408AA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②对植物和植被的影响</w:t>
            </w:r>
          </w:p>
          <w:p w14:paraId="3D05C87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施工期植被破坏主要表现为矿山</w:t>
            </w:r>
            <w:r>
              <w:rPr>
                <w:rFonts w:hint="eastAsia" w:cs="Times New Roman"/>
                <w:color w:val="auto"/>
                <w:highlight w:val="none"/>
                <w:u w:val="single"/>
                <w:lang w:val="en-US" w:eastAsia="zh-CN"/>
              </w:rPr>
              <w:t>表面</w:t>
            </w:r>
            <w:r>
              <w:rPr>
                <w:rFonts w:hint="default" w:ascii="Times New Roman" w:hAnsi="Times New Roman" w:cs="Times New Roman"/>
                <w:color w:val="auto"/>
                <w:highlight w:val="none"/>
                <w:u w:val="single"/>
              </w:rPr>
              <w:t>的</w:t>
            </w:r>
            <w:r>
              <w:rPr>
                <w:rFonts w:hint="eastAsia" w:cs="Times New Roman"/>
                <w:color w:val="auto"/>
                <w:highlight w:val="none"/>
                <w:u w:val="single"/>
                <w:lang w:val="en-US" w:eastAsia="zh-CN"/>
              </w:rPr>
              <w:t>原始植被</w:t>
            </w:r>
            <w:r>
              <w:rPr>
                <w:rFonts w:hint="default" w:ascii="Times New Roman" w:hAnsi="Times New Roman" w:cs="Times New Roman"/>
                <w:color w:val="auto"/>
                <w:highlight w:val="none"/>
                <w:u w:val="single"/>
              </w:rPr>
              <w:t>挖损破坏，以及</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等场地设施的压占破坏。</w:t>
            </w:r>
          </w:p>
          <w:p w14:paraId="62324BF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施工期工程永久占地和临时占地通过对地表植被的清除，均会对植被产生影响。永久占地改变土地利用方式，造成原有植被生态功能丧失，为直接的、不可逆的影响。临时占地通过对地表植被的清除，以及材料、弃土等的堆积导致原有植被的死亡，造成植被生物量损失，但经植被恢复后可逐渐恢复原貌。</w:t>
            </w:r>
          </w:p>
          <w:p w14:paraId="1913722A">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2）从占用植被的重要性来看，工程主要占用采矿用地，对评价区植物物种多样性影响不大。此外，永久占地植被可通过工程本身绿化得到一定程度的补偿，临时用地植被通过后期用地绿化等措施可逐渐恢复。</w:t>
            </w:r>
          </w:p>
          <w:p w14:paraId="6A4F0EE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综上所述，项目建设占地及施工行为不可避免对评价区植被造成一定破坏，但项目所在区域为人类开发活动频繁区，占用植被以灌木丛为主。因此， 项目建设对评价区植物物种多样性影响不大，不会导致评价区植物物种多样性的降低。</w:t>
            </w:r>
          </w:p>
          <w:p w14:paraId="449338C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项目区属于亚热带湿润季风气候区，自然环境稳定，适合植物的生长。 永久占地可以通过绿化得到一定的补偿，临时占地是临时性的，占用后经植被恢复可以得到很大程度的补偿。</w:t>
            </w:r>
          </w:p>
          <w:p w14:paraId="3B5A368A">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根据现场踏勘资料收集和咨询当地相关部门，项目周边无自然保护区、风景名胜区、地质公园、文物古迹和文化遗产地等特殊及重要生态敏感区分布。项目区域不涉及基本农田。</w:t>
            </w:r>
          </w:p>
          <w:p w14:paraId="3BFBAEB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工程占用植被均为常见物种，不属于具有生态学意义上的保护价值的重要植被类型，占用植被环境服务能力低，且有极强的恢复能力，对区域植被的稳定性和环境服务能力影响的范围较小、程度不大，不会导致区域植被类型消失。</w:t>
            </w:r>
          </w:p>
          <w:p w14:paraId="0172E33E">
            <w:pPr>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u w:val="single"/>
              </w:rPr>
              <w:t>综上所述，项目建设不对该资源造成影响。</w:t>
            </w:r>
          </w:p>
          <w:p w14:paraId="7B28FE1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③对动物的影响</w:t>
            </w:r>
          </w:p>
          <w:p w14:paraId="29C3EDCA">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根据生态现状调查，项目评价区无野生重点保护动物的天然集中生境（栖息地）分布，不</w:t>
            </w:r>
            <w:r>
              <w:rPr>
                <w:rFonts w:hint="eastAsia" w:cs="Times New Roman"/>
                <w:color w:val="auto"/>
                <w:highlight w:val="none"/>
                <w:u w:val="single"/>
                <w:lang w:eastAsia="zh-CN"/>
              </w:rPr>
              <w:t>属于</w:t>
            </w:r>
            <w:r>
              <w:rPr>
                <w:rFonts w:hint="default" w:ascii="Times New Roman" w:hAnsi="Times New Roman" w:cs="Times New Roman"/>
                <w:color w:val="auto"/>
                <w:highlight w:val="none"/>
                <w:u w:val="single"/>
              </w:rPr>
              <w:t>野生动物集中分布区，无大型哺乳类动物通道分布。 该区域生动物现存数量不多， 动物种类组成比较简单，均为小型常见种类， 相对常见的多为已适应人类活动影响的常见物种如哺乳类动物主要为田鼠， 两栖类青蛙、蟾蜍等，爬行类主要为蛇类等，如水蛇、田鼠等。</w:t>
            </w:r>
          </w:p>
          <w:p w14:paraId="53D4857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工程施工期间施工占地和施工行为对动物的影响表现为生境的占用、 生境破坏和活动的干扰，施工活动车辆和人群往来所带来的各种噪声，对生活在周围地区的动物会产生不利影响。预计在施工期间，附近的部分动物因不能忍受噪声干扰而向远离施工区的方向迁移，这对动物分布产生一定影响，从而使施工区四周地带动物种类和数量减少，使区域动物多样性降低。 但周边地区相同生境较多，动物可迁往附近未受干扰区域，这种不利影响是暂时的，一旦施工结束，大部分地段可以恢复到原来分布状况。</w:t>
            </w:r>
          </w:p>
          <w:p w14:paraId="6E0EA4F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④对农林业影响分析</w:t>
            </w:r>
          </w:p>
          <w:p w14:paraId="2BF6C53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1）粉尘对农作物生长的影响</w:t>
            </w:r>
          </w:p>
          <w:p w14:paraId="01BBAD9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施工过程中产生的扬尘落到农作物的叶片上，聚集到一定厚度时将影响其光合作用，特别是在农作物的扬花期，将会影响到农作物的品质和产量，但项目所在地为多雨地区，遇降雨即把叶片上的尘土冲洗掉，因此，扬尘的影响主要在旱季。</w:t>
            </w:r>
          </w:p>
          <w:p w14:paraId="3601C224">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2）水土流失对农田的影响</w:t>
            </w:r>
          </w:p>
          <w:p w14:paraId="125483C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施工所产生的水土流失对农田的影响主要为水土流失中夹带的泥沙中细小的部分会随水流淌，以“黄泥水”的形式进入农田，从而对农田产生不良影响。项目拟对矿界建设截排水沟，将地表径流引至沉淀池集中处理，作为矿区的除尘用水，故项目施工期不会导致</w:t>
            </w:r>
            <w:r>
              <w:rPr>
                <w:rFonts w:hint="eastAsia" w:cs="Times New Roman"/>
                <w:color w:val="auto"/>
                <w:highlight w:val="none"/>
                <w:u w:val="single"/>
                <w:lang w:val="en-US" w:eastAsia="zh-CN"/>
              </w:rPr>
              <w:t>周边</w:t>
            </w:r>
            <w:r>
              <w:rPr>
                <w:rFonts w:hint="default" w:ascii="Times New Roman" w:hAnsi="Times New Roman" w:cs="Times New Roman"/>
                <w:color w:val="auto"/>
                <w:highlight w:val="none"/>
                <w:u w:val="single"/>
              </w:rPr>
              <w:t>的农林业生产功能丧失。</w:t>
            </w:r>
          </w:p>
          <w:p w14:paraId="463DE84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⑤对自然生态完整性的影响分析</w:t>
            </w:r>
          </w:p>
          <w:p w14:paraId="2F5803A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1）自然体系生产能力变化分析</w:t>
            </w:r>
          </w:p>
          <w:p w14:paraId="0948307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项目施工期占用评价区植被比例较小，对区域生态系统生产能力的影响是轻微的，临时占地的生态恢复可以得到一定的补偿，其影响程度是区域生态系统可以承受的。</w:t>
            </w:r>
          </w:p>
          <w:p w14:paraId="046C684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2）生态系统稳定性的变化分析</w:t>
            </w:r>
          </w:p>
          <w:p w14:paraId="4775F56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评价区生态系统的稳定性由景观的恢复能力和景观的异质状况分析判定</w:t>
            </w:r>
          </w:p>
          <w:p w14:paraId="7E31F87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——景观的生物恢复力分析</w:t>
            </w:r>
          </w:p>
          <w:p w14:paraId="6B12EFF8">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施工期所所占用</w:t>
            </w:r>
            <w:r>
              <w:rPr>
                <w:rFonts w:hint="eastAsia" w:cs="Times New Roman"/>
                <w:color w:val="auto"/>
                <w:highlight w:val="none"/>
                <w:u w:val="single"/>
                <w:lang w:val="en-US" w:eastAsia="zh-CN"/>
              </w:rPr>
              <w:t>植被</w:t>
            </w:r>
            <w:r>
              <w:rPr>
                <w:rFonts w:hint="default" w:ascii="Times New Roman" w:hAnsi="Times New Roman" w:cs="Times New Roman"/>
                <w:color w:val="auto"/>
                <w:highlight w:val="none"/>
                <w:u w:val="single"/>
              </w:rPr>
              <w:t>以灌木丛为主。项目属亚热带季风气候，气候温和， 光热丰富，雨量充沛，有利于植物的生长。在良好的外界环境条件下以及工程本身实施生态恢复和补偿措施后，影响区的植被将具有较好的恢复能力， 与工程建设前相比，区域植被覆盖率以及植被的质量不会有明显的变化或降低。</w:t>
            </w:r>
          </w:p>
          <w:p w14:paraId="0074796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——景观的异质性评价</w:t>
            </w:r>
          </w:p>
          <w:p w14:paraId="1AD2970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现状调查表明，项目周边区域中树林、旱地、水田、暖热性灌草丛斑块数量较少，总体来看，景观异质性不高。项目施工期，景观斑块面积将会有少量的减少，但是斑块的数量变化不大，对区域景观异质性影响不大。</w:t>
            </w:r>
          </w:p>
          <w:p w14:paraId="1227E7B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⑥对区域自然生态完整性影响分析</w:t>
            </w:r>
          </w:p>
          <w:p w14:paraId="06C5615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项目施工期将导致施工区域植被被破坏，产生破碎化，降低生态的完整性。</w:t>
            </w:r>
          </w:p>
          <w:p w14:paraId="52345463">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项目为非污染性项目，工程的建设和实施不会改变生态系统外界的自然环境条件，对周边环境质量影响不大，对生态系统的组成、结构影响不大， 工程的实施对生态系统正常的物质循环、能量流动等生态过程没有影响，工程实施导致的生态功能损失有限。</w:t>
            </w:r>
          </w:p>
          <w:p w14:paraId="23AF30D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总体来看，项目的建设期对局部植物群落的完整性造成一定的破坏，但是对区域生态系统完整性影响很小。</w:t>
            </w:r>
          </w:p>
          <w:p w14:paraId="1130801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u w:val="single"/>
              </w:rPr>
              <w:t>综上所述，项目施工期的影响是短时间的，随着施工结束而停止，在合理安排作业时间，加强施工管理，认真落实基建期污染防治措施的情况下， 项目施工对环境影响可有效控制在施工区及附近小范围内，对区域总体环境的影响较小。</w:t>
            </w:r>
          </w:p>
        </w:tc>
      </w:tr>
      <w:tr w14:paraId="78CE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6" w:hRule="atLeast"/>
        </w:trPr>
        <w:tc>
          <w:tcPr>
            <w:tcW w:w="959" w:type="dxa"/>
            <w:vAlign w:val="center"/>
          </w:tcPr>
          <w:p w14:paraId="6F7DA404">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bCs/>
                <w:color w:val="auto"/>
                <w:szCs w:val="24"/>
                <w:highlight w:val="none"/>
              </w:rPr>
              <w:t>运营期生态环境影响分析</w:t>
            </w:r>
          </w:p>
        </w:tc>
        <w:tc>
          <w:tcPr>
            <w:tcW w:w="8101" w:type="dxa"/>
          </w:tcPr>
          <w:p w14:paraId="161DF70E">
            <w:pPr>
              <w:spacing w:line="276" w:lineRule="auto"/>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1、生态环境影响分析</w:t>
            </w:r>
          </w:p>
          <w:p w14:paraId="4AFC8D98">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（1）土地占用影响</w:t>
            </w:r>
          </w:p>
          <w:p w14:paraId="78B3A242">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highlight w:val="none"/>
                <w:u w:val="single"/>
              </w:rPr>
              <w:t>土地占用影响包括地形地貌影响和土地使用功能影响。项目矿山开采标高</w:t>
            </w:r>
            <w:r>
              <w:rPr>
                <w:rFonts w:hint="eastAsia" w:cs="Times New Roman"/>
                <w:color w:val="auto"/>
                <w:kern w:val="0"/>
                <w:szCs w:val="24"/>
                <w:highlight w:val="none"/>
                <w:u w:val="single"/>
                <w:lang w:eastAsia="zh-CN"/>
              </w:rPr>
              <w:t>+198～+110</w:t>
            </w:r>
            <w:r>
              <w:rPr>
                <w:rFonts w:hint="default" w:ascii="Times New Roman" w:hAnsi="Times New Roman" w:cs="Times New Roman"/>
                <w:color w:val="auto"/>
                <w:kern w:val="0"/>
                <w:szCs w:val="24"/>
                <w:highlight w:val="none"/>
                <w:u w:val="single"/>
              </w:rPr>
              <w:t>m，矿山开采后形成采坑，原有地形地貌结构发生改变。矿山开采结束后对采区覆土并进行生态修复，通过矿山生态保护修复后形成新的地形地貌，不会有较大的影响。综上所述，项目矿山进行生态修复治理后土地占用影响在可接受范围内。</w:t>
            </w:r>
          </w:p>
          <w:p w14:paraId="61EDBF6A">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kern w:val="0"/>
                <w:szCs w:val="24"/>
                <w:highlight w:val="none"/>
                <w:u w:val="single"/>
              </w:rPr>
              <w:t>（2）陆生植物影响</w:t>
            </w:r>
          </w:p>
          <w:p w14:paraId="2365EBF8">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kern w:val="0"/>
                <w:szCs w:val="24"/>
                <w:highlight w:val="none"/>
                <w:u w:val="single"/>
              </w:rPr>
              <w:t>项目矿山</w:t>
            </w:r>
            <w:r>
              <w:rPr>
                <w:rFonts w:hint="eastAsia" w:cs="Times New Roman"/>
                <w:color w:val="auto"/>
                <w:kern w:val="0"/>
                <w:szCs w:val="24"/>
                <w:highlight w:val="none"/>
                <w:u w:val="single"/>
                <w:lang w:val="en-US" w:eastAsia="zh-CN"/>
              </w:rPr>
              <w:t>0.2578km</w:t>
            </w:r>
            <w:r>
              <w:rPr>
                <w:rFonts w:hint="eastAsia" w:cs="Times New Roman"/>
                <w:color w:val="auto"/>
                <w:kern w:val="0"/>
                <w:szCs w:val="24"/>
                <w:highlight w:val="none"/>
                <w:u w:val="single"/>
                <w:vertAlign w:val="superscript"/>
                <w:lang w:val="en-US" w:eastAsia="zh-CN"/>
              </w:rPr>
              <w:t>2</w:t>
            </w:r>
            <w:r>
              <w:rPr>
                <w:rFonts w:hint="default" w:ascii="Times New Roman" w:hAnsi="Times New Roman" w:cs="Times New Roman"/>
                <w:color w:val="auto"/>
                <w:kern w:val="0"/>
                <w:szCs w:val="24"/>
                <w:highlight w:val="none"/>
                <w:u w:val="single"/>
              </w:rPr>
              <w:t>，矿区范围内分布植被主要为灌木、灌草类植物。矿山开采过程中矿区内植被面积逐渐减少，山体裸露面积不断增加，直至全部随表土被剥离。项目矿山按照“边开采、边修复”原则进行矿山修复，破坏的植被能够以另外一种形式得到恢复，矿山开采过程中裸露山体始终能够维持动态平衡。矿山开采完毕后根据矿区优势植被分布情况，植物种草乔木树种设计选用构树、盐肤木等树种，台阶坡脚栽种爬藤，如常春藤、五叶地棉或紫藤，撒播草籽选择狗尾草等。综上所述，项目矿山通过生态修复后矿区植被能够得到良好恢复，项目矿山开采不会对陆生植物造成较大影响。</w:t>
            </w:r>
          </w:p>
          <w:p w14:paraId="76F30488">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kern w:val="0"/>
                <w:szCs w:val="24"/>
                <w:highlight w:val="none"/>
                <w:u w:val="single"/>
              </w:rPr>
              <w:t>（3）陆生动物影响</w:t>
            </w:r>
          </w:p>
          <w:p w14:paraId="6D80C405">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kern w:val="0"/>
                <w:szCs w:val="24"/>
                <w:highlight w:val="none"/>
                <w:u w:val="single"/>
              </w:rPr>
              <w:t>项目矿山范围内及周边无国家重点保护野生动物，常见野生动物为鼠、蛙、蛇、鸟类，家禽主要为鸡、鸭、牛、羊等。项目矿山开采对陆生动物主要有三个影响方面。</w:t>
            </w:r>
          </w:p>
          <w:p w14:paraId="7B3FC27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矿山开采剥离表土及植被使野生动物散失栖息地和觅食地，家禽牛、羊减少放牧地，导致野生动物由此不得不向周边迁移，家禽另寻放牧地。但好在项目矿区内野生动物均为常见物种，且矿区动物生境与周边环境相似，野生动物向四周逃遁不会遭遇阻力，家禽放牧地容易得到替代。</w:t>
            </w:r>
          </w:p>
          <w:p w14:paraId="3001409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由于矿山开采期间生产活动及运输车辆产生各种噪声，对周边野生动物产生不利影响，部分野生动物无法忍受噪声干扰向原理矿区方向迁移，导致矿区四周野生动物种类及数量降低。但由于矿区周边类似生境分布广泛，野生动物迁移能够很快适应新环境。</w:t>
            </w:r>
          </w:p>
          <w:p w14:paraId="04920FC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③矿山开采期间人类活动进一步频繁，对周边野生动物骚扰加剧。且这种影响往往需要较长时间才能恢复，甚至是不可逆影响。对于这种影响必须防患于未然，采取强有力的保护措施，将影响程度降至最低。</w:t>
            </w:r>
          </w:p>
          <w:p w14:paraId="282B3B2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综上所述，项目矿山开采对陆生动物不会产生较大影响，但人为因素可能对野生动物影响较大，需采取必要的措施降低人为因素对野生动物产生的影响。</w:t>
            </w:r>
          </w:p>
          <w:p w14:paraId="7CD8F4B3">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（4）区域生物多样性</w:t>
            </w:r>
          </w:p>
          <w:p w14:paraId="5B9C7076">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highlight w:val="none"/>
                <w:u w:val="single"/>
              </w:rPr>
              <w:t>物种多样性是构成生态系统多样性的基础，也是使生态系统趋于稳定的重要因素。项目矿区范围所占土地使用类型为采矿用地，植被物种均为自然植被和区域常见、分布广泛物种，组成结构较为简单，矿区植被在矿区周边均有分布。区域野生动物数量较少，无国家重点保护野生动物，仅有</w:t>
            </w:r>
            <w:r>
              <w:rPr>
                <w:rFonts w:hint="default" w:ascii="Times New Roman" w:hAnsi="Times New Roman" w:cs="Times New Roman"/>
                <w:color w:val="auto"/>
                <w:kern w:val="0"/>
                <w:szCs w:val="24"/>
                <w:highlight w:val="none"/>
                <w:u w:val="single"/>
              </w:rPr>
              <w:t>鼠、蛙、蛇、鸟类等常见动物。项目矿区开采影响范围有限，不会造成区域动植物生境发生重大变化，对区域动植物物种组成及结构影响较小。</w:t>
            </w:r>
          </w:p>
          <w:p w14:paraId="7B861F89">
            <w:pPr>
              <w:ind w:firstLine="480"/>
              <w:rPr>
                <w:rFonts w:hint="default" w:ascii="Times New Roman" w:hAnsi="Times New Roman" w:cs="Times New Roman"/>
                <w:color w:val="auto"/>
                <w:szCs w:val="24"/>
                <w:highlight w:val="none"/>
                <w:u w:val="single"/>
              </w:rPr>
            </w:pPr>
            <w:r>
              <w:rPr>
                <w:rFonts w:hint="eastAsia" w:cs="Times New Roman"/>
                <w:color w:val="auto"/>
                <w:szCs w:val="24"/>
                <w:highlight w:val="none"/>
                <w:u w:val="single"/>
                <w:lang w:val="en-US" w:eastAsia="zh-CN"/>
              </w:rPr>
              <w:t>本项目</w:t>
            </w:r>
            <w:r>
              <w:rPr>
                <w:rFonts w:hint="default" w:ascii="Times New Roman" w:hAnsi="Times New Roman" w:cs="Times New Roman"/>
                <w:color w:val="auto"/>
                <w:szCs w:val="24"/>
                <w:highlight w:val="none"/>
                <w:u w:val="single"/>
              </w:rPr>
              <w:t>矿区灰岩矿周边无自然保护区、风机名胜区等重点生态敏感区，区域生态环境敏感程度一般。项目矿山开采、矿石生产加工对矿区及周边动植物造成一定的影响，导致周边区域生物多样性略微下降，但由于项目矿山植被类型均为常见物种，且周边类似生境分布广泛，对动植物影响较小，区域多样性容易得到恢复。通过矿山生态修复，被破坏地表植被均可得到恢复，林地面积较矿山开采前不减少；矿山生态景观逐渐与周边自然景观融合，形成新的自然生态景观。综上分析认为，项目运营期间虽然会对区域生态环境造成影响，但通过有效的生态修复措施可减少影响，并将生态环境影响控制在可接受范围之内。</w:t>
            </w:r>
          </w:p>
          <w:p w14:paraId="7E15430D">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2、大气环境影响分析</w:t>
            </w:r>
          </w:p>
          <w:p w14:paraId="1B36AEC7">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（1）</w:t>
            </w:r>
            <w:r>
              <w:rPr>
                <w:rFonts w:hint="eastAsia" w:cs="Times New Roman"/>
                <w:color w:val="auto"/>
                <w:szCs w:val="24"/>
                <w:highlight w:val="none"/>
                <w:u w:val="single"/>
                <w:lang w:val="en-US" w:eastAsia="zh-CN"/>
              </w:rPr>
              <w:t>矿山</w:t>
            </w:r>
            <w:r>
              <w:rPr>
                <w:rFonts w:hint="default" w:ascii="Times New Roman" w:hAnsi="Times New Roman" w:cs="Times New Roman"/>
                <w:color w:val="auto"/>
                <w:szCs w:val="24"/>
                <w:highlight w:val="none"/>
                <w:u w:val="single"/>
              </w:rPr>
              <w:t>源强分析</w:t>
            </w:r>
          </w:p>
          <w:p w14:paraId="2725C20D">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项目矿山采用露天开采方式，产生的废气主要有表土剥离粉尘、</w:t>
            </w:r>
            <w:r>
              <w:rPr>
                <w:rFonts w:hint="eastAsia" w:cs="Times New Roman"/>
                <w:color w:val="auto"/>
                <w:szCs w:val="24"/>
                <w:highlight w:val="none"/>
                <w:u w:val="single"/>
                <w:lang w:val="en-US" w:eastAsia="zh-CN"/>
              </w:rPr>
              <w:t>开采</w:t>
            </w:r>
            <w:r>
              <w:rPr>
                <w:rFonts w:hint="default" w:ascii="Times New Roman" w:hAnsi="Times New Roman" w:cs="Times New Roman"/>
                <w:color w:val="auto"/>
                <w:szCs w:val="24"/>
                <w:highlight w:val="none"/>
                <w:u w:val="single"/>
              </w:rPr>
              <w:t>粉尘</w:t>
            </w:r>
            <w:r>
              <w:rPr>
                <w:rFonts w:hint="eastAsia" w:cs="Times New Roman"/>
                <w:color w:val="auto"/>
                <w:szCs w:val="24"/>
                <w:highlight w:val="none"/>
                <w:u w:val="single"/>
                <w:lang w:val="en-US" w:eastAsia="zh-CN"/>
              </w:rPr>
              <w:t>及废气</w:t>
            </w:r>
            <w:r>
              <w:rPr>
                <w:rFonts w:hint="default" w:ascii="Times New Roman" w:hAnsi="Times New Roman" w:cs="Times New Roman"/>
                <w:color w:val="auto"/>
                <w:szCs w:val="24"/>
                <w:highlight w:val="none"/>
                <w:u w:val="single"/>
              </w:rPr>
              <w:t>、</w:t>
            </w:r>
            <w:r>
              <w:rPr>
                <w:rFonts w:hint="eastAsia" w:cs="Times New Roman"/>
                <w:color w:val="auto"/>
                <w:szCs w:val="24"/>
                <w:highlight w:val="none"/>
                <w:u w:val="single"/>
                <w:lang w:val="en-US" w:eastAsia="zh-CN"/>
              </w:rPr>
              <w:t>破碎锤破碎粉尘、</w:t>
            </w:r>
            <w:r>
              <w:rPr>
                <w:rFonts w:hint="default" w:ascii="Times New Roman" w:hAnsi="Times New Roman" w:cs="Times New Roman"/>
                <w:color w:val="auto"/>
                <w:szCs w:val="24"/>
                <w:highlight w:val="none"/>
                <w:u w:val="single"/>
              </w:rPr>
              <w:t>矿石运输扬尘以及</w:t>
            </w:r>
            <w:r>
              <w:rPr>
                <w:rFonts w:hint="eastAsia" w:cs="Times New Roman"/>
                <w:color w:val="auto"/>
                <w:szCs w:val="24"/>
                <w:highlight w:val="none"/>
                <w:u w:val="single"/>
                <w:lang w:eastAsia="zh-CN"/>
              </w:rPr>
              <w:t>排土场</w:t>
            </w:r>
            <w:r>
              <w:rPr>
                <w:rFonts w:hint="default" w:ascii="Times New Roman" w:hAnsi="Times New Roman" w:cs="Times New Roman"/>
                <w:color w:val="auto"/>
                <w:szCs w:val="24"/>
                <w:highlight w:val="none"/>
                <w:u w:val="single"/>
              </w:rPr>
              <w:t>扬尘，此外，还有开采机械产生的燃油废气。</w:t>
            </w:r>
          </w:p>
          <w:p w14:paraId="16EC7493">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①表土剥离粉尘</w:t>
            </w:r>
          </w:p>
          <w:p w14:paraId="28519514">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根据《</w:t>
            </w:r>
            <w:r>
              <w:rPr>
                <w:rFonts w:hint="eastAsia" w:cs="Times New Roman"/>
                <w:color w:val="auto"/>
                <w:szCs w:val="24"/>
                <w:highlight w:val="none"/>
                <w:u w:val="single"/>
                <w:lang w:eastAsia="zh-CN"/>
              </w:rPr>
              <w:t>湖南省澧县屠夫垭矿区建筑石料用灰岩矿</w:t>
            </w:r>
            <w:r>
              <w:rPr>
                <w:rFonts w:hint="default" w:ascii="Times New Roman" w:hAnsi="Times New Roman" w:cs="Times New Roman"/>
                <w:color w:val="auto"/>
                <w:szCs w:val="24"/>
                <w:highlight w:val="none"/>
                <w:u w:val="single"/>
              </w:rPr>
              <w:t>资源开发利用方案》，项目矿山剥离表土总量</w:t>
            </w:r>
            <w:r>
              <w:rPr>
                <w:rFonts w:hint="eastAsia" w:cs="Times New Roman"/>
                <w:color w:val="auto"/>
                <w:szCs w:val="24"/>
                <w:highlight w:val="none"/>
                <w:u w:val="single"/>
                <w:lang w:val="en-US" w:eastAsia="zh-CN"/>
              </w:rPr>
              <w:t>为21.1万</w:t>
            </w:r>
            <w:r>
              <w:rPr>
                <w:rFonts w:hint="default" w:ascii="Times New Roman" w:hAnsi="Times New Roman" w:cs="Times New Roman"/>
                <w:color w:val="auto"/>
                <w:szCs w:val="24"/>
                <w:highlight w:val="none"/>
                <w:u w:val="single"/>
              </w:rPr>
              <w:t>m</w:t>
            </w:r>
            <w:r>
              <w:rPr>
                <w:rFonts w:hint="default" w:ascii="Times New Roman" w:hAnsi="Times New Roman" w:cs="Times New Roman"/>
                <w:color w:val="auto"/>
                <w:szCs w:val="24"/>
                <w:highlight w:val="none"/>
                <w:u w:val="single"/>
                <w:vertAlign w:val="superscript"/>
              </w:rPr>
              <w:t>3</w:t>
            </w:r>
            <w:r>
              <w:rPr>
                <w:rFonts w:hint="default" w:ascii="Times New Roman" w:hAnsi="Times New Roman" w:cs="Times New Roman"/>
                <w:color w:val="auto"/>
                <w:szCs w:val="24"/>
                <w:highlight w:val="none"/>
                <w:u w:val="single"/>
              </w:rPr>
              <w:t>，</w:t>
            </w:r>
            <w:r>
              <w:rPr>
                <w:rFonts w:hint="eastAsia" w:cs="Times New Roman"/>
                <w:color w:val="auto"/>
                <w:szCs w:val="24"/>
                <w:highlight w:val="none"/>
                <w:u w:val="single"/>
                <w:lang w:val="en-US" w:eastAsia="zh-CN"/>
              </w:rPr>
              <w:t>开采年限为17.9年，则</w:t>
            </w:r>
            <w:r>
              <w:rPr>
                <w:rFonts w:hint="default" w:ascii="Times New Roman" w:hAnsi="Times New Roman" w:cs="Times New Roman"/>
                <w:color w:val="auto"/>
                <w:szCs w:val="24"/>
                <w:highlight w:val="none"/>
                <w:u w:val="single"/>
              </w:rPr>
              <w:t>年剥离表土总量</w:t>
            </w:r>
            <w:r>
              <w:rPr>
                <w:rFonts w:hint="eastAsia" w:cs="Times New Roman"/>
                <w:color w:val="auto"/>
                <w:szCs w:val="24"/>
                <w:highlight w:val="none"/>
                <w:u w:val="single"/>
                <w:lang w:val="en-US" w:eastAsia="zh-CN"/>
              </w:rPr>
              <w:t>11787.709</w:t>
            </w:r>
            <w:r>
              <w:rPr>
                <w:rFonts w:hint="default" w:ascii="Times New Roman" w:hAnsi="Times New Roman" w:cs="Times New Roman"/>
                <w:color w:val="auto"/>
                <w:szCs w:val="24"/>
                <w:highlight w:val="none"/>
                <w:u w:val="single"/>
              </w:rPr>
              <w:t>m</w:t>
            </w:r>
            <w:r>
              <w:rPr>
                <w:rFonts w:hint="default" w:ascii="Times New Roman" w:hAnsi="Times New Roman" w:cs="Times New Roman"/>
                <w:color w:val="auto"/>
                <w:szCs w:val="24"/>
                <w:highlight w:val="none"/>
                <w:u w:val="single"/>
                <w:vertAlign w:val="superscript"/>
              </w:rPr>
              <w:t>3</w:t>
            </w:r>
            <w:r>
              <w:rPr>
                <w:rFonts w:hint="default" w:ascii="Times New Roman" w:hAnsi="Times New Roman" w:cs="Times New Roman"/>
                <w:color w:val="auto"/>
                <w:szCs w:val="24"/>
                <w:highlight w:val="none"/>
                <w:u w:val="single"/>
              </w:rPr>
              <w:t>。类比相关石料经验计算，表土剥离起尘系数为10g/m</w:t>
            </w:r>
            <w:r>
              <w:rPr>
                <w:rFonts w:hint="default" w:ascii="Times New Roman" w:hAnsi="Times New Roman" w:cs="Times New Roman"/>
                <w:color w:val="auto"/>
                <w:szCs w:val="24"/>
                <w:highlight w:val="none"/>
                <w:u w:val="single"/>
                <w:vertAlign w:val="superscript"/>
              </w:rPr>
              <w:t>3</w:t>
            </w:r>
            <w:r>
              <w:rPr>
                <w:rFonts w:hint="default" w:ascii="Times New Roman" w:hAnsi="Times New Roman" w:cs="Times New Roman"/>
                <w:color w:val="auto"/>
                <w:szCs w:val="24"/>
                <w:highlight w:val="none"/>
                <w:u w:val="single"/>
              </w:rPr>
              <w:t>；则项目矿山表土剥离粉尘产生量为</w:t>
            </w:r>
            <w:r>
              <w:rPr>
                <w:rFonts w:hint="eastAsia" w:cs="Times New Roman"/>
                <w:color w:val="auto"/>
                <w:szCs w:val="24"/>
                <w:highlight w:val="none"/>
                <w:u w:val="single"/>
                <w:lang w:val="en-US" w:eastAsia="zh-CN"/>
              </w:rPr>
              <w:t>0.118</w:t>
            </w:r>
            <w:r>
              <w:rPr>
                <w:rFonts w:hint="default" w:ascii="Times New Roman" w:hAnsi="Times New Roman" w:cs="Times New Roman"/>
                <w:color w:val="auto"/>
                <w:szCs w:val="24"/>
                <w:highlight w:val="none"/>
                <w:u w:val="single"/>
              </w:rPr>
              <w:t>t/a。项目拟在表土剥离前洒水，增加表土含水率，降低起尘量；参照《矿用自动洒水降尘装置的发展和应用》（杨亮，国家煤矿防尘通风安全茶农质量监督检验中心）可知，该措施粉尘处理效率可达90%以上，则项目矿山表土剥离粉尘排放量为</w:t>
            </w:r>
            <w:r>
              <w:rPr>
                <w:rFonts w:hint="eastAsia" w:cs="Times New Roman"/>
                <w:color w:val="auto"/>
                <w:szCs w:val="24"/>
                <w:highlight w:val="none"/>
                <w:u w:val="single"/>
                <w:lang w:val="en-US" w:eastAsia="zh-CN"/>
              </w:rPr>
              <w:t>0.012</w:t>
            </w:r>
            <w:r>
              <w:rPr>
                <w:rFonts w:hint="default" w:ascii="Times New Roman" w:hAnsi="Times New Roman" w:cs="Times New Roman"/>
                <w:color w:val="auto"/>
                <w:szCs w:val="24"/>
                <w:highlight w:val="none"/>
                <w:u w:val="single"/>
              </w:rPr>
              <w:t>t/a。</w:t>
            </w:r>
          </w:p>
          <w:p w14:paraId="63D2AC0E">
            <w:pPr>
              <w:ind w:firstLine="480"/>
              <w:rPr>
                <w:rFonts w:hint="default" w:ascii="Times New Roman" w:hAnsi="Times New Roman" w:eastAsia="宋体" w:cs="Times New Roman"/>
                <w:color w:val="auto"/>
                <w:szCs w:val="24"/>
                <w:highlight w:val="none"/>
                <w:u w:val="single"/>
                <w:lang w:val="en-US" w:eastAsia="zh-CN"/>
              </w:rPr>
            </w:pPr>
            <w:r>
              <w:rPr>
                <w:rFonts w:hint="default" w:ascii="Times New Roman" w:hAnsi="Times New Roman" w:cs="Times New Roman"/>
                <w:color w:val="auto"/>
                <w:szCs w:val="24"/>
                <w:highlight w:val="none"/>
                <w:u w:val="single"/>
              </w:rPr>
              <w:t>②</w:t>
            </w:r>
            <w:r>
              <w:rPr>
                <w:rFonts w:hint="eastAsia" w:cs="Times New Roman"/>
                <w:color w:val="auto"/>
                <w:szCs w:val="24"/>
                <w:highlight w:val="none"/>
                <w:u w:val="single"/>
                <w:lang w:val="en-US" w:eastAsia="zh-CN"/>
              </w:rPr>
              <w:t>开采</w:t>
            </w:r>
            <w:r>
              <w:rPr>
                <w:rFonts w:hint="default" w:ascii="Times New Roman" w:hAnsi="Times New Roman" w:cs="Times New Roman"/>
                <w:color w:val="auto"/>
                <w:szCs w:val="24"/>
                <w:highlight w:val="none"/>
                <w:u w:val="single"/>
              </w:rPr>
              <w:t>粉尘</w:t>
            </w:r>
            <w:r>
              <w:rPr>
                <w:rFonts w:hint="eastAsia" w:cs="Times New Roman"/>
                <w:color w:val="auto"/>
                <w:szCs w:val="24"/>
                <w:highlight w:val="none"/>
                <w:u w:val="single"/>
                <w:lang w:val="en-US" w:eastAsia="zh-CN"/>
              </w:rPr>
              <w:t>及废气</w:t>
            </w:r>
          </w:p>
          <w:p w14:paraId="7B8C4A52">
            <w:pPr>
              <w:keepNext w:val="0"/>
              <w:keepLines w:val="0"/>
              <w:widowControl/>
              <w:suppressLineNumbers w:val="0"/>
              <w:jc w:val="left"/>
              <w:rPr>
                <w:color w:val="auto"/>
                <w:highlight w:val="none"/>
                <w:u w:val="single"/>
              </w:rPr>
            </w:pPr>
            <w:r>
              <w:rPr>
                <w:rFonts w:hint="eastAsia" w:ascii="宋体" w:hAnsi="宋体" w:eastAsia="宋体" w:cs="宋体"/>
                <w:color w:val="auto"/>
                <w:kern w:val="0"/>
                <w:sz w:val="24"/>
                <w:szCs w:val="24"/>
                <w:highlight w:val="none"/>
                <w:u w:val="single"/>
                <w:lang w:val="en-US" w:eastAsia="zh-CN" w:bidi="ar"/>
              </w:rPr>
              <w:t>项目采用空压机钻孔，采取湿式凿岩，依据工业行业产排污系数手册，</w:t>
            </w:r>
            <w:r>
              <w:rPr>
                <w:rFonts w:hint="default" w:ascii="Times New Roman" w:hAnsi="Times New Roman" w:eastAsia="宋体" w:cs="Times New Roman"/>
                <w:color w:val="auto"/>
                <w:kern w:val="0"/>
                <w:sz w:val="24"/>
                <w:szCs w:val="24"/>
                <w:highlight w:val="none"/>
                <w:u w:val="single"/>
                <w:lang w:val="en-US" w:eastAsia="zh-CN" w:bidi="ar"/>
              </w:rPr>
              <w:t xml:space="preserve">1011 </w:t>
            </w:r>
            <w:r>
              <w:rPr>
                <w:rFonts w:hint="eastAsia" w:ascii="宋体" w:hAnsi="宋体" w:eastAsia="宋体" w:cs="宋体"/>
                <w:color w:val="auto"/>
                <w:kern w:val="0"/>
                <w:sz w:val="24"/>
                <w:szCs w:val="24"/>
                <w:highlight w:val="none"/>
                <w:u w:val="single"/>
                <w:lang w:val="en-US" w:eastAsia="zh-CN" w:bidi="ar"/>
              </w:rPr>
              <w:t>石灰石石膏开采行业系数手册颗粒物产物系数为</w:t>
            </w:r>
            <w:r>
              <w:rPr>
                <w:rFonts w:hint="default" w:ascii="Times New Roman" w:hAnsi="Times New Roman" w:eastAsia="宋体" w:cs="Times New Roman"/>
                <w:color w:val="auto"/>
                <w:kern w:val="0"/>
                <w:sz w:val="24"/>
                <w:szCs w:val="24"/>
                <w:highlight w:val="none"/>
                <w:u w:val="single"/>
                <w:lang w:val="en-US" w:eastAsia="zh-CN" w:bidi="ar"/>
              </w:rPr>
              <w:t>1.14×10</w:t>
            </w:r>
            <w:r>
              <w:rPr>
                <w:rFonts w:hint="eastAsia" w:ascii="Times New Roman" w:hAnsi="Times New Roman" w:eastAsia="宋体" w:cs="Times New Roman"/>
                <w:color w:val="auto"/>
                <w:kern w:val="0"/>
                <w:sz w:val="24"/>
                <w:szCs w:val="24"/>
                <w:highlight w:val="none"/>
                <w:u w:val="single"/>
                <w:vertAlign w:val="superscript"/>
                <w:lang w:val="en-US" w:eastAsia="zh-CN" w:bidi="ar"/>
              </w:rPr>
              <w:t>-2</w:t>
            </w:r>
            <w:r>
              <w:rPr>
                <w:rFonts w:hint="default" w:ascii="Times New Roman" w:hAnsi="Times New Roman" w:eastAsia="宋体" w:cs="Times New Roman"/>
                <w:color w:val="auto"/>
                <w:kern w:val="0"/>
                <w:sz w:val="15"/>
                <w:szCs w:val="15"/>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千克</w:t>
            </w:r>
            <w:r>
              <w:rPr>
                <w:rFonts w:hint="default" w:ascii="Times New Roman" w:hAnsi="Times New Roman" w:eastAsia="宋体" w:cs="Times New Roman"/>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吨</w:t>
            </w:r>
            <w:r>
              <w:rPr>
                <w:rFonts w:hint="default" w:ascii="Times New Roman" w:hAnsi="Times New Roman" w:eastAsia="宋体" w:cs="Times New Roman"/>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产品。开采规模为</w:t>
            </w:r>
            <w:r>
              <w:rPr>
                <w:rFonts w:hint="default" w:ascii="Times New Roman" w:hAnsi="Times New Roman" w:eastAsia="宋体" w:cs="Times New Roman"/>
                <w:color w:val="auto"/>
                <w:kern w:val="0"/>
                <w:sz w:val="24"/>
                <w:szCs w:val="24"/>
                <w:highlight w:val="none"/>
                <w:u w:val="single"/>
                <w:lang w:val="en-US" w:eastAsia="zh-CN" w:bidi="ar"/>
              </w:rPr>
              <w:t>120</w:t>
            </w:r>
            <w:r>
              <w:rPr>
                <w:rFonts w:hint="eastAsia" w:ascii="宋体" w:hAnsi="宋体" w:eastAsia="宋体" w:cs="宋体"/>
                <w:color w:val="auto"/>
                <w:kern w:val="0"/>
                <w:sz w:val="24"/>
                <w:szCs w:val="24"/>
                <w:highlight w:val="none"/>
                <w:u w:val="single"/>
                <w:lang w:val="en-US" w:eastAsia="zh-CN" w:bidi="ar"/>
              </w:rPr>
              <w:t>万</w:t>
            </w:r>
            <w:r>
              <w:rPr>
                <w:rFonts w:hint="default" w:ascii="Times New Roman" w:hAnsi="Times New Roman" w:eastAsia="宋体" w:cs="Times New Roman"/>
                <w:color w:val="auto"/>
                <w:kern w:val="0"/>
                <w:sz w:val="24"/>
                <w:szCs w:val="24"/>
                <w:highlight w:val="none"/>
                <w:u w:val="single"/>
                <w:lang w:val="en-US" w:eastAsia="zh-CN" w:bidi="ar"/>
              </w:rPr>
              <w:t>t/a</w:t>
            </w:r>
            <w:r>
              <w:rPr>
                <w:rFonts w:hint="eastAsia" w:ascii="Times New Roman" w:hAnsi="Times New Roman" w:eastAsia="宋体" w:cs="Times New Roman"/>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则粉尘产生量为</w:t>
            </w:r>
            <w:r>
              <w:rPr>
                <w:rFonts w:hint="default" w:ascii="Times New Roman" w:hAnsi="Times New Roman" w:eastAsia="宋体" w:cs="Times New Roman"/>
                <w:color w:val="auto"/>
                <w:kern w:val="0"/>
                <w:sz w:val="24"/>
                <w:szCs w:val="24"/>
                <w:highlight w:val="none"/>
                <w:u w:val="single"/>
                <w:lang w:val="en-US" w:eastAsia="zh-CN" w:bidi="ar"/>
              </w:rPr>
              <w:t>13.68t/a</w:t>
            </w:r>
            <w:r>
              <w:rPr>
                <w:rFonts w:hint="eastAsia" w:ascii="宋体" w:hAnsi="宋体" w:eastAsia="宋体" w:cs="宋体"/>
                <w:color w:val="auto"/>
                <w:kern w:val="0"/>
                <w:sz w:val="24"/>
                <w:szCs w:val="24"/>
                <w:highlight w:val="none"/>
                <w:u w:val="single"/>
                <w:lang w:val="en-US" w:eastAsia="zh-CN" w:bidi="ar"/>
              </w:rPr>
              <w:t xml:space="preserve">。由于钻孔排放点靠近地面，因此只对近距离和采石工人产生影响。在钻孔前后和爆破前后分别对开采区进行洒水抑尘，以降低粉尘的产生浓度和影响范围。项目洒水抑尘时抑尘率约 </w:t>
            </w:r>
            <w:r>
              <w:rPr>
                <w:rFonts w:hint="default" w:ascii="Times New Roman" w:hAnsi="Times New Roman" w:eastAsia="宋体" w:cs="Times New Roman"/>
                <w:color w:val="auto"/>
                <w:kern w:val="0"/>
                <w:sz w:val="24"/>
                <w:szCs w:val="24"/>
                <w:highlight w:val="none"/>
                <w:u w:val="single"/>
                <w:lang w:val="en-US" w:eastAsia="zh-CN" w:bidi="ar"/>
              </w:rPr>
              <w:t>80%</w:t>
            </w:r>
            <w:r>
              <w:rPr>
                <w:rFonts w:hint="eastAsia" w:ascii="宋体" w:hAnsi="宋体" w:eastAsia="宋体" w:cs="宋体"/>
                <w:color w:val="auto"/>
                <w:kern w:val="0"/>
                <w:sz w:val="24"/>
                <w:szCs w:val="24"/>
                <w:highlight w:val="none"/>
                <w:u w:val="single"/>
                <w:lang w:val="en-US" w:eastAsia="zh-CN" w:bidi="ar"/>
              </w:rPr>
              <w:t>，则无组织粉尘排放量为</w:t>
            </w:r>
            <w:r>
              <w:rPr>
                <w:rFonts w:hint="default" w:ascii="Times New Roman" w:hAnsi="Times New Roman" w:eastAsia="宋体" w:cs="Times New Roman"/>
                <w:color w:val="auto"/>
                <w:kern w:val="0"/>
                <w:sz w:val="24"/>
                <w:szCs w:val="24"/>
                <w:highlight w:val="none"/>
                <w:u w:val="single"/>
                <w:lang w:val="en-US" w:eastAsia="zh-CN" w:bidi="ar"/>
              </w:rPr>
              <w:t>2.74t/a</w:t>
            </w:r>
            <w:r>
              <w:rPr>
                <w:rFonts w:hint="eastAsia" w:ascii="宋体" w:hAnsi="宋体" w:eastAsia="宋体" w:cs="宋体"/>
                <w:color w:val="auto"/>
                <w:kern w:val="0"/>
                <w:sz w:val="24"/>
                <w:szCs w:val="24"/>
                <w:highlight w:val="none"/>
                <w:u w:val="single"/>
                <w:lang w:val="en-US" w:eastAsia="zh-CN" w:bidi="ar"/>
              </w:rPr>
              <w:t xml:space="preserve">。 </w:t>
            </w:r>
          </w:p>
          <w:p w14:paraId="11DECC0E">
            <w:pPr>
              <w:keepNext w:val="0"/>
              <w:keepLines w:val="0"/>
              <w:widowControl/>
              <w:suppressLineNumbers w:val="0"/>
              <w:jc w:val="left"/>
              <w:rPr>
                <w:rFonts w:hint="default" w:ascii="Times New Roman" w:hAnsi="Times New Roman" w:cs="Times New Roman"/>
                <w:color w:val="auto"/>
                <w:szCs w:val="24"/>
                <w:highlight w:val="none"/>
                <w:u w:val="single"/>
              </w:rPr>
            </w:pPr>
            <w:r>
              <w:rPr>
                <w:rFonts w:hint="eastAsia" w:ascii="宋体" w:hAnsi="宋体" w:eastAsia="宋体" w:cs="宋体"/>
                <w:color w:val="auto"/>
                <w:kern w:val="0"/>
                <w:sz w:val="24"/>
                <w:szCs w:val="24"/>
                <w:highlight w:val="none"/>
                <w:u w:val="single"/>
                <w:lang w:val="en-US" w:eastAsia="zh-CN" w:bidi="ar"/>
              </w:rPr>
              <w:t xml:space="preserve">同时爆破废气中还有 </w:t>
            </w:r>
            <w:r>
              <w:rPr>
                <w:rFonts w:hint="default" w:ascii="Times New Roman" w:hAnsi="Times New Roman" w:eastAsia="宋体" w:cs="Times New Roman"/>
                <w:color w:val="auto"/>
                <w:kern w:val="0"/>
                <w:sz w:val="24"/>
                <w:szCs w:val="24"/>
                <w:highlight w:val="none"/>
                <w:u w:val="single"/>
                <w:lang w:val="en-US" w:eastAsia="zh-CN" w:bidi="ar"/>
              </w:rPr>
              <w:t>NOx</w:t>
            </w:r>
            <w:r>
              <w:rPr>
                <w:rFonts w:hint="eastAsia" w:ascii="宋体" w:hAnsi="宋体" w:eastAsia="宋体" w:cs="宋体"/>
                <w:color w:val="auto"/>
                <w:kern w:val="0"/>
                <w:sz w:val="24"/>
                <w:szCs w:val="24"/>
                <w:highlight w:val="none"/>
                <w:u w:val="singl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CO </w:t>
            </w:r>
            <w:r>
              <w:rPr>
                <w:rFonts w:hint="eastAsia" w:ascii="宋体" w:hAnsi="宋体" w:eastAsia="宋体" w:cs="宋体"/>
                <w:color w:val="auto"/>
                <w:kern w:val="0"/>
                <w:sz w:val="24"/>
                <w:szCs w:val="24"/>
                <w:highlight w:val="none"/>
                <w:u w:val="single"/>
                <w:lang w:val="en-US" w:eastAsia="zh-CN" w:bidi="ar"/>
              </w:rPr>
              <w:t xml:space="preserve">及水蒸气产生，根据《工程爆破中的灾害及控制》，每千克炸药可产生 </w:t>
            </w:r>
            <w:r>
              <w:rPr>
                <w:rFonts w:hint="default" w:ascii="Times New Roman" w:hAnsi="Times New Roman" w:eastAsia="宋体" w:cs="Times New Roman"/>
                <w:color w:val="auto"/>
                <w:kern w:val="0"/>
                <w:sz w:val="24"/>
                <w:szCs w:val="24"/>
                <w:highlight w:val="none"/>
                <w:u w:val="single"/>
                <w:lang w:val="en-US" w:eastAsia="zh-CN" w:bidi="ar"/>
              </w:rPr>
              <w:t xml:space="preserve">NOx </w:t>
            </w:r>
            <w:r>
              <w:rPr>
                <w:rFonts w:hint="eastAsia" w:ascii="宋体" w:hAnsi="宋体" w:eastAsia="宋体" w:cs="宋体"/>
                <w:color w:val="auto"/>
                <w:kern w:val="0"/>
                <w:sz w:val="24"/>
                <w:szCs w:val="24"/>
                <w:highlight w:val="none"/>
                <w:u w:val="single"/>
                <w:lang w:val="en-US" w:eastAsia="zh-CN" w:bidi="ar"/>
              </w:rPr>
              <w:t xml:space="preserve">为 </w:t>
            </w:r>
            <w:r>
              <w:rPr>
                <w:rFonts w:hint="default" w:ascii="Times New Roman" w:hAnsi="Times New Roman" w:eastAsia="宋体" w:cs="Times New Roman"/>
                <w:color w:val="auto"/>
                <w:kern w:val="0"/>
                <w:sz w:val="24"/>
                <w:szCs w:val="24"/>
                <w:highlight w:val="none"/>
                <w:u w:val="single"/>
                <w:lang w:val="en-US" w:eastAsia="zh-CN" w:bidi="ar"/>
              </w:rPr>
              <w:t>18g/kg</w:t>
            </w:r>
            <w:r>
              <w:rPr>
                <w:rFonts w:hint="eastAsia" w:ascii="宋体" w:hAnsi="宋体" w:eastAsia="宋体" w:cs="宋体"/>
                <w:color w:val="auto"/>
                <w:kern w:val="0"/>
                <w:sz w:val="24"/>
                <w:szCs w:val="24"/>
                <w:highlight w:val="none"/>
                <w:u w:val="singl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CO </w:t>
            </w:r>
            <w:r>
              <w:rPr>
                <w:rFonts w:hint="eastAsia" w:ascii="宋体" w:hAnsi="宋体" w:eastAsia="宋体" w:cs="宋体"/>
                <w:color w:val="auto"/>
                <w:kern w:val="0"/>
                <w:sz w:val="24"/>
                <w:szCs w:val="24"/>
                <w:highlight w:val="none"/>
                <w:u w:val="single"/>
                <w:lang w:val="en-US" w:eastAsia="zh-CN" w:bidi="ar"/>
              </w:rPr>
              <w:t xml:space="preserve">产生量为 </w:t>
            </w:r>
            <w:r>
              <w:rPr>
                <w:rFonts w:hint="default" w:ascii="Times New Roman" w:hAnsi="Times New Roman" w:eastAsia="宋体" w:cs="Times New Roman"/>
                <w:color w:val="auto"/>
                <w:kern w:val="0"/>
                <w:sz w:val="24"/>
                <w:szCs w:val="24"/>
                <w:highlight w:val="none"/>
                <w:u w:val="single"/>
                <w:lang w:val="en-US" w:eastAsia="zh-CN" w:bidi="ar"/>
              </w:rPr>
              <w:t>5.5g/kg</w:t>
            </w:r>
            <w:r>
              <w:rPr>
                <w:rFonts w:hint="eastAsia" w:ascii="宋体" w:hAnsi="宋体" w:eastAsia="宋体" w:cs="宋体"/>
                <w:color w:val="auto"/>
                <w:kern w:val="0"/>
                <w:sz w:val="24"/>
                <w:szCs w:val="24"/>
                <w:highlight w:val="none"/>
                <w:u w:val="single"/>
                <w:lang w:val="en-US" w:eastAsia="zh-CN" w:bidi="ar"/>
              </w:rPr>
              <w:t xml:space="preserve">。根据建设单位提供资料，本项目炸药使用量为 </w:t>
            </w:r>
            <w:r>
              <w:rPr>
                <w:rFonts w:hint="default" w:ascii="Times New Roman" w:hAnsi="Times New Roman" w:eastAsia="宋体" w:cs="Times New Roman"/>
                <w:color w:val="auto"/>
                <w:kern w:val="0"/>
                <w:sz w:val="24"/>
                <w:szCs w:val="24"/>
                <w:highlight w:val="none"/>
                <w:u w:val="single"/>
                <w:lang w:val="en-US" w:eastAsia="zh-CN" w:bidi="ar"/>
              </w:rPr>
              <w:t>190t/a</w:t>
            </w:r>
            <w:r>
              <w:rPr>
                <w:rFonts w:hint="eastAsia" w:ascii="宋体" w:hAnsi="宋体" w:eastAsia="宋体" w:cs="宋体"/>
                <w:color w:val="auto"/>
                <w:kern w:val="0"/>
                <w:sz w:val="24"/>
                <w:szCs w:val="24"/>
                <w:highlight w:val="none"/>
                <w:u w:val="single"/>
                <w:lang w:val="en-US" w:eastAsia="zh-CN" w:bidi="ar"/>
              </w:rPr>
              <w:t xml:space="preserve">，则 </w:t>
            </w:r>
            <w:r>
              <w:rPr>
                <w:rFonts w:hint="default" w:ascii="Times New Roman" w:hAnsi="Times New Roman" w:eastAsia="宋体" w:cs="Times New Roman"/>
                <w:color w:val="auto"/>
                <w:kern w:val="0"/>
                <w:sz w:val="24"/>
                <w:szCs w:val="24"/>
                <w:highlight w:val="none"/>
                <w:u w:val="single"/>
                <w:lang w:val="en-US" w:eastAsia="zh-CN" w:bidi="ar"/>
              </w:rPr>
              <w:t xml:space="preserve">NOx </w:t>
            </w:r>
            <w:r>
              <w:rPr>
                <w:rFonts w:hint="eastAsia" w:ascii="宋体" w:hAnsi="宋体" w:eastAsia="宋体" w:cs="宋体"/>
                <w:color w:val="auto"/>
                <w:kern w:val="0"/>
                <w:sz w:val="24"/>
                <w:szCs w:val="24"/>
                <w:highlight w:val="none"/>
                <w:u w:val="single"/>
                <w:lang w:val="en-US" w:eastAsia="zh-CN" w:bidi="ar"/>
              </w:rPr>
              <w:t xml:space="preserve">产生量约 </w:t>
            </w:r>
            <w:r>
              <w:rPr>
                <w:rFonts w:hint="default" w:ascii="Times New Roman" w:hAnsi="Times New Roman" w:eastAsia="宋体" w:cs="Times New Roman"/>
                <w:color w:val="auto"/>
                <w:kern w:val="0"/>
                <w:sz w:val="24"/>
                <w:szCs w:val="24"/>
                <w:highlight w:val="none"/>
                <w:u w:val="single"/>
                <w:lang w:val="en-US" w:eastAsia="zh-CN" w:bidi="ar"/>
              </w:rPr>
              <w:t>3.42t/a</w:t>
            </w:r>
            <w:r>
              <w:rPr>
                <w:rFonts w:hint="eastAsia" w:ascii="宋体" w:hAnsi="宋体" w:eastAsia="宋体" w:cs="宋体"/>
                <w:color w:val="auto"/>
                <w:kern w:val="0"/>
                <w:sz w:val="24"/>
                <w:szCs w:val="24"/>
                <w:highlight w:val="none"/>
                <w:u w:val="singl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CO </w:t>
            </w:r>
            <w:r>
              <w:rPr>
                <w:rFonts w:hint="eastAsia" w:ascii="宋体" w:hAnsi="宋体" w:eastAsia="宋体" w:cs="宋体"/>
                <w:color w:val="auto"/>
                <w:kern w:val="0"/>
                <w:sz w:val="24"/>
                <w:szCs w:val="24"/>
                <w:highlight w:val="none"/>
                <w:u w:val="single"/>
                <w:lang w:val="en-US" w:eastAsia="zh-CN" w:bidi="ar"/>
              </w:rPr>
              <w:t xml:space="preserve">产生量约 </w:t>
            </w:r>
            <w:r>
              <w:rPr>
                <w:rFonts w:hint="default" w:ascii="Times New Roman" w:hAnsi="Times New Roman" w:eastAsia="宋体" w:cs="Times New Roman"/>
                <w:color w:val="auto"/>
                <w:kern w:val="0"/>
                <w:sz w:val="24"/>
                <w:szCs w:val="24"/>
                <w:highlight w:val="none"/>
                <w:u w:val="single"/>
                <w:lang w:val="en-US" w:eastAsia="zh-CN" w:bidi="ar"/>
              </w:rPr>
              <w:t>1.05t/a</w:t>
            </w:r>
            <w:r>
              <w:rPr>
                <w:rFonts w:hint="eastAsia" w:ascii="宋体" w:hAnsi="宋体" w:eastAsia="宋体" w:cs="宋体"/>
                <w:color w:val="auto"/>
                <w:kern w:val="0"/>
                <w:sz w:val="24"/>
                <w:szCs w:val="24"/>
                <w:highlight w:val="none"/>
                <w:u w:val="single"/>
                <w:lang w:val="en-US" w:eastAsia="zh-CN" w:bidi="ar"/>
              </w:rPr>
              <w:t xml:space="preserve">。根据查阅相关文献可知，使用乳化炸药，可将有害气体的产生量减少 </w:t>
            </w:r>
            <w:r>
              <w:rPr>
                <w:rFonts w:hint="default" w:ascii="Times New Roman" w:hAnsi="Times New Roman" w:eastAsia="宋体" w:cs="Times New Roman"/>
                <w:color w:val="auto"/>
                <w:kern w:val="0"/>
                <w:sz w:val="24"/>
                <w:szCs w:val="24"/>
                <w:highlight w:val="none"/>
                <w:u w:val="single"/>
                <w:lang w:val="en-US" w:eastAsia="zh-CN" w:bidi="ar"/>
              </w:rPr>
              <w:t>64%~68%</w:t>
            </w:r>
            <w:r>
              <w:rPr>
                <w:rFonts w:hint="eastAsia" w:ascii="宋体" w:hAnsi="宋体" w:eastAsia="宋体" w:cs="宋体"/>
                <w:color w:val="auto"/>
                <w:kern w:val="0"/>
                <w:sz w:val="24"/>
                <w:szCs w:val="24"/>
                <w:highlight w:val="none"/>
                <w:u w:val="single"/>
                <w:lang w:val="en-US" w:eastAsia="zh-CN" w:bidi="ar"/>
              </w:rPr>
              <w:t xml:space="preserve">；在爆破前，对炮孔采用凝胶类、水等材料制作的炮泥进行堵塞，即进行炮泥爆破，可将有害气体的产生量减少 </w:t>
            </w:r>
            <w:r>
              <w:rPr>
                <w:rFonts w:hint="default" w:ascii="Times New Roman" w:hAnsi="Times New Roman" w:eastAsia="宋体" w:cs="Times New Roman"/>
                <w:color w:val="auto"/>
                <w:kern w:val="0"/>
                <w:sz w:val="24"/>
                <w:szCs w:val="24"/>
                <w:highlight w:val="none"/>
                <w:u w:val="single"/>
                <w:lang w:val="en-US" w:eastAsia="zh-CN" w:bidi="ar"/>
              </w:rPr>
              <w:t>23%~33%</w:t>
            </w:r>
            <w:r>
              <w:rPr>
                <w:rFonts w:hint="eastAsia" w:ascii="宋体" w:hAnsi="宋体" w:eastAsia="宋体" w:cs="宋体"/>
                <w:color w:val="auto"/>
                <w:kern w:val="0"/>
                <w:sz w:val="24"/>
                <w:szCs w:val="24"/>
                <w:highlight w:val="none"/>
                <w:u w:val="single"/>
                <w:lang w:val="en-US" w:eastAsia="zh-CN" w:bidi="ar"/>
              </w:rPr>
              <w:t xml:space="preserve">。因此本次环评建议建设单位使用乳化炸药和炮泥爆破，采取以上措施后，可将炸药废气的产生量综合降低 </w:t>
            </w:r>
            <w:r>
              <w:rPr>
                <w:rFonts w:hint="default" w:ascii="Times New Roman" w:hAnsi="Times New Roman" w:eastAsia="宋体" w:cs="Times New Roman"/>
                <w:color w:val="auto"/>
                <w:kern w:val="0"/>
                <w:sz w:val="24"/>
                <w:szCs w:val="24"/>
                <w:highlight w:val="none"/>
                <w:u w:val="single"/>
                <w:lang w:val="en-US" w:eastAsia="zh-CN" w:bidi="ar"/>
              </w:rPr>
              <w:t>70%</w:t>
            </w:r>
            <w:r>
              <w:rPr>
                <w:rFonts w:hint="eastAsia" w:ascii="宋体" w:hAnsi="宋体" w:eastAsia="宋体" w:cs="宋体"/>
                <w:color w:val="auto"/>
                <w:kern w:val="0"/>
                <w:sz w:val="24"/>
                <w:szCs w:val="24"/>
                <w:highlight w:val="none"/>
                <w:u w:val="single"/>
                <w:lang w:val="en-US" w:eastAsia="zh-CN" w:bidi="ar"/>
              </w:rPr>
              <w:t xml:space="preserve">以上，则 </w:t>
            </w:r>
            <w:r>
              <w:rPr>
                <w:rFonts w:hint="default" w:ascii="Times New Roman" w:hAnsi="Times New Roman" w:eastAsia="宋体" w:cs="Times New Roman"/>
                <w:color w:val="auto"/>
                <w:kern w:val="0"/>
                <w:sz w:val="24"/>
                <w:szCs w:val="24"/>
                <w:highlight w:val="none"/>
                <w:u w:val="single"/>
                <w:lang w:val="en-US" w:eastAsia="zh-CN" w:bidi="ar"/>
              </w:rPr>
              <w:t>NOx</w:t>
            </w:r>
            <w:r>
              <w:rPr>
                <w:rFonts w:hint="eastAsia" w:ascii="宋体" w:hAnsi="宋体" w:eastAsia="宋体" w:cs="宋体"/>
                <w:color w:val="auto"/>
                <w:kern w:val="0"/>
                <w:sz w:val="24"/>
                <w:szCs w:val="24"/>
                <w:highlight w:val="none"/>
                <w:u w:val="singl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CO </w:t>
            </w:r>
            <w:r>
              <w:rPr>
                <w:rFonts w:hint="eastAsia" w:ascii="宋体" w:hAnsi="宋体" w:eastAsia="宋体" w:cs="宋体"/>
                <w:color w:val="auto"/>
                <w:kern w:val="0"/>
                <w:sz w:val="24"/>
                <w:szCs w:val="24"/>
                <w:highlight w:val="none"/>
                <w:u w:val="single"/>
                <w:lang w:val="en-US" w:eastAsia="zh-CN" w:bidi="ar"/>
              </w:rPr>
              <w:t xml:space="preserve">的排放量分别为 </w:t>
            </w:r>
            <w:r>
              <w:rPr>
                <w:rFonts w:hint="default" w:ascii="Times New Roman" w:hAnsi="Times New Roman" w:eastAsia="宋体" w:cs="Times New Roman"/>
                <w:color w:val="auto"/>
                <w:kern w:val="0"/>
                <w:sz w:val="24"/>
                <w:szCs w:val="24"/>
                <w:highlight w:val="none"/>
                <w:u w:val="single"/>
                <w:lang w:val="en-US" w:eastAsia="zh-CN" w:bidi="ar"/>
              </w:rPr>
              <w:t>1.0t/a</w:t>
            </w:r>
            <w:r>
              <w:rPr>
                <w:rFonts w:hint="eastAsia" w:ascii="宋体" w:hAnsi="宋体" w:eastAsia="宋体" w:cs="宋体"/>
                <w:color w:val="auto"/>
                <w:kern w:val="0"/>
                <w:sz w:val="24"/>
                <w:szCs w:val="24"/>
                <w:highlight w:val="none"/>
                <w:u w:val="singl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0.32t/a</w:t>
            </w:r>
            <w:r>
              <w:rPr>
                <w:rFonts w:hint="eastAsia" w:ascii="宋体" w:hAnsi="宋体" w:eastAsia="宋体" w:cs="宋体"/>
                <w:color w:val="auto"/>
                <w:kern w:val="0"/>
                <w:sz w:val="24"/>
                <w:szCs w:val="24"/>
                <w:highlight w:val="none"/>
                <w:u w:val="single"/>
                <w:lang w:val="en-US" w:eastAsia="zh-CN" w:bidi="ar"/>
              </w:rPr>
              <w:t>。爆破废气一般是爆炸瞬时产生，目前尚无适当的治理措施，操作人员可通过防毒面具吸收或暂时撒离爆破现场的办法解决，另外选择大气扩散条件较好的时间进行爆破，有助于废气尽快扩散。开采工序中的爆破颗粒物和废气将造成局部地区的短时高浓度的污染，随着污染物在空气中扩散，而不断降低。</w:t>
            </w:r>
          </w:p>
          <w:p w14:paraId="060901A7">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③</w:t>
            </w:r>
            <w:r>
              <w:rPr>
                <w:rFonts w:hint="eastAsia" w:cs="Times New Roman"/>
                <w:color w:val="auto"/>
                <w:szCs w:val="24"/>
                <w:highlight w:val="none"/>
                <w:u w:val="single"/>
                <w:lang w:val="en-US" w:eastAsia="zh-CN"/>
              </w:rPr>
              <w:t>破碎锤</w:t>
            </w:r>
            <w:r>
              <w:rPr>
                <w:rFonts w:hint="default" w:ascii="Times New Roman" w:hAnsi="Times New Roman" w:cs="Times New Roman"/>
                <w:color w:val="auto"/>
                <w:szCs w:val="24"/>
                <w:highlight w:val="none"/>
                <w:u w:val="single"/>
              </w:rPr>
              <w:t>破碎粉尘</w:t>
            </w:r>
          </w:p>
          <w:p w14:paraId="1EE3C59D">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highlight w:val="none"/>
                <w:u w:val="single"/>
              </w:rPr>
              <w:t>矿石加工破碎进料块度要求小于1000mm，设计采用机械破碎方法，选用液压破碎锤破碎大块矿石，避免二次爆破产生飞石。</w:t>
            </w:r>
            <w:r>
              <w:rPr>
                <w:rFonts w:hint="eastAsia" w:cs="Times New Roman"/>
                <w:color w:val="auto"/>
                <w:highlight w:val="none"/>
                <w:u w:val="single"/>
                <w:lang w:val="en-US" w:eastAsia="zh-CN"/>
              </w:rPr>
              <w:t>破碎锤</w:t>
            </w:r>
            <w:r>
              <w:rPr>
                <w:rFonts w:hint="default" w:ascii="Times New Roman" w:hAnsi="Times New Roman" w:cs="Times New Roman"/>
                <w:color w:val="auto"/>
                <w:highlight w:val="none"/>
                <w:u w:val="single"/>
              </w:rPr>
              <w:t>破碎粉尘产生量为0.01kg/t矿石，则破碎粉尘产生量为</w:t>
            </w:r>
            <w:r>
              <w:rPr>
                <w:rFonts w:hint="eastAsia" w:cs="Times New Roman"/>
                <w:color w:val="auto"/>
                <w:highlight w:val="none"/>
                <w:u w:val="single"/>
                <w:lang w:val="en-US" w:eastAsia="zh-CN"/>
              </w:rPr>
              <w:t>12</w:t>
            </w:r>
            <w:r>
              <w:rPr>
                <w:rFonts w:hint="default" w:ascii="Times New Roman" w:hAnsi="Times New Roman" w:cs="Times New Roman"/>
                <w:color w:val="auto"/>
                <w:highlight w:val="none"/>
                <w:u w:val="single"/>
              </w:rPr>
              <w:t>t/a。</w:t>
            </w:r>
            <w:r>
              <w:rPr>
                <w:rFonts w:hint="default" w:ascii="Times New Roman" w:hAnsi="Times New Roman" w:cs="Times New Roman"/>
                <w:color w:val="auto"/>
                <w:szCs w:val="24"/>
                <w:highlight w:val="none"/>
                <w:u w:val="single"/>
              </w:rPr>
              <w:t>项目在二次破碎前后通过洒水车喷洒水雾降低爆破粉尘逸散，除尘效率约80%，则二次破碎粉尘排放量</w:t>
            </w:r>
            <w:r>
              <w:rPr>
                <w:rFonts w:hint="eastAsia" w:cs="Times New Roman"/>
                <w:color w:val="auto"/>
                <w:szCs w:val="24"/>
                <w:highlight w:val="none"/>
                <w:u w:val="single"/>
                <w:lang w:val="en-US" w:eastAsia="zh-CN"/>
              </w:rPr>
              <w:t>2.4</w:t>
            </w:r>
            <w:r>
              <w:rPr>
                <w:rFonts w:hint="default" w:ascii="Times New Roman" w:hAnsi="Times New Roman" w:cs="Times New Roman"/>
                <w:color w:val="auto"/>
                <w:szCs w:val="24"/>
                <w:highlight w:val="none"/>
                <w:u w:val="single"/>
              </w:rPr>
              <w:t>t/a。</w:t>
            </w:r>
          </w:p>
          <w:p w14:paraId="124E8754">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④铲装粉尘</w:t>
            </w:r>
          </w:p>
          <w:p w14:paraId="2776923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矿石由开采区运至</w:t>
            </w:r>
            <w:r>
              <w:rPr>
                <w:rFonts w:hint="eastAsia" w:cs="Times New Roman"/>
                <w:color w:val="auto"/>
                <w:highlight w:val="none"/>
                <w:u w:val="single"/>
                <w:lang w:eastAsia="zh-CN"/>
              </w:rPr>
              <w:t>工业场地</w:t>
            </w:r>
            <w:r>
              <w:rPr>
                <w:rFonts w:hint="default" w:ascii="Times New Roman" w:hAnsi="Times New Roman" w:cs="Times New Roman"/>
                <w:color w:val="auto"/>
                <w:highlight w:val="none"/>
                <w:u w:val="single"/>
              </w:rPr>
              <w:t>采用</w:t>
            </w:r>
            <w:r>
              <w:rPr>
                <w:rFonts w:hint="eastAsia" w:cs="Times New Roman"/>
                <w:color w:val="auto"/>
                <w:highlight w:val="none"/>
                <w:u w:val="single"/>
                <w:lang w:val="en-US" w:eastAsia="zh-CN"/>
              </w:rPr>
              <w:t>装载机</w:t>
            </w:r>
            <w:r>
              <w:rPr>
                <w:rFonts w:hint="default" w:ascii="Times New Roman" w:hAnsi="Times New Roman" w:cs="Times New Roman"/>
                <w:color w:val="auto"/>
                <w:highlight w:val="none"/>
                <w:u w:val="single"/>
              </w:rPr>
              <w:t>采装，</w:t>
            </w:r>
            <w:r>
              <w:rPr>
                <w:rFonts w:hint="eastAsia" w:cs="Times New Roman"/>
                <w:color w:val="auto"/>
                <w:highlight w:val="none"/>
                <w:u w:val="single"/>
                <w:lang w:val="en-US" w:eastAsia="zh-CN"/>
              </w:rPr>
              <w:t>汽车</w:t>
            </w:r>
            <w:r>
              <w:rPr>
                <w:rFonts w:hint="default" w:ascii="Times New Roman" w:hAnsi="Times New Roman" w:cs="Times New Roman"/>
                <w:color w:val="auto"/>
                <w:highlight w:val="none"/>
                <w:u w:val="single"/>
              </w:rPr>
              <w:t>运输。采装扬尘量采用清华大学装卸扬尘公式计算：</w:t>
            </w:r>
          </w:p>
          <w:p w14:paraId="12562267">
            <w:pPr>
              <w:ind w:firstLine="480"/>
              <w:rPr>
                <w:rFonts w:hint="default" w:ascii="Times New Roman" w:hAnsi="Times New Roman" w:cs="Times New Roman"/>
                <w:color w:val="auto"/>
                <w:highlight w:val="none"/>
                <w:u w:val="single"/>
              </w:rPr>
            </w:pPr>
            <m:oMathPara>
              <m:oMath>
                <m:r>
                  <m:rPr>
                    <m:sty m:val="p"/>
                  </m:rPr>
                  <w:rPr>
                    <w:rFonts w:hint="default" w:ascii="Cambria Math" w:hAnsi="Cambria Math" w:cs="Times New Roman"/>
                    <w:color w:val="auto"/>
                    <w:highlight w:val="none"/>
                    <w:u w:val="single"/>
                  </w:rPr>
                  <m:t>Q=M∙</m:t>
                </m:r>
                <m:sSup>
                  <m:sSupPr>
                    <m:ctrlPr>
                      <w:rPr>
                        <w:rFonts w:hint="default" w:ascii="Cambria Math" w:hAnsi="Cambria Math" w:cs="Times New Roman"/>
                        <w:color w:val="auto"/>
                        <w:highlight w:val="none"/>
                        <w:u w:val="single"/>
                      </w:rPr>
                    </m:ctrlPr>
                  </m:sSupPr>
                  <m:e>
                    <m:r>
                      <m:rPr/>
                      <w:rPr>
                        <w:rFonts w:hint="default" w:ascii="Cambria Math" w:hAnsi="Cambria Math" w:cs="Times New Roman"/>
                        <w:color w:val="auto"/>
                        <w:highlight w:val="none"/>
                        <w:u w:val="single"/>
                      </w:rPr>
                      <m:t>e</m:t>
                    </m:r>
                    <m:ctrlPr>
                      <w:rPr>
                        <w:rFonts w:hint="default" w:ascii="Cambria Math" w:hAnsi="Cambria Math" w:cs="Times New Roman"/>
                        <w:color w:val="auto"/>
                        <w:highlight w:val="none"/>
                        <w:u w:val="single"/>
                      </w:rPr>
                    </m:ctrlPr>
                  </m:e>
                  <m:sup>
                    <m:r>
                      <m:rPr/>
                      <w:rPr>
                        <w:rFonts w:hint="default" w:ascii="Cambria Math" w:hAnsi="Cambria Math" w:cs="Times New Roman"/>
                        <w:color w:val="auto"/>
                        <w:highlight w:val="none"/>
                        <w:u w:val="single"/>
                      </w:rPr>
                      <m:t>0.64U</m:t>
                    </m:r>
                    <m:ctrlPr>
                      <w:rPr>
                        <w:rFonts w:hint="default" w:ascii="Cambria Math" w:hAnsi="Cambria Math" w:cs="Times New Roman"/>
                        <w:color w:val="auto"/>
                        <w:highlight w:val="none"/>
                        <w:u w:val="single"/>
                      </w:rPr>
                    </m:ctrlPr>
                  </m:sup>
                </m:sSup>
                <m:r>
                  <m:rPr/>
                  <w:rPr>
                    <w:rFonts w:hint="default" w:ascii="Cambria Math" w:hAnsi="Cambria Math" w:cs="Times New Roman"/>
                    <w:color w:val="auto"/>
                    <w:highlight w:val="none"/>
                    <w:u w:val="single"/>
                  </w:rPr>
                  <m:t>∙</m:t>
                </m:r>
                <m:sSup>
                  <m:sSupPr>
                    <m:ctrlPr>
                      <w:rPr>
                        <w:rFonts w:hint="default" w:ascii="Cambria Math" w:hAnsi="Cambria Math" w:cs="Times New Roman"/>
                        <w:i/>
                        <w:color w:val="auto"/>
                        <w:highlight w:val="none"/>
                        <w:u w:val="single"/>
                      </w:rPr>
                    </m:ctrlPr>
                  </m:sSupPr>
                  <m:e>
                    <m:r>
                      <m:rPr/>
                      <w:rPr>
                        <w:rFonts w:hint="default" w:ascii="Cambria Math" w:hAnsi="Cambria Math" w:cs="Times New Roman"/>
                        <w:color w:val="auto"/>
                        <w:highlight w:val="none"/>
                        <w:u w:val="single"/>
                      </w:rPr>
                      <m:t>e</m:t>
                    </m:r>
                    <m:ctrlPr>
                      <w:rPr>
                        <w:rFonts w:hint="default" w:ascii="Cambria Math" w:hAnsi="Cambria Math" w:cs="Times New Roman"/>
                        <w:i/>
                        <w:color w:val="auto"/>
                        <w:highlight w:val="none"/>
                        <w:u w:val="single"/>
                      </w:rPr>
                    </m:ctrlPr>
                  </m:e>
                  <m:sup>
                    <m:r>
                      <m:rPr/>
                      <w:rPr>
                        <w:rFonts w:hint="default" w:ascii="Cambria Math" w:hAnsi="Cambria Math" w:cs="Times New Roman"/>
                        <w:color w:val="auto"/>
                        <w:highlight w:val="none"/>
                        <w:u w:val="single"/>
                      </w:rPr>
                      <m:t>−0.27W</m:t>
                    </m:r>
                    <m:ctrlPr>
                      <w:rPr>
                        <w:rFonts w:hint="default" w:ascii="Cambria Math" w:hAnsi="Cambria Math" w:cs="Times New Roman"/>
                        <w:i/>
                        <w:color w:val="auto"/>
                        <w:highlight w:val="none"/>
                        <w:u w:val="single"/>
                      </w:rPr>
                    </m:ctrlPr>
                  </m:sup>
                </m:sSup>
                <m:r>
                  <m:rPr/>
                  <w:rPr>
                    <w:rFonts w:hint="default" w:ascii="Cambria Math" w:hAnsi="Cambria Math" w:cs="Times New Roman"/>
                    <w:color w:val="auto"/>
                    <w:highlight w:val="none"/>
                    <w:u w:val="single"/>
                  </w:rPr>
                  <m:t>∙</m:t>
                </m:r>
                <m:sSup>
                  <m:sSupPr>
                    <m:ctrlPr>
                      <w:rPr>
                        <w:rFonts w:hint="default" w:ascii="Cambria Math" w:hAnsi="Cambria Math" w:cs="Times New Roman"/>
                        <w:i/>
                        <w:color w:val="auto"/>
                        <w:highlight w:val="none"/>
                        <w:u w:val="single"/>
                      </w:rPr>
                    </m:ctrlPr>
                  </m:sSupPr>
                  <m:e>
                    <m:r>
                      <m:rPr/>
                      <w:rPr>
                        <w:rFonts w:hint="default" w:ascii="Cambria Math" w:hAnsi="Cambria Math" w:cs="Times New Roman"/>
                        <w:color w:val="auto"/>
                        <w:highlight w:val="none"/>
                        <w:u w:val="single"/>
                      </w:rPr>
                      <m:t>H</m:t>
                    </m:r>
                    <m:ctrlPr>
                      <w:rPr>
                        <w:rFonts w:hint="default" w:ascii="Cambria Math" w:hAnsi="Cambria Math" w:cs="Times New Roman"/>
                        <w:i/>
                        <w:color w:val="auto"/>
                        <w:highlight w:val="none"/>
                        <w:u w:val="single"/>
                      </w:rPr>
                    </m:ctrlPr>
                  </m:e>
                  <m:sup>
                    <m:r>
                      <m:rPr/>
                      <w:rPr>
                        <w:rFonts w:hint="default" w:ascii="Cambria Math" w:hAnsi="Cambria Math" w:cs="Times New Roman"/>
                        <w:color w:val="auto"/>
                        <w:highlight w:val="none"/>
                        <w:u w:val="single"/>
                      </w:rPr>
                      <m:t>1.238</m:t>
                    </m:r>
                    <m:ctrlPr>
                      <w:rPr>
                        <w:rFonts w:hint="default" w:ascii="Cambria Math" w:hAnsi="Cambria Math" w:cs="Times New Roman"/>
                        <w:i/>
                        <w:color w:val="auto"/>
                        <w:highlight w:val="none"/>
                        <w:u w:val="single"/>
                      </w:rPr>
                    </m:ctrlPr>
                  </m:sup>
                </m:sSup>
              </m:oMath>
            </m:oMathPara>
          </w:p>
          <w:p w14:paraId="44D7163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式中：Q——装卸扬尘，g/次；</w:t>
            </w:r>
          </w:p>
          <w:p w14:paraId="7CE3935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U——风速，</w:t>
            </w:r>
            <w:r>
              <w:rPr>
                <w:rFonts w:hint="eastAsia" w:cs="Times New Roman"/>
                <w:color w:val="auto"/>
                <w:highlight w:val="none"/>
                <w:u w:val="single"/>
                <w:lang w:val="en-US" w:eastAsia="zh-CN"/>
              </w:rPr>
              <w:t>2.0</w:t>
            </w:r>
            <w:r>
              <w:rPr>
                <w:rFonts w:hint="default" w:ascii="Times New Roman" w:hAnsi="Times New Roman" w:cs="Times New Roman"/>
                <w:color w:val="auto"/>
                <w:highlight w:val="none"/>
                <w:u w:val="single"/>
              </w:rPr>
              <w:t>m/s；</w:t>
            </w:r>
          </w:p>
          <w:p w14:paraId="1DBD120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W——物料湿度，取</w:t>
            </w:r>
            <w:r>
              <w:rPr>
                <w:rFonts w:hint="eastAsia" w:cs="Times New Roman"/>
                <w:color w:val="auto"/>
                <w:highlight w:val="none"/>
                <w:u w:val="single"/>
                <w:lang w:val="en-US" w:eastAsia="zh-CN"/>
              </w:rPr>
              <w:t>1</w:t>
            </w:r>
            <w:r>
              <w:rPr>
                <w:rFonts w:hint="default" w:ascii="Times New Roman" w:hAnsi="Times New Roman" w:cs="Times New Roman"/>
                <w:color w:val="auto"/>
                <w:highlight w:val="none"/>
                <w:u w:val="single"/>
              </w:rPr>
              <w:t>5%；</w:t>
            </w:r>
          </w:p>
          <w:p w14:paraId="344317C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M——车辆吨位，</w:t>
            </w:r>
            <w:r>
              <w:rPr>
                <w:rFonts w:hint="eastAsia" w:cs="Times New Roman"/>
                <w:color w:val="auto"/>
                <w:highlight w:val="none"/>
                <w:u w:val="single"/>
                <w:lang w:val="en-US" w:eastAsia="zh-CN"/>
              </w:rPr>
              <w:t>20</w:t>
            </w:r>
            <w:r>
              <w:rPr>
                <w:rFonts w:hint="default" w:ascii="Times New Roman" w:hAnsi="Times New Roman" w:cs="Times New Roman"/>
                <w:color w:val="auto"/>
                <w:highlight w:val="none"/>
                <w:u w:val="single"/>
              </w:rPr>
              <w:t>t；</w:t>
            </w:r>
          </w:p>
          <w:p w14:paraId="25FB506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H——装卸高度，</w:t>
            </w:r>
            <w:r>
              <w:rPr>
                <w:rFonts w:hint="eastAsia" w:cs="Times New Roman"/>
                <w:color w:val="auto"/>
                <w:highlight w:val="none"/>
                <w:u w:val="single"/>
                <w:lang w:val="en-US" w:eastAsia="zh-CN"/>
              </w:rPr>
              <w:t>0</w:t>
            </w:r>
            <w:r>
              <w:rPr>
                <w:rFonts w:hint="default" w:ascii="Times New Roman" w:hAnsi="Times New Roman" w:cs="Times New Roman"/>
                <w:color w:val="auto"/>
                <w:highlight w:val="none"/>
                <w:u w:val="single"/>
              </w:rPr>
              <w:t>.5m。</w:t>
            </w:r>
          </w:p>
          <w:p w14:paraId="0D317B62">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highlight w:val="none"/>
                <w:u w:val="single"/>
              </w:rPr>
              <w:t>根据矿石产量，矿山设计采装量为</w:t>
            </w:r>
            <w:r>
              <w:rPr>
                <w:rFonts w:hint="eastAsia" w:cs="Times New Roman"/>
                <w:color w:val="auto"/>
                <w:highlight w:val="none"/>
                <w:u w:val="single"/>
                <w:lang w:val="en-US" w:eastAsia="zh-CN"/>
              </w:rPr>
              <w:t>120万t/a</w:t>
            </w:r>
            <w:r>
              <w:rPr>
                <w:rFonts w:hint="default" w:ascii="Times New Roman" w:hAnsi="Times New Roman" w:cs="Times New Roman"/>
                <w:color w:val="auto"/>
                <w:highlight w:val="none"/>
                <w:u w:val="single"/>
              </w:rPr>
              <w:t>，经计算，采装扬尘量为</w:t>
            </w:r>
            <w:r>
              <w:rPr>
                <w:rFonts w:hint="eastAsia" w:cs="Times New Roman"/>
                <w:color w:val="auto"/>
                <w:highlight w:val="none"/>
                <w:u w:val="single"/>
                <w:lang w:val="en-US" w:eastAsia="zh-CN"/>
              </w:rPr>
              <w:t>2.34</w:t>
            </w:r>
            <w:r>
              <w:rPr>
                <w:rFonts w:hint="default" w:ascii="Times New Roman" w:hAnsi="Times New Roman" w:cs="Times New Roman"/>
                <w:color w:val="auto"/>
                <w:highlight w:val="none"/>
                <w:u w:val="single"/>
              </w:rPr>
              <w:t>t/a。在采装时对矿石采取洒水防尘措施后扬尘量减少80%以上，则采装扬尘排放量为</w:t>
            </w:r>
            <w:r>
              <w:rPr>
                <w:rFonts w:hint="eastAsia" w:cs="Times New Roman"/>
                <w:color w:val="auto"/>
                <w:highlight w:val="none"/>
                <w:u w:val="single"/>
                <w:lang w:val="en-US" w:eastAsia="zh-CN"/>
              </w:rPr>
              <w:t>0.47</w:t>
            </w:r>
            <w:r>
              <w:rPr>
                <w:rFonts w:hint="default" w:ascii="Times New Roman" w:hAnsi="Times New Roman" w:cs="Times New Roman"/>
                <w:color w:val="auto"/>
                <w:highlight w:val="none"/>
                <w:u w:val="single"/>
              </w:rPr>
              <w:t>t/a。</w:t>
            </w:r>
          </w:p>
          <w:p w14:paraId="3536A782">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⑤矿石运输扬尘</w:t>
            </w:r>
          </w:p>
          <w:p w14:paraId="4FDF8A73">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汽车是项目矿区内运输的主要工具，矿区内道路多为碎石路面，矿石运输途中产生运输扬尘，参照上海港环境保护中心和武汉水运工程学院提出的经验公式估算。</w:t>
            </w:r>
          </w:p>
          <w:p w14:paraId="28CD121B">
            <w:pPr>
              <w:ind w:firstLine="480"/>
              <w:rPr>
                <w:rFonts w:hint="default" w:ascii="Times New Roman" w:hAnsi="Times New Roman" w:cs="Times New Roman"/>
                <w:color w:val="auto"/>
                <w:highlight w:val="none"/>
                <w:u w:val="single"/>
              </w:rPr>
            </w:pPr>
            <m:oMathPara>
              <m:oMath>
                <m:r>
                  <m:rPr>
                    <m:sty m:val="p"/>
                  </m:rPr>
                  <w:rPr>
                    <w:rFonts w:hint="default" w:ascii="Cambria Math" w:hAnsi="Cambria Math" w:cs="Times New Roman"/>
                    <w:color w:val="auto"/>
                    <w:highlight w:val="none"/>
                    <w:u w:val="single"/>
                  </w:rPr>
                  <m:t>Q=0.123</m:t>
                </m:r>
                <m:d>
                  <m:dPr>
                    <m:ctrlPr>
                      <w:rPr>
                        <w:rFonts w:hint="default" w:ascii="Cambria Math" w:hAnsi="Cambria Math" w:cs="Times New Roman"/>
                        <w:color w:val="auto"/>
                        <w:highlight w:val="none"/>
                        <w:u w:val="single"/>
                      </w:rPr>
                    </m:ctrlPr>
                  </m:dPr>
                  <m:e>
                    <m:f>
                      <m:fPr>
                        <m:ctrlPr>
                          <w:rPr>
                            <w:rFonts w:hint="default" w:ascii="Cambria Math" w:hAnsi="Cambria Math" w:cs="Times New Roman"/>
                            <w:i/>
                            <w:color w:val="auto"/>
                            <w:highlight w:val="none"/>
                            <w:u w:val="single"/>
                          </w:rPr>
                        </m:ctrlPr>
                      </m:fPr>
                      <m:num>
                        <m:r>
                          <m:rPr/>
                          <w:rPr>
                            <w:rFonts w:hint="default" w:ascii="Cambria Math" w:hAnsi="Cambria Math" w:cs="Times New Roman"/>
                            <w:color w:val="auto"/>
                            <w:highlight w:val="none"/>
                            <w:u w:val="single"/>
                          </w:rPr>
                          <m:t>V</m:t>
                        </m:r>
                        <m:ctrlPr>
                          <w:rPr>
                            <w:rFonts w:hint="default" w:ascii="Cambria Math" w:hAnsi="Cambria Math" w:cs="Times New Roman"/>
                            <w:i/>
                            <w:color w:val="auto"/>
                            <w:highlight w:val="none"/>
                            <w:u w:val="single"/>
                          </w:rPr>
                        </m:ctrlPr>
                      </m:num>
                      <m:den>
                        <m:r>
                          <m:rPr/>
                          <w:rPr>
                            <w:rFonts w:hint="default" w:ascii="Cambria Math" w:hAnsi="Cambria Math" w:cs="Times New Roman"/>
                            <w:color w:val="auto"/>
                            <w:highlight w:val="none"/>
                            <w:u w:val="single"/>
                          </w:rPr>
                          <m:t>5</m:t>
                        </m:r>
                        <m:ctrlPr>
                          <w:rPr>
                            <w:rFonts w:hint="default" w:ascii="Cambria Math" w:hAnsi="Cambria Math" w:cs="Times New Roman"/>
                            <w:i/>
                            <w:color w:val="auto"/>
                            <w:highlight w:val="none"/>
                            <w:u w:val="single"/>
                          </w:rPr>
                        </m:ctrlPr>
                      </m:den>
                    </m:f>
                    <m:ctrlPr>
                      <w:rPr>
                        <w:rFonts w:hint="default" w:ascii="Cambria Math" w:hAnsi="Cambria Math" w:cs="Times New Roman"/>
                        <w:color w:val="auto"/>
                        <w:highlight w:val="none"/>
                        <w:u w:val="single"/>
                      </w:rPr>
                    </m:ctrlPr>
                  </m:e>
                </m:d>
                <m:sSup>
                  <m:sSupPr>
                    <m:ctrlPr>
                      <w:rPr>
                        <w:rFonts w:hint="default" w:ascii="Cambria Math" w:hAnsi="Cambria Math" w:cs="Times New Roman"/>
                        <w:i/>
                        <w:color w:val="auto"/>
                        <w:highlight w:val="none"/>
                        <w:u w:val="single"/>
                      </w:rPr>
                    </m:ctrlPr>
                  </m:sSupPr>
                  <m:e>
                    <m:d>
                      <m:dPr>
                        <m:ctrlPr>
                          <w:rPr>
                            <w:rFonts w:hint="default" w:ascii="Cambria Math" w:hAnsi="Cambria Math" w:cs="Times New Roman"/>
                            <w:i/>
                            <w:color w:val="auto"/>
                            <w:highlight w:val="none"/>
                            <w:u w:val="single"/>
                          </w:rPr>
                        </m:ctrlPr>
                      </m:dPr>
                      <m:e>
                        <m:f>
                          <m:fPr>
                            <m:ctrlPr>
                              <w:rPr>
                                <w:rFonts w:hint="default" w:ascii="Cambria Math" w:hAnsi="Cambria Math" w:cs="Times New Roman"/>
                                <w:i/>
                                <w:color w:val="auto"/>
                                <w:highlight w:val="none"/>
                                <w:u w:val="single"/>
                              </w:rPr>
                            </m:ctrlPr>
                          </m:fPr>
                          <m:num>
                            <m:r>
                              <m:rPr/>
                              <w:rPr>
                                <w:rFonts w:hint="default" w:ascii="Cambria Math" w:hAnsi="Cambria Math" w:cs="Times New Roman"/>
                                <w:color w:val="auto"/>
                                <w:highlight w:val="none"/>
                                <w:u w:val="single"/>
                              </w:rPr>
                              <m:t>W</m:t>
                            </m:r>
                            <m:ctrlPr>
                              <w:rPr>
                                <w:rFonts w:hint="default" w:ascii="Cambria Math" w:hAnsi="Cambria Math" w:cs="Times New Roman"/>
                                <w:i/>
                                <w:color w:val="auto"/>
                                <w:highlight w:val="none"/>
                                <w:u w:val="single"/>
                              </w:rPr>
                            </m:ctrlPr>
                          </m:num>
                          <m:den>
                            <m:r>
                              <m:rPr/>
                              <w:rPr>
                                <w:rFonts w:hint="default" w:ascii="Cambria Math" w:hAnsi="Cambria Math" w:cs="Times New Roman"/>
                                <w:color w:val="auto"/>
                                <w:highlight w:val="none"/>
                                <w:u w:val="single"/>
                              </w:rPr>
                              <m:t>6.8</m:t>
                            </m:r>
                            <m:ctrlPr>
                              <w:rPr>
                                <w:rFonts w:hint="default" w:ascii="Cambria Math" w:hAnsi="Cambria Math" w:cs="Times New Roman"/>
                                <w:i/>
                                <w:color w:val="auto"/>
                                <w:highlight w:val="none"/>
                                <w:u w:val="single"/>
                              </w:rPr>
                            </m:ctrlPr>
                          </m:den>
                        </m:f>
                        <m:ctrlPr>
                          <w:rPr>
                            <w:rFonts w:hint="default" w:ascii="Cambria Math" w:hAnsi="Cambria Math" w:cs="Times New Roman"/>
                            <w:i/>
                            <w:color w:val="auto"/>
                            <w:highlight w:val="none"/>
                            <w:u w:val="single"/>
                          </w:rPr>
                        </m:ctrlPr>
                      </m:e>
                    </m:d>
                    <m:ctrlPr>
                      <w:rPr>
                        <w:rFonts w:hint="default" w:ascii="Cambria Math" w:hAnsi="Cambria Math" w:cs="Times New Roman"/>
                        <w:i/>
                        <w:color w:val="auto"/>
                        <w:highlight w:val="none"/>
                        <w:u w:val="single"/>
                      </w:rPr>
                    </m:ctrlPr>
                  </m:e>
                  <m:sup>
                    <m:r>
                      <m:rPr/>
                      <w:rPr>
                        <w:rFonts w:hint="default" w:ascii="Cambria Math" w:hAnsi="Cambria Math" w:cs="Times New Roman"/>
                        <w:color w:val="auto"/>
                        <w:highlight w:val="none"/>
                        <w:u w:val="single"/>
                      </w:rPr>
                      <m:t>0.85</m:t>
                    </m:r>
                    <m:ctrlPr>
                      <w:rPr>
                        <w:rFonts w:hint="default" w:ascii="Cambria Math" w:hAnsi="Cambria Math" w:cs="Times New Roman"/>
                        <w:i/>
                        <w:color w:val="auto"/>
                        <w:highlight w:val="none"/>
                        <w:u w:val="single"/>
                      </w:rPr>
                    </m:ctrlPr>
                  </m:sup>
                </m:sSup>
                <m:sSup>
                  <m:sSupPr>
                    <m:ctrlPr>
                      <w:rPr>
                        <w:rFonts w:hint="default" w:ascii="Cambria Math" w:hAnsi="Cambria Math" w:cs="Times New Roman"/>
                        <w:i/>
                        <w:color w:val="auto"/>
                        <w:highlight w:val="none"/>
                        <w:u w:val="single"/>
                      </w:rPr>
                    </m:ctrlPr>
                  </m:sSupPr>
                  <m:e>
                    <m:d>
                      <m:dPr>
                        <m:ctrlPr>
                          <w:rPr>
                            <w:rFonts w:hint="default" w:ascii="Cambria Math" w:hAnsi="Cambria Math" w:cs="Times New Roman"/>
                            <w:i/>
                            <w:color w:val="auto"/>
                            <w:highlight w:val="none"/>
                            <w:u w:val="single"/>
                          </w:rPr>
                        </m:ctrlPr>
                      </m:dPr>
                      <m:e>
                        <m:f>
                          <m:fPr>
                            <m:ctrlPr>
                              <w:rPr>
                                <w:rFonts w:hint="default" w:ascii="Cambria Math" w:hAnsi="Cambria Math" w:cs="Times New Roman"/>
                                <w:i/>
                                <w:color w:val="auto"/>
                                <w:highlight w:val="none"/>
                                <w:u w:val="single"/>
                              </w:rPr>
                            </m:ctrlPr>
                          </m:fPr>
                          <m:num>
                            <m:r>
                              <m:rPr/>
                              <w:rPr>
                                <w:rFonts w:hint="default" w:ascii="Cambria Math" w:hAnsi="Cambria Math" w:cs="Times New Roman"/>
                                <w:color w:val="auto"/>
                                <w:highlight w:val="none"/>
                                <w:u w:val="single"/>
                              </w:rPr>
                              <m:t>P</m:t>
                            </m:r>
                            <m:ctrlPr>
                              <w:rPr>
                                <w:rFonts w:hint="default" w:ascii="Cambria Math" w:hAnsi="Cambria Math" w:cs="Times New Roman"/>
                                <w:i/>
                                <w:color w:val="auto"/>
                                <w:highlight w:val="none"/>
                                <w:u w:val="single"/>
                              </w:rPr>
                            </m:ctrlPr>
                          </m:num>
                          <m:den>
                            <m:r>
                              <m:rPr/>
                              <w:rPr>
                                <w:rFonts w:hint="default" w:ascii="Cambria Math" w:hAnsi="Cambria Math" w:cs="Times New Roman"/>
                                <w:color w:val="auto"/>
                                <w:highlight w:val="none"/>
                                <w:u w:val="single"/>
                              </w:rPr>
                              <m:t>0.5</m:t>
                            </m:r>
                            <m:ctrlPr>
                              <w:rPr>
                                <w:rFonts w:hint="default" w:ascii="Cambria Math" w:hAnsi="Cambria Math" w:cs="Times New Roman"/>
                                <w:i/>
                                <w:color w:val="auto"/>
                                <w:highlight w:val="none"/>
                                <w:u w:val="single"/>
                              </w:rPr>
                            </m:ctrlPr>
                          </m:den>
                        </m:f>
                        <m:ctrlPr>
                          <w:rPr>
                            <w:rFonts w:hint="default" w:ascii="Cambria Math" w:hAnsi="Cambria Math" w:cs="Times New Roman"/>
                            <w:i/>
                            <w:color w:val="auto"/>
                            <w:highlight w:val="none"/>
                            <w:u w:val="single"/>
                          </w:rPr>
                        </m:ctrlPr>
                      </m:e>
                    </m:d>
                    <m:ctrlPr>
                      <w:rPr>
                        <w:rFonts w:hint="default" w:ascii="Cambria Math" w:hAnsi="Cambria Math" w:cs="Times New Roman"/>
                        <w:i/>
                        <w:color w:val="auto"/>
                        <w:highlight w:val="none"/>
                        <w:u w:val="single"/>
                      </w:rPr>
                    </m:ctrlPr>
                  </m:e>
                  <m:sup>
                    <m:r>
                      <m:rPr/>
                      <w:rPr>
                        <w:rFonts w:hint="default" w:ascii="Cambria Math" w:hAnsi="Cambria Math" w:cs="Times New Roman"/>
                        <w:color w:val="auto"/>
                        <w:highlight w:val="none"/>
                        <w:u w:val="single"/>
                      </w:rPr>
                      <m:t>0.75</m:t>
                    </m:r>
                    <m:ctrlPr>
                      <w:rPr>
                        <w:rFonts w:hint="default" w:ascii="Cambria Math" w:hAnsi="Cambria Math" w:cs="Times New Roman"/>
                        <w:i/>
                        <w:color w:val="auto"/>
                        <w:highlight w:val="none"/>
                        <w:u w:val="single"/>
                      </w:rPr>
                    </m:ctrlPr>
                  </m:sup>
                </m:sSup>
              </m:oMath>
            </m:oMathPara>
          </w:p>
          <w:p w14:paraId="5EFAE4D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式中：Q——汽车行驶时的扬尘，kg/km·辆；</w:t>
            </w:r>
          </w:p>
          <w:p w14:paraId="0E9ACDF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V——汽车速度，km/h；</w:t>
            </w:r>
          </w:p>
          <w:p w14:paraId="6FCDA6D2">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W——汽车载重量，t；</w:t>
            </w:r>
          </w:p>
          <w:p w14:paraId="2FEDBA62">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P——道路表面粉尘量，取0.1kg/m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w:t>
            </w:r>
          </w:p>
          <w:p w14:paraId="2709523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项目车辆在矿区内行驶距离按0.5km计，空车载重</w:t>
            </w:r>
            <w:r>
              <w:rPr>
                <w:rFonts w:hint="eastAsia" w:cs="Times New Roman"/>
                <w:color w:val="auto"/>
                <w:highlight w:val="none"/>
                <w:u w:val="single"/>
                <w:lang w:val="en-US" w:eastAsia="zh-CN"/>
              </w:rPr>
              <w:t>20</w:t>
            </w:r>
            <w:r>
              <w:rPr>
                <w:rFonts w:hint="default" w:ascii="Times New Roman" w:hAnsi="Times New Roman" w:cs="Times New Roman"/>
                <w:color w:val="auto"/>
                <w:highlight w:val="none"/>
                <w:u w:val="single"/>
              </w:rPr>
              <w:t>吨，限速20km/h。根据矿区道路情况，起尘以0.1kg/m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计。经计算，项目运输扬尘产尘量为</w:t>
            </w:r>
            <w:r>
              <w:rPr>
                <w:rFonts w:hint="eastAsia" w:cs="Times New Roman"/>
                <w:color w:val="auto"/>
                <w:highlight w:val="none"/>
                <w:u w:val="single"/>
                <w:lang w:val="en-US" w:eastAsia="zh-CN"/>
              </w:rPr>
              <w:t>5.31</w:t>
            </w:r>
            <w:r>
              <w:rPr>
                <w:rFonts w:hint="default" w:ascii="Times New Roman" w:hAnsi="Times New Roman" w:cs="Times New Roman"/>
                <w:color w:val="auto"/>
                <w:highlight w:val="none"/>
                <w:u w:val="single"/>
              </w:rPr>
              <w:t>t/a。项目矿区道路采用洒水车进行洒水抑尘，同时限制运输车辆行驶速度，降低80%扬尘量；则项目矿石运输扬尘排放量</w:t>
            </w:r>
            <w:r>
              <w:rPr>
                <w:rFonts w:hint="eastAsia" w:cs="Times New Roman"/>
                <w:color w:val="auto"/>
                <w:highlight w:val="none"/>
                <w:u w:val="single"/>
                <w:lang w:val="en-US" w:eastAsia="zh-CN"/>
              </w:rPr>
              <w:t>1.06</w:t>
            </w:r>
            <w:r>
              <w:rPr>
                <w:rFonts w:hint="default" w:ascii="Times New Roman" w:hAnsi="Times New Roman" w:cs="Times New Roman"/>
                <w:color w:val="auto"/>
                <w:highlight w:val="none"/>
                <w:u w:val="single"/>
              </w:rPr>
              <w:t>t/a。</w:t>
            </w:r>
          </w:p>
          <w:p w14:paraId="421DF6C4">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szCs w:val="24"/>
                <w:highlight w:val="none"/>
                <w:u w:val="single"/>
              </w:rPr>
              <w:t>⑥</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粉尘</w:t>
            </w:r>
          </w:p>
          <w:p w14:paraId="73F868D4">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项目在矿区范围内设有</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一座，面积</w:t>
            </w:r>
            <w:r>
              <w:rPr>
                <w:rFonts w:hint="eastAsia" w:cs="Times New Roman"/>
                <w:color w:val="auto"/>
                <w:highlight w:val="none"/>
                <w:u w:val="single"/>
                <w:lang w:val="en-US" w:eastAsia="zh-CN"/>
              </w:rPr>
              <w:t>23800</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。扬尘产生量参照先冶金建筑学院的干堆扬尘计算公式进行估算。</w:t>
            </w:r>
          </w:p>
          <w:p w14:paraId="32B85D2B">
            <w:pPr>
              <w:ind w:firstLine="480"/>
              <w:rPr>
                <w:rFonts w:hint="default" w:ascii="Times New Roman" w:hAnsi="Times New Roman" w:cs="Times New Roman"/>
                <w:color w:val="auto"/>
                <w:highlight w:val="none"/>
                <w:u w:val="single"/>
              </w:rPr>
            </w:pPr>
            <m:oMathPara>
              <m:oMath>
                <m:r>
                  <m:rPr>
                    <m:sty m:val="p"/>
                  </m:rPr>
                  <w:rPr>
                    <w:rFonts w:hint="default" w:ascii="Cambria Math" w:hAnsi="Cambria Math" w:cs="Times New Roman"/>
                    <w:color w:val="auto"/>
                    <w:highlight w:val="none"/>
                    <w:u w:val="single"/>
                  </w:rPr>
                  <m:t>Q=4.23×</m:t>
                </m:r>
                <m:sSup>
                  <m:sSupPr>
                    <m:ctrlPr>
                      <w:rPr>
                        <w:rFonts w:hint="default" w:ascii="Cambria Math" w:hAnsi="Cambria Math" w:cs="Times New Roman"/>
                        <w:color w:val="auto"/>
                        <w:highlight w:val="none"/>
                        <w:u w:val="single"/>
                      </w:rPr>
                    </m:ctrlPr>
                  </m:sSupPr>
                  <m:e>
                    <m:r>
                      <m:rPr>
                        <m:sty m:val="p"/>
                      </m:rPr>
                      <w:rPr>
                        <w:rFonts w:hint="default" w:ascii="Cambria Math" w:hAnsi="Cambria Math" w:cs="Times New Roman"/>
                        <w:color w:val="auto"/>
                        <w:highlight w:val="none"/>
                        <w:u w:val="single"/>
                      </w:rPr>
                      <m:t>10</m:t>
                    </m:r>
                    <m:ctrlPr>
                      <w:rPr>
                        <w:rFonts w:hint="default" w:ascii="Cambria Math" w:hAnsi="Cambria Math" w:cs="Times New Roman"/>
                        <w:color w:val="auto"/>
                        <w:highlight w:val="none"/>
                        <w:u w:val="single"/>
                      </w:rPr>
                    </m:ctrlPr>
                  </m:e>
                  <m:sup>
                    <m:r>
                      <m:rPr/>
                      <w:rPr>
                        <w:rFonts w:hint="default" w:ascii="Cambria Math" w:hAnsi="Cambria Math" w:cs="Times New Roman"/>
                        <w:color w:val="auto"/>
                        <w:highlight w:val="none"/>
                        <w:u w:val="single"/>
                      </w:rPr>
                      <m:t>−4</m:t>
                    </m:r>
                    <m:ctrlPr>
                      <w:rPr>
                        <w:rFonts w:hint="default" w:ascii="Cambria Math" w:hAnsi="Cambria Math" w:cs="Times New Roman"/>
                        <w:color w:val="auto"/>
                        <w:highlight w:val="none"/>
                        <w:u w:val="single"/>
                      </w:rPr>
                    </m:ctrlPr>
                  </m:sup>
                </m:sSup>
                <m:r>
                  <m:rPr/>
                  <w:rPr>
                    <w:rFonts w:hint="default" w:ascii="Cambria Math" w:hAnsi="Cambria Math" w:cs="Times New Roman"/>
                    <w:color w:val="auto"/>
                    <w:highlight w:val="none"/>
                    <w:u w:val="single"/>
                  </w:rPr>
                  <m:t>×V×4.9×S</m:t>
                </m:r>
              </m:oMath>
            </m:oMathPara>
          </w:p>
          <w:p w14:paraId="7DB66702">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其中：Q——粉尘产生量，kg/d；</w:t>
            </w:r>
          </w:p>
          <w:p w14:paraId="553F1CE8">
            <w:pPr>
              <w:ind w:firstLine="1200" w:firstLineChars="50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S——堆场面积，</w:t>
            </w:r>
            <w:r>
              <w:rPr>
                <w:rFonts w:hint="eastAsia" w:cs="Times New Roman"/>
                <w:color w:val="auto"/>
                <w:highlight w:val="none"/>
                <w:u w:val="single"/>
                <w:lang w:val="en-US" w:eastAsia="zh-CN"/>
              </w:rPr>
              <w:t>23800</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w:t>
            </w:r>
          </w:p>
          <w:p w14:paraId="4D4B3EA9">
            <w:pPr>
              <w:ind w:firstLine="1200" w:firstLineChars="50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V——地面平均风速，m/s，取2.</w:t>
            </w:r>
            <w:r>
              <w:rPr>
                <w:rFonts w:hint="eastAsia" w:cs="Times New Roman"/>
                <w:color w:val="auto"/>
                <w:highlight w:val="none"/>
                <w:u w:val="single"/>
                <w:lang w:val="en-US" w:eastAsia="zh-CN"/>
              </w:rPr>
              <w:t>0</w:t>
            </w:r>
            <w:r>
              <w:rPr>
                <w:rFonts w:hint="default" w:ascii="Times New Roman" w:hAnsi="Times New Roman" w:cs="Times New Roman"/>
                <w:color w:val="auto"/>
                <w:highlight w:val="none"/>
                <w:u w:val="single"/>
              </w:rPr>
              <w:t>m/s</w:t>
            </w:r>
          </w:p>
          <w:p w14:paraId="39AEECD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根据上述公式计算，露天状态下，</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扬尘产生量</w:t>
            </w:r>
            <w:r>
              <w:rPr>
                <w:rFonts w:hint="eastAsia" w:cs="Times New Roman"/>
                <w:color w:val="auto"/>
                <w:highlight w:val="none"/>
                <w:u w:val="single"/>
                <w:lang w:val="en-US" w:eastAsia="zh-CN"/>
              </w:rPr>
              <w:t>98.66</w:t>
            </w:r>
            <w:r>
              <w:rPr>
                <w:rFonts w:hint="default" w:ascii="Times New Roman" w:hAnsi="Times New Roman" w:cs="Times New Roman"/>
                <w:color w:val="auto"/>
                <w:highlight w:val="none"/>
                <w:u w:val="single"/>
              </w:rPr>
              <w:t>t/a。项目通过设置挡土墙，在</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覆盖防尘布一级洒水抑尘，可降低90%的扬尘量，因此项目矿区</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扬尘排放量为</w:t>
            </w:r>
            <w:r>
              <w:rPr>
                <w:rFonts w:hint="eastAsia" w:cs="Times New Roman"/>
                <w:color w:val="auto"/>
                <w:highlight w:val="none"/>
                <w:u w:val="single"/>
                <w:lang w:val="en-US" w:eastAsia="zh-CN"/>
              </w:rPr>
              <w:t>9.87</w:t>
            </w:r>
            <w:r>
              <w:rPr>
                <w:rFonts w:hint="default" w:ascii="Times New Roman" w:hAnsi="Times New Roman" w:cs="Times New Roman"/>
                <w:color w:val="auto"/>
                <w:highlight w:val="none"/>
                <w:u w:val="single"/>
              </w:rPr>
              <w:t>t/a。</w:t>
            </w:r>
          </w:p>
          <w:p w14:paraId="0DC2D9B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⑦机械燃油废气</w:t>
            </w:r>
          </w:p>
          <w:p w14:paraId="7E538C9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项目矿山采用露天开采，开采机械挖掘机、装载机等运行时产生燃油废气，主要污染物包括CO、NO</w:t>
            </w:r>
            <w:r>
              <w:rPr>
                <w:rFonts w:hint="default" w:ascii="Times New Roman" w:hAnsi="Times New Roman" w:cs="Times New Roman"/>
                <w:color w:val="auto"/>
                <w:highlight w:val="none"/>
                <w:u w:val="single"/>
                <w:vertAlign w:val="subscript"/>
              </w:rPr>
              <w:t>X</w:t>
            </w:r>
            <w:r>
              <w:rPr>
                <w:rFonts w:hint="default" w:ascii="Times New Roman" w:hAnsi="Times New Roman" w:cs="Times New Roman"/>
                <w:color w:val="auto"/>
                <w:highlight w:val="none"/>
                <w:u w:val="single"/>
              </w:rPr>
              <w:t>、THC。矿石开采机械无固定位置，作业范围较大，无法进行有效收集处理排放。项目矿山地域空旷，废气扩散条件好，燃油废气经自然扩散后对周边环境空气影响较小。</w:t>
            </w:r>
          </w:p>
          <w:p w14:paraId="1BD5E942">
            <w:pPr>
              <w:ind w:firstLine="480"/>
              <w:rPr>
                <w:rFonts w:hint="default" w:ascii="Times New Roman" w:hAnsi="Times New Roman" w:cs="Times New Roman"/>
                <w:color w:val="auto"/>
                <w:highlight w:val="none"/>
                <w:u w:val="single"/>
              </w:rPr>
            </w:pPr>
            <w:r>
              <w:rPr>
                <w:rFonts w:hint="eastAsia" w:cs="Times New Roman"/>
                <w:color w:val="auto"/>
                <w:highlight w:val="none"/>
                <w:u w:val="single"/>
                <w:lang w:eastAsia="zh-CN"/>
              </w:rPr>
              <w:t>（</w:t>
            </w:r>
            <w:r>
              <w:rPr>
                <w:rFonts w:hint="eastAsia" w:cs="Times New Roman"/>
                <w:color w:val="auto"/>
                <w:highlight w:val="none"/>
                <w:u w:val="single"/>
                <w:lang w:val="en-US" w:eastAsia="zh-CN"/>
              </w:rPr>
              <w:t>2</w:t>
            </w:r>
            <w:r>
              <w:rPr>
                <w:rFonts w:hint="eastAsia" w:cs="Times New Roman"/>
                <w:color w:val="auto"/>
                <w:highlight w:val="none"/>
                <w:u w:val="single"/>
                <w:lang w:eastAsia="zh-CN"/>
              </w:rPr>
              <w:t>）</w:t>
            </w:r>
            <w:r>
              <w:rPr>
                <w:rFonts w:hint="eastAsia" w:cs="Times New Roman"/>
                <w:color w:val="auto"/>
                <w:highlight w:val="none"/>
                <w:u w:val="single"/>
                <w:lang w:val="en-US" w:eastAsia="zh-CN"/>
              </w:rPr>
              <w:t>碎石</w:t>
            </w:r>
            <w:r>
              <w:rPr>
                <w:rFonts w:hint="default" w:ascii="Times New Roman" w:hAnsi="Times New Roman" w:cs="Times New Roman"/>
                <w:color w:val="auto"/>
                <w:highlight w:val="none"/>
                <w:u w:val="single"/>
              </w:rPr>
              <w:t>加工过程废气污染源分析</w:t>
            </w:r>
          </w:p>
          <w:p w14:paraId="77CB06AF">
            <w:pPr>
              <w:ind w:left="0" w:leftChars="0" w:firstLine="480" w:firstLineChars="200"/>
              <w:rPr>
                <w:rFonts w:hint="default" w:ascii="Times New Roman" w:hAnsi="Times New Roman" w:cs="Times New Roman"/>
                <w:color w:val="auto"/>
                <w:highlight w:val="none"/>
                <w:u w:val="single"/>
              </w:rPr>
            </w:pPr>
            <w:r>
              <w:rPr>
                <w:rFonts w:hint="default" w:ascii="Times New Roman" w:hAnsi="Times New Roman" w:cs="Times New Roman"/>
                <w:color w:val="auto"/>
                <w:szCs w:val="24"/>
                <w:highlight w:val="none"/>
                <w:u w:val="single"/>
              </w:rPr>
              <w:t>①</w:t>
            </w:r>
            <w:r>
              <w:rPr>
                <w:rFonts w:hint="default" w:ascii="Times New Roman" w:hAnsi="Times New Roman" w:cs="Times New Roman"/>
                <w:color w:val="auto"/>
                <w:highlight w:val="none"/>
                <w:u w:val="single"/>
              </w:rPr>
              <w:t>破碎、</w:t>
            </w:r>
            <w:r>
              <w:rPr>
                <w:rFonts w:hint="eastAsia" w:cs="Times New Roman"/>
                <w:color w:val="auto"/>
                <w:highlight w:val="none"/>
                <w:u w:val="single"/>
                <w:lang w:val="en-US" w:eastAsia="zh-CN"/>
              </w:rPr>
              <w:t>筛分</w:t>
            </w:r>
            <w:r>
              <w:rPr>
                <w:rFonts w:hint="default" w:ascii="Times New Roman" w:hAnsi="Times New Roman" w:cs="Times New Roman"/>
                <w:color w:val="auto"/>
                <w:highlight w:val="none"/>
                <w:u w:val="single"/>
              </w:rPr>
              <w:t>粉尘</w:t>
            </w:r>
          </w:p>
          <w:p w14:paraId="5931F7E8">
            <w:pPr>
              <w:ind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rPr>
              <w:t>本项目配备1条碎石加工生产线，破碎、筛分为连接的一套系统，破碎、 筛分系统产尘点分别为破碎机、筛分机进料口、出料点等。参照《逸散性工业粉尘控制技术》（中国环境科学出版社），破碎、筛分工序产尘系数按 0.025kg/t物料计；项目年破碎加工矿石</w:t>
            </w:r>
            <w:r>
              <w:rPr>
                <w:rFonts w:hint="eastAsia" w:cs="Times New Roman"/>
                <w:color w:val="auto"/>
                <w:highlight w:val="none"/>
                <w:u w:val="single"/>
                <w:lang w:val="en-US" w:eastAsia="zh-CN"/>
              </w:rPr>
              <w:t>12</w:t>
            </w:r>
            <w:r>
              <w:rPr>
                <w:rFonts w:hint="default" w:ascii="Times New Roman" w:hAnsi="Times New Roman" w:cs="Times New Roman"/>
                <w:color w:val="auto"/>
                <w:highlight w:val="none"/>
                <w:u w:val="single"/>
              </w:rPr>
              <w:t xml:space="preserve">0万吨，则破碎筛分粉尘产生量 </w:t>
            </w:r>
            <w:r>
              <w:rPr>
                <w:rFonts w:hint="eastAsia" w:cs="Times New Roman"/>
                <w:color w:val="auto"/>
                <w:highlight w:val="none"/>
                <w:u w:val="single"/>
                <w:lang w:val="en-US" w:eastAsia="zh-CN"/>
              </w:rPr>
              <w:t>30</w:t>
            </w:r>
            <w:r>
              <w:rPr>
                <w:rFonts w:hint="default" w:ascii="Times New Roman" w:hAnsi="Times New Roman" w:cs="Times New Roman"/>
                <w:color w:val="auto"/>
                <w:highlight w:val="none"/>
                <w:u w:val="single"/>
              </w:rPr>
              <w:t>t/a，项目碎石生产线生产过程中会产生大量粉尘，主要产生节点为破碎、 筛分，项目首先在破碎</w:t>
            </w:r>
            <w:r>
              <w:rPr>
                <w:rFonts w:hint="eastAsia" w:cs="Times New Roman"/>
                <w:color w:val="auto"/>
                <w:highlight w:val="none"/>
                <w:u w:val="single"/>
                <w:lang w:val="en-US" w:eastAsia="zh-CN"/>
              </w:rPr>
              <w:t>机出料口安装风机及布袋</w:t>
            </w:r>
            <w:r>
              <w:rPr>
                <w:rFonts w:hint="default" w:ascii="Times New Roman" w:hAnsi="Times New Roman" w:cs="Times New Roman"/>
                <w:color w:val="auto"/>
                <w:highlight w:val="none"/>
                <w:u w:val="single"/>
              </w:rPr>
              <w:t>除尘器对粉尘进行</w:t>
            </w:r>
            <w:r>
              <w:rPr>
                <w:rFonts w:hint="eastAsia" w:cs="Times New Roman"/>
                <w:color w:val="auto"/>
                <w:highlight w:val="none"/>
                <w:u w:val="single"/>
                <w:lang w:val="en-US" w:eastAsia="zh-CN"/>
              </w:rPr>
              <w:t>收集处理</w:t>
            </w:r>
            <w:r>
              <w:rPr>
                <w:rFonts w:hint="default" w:ascii="Times New Roman" w:hAnsi="Times New Roman" w:cs="Times New Roman"/>
                <w:color w:val="auto"/>
                <w:highlight w:val="none"/>
                <w:u w:val="single"/>
              </w:rPr>
              <w:t>，然后在将上料口皮带运输整体封闭，一直到筛分工序，在筛分</w:t>
            </w:r>
            <w:r>
              <w:rPr>
                <w:rFonts w:hint="eastAsia" w:cs="Times New Roman"/>
                <w:color w:val="auto"/>
                <w:highlight w:val="none"/>
                <w:u w:val="single"/>
                <w:lang w:val="en-US" w:eastAsia="zh-CN"/>
              </w:rPr>
              <w:t>机出料口安装风机及布袋除尘器</w:t>
            </w:r>
            <w:r>
              <w:rPr>
                <w:rFonts w:hint="default" w:ascii="Times New Roman" w:hAnsi="Times New Roman" w:cs="Times New Roman"/>
                <w:color w:val="auto"/>
                <w:highlight w:val="none"/>
                <w:u w:val="single"/>
              </w:rPr>
              <w:t>收集粉尘，除尘器风机风量</w:t>
            </w:r>
            <w:r>
              <w:rPr>
                <w:rFonts w:hint="eastAsia" w:cs="Times New Roman"/>
                <w:color w:val="auto"/>
                <w:highlight w:val="none"/>
                <w:u w:val="single"/>
                <w:lang w:val="en-US" w:eastAsia="zh-CN"/>
              </w:rPr>
              <w:t>均</w:t>
            </w:r>
            <w:r>
              <w:rPr>
                <w:rFonts w:hint="default" w:ascii="Times New Roman" w:hAnsi="Times New Roman" w:cs="Times New Roman"/>
                <w:color w:val="auto"/>
                <w:highlight w:val="none"/>
                <w:u w:val="single"/>
              </w:rPr>
              <w:t>为50000m</w:t>
            </w:r>
            <w:r>
              <w:rPr>
                <w:rFonts w:hint="default" w:ascii="Times New Roman" w:hAnsi="Times New Roman" w:cs="Times New Roman"/>
                <w:color w:val="auto"/>
                <w:highlight w:val="none"/>
                <w:u w:val="single"/>
                <w:vertAlign w:val="superscript"/>
              </w:rPr>
              <w:t>3</w:t>
            </w:r>
            <w:r>
              <w:rPr>
                <w:rFonts w:hint="default" w:ascii="Times New Roman" w:hAnsi="Times New Roman" w:cs="Times New Roman"/>
                <w:color w:val="auto"/>
                <w:highlight w:val="none"/>
                <w:u w:val="single"/>
              </w:rPr>
              <w:t>/h，处理效率为99%，则项目破碎筛分粉尘排放量为0.</w:t>
            </w:r>
            <w:r>
              <w:rPr>
                <w:rFonts w:hint="eastAsia" w:cs="Times New Roman"/>
                <w:color w:val="auto"/>
                <w:highlight w:val="none"/>
                <w:u w:val="single"/>
                <w:lang w:val="en-US" w:eastAsia="zh-CN"/>
              </w:rPr>
              <w:t>3</w:t>
            </w:r>
            <w:r>
              <w:rPr>
                <w:rFonts w:hint="default" w:ascii="Times New Roman" w:hAnsi="Times New Roman" w:cs="Times New Roman"/>
                <w:color w:val="auto"/>
                <w:highlight w:val="none"/>
                <w:u w:val="single"/>
              </w:rPr>
              <w:t>t/a</w:t>
            </w:r>
            <w:r>
              <w:rPr>
                <w:rFonts w:hint="eastAsia" w:cs="Times New Roman"/>
                <w:color w:val="auto"/>
                <w:highlight w:val="none"/>
                <w:u w:val="single"/>
                <w:lang w:eastAsia="zh-CN"/>
              </w:rPr>
              <w:t>，</w:t>
            </w:r>
            <w:r>
              <w:rPr>
                <w:rFonts w:hint="eastAsia" w:cs="Times New Roman"/>
                <w:color w:val="auto"/>
                <w:highlight w:val="none"/>
                <w:u w:val="single"/>
                <w:lang w:val="en-US" w:eastAsia="zh-CN"/>
              </w:rPr>
              <w:t>经处理后的粉尘采用1根15m排气筒高空排放。</w:t>
            </w:r>
          </w:p>
          <w:p w14:paraId="0B9289C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szCs w:val="24"/>
                <w:highlight w:val="none"/>
                <w:u w:val="single"/>
              </w:rPr>
              <w:t>②</w:t>
            </w:r>
            <w:r>
              <w:rPr>
                <w:rFonts w:hint="default" w:ascii="Times New Roman" w:hAnsi="Times New Roman" w:cs="Times New Roman"/>
                <w:color w:val="auto"/>
                <w:highlight w:val="none"/>
                <w:u w:val="single"/>
              </w:rPr>
              <w:t>皮带输送粉尘</w:t>
            </w:r>
          </w:p>
          <w:p w14:paraId="1FF8435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项目矿石破碎、筛分、转运均采用皮带输送，参照《逸散性工业粉尘控制技术》（中国环境科学出版社），皮带输送产尘系数取0.01kg/t物料；项目年输送物料</w:t>
            </w:r>
            <w:r>
              <w:rPr>
                <w:rFonts w:hint="eastAsia" w:cs="Times New Roman"/>
                <w:color w:val="auto"/>
                <w:highlight w:val="none"/>
                <w:u w:val="single"/>
                <w:lang w:val="en-US" w:eastAsia="zh-CN"/>
              </w:rPr>
              <w:t>12</w:t>
            </w:r>
            <w:r>
              <w:rPr>
                <w:rFonts w:hint="default" w:ascii="Times New Roman" w:hAnsi="Times New Roman" w:cs="Times New Roman"/>
                <w:color w:val="auto"/>
                <w:highlight w:val="none"/>
                <w:u w:val="single"/>
              </w:rPr>
              <w:t>0万吨，则皮带输送粉尘</w:t>
            </w:r>
            <w:r>
              <w:rPr>
                <w:rFonts w:hint="eastAsia" w:cs="Times New Roman"/>
                <w:color w:val="auto"/>
                <w:highlight w:val="none"/>
                <w:u w:val="single"/>
                <w:lang w:val="en-US" w:eastAsia="zh-CN"/>
              </w:rPr>
              <w:t>12</w:t>
            </w:r>
            <w:r>
              <w:rPr>
                <w:rFonts w:hint="default" w:ascii="Times New Roman" w:hAnsi="Times New Roman" w:cs="Times New Roman"/>
                <w:color w:val="auto"/>
                <w:highlight w:val="none"/>
                <w:u w:val="single"/>
              </w:rPr>
              <w:t>.0t/a。项目破碎车间均为封闭式结构，可降低部分皮带输送粉尘逸散出车间；本次评价要求建设单位采用将皮带整体封闭，并在入料端</w:t>
            </w:r>
            <w:r>
              <w:rPr>
                <w:rFonts w:hint="eastAsia" w:cs="Times New Roman"/>
                <w:color w:val="auto"/>
                <w:highlight w:val="none"/>
                <w:u w:val="single"/>
                <w:lang w:val="en-US" w:eastAsia="zh-CN"/>
              </w:rPr>
              <w:t>及</w:t>
            </w:r>
            <w:r>
              <w:rPr>
                <w:rFonts w:hint="default" w:ascii="Times New Roman" w:hAnsi="Times New Roman" w:cs="Times New Roman"/>
                <w:color w:val="auto"/>
                <w:highlight w:val="none"/>
                <w:u w:val="single"/>
              </w:rPr>
              <w:t>出料端设置小型喷水装置等措施来抑尘；通过上述降尘措施，抑尘效率可达</w:t>
            </w:r>
            <w:r>
              <w:rPr>
                <w:rFonts w:hint="eastAsia" w:cs="Times New Roman"/>
                <w:color w:val="auto"/>
                <w:highlight w:val="none"/>
                <w:u w:val="single"/>
                <w:lang w:val="en-US" w:eastAsia="zh-CN"/>
              </w:rPr>
              <w:t>99</w:t>
            </w:r>
            <w:r>
              <w:rPr>
                <w:rFonts w:hint="default" w:ascii="Times New Roman" w:hAnsi="Times New Roman" w:cs="Times New Roman"/>
                <w:color w:val="auto"/>
                <w:highlight w:val="none"/>
                <w:u w:val="single"/>
              </w:rPr>
              <w:t>%以上，则皮带输送粉尘排放量</w:t>
            </w:r>
            <w:r>
              <w:rPr>
                <w:rFonts w:hint="eastAsia" w:cs="Times New Roman"/>
                <w:color w:val="auto"/>
                <w:highlight w:val="none"/>
                <w:u w:val="single"/>
                <w:lang w:val="en-US" w:eastAsia="zh-CN"/>
              </w:rPr>
              <w:t>0.12</w:t>
            </w:r>
            <w:r>
              <w:rPr>
                <w:rFonts w:hint="default" w:ascii="Times New Roman" w:hAnsi="Times New Roman" w:cs="Times New Roman"/>
                <w:color w:val="auto"/>
                <w:highlight w:val="none"/>
                <w:u w:val="single"/>
              </w:rPr>
              <w:t>t/a。</w:t>
            </w:r>
          </w:p>
          <w:p w14:paraId="56A6253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szCs w:val="24"/>
                <w:highlight w:val="none"/>
                <w:u w:val="single"/>
              </w:rPr>
              <w:t>③</w:t>
            </w:r>
            <w:r>
              <w:rPr>
                <w:rFonts w:hint="default" w:ascii="Times New Roman" w:hAnsi="Times New Roman" w:cs="Times New Roman"/>
                <w:color w:val="auto"/>
                <w:highlight w:val="none"/>
                <w:u w:val="single"/>
              </w:rPr>
              <w:t>堆场扬尘</w:t>
            </w:r>
          </w:p>
          <w:p w14:paraId="7679B83D">
            <w:pPr>
              <w:keepNext w:val="0"/>
              <w:keepLines w:val="0"/>
              <w:widowControl/>
              <w:suppressLineNumbers w:val="0"/>
              <w:jc w:val="left"/>
              <w:rPr>
                <w:color w:val="auto"/>
                <w:highlight w:val="none"/>
                <w:u w:val="single"/>
              </w:rPr>
            </w:pPr>
            <w:r>
              <w:rPr>
                <w:rFonts w:hint="default" w:ascii="Times New Roman" w:hAnsi="Times New Roman" w:cs="Times New Roman"/>
                <w:color w:val="auto"/>
                <w:highlight w:val="none"/>
                <w:u w:val="single"/>
              </w:rPr>
              <w:t>项目</w:t>
            </w:r>
            <w:r>
              <w:rPr>
                <w:rFonts w:hint="eastAsia" w:cs="Times New Roman"/>
                <w:color w:val="auto"/>
                <w:highlight w:val="none"/>
                <w:u w:val="single"/>
                <w:lang w:val="en-US" w:eastAsia="zh-CN"/>
              </w:rPr>
              <w:t>工业场地设置有</w:t>
            </w:r>
            <w:r>
              <w:rPr>
                <w:rFonts w:hint="default" w:ascii="Times New Roman" w:hAnsi="Times New Roman" w:cs="Times New Roman"/>
                <w:color w:val="auto"/>
                <w:highlight w:val="none"/>
                <w:u w:val="single"/>
              </w:rPr>
              <w:t>产品堆场面积</w:t>
            </w:r>
            <w:r>
              <w:rPr>
                <w:rFonts w:hint="eastAsia" w:cs="Times New Roman"/>
                <w:color w:val="auto"/>
                <w:highlight w:val="none"/>
                <w:u w:val="single"/>
                <w:lang w:val="en-US" w:eastAsia="zh-CN"/>
              </w:rPr>
              <w:t>约2000</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，扬尘产生量参照西安冶金建筑学院的干堆扬尘计算公式估算为</w:t>
            </w:r>
            <w:r>
              <w:rPr>
                <w:rFonts w:hint="eastAsia" w:cs="Times New Roman"/>
                <w:color w:val="auto"/>
                <w:highlight w:val="none"/>
                <w:u w:val="single"/>
                <w:lang w:val="en-US" w:eastAsia="zh-CN"/>
              </w:rPr>
              <w:t>1.62</w:t>
            </w:r>
            <w:r>
              <w:rPr>
                <w:rFonts w:hint="default" w:ascii="Times New Roman" w:hAnsi="Times New Roman" w:cs="Times New Roman"/>
                <w:color w:val="auto"/>
                <w:highlight w:val="none"/>
                <w:u w:val="single"/>
              </w:rPr>
              <w:t>t/a。</w:t>
            </w:r>
            <w:r>
              <w:rPr>
                <w:rFonts w:hint="eastAsia" w:ascii="宋体" w:hAnsi="宋体" w:eastAsia="宋体" w:cs="宋体"/>
                <w:color w:val="auto"/>
                <w:kern w:val="0"/>
                <w:sz w:val="24"/>
                <w:szCs w:val="24"/>
                <w:highlight w:val="none"/>
                <w:u w:val="single"/>
                <w:lang w:val="en-US" w:eastAsia="zh-CN" w:bidi="ar"/>
              </w:rPr>
              <w:t xml:space="preserve">堆场设计为全封闭并在车间内采取定期洒水措施，可使得粉尘在厂房产生一定的沉降作用，类比同类石矿加工区的实际情况，同时参照工业行业产排污系数手册，采取上述措施后，可达到抑尘效率 </w:t>
            </w:r>
            <w:r>
              <w:rPr>
                <w:rFonts w:hint="default" w:ascii="Times New Roman" w:hAnsi="Times New Roman" w:eastAsia="宋体" w:cs="Times New Roman"/>
                <w:color w:val="auto"/>
                <w:kern w:val="0"/>
                <w:sz w:val="24"/>
                <w:szCs w:val="24"/>
                <w:highlight w:val="none"/>
                <w:u w:val="single"/>
                <w:lang w:val="en-US" w:eastAsia="zh-CN" w:bidi="ar"/>
              </w:rPr>
              <w:t>80%</w:t>
            </w:r>
            <w:r>
              <w:rPr>
                <w:rFonts w:hint="eastAsia" w:ascii="宋体" w:hAnsi="宋体" w:eastAsia="宋体" w:cs="宋体"/>
                <w:color w:val="auto"/>
                <w:kern w:val="0"/>
                <w:sz w:val="24"/>
                <w:szCs w:val="24"/>
                <w:highlight w:val="none"/>
                <w:u w:val="single"/>
                <w:lang w:val="en-US" w:eastAsia="zh-CN" w:bidi="ar"/>
              </w:rPr>
              <w:t>左右，则无组织粉尘排放量为</w:t>
            </w:r>
            <w:r>
              <w:rPr>
                <w:rFonts w:hint="default" w:ascii="Times New Roman" w:hAnsi="Times New Roman" w:eastAsia="宋体" w:cs="Times New Roman"/>
                <w:color w:val="auto"/>
                <w:kern w:val="0"/>
                <w:sz w:val="24"/>
                <w:szCs w:val="24"/>
                <w:highlight w:val="none"/>
                <w:u w:val="single"/>
                <w:lang w:val="en-US" w:eastAsia="zh-CN" w:bidi="ar"/>
              </w:rPr>
              <w:t>0.32t/a</w:t>
            </w:r>
            <w:r>
              <w:rPr>
                <w:rFonts w:hint="eastAsia" w:ascii="宋体" w:hAnsi="宋体" w:eastAsia="宋体" w:cs="宋体"/>
                <w:color w:val="auto"/>
                <w:kern w:val="0"/>
                <w:sz w:val="24"/>
                <w:szCs w:val="24"/>
                <w:highlight w:val="none"/>
                <w:u w:val="single"/>
                <w:lang w:val="en-US" w:eastAsia="zh-CN" w:bidi="ar"/>
              </w:rPr>
              <w:t>。</w:t>
            </w:r>
          </w:p>
          <w:p w14:paraId="3848D71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本项目废气污染物产排情况见下表。</w:t>
            </w:r>
          </w:p>
          <w:p w14:paraId="0395B0A5">
            <w:pPr>
              <w:ind w:firstLine="0" w:firstLineChars="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 xml:space="preserve">  项目废气产排情况一览表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074"/>
              <w:gridCol w:w="647"/>
              <w:gridCol w:w="1224"/>
              <w:gridCol w:w="931"/>
              <w:gridCol w:w="1153"/>
              <w:gridCol w:w="773"/>
              <w:gridCol w:w="806"/>
              <w:gridCol w:w="828"/>
            </w:tblGrid>
            <w:tr w14:paraId="7739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Merge w:val="restart"/>
                  <w:vAlign w:val="center"/>
                </w:tcPr>
                <w:p w14:paraId="75CCDDFC">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序号</w:t>
                  </w:r>
                </w:p>
              </w:tc>
              <w:tc>
                <w:tcPr>
                  <w:tcW w:w="1074" w:type="dxa"/>
                  <w:vMerge w:val="restart"/>
                  <w:vAlign w:val="center"/>
                </w:tcPr>
                <w:p w14:paraId="5AB559DB">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产污环节</w:t>
                  </w:r>
                </w:p>
              </w:tc>
              <w:tc>
                <w:tcPr>
                  <w:tcW w:w="647" w:type="dxa"/>
                  <w:vMerge w:val="restart"/>
                  <w:vAlign w:val="center"/>
                </w:tcPr>
                <w:p w14:paraId="0786FFE9">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污染物</w:t>
                  </w:r>
                </w:p>
              </w:tc>
              <w:tc>
                <w:tcPr>
                  <w:tcW w:w="1224" w:type="dxa"/>
                  <w:vMerge w:val="restart"/>
                  <w:vAlign w:val="center"/>
                </w:tcPr>
                <w:p w14:paraId="09286CF1">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主要污染防治措施</w:t>
                  </w:r>
                </w:p>
              </w:tc>
              <w:tc>
                <w:tcPr>
                  <w:tcW w:w="2084" w:type="dxa"/>
                  <w:gridSpan w:val="2"/>
                  <w:vAlign w:val="center"/>
                </w:tcPr>
                <w:p w14:paraId="4EF2E4CF">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国家或地方污染物排放标准</w:t>
                  </w:r>
                </w:p>
              </w:tc>
              <w:tc>
                <w:tcPr>
                  <w:tcW w:w="773" w:type="dxa"/>
                  <w:vMerge w:val="restart"/>
                  <w:vAlign w:val="center"/>
                </w:tcPr>
                <w:p w14:paraId="49F4437D">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产生量（t/a）</w:t>
                  </w:r>
                </w:p>
              </w:tc>
              <w:tc>
                <w:tcPr>
                  <w:tcW w:w="806" w:type="dxa"/>
                  <w:vMerge w:val="restart"/>
                  <w:vAlign w:val="center"/>
                </w:tcPr>
                <w:p w14:paraId="00BF60F5">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消减量</w:t>
                  </w:r>
                  <w:r>
                    <w:rPr>
                      <w:rFonts w:hint="default" w:ascii="Times New Roman" w:hAnsi="Times New Roman" w:cs="Times New Roman"/>
                      <w:b/>
                      <w:bCs/>
                      <w:color w:val="auto"/>
                      <w:sz w:val="21"/>
                      <w:szCs w:val="21"/>
                      <w:highlight w:val="none"/>
                      <w:u w:val="single"/>
                    </w:rPr>
                    <w:t>（t/a）</w:t>
                  </w:r>
                </w:p>
              </w:tc>
              <w:tc>
                <w:tcPr>
                  <w:tcW w:w="828" w:type="dxa"/>
                  <w:vMerge w:val="restart"/>
                  <w:vAlign w:val="center"/>
                </w:tcPr>
                <w:p w14:paraId="1E543DB5">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排放量（t/a）</w:t>
                  </w:r>
                </w:p>
              </w:tc>
            </w:tr>
            <w:tr w14:paraId="739C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Merge w:val="continue"/>
                  <w:vAlign w:val="center"/>
                </w:tcPr>
                <w:p w14:paraId="06E10D48">
                  <w:pPr>
                    <w:spacing w:line="240" w:lineRule="auto"/>
                    <w:ind w:firstLine="0" w:firstLineChars="0"/>
                    <w:jc w:val="center"/>
                    <w:rPr>
                      <w:rFonts w:hint="default" w:ascii="Times New Roman" w:hAnsi="Times New Roman" w:cs="Times New Roman"/>
                      <w:b/>
                      <w:bCs/>
                      <w:color w:val="auto"/>
                      <w:sz w:val="21"/>
                      <w:szCs w:val="21"/>
                      <w:highlight w:val="none"/>
                      <w:u w:val="single"/>
                    </w:rPr>
                  </w:pPr>
                </w:p>
              </w:tc>
              <w:tc>
                <w:tcPr>
                  <w:tcW w:w="1074" w:type="dxa"/>
                  <w:vMerge w:val="continue"/>
                  <w:vAlign w:val="center"/>
                </w:tcPr>
                <w:p w14:paraId="603669F7">
                  <w:pPr>
                    <w:spacing w:line="240" w:lineRule="auto"/>
                    <w:ind w:firstLine="0" w:firstLineChars="0"/>
                    <w:jc w:val="center"/>
                    <w:rPr>
                      <w:rFonts w:hint="default" w:ascii="Times New Roman" w:hAnsi="Times New Roman" w:cs="Times New Roman"/>
                      <w:b/>
                      <w:bCs/>
                      <w:color w:val="auto"/>
                      <w:sz w:val="21"/>
                      <w:szCs w:val="21"/>
                      <w:highlight w:val="none"/>
                      <w:u w:val="single"/>
                    </w:rPr>
                  </w:pPr>
                </w:p>
              </w:tc>
              <w:tc>
                <w:tcPr>
                  <w:tcW w:w="647" w:type="dxa"/>
                  <w:vMerge w:val="continue"/>
                  <w:vAlign w:val="center"/>
                </w:tcPr>
                <w:p w14:paraId="5BA6F703">
                  <w:pPr>
                    <w:spacing w:line="240" w:lineRule="auto"/>
                    <w:ind w:firstLine="0" w:firstLineChars="0"/>
                    <w:jc w:val="center"/>
                    <w:rPr>
                      <w:rFonts w:hint="default" w:ascii="Times New Roman" w:hAnsi="Times New Roman" w:cs="Times New Roman"/>
                      <w:b/>
                      <w:bCs/>
                      <w:color w:val="auto"/>
                      <w:sz w:val="21"/>
                      <w:szCs w:val="21"/>
                      <w:highlight w:val="none"/>
                      <w:u w:val="single"/>
                    </w:rPr>
                  </w:pPr>
                </w:p>
              </w:tc>
              <w:tc>
                <w:tcPr>
                  <w:tcW w:w="1224" w:type="dxa"/>
                  <w:vMerge w:val="continue"/>
                  <w:vAlign w:val="center"/>
                </w:tcPr>
                <w:p w14:paraId="5C813C79">
                  <w:pPr>
                    <w:spacing w:line="240" w:lineRule="auto"/>
                    <w:ind w:firstLine="0" w:firstLineChars="0"/>
                    <w:jc w:val="center"/>
                    <w:rPr>
                      <w:rFonts w:hint="eastAsia" w:cs="Times New Roman"/>
                      <w:b/>
                      <w:bCs/>
                      <w:color w:val="auto"/>
                      <w:sz w:val="21"/>
                      <w:szCs w:val="21"/>
                      <w:highlight w:val="none"/>
                      <w:u w:val="single"/>
                      <w:lang w:val="en-US" w:eastAsia="zh-CN"/>
                    </w:rPr>
                  </w:pPr>
                </w:p>
              </w:tc>
              <w:tc>
                <w:tcPr>
                  <w:tcW w:w="931" w:type="dxa"/>
                  <w:vAlign w:val="center"/>
                </w:tcPr>
                <w:p w14:paraId="31ED2C3D">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标准名称</w:t>
                  </w:r>
                </w:p>
              </w:tc>
              <w:tc>
                <w:tcPr>
                  <w:tcW w:w="1153" w:type="dxa"/>
                  <w:vAlign w:val="center"/>
                </w:tcPr>
                <w:p w14:paraId="2547A471">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浓度限值</w:t>
                  </w:r>
                </w:p>
                <w:p w14:paraId="6AB7262D">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/（mg/m</w:t>
                  </w:r>
                  <w:r>
                    <w:rPr>
                      <w:rFonts w:hint="default" w:ascii="Times New Roman" w:hAnsi="Times New Roman" w:cs="Times New Roman"/>
                      <w:b/>
                      <w:bCs/>
                      <w:color w:val="auto"/>
                      <w:sz w:val="21"/>
                      <w:szCs w:val="21"/>
                      <w:highlight w:val="none"/>
                      <w:u w:val="single"/>
                      <w:vertAlign w:val="superscript"/>
                    </w:rPr>
                    <w:t>3</w:t>
                  </w:r>
                  <w:r>
                    <w:rPr>
                      <w:rFonts w:hint="default" w:ascii="Times New Roman" w:hAnsi="Times New Roman" w:cs="Times New Roman"/>
                      <w:b/>
                      <w:bCs/>
                      <w:color w:val="auto"/>
                      <w:sz w:val="21"/>
                      <w:szCs w:val="21"/>
                      <w:highlight w:val="none"/>
                      <w:u w:val="single"/>
                    </w:rPr>
                    <w:t>）</w:t>
                  </w:r>
                </w:p>
              </w:tc>
              <w:tc>
                <w:tcPr>
                  <w:tcW w:w="773" w:type="dxa"/>
                  <w:vMerge w:val="continue"/>
                  <w:vAlign w:val="center"/>
                </w:tcPr>
                <w:p w14:paraId="71D9C4CD">
                  <w:pPr>
                    <w:spacing w:line="240" w:lineRule="auto"/>
                    <w:ind w:firstLine="0" w:firstLineChars="0"/>
                    <w:jc w:val="center"/>
                    <w:rPr>
                      <w:rFonts w:hint="default" w:ascii="Times New Roman" w:hAnsi="Times New Roman" w:cs="Times New Roman"/>
                      <w:b/>
                      <w:bCs/>
                      <w:color w:val="auto"/>
                      <w:sz w:val="21"/>
                      <w:szCs w:val="21"/>
                      <w:highlight w:val="none"/>
                      <w:u w:val="single"/>
                    </w:rPr>
                  </w:pPr>
                </w:p>
              </w:tc>
              <w:tc>
                <w:tcPr>
                  <w:tcW w:w="806" w:type="dxa"/>
                  <w:vMerge w:val="continue"/>
                  <w:vAlign w:val="center"/>
                </w:tcPr>
                <w:p w14:paraId="11313CCC">
                  <w:pPr>
                    <w:spacing w:line="240" w:lineRule="auto"/>
                    <w:ind w:firstLine="0" w:firstLineChars="0"/>
                    <w:jc w:val="center"/>
                    <w:rPr>
                      <w:rFonts w:hint="eastAsia" w:cs="Times New Roman"/>
                      <w:b/>
                      <w:bCs/>
                      <w:color w:val="auto"/>
                      <w:sz w:val="21"/>
                      <w:szCs w:val="21"/>
                      <w:highlight w:val="none"/>
                      <w:u w:val="single"/>
                      <w:lang w:val="en-US" w:eastAsia="zh-CN"/>
                    </w:rPr>
                  </w:pPr>
                </w:p>
              </w:tc>
              <w:tc>
                <w:tcPr>
                  <w:tcW w:w="828" w:type="dxa"/>
                  <w:vMerge w:val="continue"/>
                  <w:vAlign w:val="center"/>
                </w:tcPr>
                <w:p w14:paraId="70F6FAD1">
                  <w:pPr>
                    <w:spacing w:line="240" w:lineRule="auto"/>
                    <w:ind w:firstLine="0" w:firstLineChars="0"/>
                    <w:jc w:val="center"/>
                    <w:rPr>
                      <w:rFonts w:hint="default" w:ascii="Times New Roman" w:hAnsi="Times New Roman" w:cs="Times New Roman"/>
                      <w:b/>
                      <w:bCs/>
                      <w:color w:val="auto"/>
                      <w:sz w:val="21"/>
                      <w:szCs w:val="21"/>
                      <w:highlight w:val="none"/>
                      <w:u w:val="single"/>
                    </w:rPr>
                  </w:pPr>
                </w:p>
              </w:tc>
            </w:tr>
            <w:tr w14:paraId="677A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4B77553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1</w:t>
                  </w:r>
                </w:p>
              </w:tc>
              <w:tc>
                <w:tcPr>
                  <w:tcW w:w="1074" w:type="dxa"/>
                  <w:vAlign w:val="center"/>
                </w:tcPr>
                <w:p w14:paraId="12BEE1E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表土剥离</w:t>
                  </w:r>
                </w:p>
              </w:tc>
              <w:tc>
                <w:tcPr>
                  <w:tcW w:w="647" w:type="dxa"/>
                  <w:vAlign w:val="center"/>
                </w:tcPr>
                <w:p w14:paraId="423012B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66B4F091">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洒水降尘</w:t>
                  </w:r>
                </w:p>
              </w:tc>
              <w:tc>
                <w:tcPr>
                  <w:tcW w:w="931" w:type="dxa"/>
                  <w:vMerge w:val="restart"/>
                  <w:vAlign w:val="center"/>
                </w:tcPr>
                <w:p w14:paraId="7D667964">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《大气</w:t>
                  </w:r>
                </w:p>
                <w:p w14:paraId="58BAF8AE">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污染物</w:t>
                  </w:r>
                </w:p>
                <w:p w14:paraId="129CCC6E">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综合排</w:t>
                  </w:r>
                </w:p>
                <w:p w14:paraId="7C2EAFEB">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放标</w:t>
                  </w:r>
                </w:p>
                <w:p w14:paraId="54317B59">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准》</w:t>
                  </w:r>
                </w:p>
                <w:p w14:paraId="6356322C">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（GB1</w:t>
                  </w:r>
                </w:p>
                <w:p w14:paraId="2739B018">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6297-1</w:t>
                  </w:r>
                </w:p>
                <w:p w14:paraId="4355EF4E">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996） 表</w:t>
                  </w:r>
                </w:p>
                <w:p w14:paraId="66C879A0">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2中二</w:t>
                  </w:r>
                </w:p>
                <w:p w14:paraId="0C1AEE05">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级排放</w:t>
                  </w:r>
                </w:p>
                <w:p w14:paraId="6795D3C2">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标准和</w:t>
                  </w:r>
                </w:p>
                <w:p w14:paraId="060EE71F">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无组织</w:t>
                  </w:r>
                </w:p>
                <w:p w14:paraId="44CD9BF6">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排放监</w:t>
                  </w:r>
                </w:p>
                <w:p w14:paraId="0398925B">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控浓度</w:t>
                  </w:r>
                </w:p>
                <w:p w14:paraId="0BD67BCE">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限值标</w:t>
                  </w:r>
                </w:p>
                <w:p w14:paraId="35AF83B3">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准</w:t>
                  </w:r>
                </w:p>
              </w:tc>
              <w:tc>
                <w:tcPr>
                  <w:tcW w:w="1153" w:type="dxa"/>
                  <w:vMerge w:val="restart"/>
                  <w:vAlign w:val="center"/>
                </w:tcPr>
                <w:p w14:paraId="3C5DA1F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厂界无组织：</w:t>
                  </w:r>
                </w:p>
                <w:p w14:paraId="74CF3C4E">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rPr>
                    <w:t>1.0mg/m</w:t>
                  </w:r>
                  <w:r>
                    <w:rPr>
                      <w:rFonts w:hint="default" w:ascii="Times New Roman" w:hAnsi="Times New Roman" w:cs="Times New Roman"/>
                      <w:color w:val="auto"/>
                      <w:sz w:val="21"/>
                      <w:szCs w:val="21"/>
                      <w:highlight w:val="none"/>
                      <w:u w:val="single"/>
                      <w:vertAlign w:val="superscript"/>
                    </w:rPr>
                    <w:t>3</w:t>
                  </w:r>
                  <w:r>
                    <w:rPr>
                      <w:rFonts w:hint="eastAsia" w:cs="Times New Roman"/>
                      <w:color w:val="auto"/>
                      <w:sz w:val="21"/>
                      <w:szCs w:val="21"/>
                      <w:highlight w:val="none"/>
                      <w:u w:val="single"/>
                      <w:lang w:eastAsia="zh-CN"/>
                    </w:rPr>
                    <w:t>；</w:t>
                  </w:r>
                </w:p>
                <w:p w14:paraId="3B07DC06">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加工厂区</w:t>
                  </w:r>
                </w:p>
                <w:p w14:paraId="3EB5EAF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排气筒：120mg/m</w:t>
                  </w:r>
                  <w:r>
                    <w:rPr>
                      <w:rFonts w:hint="default" w:ascii="Times New Roman" w:hAnsi="Times New Roman" w:cs="Times New Roman"/>
                      <w:color w:val="auto"/>
                      <w:sz w:val="21"/>
                      <w:szCs w:val="21"/>
                      <w:highlight w:val="none"/>
                      <w:u w:val="single"/>
                      <w:vertAlign w:val="superscript"/>
                    </w:rPr>
                    <w:t>3</w:t>
                  </w:r>
                </w:p>
              </w:tc>
              <w:tc>
                <w:tcPr>
                  <w:tcW w:w="773" w:type="dxa"/>
                  <w:vAlign w:val="center"/>
                </w:tcPr>
                <w:p w14:paraId="05BB1389">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0.118</w:t>
                  </w:r>
                </w:p>
              </w:tc>
              <w:tc>
                <w:tcPr>
                  <w:tcW w:w="806" w:type="dxa"/>
                  <w:vAlign w:val="center"/>
                </w:tcPr>
                <w:p w14:paraId="03A2A139">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0.106</w:t>
                  </w:r>
                </w:p>
              </w:tc>
              <w:tc>
                <w:tcPr>
                  <w:tcW w:w="828" w:type="dxa"/>
                  <w:vAlign w:val="center"/>
                </w:tcPr>
                <w:p w14:paraId="438B1A19">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0.012</w:t>
                  </w:r>
                </w:p>
              </w:tc>
            </w:tr>
            <w:tr w14:paraId="5D2C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dxa"/>
                  <w:vMerge w:val="restart"/>
                  <w:vAlign w:val="center"/>
                </w:tcPr>
                <w:p w14:paraId="43C40D5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2</w:t>
                  </w:r>
                </w:p>
              </w:tc>
              <w:tc>
                <w:tcPr>
                  <w:tcW w:w="1074" w:type="dxa"/>
                  <w:vMerge w:val="restart"/>
                  <w:vAlign w:val="center"/>
                </w:tcPr>
                <w:p w14:paraId="31681D80">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开采粉尘及废气</w:t>
                  </w:r>
                </w:p>
              </w:tc>
              <w:tc>
                <w:tcPr>
                  <w:tcW w:w="647" w:type="dxa"/>
                  <w:vAlign w:val="center"/>
                </w:tcPr>
                <w:p w14:paraId="15E7146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3AD950FB">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湿式凿岩、</w:t>
                  </w:r>
                </w:p>
                <w:p w14:paraId="4602BF85">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洒水降尘</w:t>
                  </w:r>
                </w:p>
              </w:tc>
              <w:tc>
                <w:tcPr>
                  <w:tcW w:w="931" w:type="dxa"/>
                  <w:vMerge w:val="continue"/>
                  <w:vAlign w:val="center"/>
                </w:tcPr>
                <w:p w14:paraId="3A4D42C3">
                  <w:pPr>
                    <w:spacing w:line="240" w:lineRule="auto"/>
                    <w:ind w:firstLine="0" w:firstLineChars="0"/>
                    <w:jc w:val="center"/>
                    <w:rPr>
                      <w:rFonts w:hint="default" w:ascii="Times New Roman" w:hAnsi="Times New Roman" w:eastAsia="宋体" w:cs="Times New Roman"/>
                      <w:color w:val="auto"/>
                      <w:sz w:val="21"/>
                      <w:szCs w:val="21"/>
                      <w:highlight w:val="none"/>
                      <w:u w:val="single"/>
                    </w:rPr>
                  </w:pPr>
                </w:p>
              </w:tc>
              <w:tc>
                <w:tcPr>
                  <w:tcW w:w="1153" w:type="dxa"/>
                  <w:vMerge w:val="continue"/>
                  <w:vAlign w:val="center"/>
                </w:tcPr>
                <w:p w14:paraId="6912FAC1">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71C63990">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13.68</w:t>
                  </w:r>
                </w:p>
              </w:tc>
              <w:tc>
                <w:tcPr>
                  <w:tcW w:w="806" w:type="dxa"/>
                  <w:vAlign w:val="center"/>
                </w:tcPr>
                <w:p w14:paraId="2798BF66">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10.94</w:t>
                  </w:r>
                </w:p>
              </w:tc>
              <w:tc>
                <w:tcPr>
                  <w:tcW w:w="828" w:type="dxa"/>
                  <w:vAlign w:val="center"/>
                </w:tcPr>
                <w:p w14:paraId="6252AD2C">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2.74</w:t>
                  </w:r>
                </w:p>
              </w:tc>
            </w:tr>
            <w:tr w14:paraId="5349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Merge w:val="continue"/>
                  <w:vAlign w:val="center"/>
                </w:tcPr>
                <w:p w14:paraId="488DFC54">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074" w:type="dxa"/>
                  <w:vMerge w:val="continue"/>
                  <w:vAlign w:val="center"/>
                </w:tcPr>
                <w:p w14:paraId="13903E76">
                  <w:pPr>
                    <w:spacing w:line="240" w:lineRule="auto"/>
                    <w:ind w:firstLine="0" w:firstLineChars="0"/>
                    <w:jc w:val="center"/>
                    <w:rPr>
                      <w:rFonts w:hint="eastAsia" w:cs="Times New Roman"/>
                      <w:color w:val="auto"/>
                      <w:sz w:val="21"/>
                      <w:szCs w:val="21"/>
                      <w:highlight w:val="none"/>
                      <w:u w:val="single"/>
                      <w:lang w:val="en-US" w:eastAsia="zh-CN"/>
                    </w:rPr>
                  </w:pPr>
                </w:p>
              </w:tc>
              <w:tc>
                <w:tcPr>
                  <w:tcW w:w="647" w:type="dxa"/>
                  <w:vAlign w:val="center"/>
                </w:tcPr>
                <w:p w14:paraId="15F49F3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NOx</w:t>
                  </w:r>
                </w:p>
              </w:tc>
              <w:tc>
                <w:tcPr>
                  <w:tcW w:w="1224" w:type="dxa"/>
                  <w:vAlign w:val="center"/>
                </w:tcPr>
                <w:p w14:paraId="69038B6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乳化炸药</w:t>
                  </w:r>
                </w:p>
              </w:tc>
              <w:tc>
                <w:tcPr>
                  <w:tcW w:w="931" w:type="dxa"/>
                  <w:vMerge w:val="continue"/>
                  <w:vAlign w:val="center"/>
                </w:tcPr>
                <w:p w14:paraId="48A59CF0">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3323A872">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7E2E7F81">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3.42</w:t>
                  </w:r>
                </w:p>
              </w:tc>
              <w:tc>
                <w:tcPr>
                  <w:tcW w:w="806" w:type="dxa"/>
                  <w:vAlign w:val="center"/>
                </w:tcPr>
                <w:p w14:paraId="3297DA7D">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2.42</w:t>
                  </w:r>
                </w:p>
              </w:tc>
              <w:tc>
                <w:tcPr>
                  <w:tcW w:w="828" w:type="dxa"/>
                  <w:vAlign w:val="center"/>
                </w:tcPr>
                <w:p w14:paraId="22301D6F">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w:t>
                  </w:r>
                </w:p>
              </w:tc>
            </w:tr>
            <w:tr w14:paraId="4EB3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Merge w:val="continue"/>
                  <w:vAlign w:val="center"/>
                </w:tcPr>
                <w:p w14:paraId="1631E65A">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074" w:type="dxa"/>
                  <w:vMerge w:val="continue"/>
                  <w:vAlign w:val="center"/>
                </w:tcPr>
                <w:p w14:paraId="3BC8748A">
                  <w:pPr>
                    <w:spacing w:line="240" w:lineRule="auto"/>
                    <w:ind w:firstLine="0" w:firstLineChars="0"/>
                    <w:jc w:val="center"/>
                    <w:rPr>
                      <w:rFonts w:hint="eastAsia" w:cs="Times New Roman"/>
                      <w:color w:val="auto"/>
                      <w:sz w:val="21"/>
                      <w:szCs w:val="21"/>
                      <w:highlight w:val="none"/>
                      <w:u w:val="single"/>
                      <w:lang w:val="en-US" w:eastAsia="zh-CN"/>
                    </w:rPr>
                  </w:pPr>
                </w:p>
              </w:tc>
              <w:tc>
                <w:tcPr>
                  <w:tcW w:w="647" w:type="dxa"/>
                  <w:vAlign w:val="center"/>
                </w:tcPr>
                <w:p w14:paraId="317B27E9">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CO</w:t>
                  </w:r>
                </w:p>
              </w:tc>
              <w:tc>
                <w:tcPr>
                  <w:tcW w:w="1224" w:type="dxa"/>
                  <w:vAlign w:val="center"/>
                </w:tcPr>
                <w:p w14:paraId="7FEB6ECD">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乳化炸药</w:t>
                  </w:r>
                </w:p>
              </w:tc>
              <w:tc>
                <w:tcPr>
                  <w:tcW w:w="931" w:type="dxa"/>
                  <w:vMerge w:val="continue"/>
                  <w:vAlign w:val="center"/>
                </w:tcPr>
                <w:p w14:paraId="3E069052">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1E54020A">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70358D81">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1.05</w:t>
                  </w:r>
                </w:p>
              </w:tc>
              <w:tc>
                <w:tcPr>
                  <w:tcW w:w="806" w:type="dxa"/>
                  <w:vAlign w:val="center"/>
                </w:tcPr>
                <w:p w14:paraId="05A8490B">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0.73</w:t>
                  </w:r>
                </w:p>
              </w:tc>
              <w:tc>
                <w:tcPr>
                  <w:tcW w:w="828" w:type="dxa"/>
                  <w:vAlign w:val="center"/>
                </w:tcPr>
                <w:p w14:paraId="59945F6E">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0.32</w:t>
                  </w:r>
                </w:p>
              </w:tc>
            </w:tr>
            <w:tr w14:paraId="4EC3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113AF9C2">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3</w:t>
                  </w:r>
                </w:p>
              </w:tc>
              <w:tc>
                <w:tcPr>
                  <w:tcW w:w="1074" w:type="dxa"/>
                  <w:vAlign w:val="center"/>
                </w:tcPr>
                <w:p w14:paraId="2168CBCA">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破碎</w:t>
                  </w:r>
                  <w:r>
                    <w:rPr>
                      <w:rFonts w:hint="eastAsia" w:cs="Times New Roman"/>
                      <w:color w:val="auto"/>
                      <w:sz w:val="21"/>
                      <w:szCs w:val="21"/>
                      <w:highlight w:val="none"/>
                      <w:u w:val="single"/>
                      <w:lang w:val="en-US" w:eastAsia="zh-CN"/>
                    </w:rPr>
                    <w:t>锤破碎</w:t>
                  </w:r>
                </w:p>
              </w:tc>
              <w:tc>
                <w:tcPr>
                  <w:tcW w:w="647" w:type="dxa"/>
                  <w:vAlign w:val="center"/>
                </w:tcPr>
                <w:p w14:paraId="4E53875E">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1B23E4B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洒水降尘</w:t>
                  </w:r>
                </w:p>
              </w:tc>
              <w:tc>
                <w:tcPr>
                  <w:tcW w:w="931" w:type="dxa"/>
                  <w:vMerge w:val="continue"/>
                  <w:vAlign w:val="center"/>
                </w:tcPr>
                <w:p w14:paraId="6A14712E">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31520E5B">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6C4C2230">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12</w:t>
                  </w:r>
                </w:p>
              </w:tc>
              <w:tc>
                <w:tcPr>
                  <w:tcW w:w="806" w:type="dxa"/>
                  <w:vAlign w:val="center"/>
                </w:tcPr>
                <w:p w14:paraId="23BEEEA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9.6</w:t>
                  </w:r>
                </w:p>
              </w:tc>
              <w:tc>
                <w:tcPr>
                  <w:tcW w:w="828" w:type="dxa"/>
                  <w:vAlign w:val="center"/>
                </w:tcPr>
                <w:p w14:paraId="11AC9F5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2.4</w:t>
                  </w:r>
                </w:p>
              </w:tc>
            </w:tr>
            <w:tr w14:paraId="2E42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5561CFB9">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4</w:t>
                  </w:r>
                </w:p>
              </w:tc>
              <w:tc>
                <w:tcPr>
                  <w:tcW w:w="1074" w:type="dxa"/>
                  <w:vAlign w:val="center"/>
                </w:tcPr>
                <w:p w14:paraId="625732C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铲装</w:t>
                  </w:r>
                </w:p>
              </w:tc>
              <w:tc>
                <w:tcPr>
                  <w:tcW w:w="647" w:type="dxa"/>
                  <w:vAlign w:val="center"/>
                </w:tcPr>
                <w:p w14:paraId="3981CC3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6821D5F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洒水降尘</w:t>
                  </w:r>
                </w:p>
              </w:tc>
              <w:tc>
                <w:tcPr>
                  <w:tcW w:w="931" w:type="dxa"/>
                  <w:vMerge w:val="continue"/>
                  <w:vAlign w:val="center"/>
                </w:tcPr>
                <w:p w14:paraId="18170FA4">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53090998">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7C7AA2AC">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2.34</w:t>
                  </w:r>
                </w:p>
              </w:tc>
              <w:tc>
                <w:tcPr>
                  <w:tcW w:w="806" w:type="dxa"/>
                  <w:vAlign w:val="center"/>
                </w:tcPr>
                <w:p w14:paraId="1C0D739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1.87</w:t>
                  </w:r>
                </w:p>
              </w:tc>
              <w:tc>
                <w:tcPr>
                  <w:tcW w:w="828" w:type="dxa"/>
                  <w:vAlign w:val="center"/>
                </w:tcPr>
                <w:p w14:paraId="0B2C820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0.47</w:t>
                  </w:r>
                </w:p>
              </w:tc>
            </w:tr>
            <w:tr w14:paraId="2315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4F4DF9D6">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5</w:t>
                  </w:r>
                </w:p>
              </w:tc>
              <w:tc>
                <w:tcPr>
                  <w:tcW w:w="1074" w:type="dxa"/>
                  <w:vAlign w:val="center"/>
                </w:tcPr>
                <w:p w14:paraId="7AAF326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矿石运输</w:t>
                  </w:r>
                </w:p>
              </w:tc>
              <w:tc>
                <w:tcPr>
                  <w:tcW w:w="647" w:type="dxa"/>
                  <w:vAlign w:val="center"/>
                </w:tcPr>
                <w:p w14:paraId="119FF9D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79261A5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洒水降尘</w:t>
                  </w:r>
                </w:p>
              </w:tc>
              <w:tc>
                <w:tcPr>
                  <w:tcW w:w="931" w:type="dxa"/>
                  <w:vMerge w:val="continue"/>
                  <w:vAlign w:val="center"/>
                </w:tcPr>
                <w:p w14:paraId="21BE5690">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5562B373">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47D9277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5.31</w:t>
                  </w:r>
                </w:p>
              </w:tc>
              <w:tc>
                <w:tcPr>
                  <w:tcW w:w="806" w:type="dxa"/>
                  <w:vAlign w:val="center"/>
                </w:tcPr>
                <w:p w14:paraId="0050944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4.25</w:t>
                  </w:r>
                </w:p>
              </w:tc>
              <w:tc>
                <w:tcPr>
                  <w:tcW w:w="828" w:type="dxa"/>
                  <w:vAlign w:val="center"/>
                </w:tcPr>
                <w:p w14:paraId="34D2FFF6">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1.06</w:t>
                  </w:r>
                </w:p>
              </w:tc>
            </w:tr>
            <w:tr w14:paraId="4971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17239341">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6</w:t>
                  </w:r>
                </w:p>
              </w:tc>
              <w:tc>
                <w:tcPr>
                  <w:tcW w:w="1074" w:type="dxa"/>
                  <w:vAlign w:val="center"/>
                </w:tcPr>
                <w:p w14:paraId="61BE37BE">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eastAsia="zh-CN"/>
                    </w:rPr>
                    <w:t>排土场</w:t>
                  </w:r>
                </w:p>
              </w:tc>
              <w:tc>
                <w:tcPr>
                  <w:tcW w:w="647" w:type="dxa"/>
                  <w:vAlign w:val="center"/>
                </w:tcPr>
                <w:p w14:paraId="38D8B0B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48812886">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洒水降尘+防尘网</w:t>
                  </w:r>
                </w:p>
              </w:tc>
              <w:tc>
                <w:tcPr>
                  <w:tcW w:w="931" w:type="dxa"/>
                  <w:vMerge w:val="continue"/>
                  <w:vAlign w:val="center"/>
                </w:tcPr>
                <w:p w14:paraId="163BB17C">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47BA4B94">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59449A12">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98.66</w:t>
                  </w:r>
                </w:p>
              </w:tc>
              <w:tc>
                <w:tcPr>
                  <w:tcW w:w="806" w:type="dxa"/>
                  <w:vAlign w:val="center"/>
                </w:tcPr>
                <w:p w14:paraId="12A35F59">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88.79</w:t>
                  </w:r>
                </w:p>
              </w:tc>
              <w:tc>
                <w:tcPr>
                  <w:tcW w:w="828" w:type="dxa"/>
                  <w:vAlign w:val="center"/>
                </w:tcPr>
                <w:p w14:paraId="5276B52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9.87</w:t>
                  </w:r>
                </w:p>
              </w:tc>
            </w:tr>
            <w:tr w14:paraId="7238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23D8AFF3">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7</w:t>
                  </w:r>
                </w:p>
              </w:tc>
              <w:tc>
                <w:tcPr>
                  <w:tcW w:w="1074" w:type="dxa"/>
                  <w:vAlign w:val="center"/>
                </w:tcPr>
                <w:p w14:paraId="5F0F453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破碎、筛分</w:t>
                  </w:r>
                </w:p>
              </w:tc>
              <w:tc>
                <w:tcPr>
                  <w:tcW w:w="647" w:type="dxa"/>
                  <w:vAlign w:val="center"/>
                </w:tcPr>
                <w:p w14:paraId="319AE1C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24D501B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车间密闭+布袋除尘器+15m排气筒</w:t>
                  </w:r>
                </w:p>
              </w:tc>
              <w:tc>
                <w:tcPr>
                  <w:tcW w:w="931" w:type="dxa"/>
                  <w:vMerge w:val="continue"/>
                  <w:vAlign w:val="center"/>
                </w:tcPr>
                <w:p w14:paraId="23A3C8B2">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39D35298">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62EEA387">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30</w:t>
                  </w:r>
                </w:p>
              </w:tc>
              <w:tc>
                <w:tcPr>
                  <w:tcW w:w="806" w:type="dxa"/>
                  <w:vAlign w:val="center"/>
                </w:tcPr>
                <w:p w14:paraId="4951B85F">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29.7</w:t>
                  </w:r>
                </w:p>
              </w:tc>
              <w:tc>
                <w:tcPr>
                  <w:tcW w:w="828" w:type="dxa"/>
                  <w:vAlign w:val="center"/>
                </w:tcPr>
                <w:p w14:paraId="7B88385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0.3</w:t>
                  </w:r>
                </w:p>
              </w:tc>
            </w:tr>
            <w:tr w14:paraId="3C14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3D64DCBB">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8</w:t>
                  </w:r>
                </w:p>
              </w:tc>
              <w:tc>
                <w:tcPr>
                  <w:tcW w:w="1074" w:type="dxa"/>
                  <w:vAlign w:val="center"/>
                </w:tcPr>
                <w:p w14:paraId="0D97350F">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皮带输送</w:t>
                  </w:r>
                </w:p>
              </w:tc>
              <w:tc>
                <w:tcPr>
                  <w:tcW w:w="647" w:type="dxa"/>
                  <w:vAlign w:val="center"/>
                </w:tcPr>
                <w:p w14:paraId="446ECAF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02850EBF">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密闭+喷水抑尘</w:t>
                  </w:r>
                </w:p>
              </w:tc>
              <w:tc>
                <w:tcPr>
                  <w:tcW w:w="931" w:type="dxa"/>
                  <w:vMerge w:val="continue"/>
                  <w:vAlign w:val="center"/>
                </w:tcPr>
                <w:p w14:paraId="27C25F7C">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65B1EBEF">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73D445B1">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12</w:t>
                  </w:r>
                </w:p>
              </w:tc>
              <w:tc>
                <w:tcPr>
                  <w:tcW w:w="806" w:type="dxa"/>
                  <w:vAlign w:val="center"/>
                </w:tcPr>
                <w:p w14:paraId="1E5CC39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11.88</w:t>
                  </w:r>
                </w:p>
              </w:tc>
              <w:tc>
                <w:tcPr>
                  <w:tcW w:w="828" w:type="dxa"/>
                  <w:vAlign w:val="center"/>
                </w:tcPr>
                <w:p w14:paraId="39EFBB2D">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0.12</w:t>
                  </w:r>
                </w:p>
              </w:tc>
            </w:tr>
            <w:tr w14:paraId="72C3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3530B1A0">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9</w:t>
                  </w:r>
                </w:p>
              </w:tc>
              <w:tc>
                <w:tcPr>
                  <w:tcW w:w="1074" w:type="dxa"/>
                  <w:vAlign w:val="center"/>
                </w:tcPr>
                <w:p w14:paraId="7AA099E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产品堆场</w:t>
                  </w:r>
                </w:p>
              </w:tc>
              <w:tc>
                <w:tcPr>
                  <w:tcW w:w="647" w:type="dxa"/>
                  <w:vAlign w:val="center"/>
                </w:tcPr>
                <w:p w14:paraId="642273F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285DFF9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全封闭+洒水降尘</w:t>
                  </w:r>
                </w:p>
              </w:tc>
              <w:tc>
                <w:tcPr>
                  <w:tcW w:w="931" w:type="dxa"/>
                  <w:vMerge w:val="continue"/>
                  <w:vAlign w:val="center"/>
                </w:tcPr>
                <w:p w14:paraId="20917FC4">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72997BF1">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1CA0AED8">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1.62</w:t>
                  </w:r>
                </w:p>
              </w:tc>
              <w:tc>
                <w:tcPr>
                  <w:tcW w:w="806" w:type="dxa"/>
                  <w:vAlign w:val="center"/>
                </w:tcPr>
                <w:p w14:paraId="2C6FB00D">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1.3</w:t>
                  </w:r>
                </w:p>
              </w:tc>
              <w:tc>
                <w:tcPr>
                  <w:tcW w:w="828" w:type="dxa"/>
                  <w:vAlign w:val="center"/>
                </w:tcPr>
                <w:p w14:paraId="7E5FC187">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0.32</w:t>
                  </w:r>
                </w:p>
              </w:tc>
            </w:tr>
            <w:tr w14:paraId="10C9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3F42C755">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w:t>
                  </w:r>
                </w:p>
              </w:tc>
              <w:tc>
                <w:tcPr>
                  <w:tcW w:w="1074" w:type="dxa"/>
                  <w:vAlign w:val="center"/>
                </w:tcPr>
                <w:p w14:paraId="7DFA1A2D">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车辆、机械设备</w:t>
                  </w:r>
                </w:p>
              </w:tc>
              <w:tc>
                <w:tcPr>
                  <w:tcW w:w="647" w:type="dxa"/>
                  <w:vAlign w:val="center"/>
                </w:tcPr>
                <w:p w14:paraId="4B852124">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尾气</w:t>
                  </w:r>
                </w:p>
              </w:tc>
              <w:tc>
                <w:tcPr>
                  <w:tcW w:w="1224" w:type="dxa"/>
                  <w:vAlign w:val="center"/>
                </w:tcPr>
                <w:p w14:paraId="445B175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自然扩散</w:t>
                  </w:r>
                </w:p>
              </w:tc>
              <w:tc>
                <w:tcPr>
                  <w:tcW w:w="931" w:type="dxa"/>
                  <w:vAlign w:val="center"/>
                </w:tcPr>
                <w:p w14:paraId="53DB2026">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1153" w:type="dxa"/>
                  <w:vAlign w:val="center"/>
                </w:tcPr>
                <w:p w14:paraId="4975B4CB">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773" w:type="dxa"/>
                  <w:vAlign w:val="center"/>
                </w:tcPr>
                <w:p w14:paraId="00490695">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少量</w:t>
                  </w:r>
                </w:p>
              </w:tc>
              <w:tc>
                <w:tcPr>
                  <w:tcW w:w="806" w:type="dxa"/>
                  <w:vAlign w:val="center"/>
                </w:tcPr>
                <w:p w14:paraId="28FF1A0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w:t>
                  </w:r>
                </w:p>
              </w:tc>
              <w:tc>
                <w:tcPr>
                  <w:tcW w:w="828" w:type="dxa"/>
                  <w:vAlign w:val="center"/>
                </w:tcPr>
                <w:p w14:paraId="4621DA0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少量</w:t>
                  </w:r>
                </w:p>
              </w:tc>
            </w:tr>
          </w:tbl>
          <w:p w14:paraId="652B52FD">
            <w:pPr>
              <w:spacing w:before="156"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（2）影响分析</w:t>
            </w:r>
          </w:p>
          <w:p w14:paraId="540D3973">
            <w:pPr>
              <w:ind w:firstLine="480"/>
              <w:rPr>
                <w:rFonts w:hint="default" w:ascii="Times New Roman" w:hAnsi="Times New Roman" w:cs="Times New Roman"/>
                <w:color w:val="auto"/>
                <w:szCs w:val="24"/>
                <w:highlight w:val="none"/>
              </w:rPr>
            </w:pPr>
            <w:r>
              <w:rPr>
                <w:rFonts w:hint="eastAsia" w:cs="Times New Roman"/>
                <w:color w:val="auto"/>
                <w:szCs w:val="24"/>
                <w:highlight w:val="none"/>
                <w:lang w:val="en-US" w:eastAsia="zh-CN"/>
              </w:rPr>
              <w:t>项目</w:t>
            </w:r>
            <w:r>
              <w:rPr>
                <w:rFonts w:hint="default" w:ascii="Times New Roman" w:hAnsi="Times New Roman" w:cs="Times New Roman"/>
                <w:color w:val="auto"/>
                <w:szCs w:val="24"/>
                <w:highlight w:val="none"/>
              </w:rPr>
              <w:t>所在行政区域澧县属环境空气</w:t>
            </w:r>
            <w:r>
              <w:rPr>
                <w:rFonts w:hint="eastAsia" w:cs="Times New Roman"/>
                <w:color w:val="auto"/>
                <w:szCs w:val="24"/>
                <w:highlight w:val="none"/>
                <w:lang w:val="en-US" w:eastAsia="zh-CN"/>
              </w:rPr>
              <w:t>不</w:t>
            </w:r>
            <w:r>
              <w:rPr>
                <w:rFonts w:hint="default" w:ascii="Times New Roman" w:hAnsi="Times New Roman" w:cs="Times New Roman"/>
                <w:color w:val="auto"/>
                <w:szCs w:val="24"/>
                <w:highlight w:val="none"/>
              </w:rPr>
              <w:t>达标区，项目其他污染物TSP满足《环境空气质量标准》（GB3095-2012）二级标准。项目废气主要以无组织形式排放，建设单位对各产尘环节均采取有效抑尘措施，减少无组织颗粒物排放，降低对周边环境空气的影响。</w:t>
            </w:r>
            <w:r>
              <w:rPr>
                <w:rFonts w:hint="eastAsia" w:cs="Times New Roman"/>
                <w:color w:val="auto"/>
                <w:szCs w:val="24"/>
                <w:highlight w:val="none"/>
                <w:lang w:val="en-US" w:eastAsia="zh-CN"/>
              </w:rPr>
              <w:t>工业场地粉尘采取车间密闭及布袋除尘器处理后高空排放对周边大气环境影响较小。</w:t>
            </w:r>
          </w:p>
          <w:p w14:paraId="2FABE553">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3、地表水环境影响分析</w:t>
            </w:r>
          </w:p>
          <w:p w14:paraId="4181D909">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项目营运期用水包括抑尘用水</w:t>
            </w:r>
            <w:r>
              <w:rPr>
                <w:rFonts w:hint="eastAsia" w:cs="Times New Roman"/>
                <w:color w:val="auto"/>
                <w:szCs w:val="24"/>
                <w:highlight w:val="none"/>
                <w:lang w:eastAsia="zh-CN"/>
              </w:rPr>
              <w:t>、</w:t>
            </w:r>
            <w:r>
              <w:rPr>
                <w:rFonts w:hint="eastAsia" w:cs="Times New Roman"/>
                <w:color w:val="auto"/>
                <w:szCs w:val="24"/>
                <w:highlight w:val="none"/>
                <w:lang w:val="en-US" w:eastAsia="zh-CN"/>
              </w:rPr>
              <w:t>车辆冲洗用水</w:t>
            </w:r>
            <w:r>
              <w:rPr>
                <w:rFonts w:hint="default" w:ascii="Times New Roman" w:hAnsi="Times New Roman" w:cs="Times New Roman"/>
                <w:color w:val="auto"/>
                <w:szCs w:val="24"/>
                <w:highlight w:val="none"/>
              </w:rPr>
              <w:t>和生活用水，产生的废水包括生活污水</w:t>
            </w:r>
            <w:r>
              <w:rPr>
                <w:rFonts w:hint="eastAsia" w:cs="Times New Roman"/>
                <w:color w:val="auto"/>
                <w:szCs w:val="24"/>
                <w:highlight w:val="none"/>
                <w:lang w:eastAsia="zh-CN"/>
              </w:rPr>
              <w:t>、</w:t>
            </w:r>
            <w:r>
              <w:rPr>
                <w:rFonts w:hint="eastAsia" w:cs="Times New Roman"/>
                <w:color w:val="auto"/>
                <w:szCs w:val="24"/>
                <w:highlight w:val="none"/>
                <w:lang w:val="en-US" w:eastAsia="zh-CN"/>
              </w:rPr>
              <w:t>车辆冲洗废水及</w:t>
            </w:r>
            <w:r>
              <w:rPr>
                <w:rFonts w:hint="default" w:ascii="Times New Roman" w:hAnsi="Times New Roman" w:cs="Times New Roman"/>
                <w:color w:val="auto"/>
                <w:szCs w:val="24"/>
                <w:highlight w:val="none"/>
              </w:rPr>
              <w:t>地表径流雨水，抑尘用水全部蒸发损耗无废水产生。</w:t>
            </w:r>
          </w:p>
          <w:p w14:paraId="37D3EAF2">
            <w:pPr>
              <w:ind w:firstLine="480"/>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eastAsia="zh-CN"/>
              </w:rPr>
              <w:t>（</w:t>
            </w:r>
            <w:r>
              <w:rPr>
                <w:rFonts w:hint="eastAsia" w:cs="Times New Roman"/>
                <w:color w:val="auto"/>
                <w:szCs w:val="24"/>
                <w:highlight w:val="none"/>
                <w:lang w:val="en-US" w:eastAsia="zh-CN"/>
              </w:rPr>
              <w:t>1</w:t>
            </w:r>
            <w:r>
              <w:rPr>
                <w:rFonts w:hint="eastAsia" w:cs="Times New Roman"/>
                <w:color w:val="auto"/>
                <w:szCs w:val="24"/>
                <w:highlight w:val="none"/>
                <w:lang w:eastAsia="zh-CN"/>
              </w:rPr>
              <w:t>）</w:t>
            </w:r>
            <w:r>
              <w:rPr>
                <w:rFonts w:hint="eastAsia" w:cs="Times New Roman"/>
                <w:color w:val="auto"/>
                <w:szCs w:val="24"/>
                <w:highlight w:val="none"/>
                <w:lang w:val="en-US" w:eastAsia="zh-CN"/>
              </w:rPr>
              <w:t>抑尘废水</w:t>
            </w:r>
          </w:p>
          <w:p w14:paraId="1CF9DBBD">
            <w:pPr>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①</w:t>
            </w:r>
            <w:r>
              <w:rPr>
                <w:rFonts w:hint="eastAsia" w:cs="Times New Roman"/>
                <w:color w:val="auto"/>
                <w:szCs w:val="24"/>
                <w:highlight w:val="none"/>
                <w:lang w:val="en-US" w:eastAsia="zh-CN"/>
              </w:rPr>
              <w:t>采矿抑尘废水</w:t>
            </w:r>
          </w:p>
          <w:p w14:paraId="1B63DD57">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为防止</w:t>
            </w:r>
            <w:r>
              <w:rPr>
                <w:rFonts w:hint="eastAsia" w:cs="Times New Roman"/>
                <w:color w:val="auto"/>
                <w:szCs w:val="24"/>
                <w:highlight w:val="none"/>
                <w:lang w:val="en-US" w:eastAsia="zh-CN"/>
              </w:rPr>
              <w:t>采矿</w:t>
            </w:r>
            <w:r>
              <w:rPr>
                <w:rFonts w:hint="default" w:ascii="Times New Roman" w:hAnsi="Times New Roman" w:cs="Times New Roman"/>
                <w:color w:val="auto"/>
                <w:szCs w:val="24"/>
                <w:highlight w:val="none"/>
              </w:rPr>
              <w:t>工段的扬尘污染，需事先在现场洒水。这部分水全部蒸发。本项目</w:t>
            </w:r>
            <w:r>
              <w:rPr>
                <w:rFonts w:hint="eastAsia" w:cs="Times New Roman"/>
                <w:color w:val="auto"/>
                <w:szCs w:val="24"/>
                <w:highlight w:val="none"/>
                <w:lang w:val="en-US" w:eastAsia="zh-CN"/>
              </w:rPr>
              <w:t>采矿</w:t>
            </w:r>
            <w:r>
              <w:rPr>
                <w:rFonts w:hint="default" w:ascii="Times New Roman" w:hAnsi="Times New Roman" w:cs="Times New Roman"/>
                <w:color w:val="auto"/>
                <w:szCs w:val="24"/>
                <w:highlight w:val="none"/>
              </w:rPr>
              <w:t>正常工况下一天一次</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洒水按每次5m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计，则项目</w:t>
            </w:r>
            <w:r>
              <w:rPr>
                <w:rFonts w:hint="eastAsia" w:cs="Times New Roman"/>
                <w:color w:val="auto"/>
                <w:szCs w:val="24"/>
                <w:highlight w:val="none"/>
                <w:lang w:val="en-US" w:eastAsia="zh-CN"/>
              </w:rPr>
              <w:t>采矿</w:t>
            </w:r>
            <w:r>
              <w:rPr>
                <w:rFonts w:hint="default" w:ascii="Times New Roman" w:hAnsi="Times New Roman" w:cs="Times New Roman"/>
                <w:color w:val="auto"/>
                <w:szCs w:val="24"/>
                <w:highlight w:val="none"/>
              </w:rPr>
              <w:t>抑尘用水水量为</w:t>
            </w:r>
            <w:r>
              <w:rPr>
                <w:rFonts w:hint="eastAsia" w:cs="Times New Roman"/>
                <w:color w:val="auto"/>
                <w:szCs w:val="24"/>
                <w:highlight w:val="none"/>
                <w:lang w:val="en-US" w:eastAsia="zh-CN"/>
              </w:rPr>
              <w:t>1450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/a。该部分水全部渗漏或蒸发损失。</w:t>
            </w:r>
          </w:p>
          <w:p w14:paraId="009EFEE5">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②场地抑尘洒水</w:t>
            </w:r>
          </w:p>
          <w:p w14:paraId="41565C7C">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项目运输道路、</w:t>
            </w:r>
            <w:r>
              <w:rPr>
                <w:rFonts w:hint="eastAsia" w:cs="Times New Roman"/>
                <w:color w:val="auto"/>
                <w:szCs w:val="24"/>
                <w:highlight w:val="none"/>
                <w:lang w:eastAsia="zh-CN"/>
              </w:rPr>
              <w:t>排土场</w:t>
            </w:r>
            <w:r>
              <w:rPr>
                <w:rFonts w:hint="default" w:ascii="Times New Roman" w:hAnsi="Times New Roman" w:cs="Times New Roman"/>
                <w:color w:val="auto"/>
                <w:szCs w:val="24"/>
                <w:highlight w:val="none"/>
              </w:rPr>
              <w:t>、破碎场地、产品堆场等区域均进行洒水抑尘， 该部分面积约</w:t>
            </w:r>
            <w:r>
              <w:rPr>
                <w:rFonts w:hint="eastAsia" w:cs="Times New Roman"/>
                <w:color w:val="auto"/>
                <w:szCs w:val="24"/>
                <w:highlight w:val="none"/>
                <w:lang w:val="en-US" w:eastAsia="zh-CN"/>
              </w:rPr>
              <w:t>20000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2</w:t>
            </w:r>
            <w:r>
              <w:rPr>
                <w:rFonts w:hint="default" w:ascii="Times New Roman" w:hAnsi="Times New Roman" w:cs="Times New Roman"/>
                <w:color w:val="auto"/>
                <w:szCs w:val="24"/>
                <w:highlight w:val="none"/>
              </w:rPr>
              <w:t>，按平均2L/m</w:t>
            </w:r>
            <w:r>
              <w:rPr>
                <w:rFonts w:hint="default" w:ascii="Times New Roman" w:hAnsi="Times New Roman" w:cs="Times New Roman"/>
                <w:color w:val="auto"/>
                <w:szCs w:val="24"/>
                <w:highlight w:val="none"/>
                <w:vertAlign w:val="superscript"/>
              </w:rPr>
              <w:t>2</w:t>
            </w:r>
            <w:r>
              <w:rPr>
                <w:rFonts w:hint="default" w:ascii="Times New Roman" w:hAnsi="Times New Roman" w:cs="Times New Roman"/>
                <w:color w:val="auto"/>
                <w:szCs w:val="24"/>
                <w:highlight w:val="none"/>
              </w:rPr>
              <w:t>次，每天中午洒水一次（雨天不进行喷洒）。本项目工作日为</w:t>
            </w:r>
            <w:r>
              <w:rPr>
                <w:rFonts w:hint="eastAsia" w:cs="Times New Roman"/>
                <w:color w:val="auto"/>
                <w:szCs w:val="24"/>
                <w:highlight w:val="none"/>
                <w:lang w:val="en-US" w:eastAsia="zh-CN"/>
              </w:rPr>
              <w:t>300</w:t>
            </w:r>
            <w:r>
              <w:rPr>
                <w:rFonts w:hint="default" w:ascii="Times New Roman" w:hAnsi="Times New Roman" w:cs="Times New Roman"/>
                <w:color w:val="auto"/>
                <w:szCs w:val="24"/>
                <w:highlight w:val="none"/>
              </w:rPr>
              <w:t>天，非雨水天按照180d计算，则本项目场地洒水抑尘用水量为</w:t>
            </w:r>
            <w:r>
              <w:rPr>
                <w:rFonts w:hint="eastAsia" w:cs="Times New Roman"/>
                <w:color w:val="auto"/>
                <w:szCs w:val="24"/>
                <w:highlight w:val="none"/>
                <w:lang w:val="en-US" w:eastAsia="zh-CN"/>
              </w:rPr>
              <w:t>40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w:t>
            </w:r>
            <w:r>
              <w:rPr>
                <w:rFonts w:hint="eastAsia" w:cs="Times New Roman"/>
                <w:color w:val="auto"/>
                <w:szCs w:val="24"/>
                <w:highlight w:val="none"/>
                <w:lang w:val="en-US" w:eastAsia="zh-CN"/>
              </w:rPr>
              <w:t>7200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/a）。该部分水全部蒸发损失。</w:t>
            </w:r>
          </w:p>
          <w:p w14:paraId="3C1C94B6">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③破碎、筛分工序抑尘废水</w:t>
            </w:r>
          </w:p>
          <w:p w14:paraId="3D5AD4BA">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w:t>
            </w:r>
            <w:r>
              <w:rPr>
                <w:rFonts w:hint="eastAsia" w:cs="Times New Roman"/>
                <w:color w:val="auto"/>
                <w:szCs w:val="24"/>
                <w:highlight w:val="none"/>
                <w:lang w:eastAsia="zh-CN"/>
              </w:rPr>
              <w:t>工业场地</w:t>
            </w:r>
            <w:r>
              <w:rPr>
                <w:rFonts w:hint="default" w:ascii="Times New Roman" w:hAnsi="Times New Roman" w:cs="Times New Roman"/>
                <w:color w:val="auto"/>
                <w:szCs w:val="24"/>
                <w:highlight w:val="none"/>
              </w:rPr>
              <w:t>破碎</w:t>
            </w:r>
            <w:r>
              <w:rPr>
                <w:rFonts w:hint="eastAsia" w:cs="Times New Roman"/>
                <w:color w:val="auto"/>
                <w:szCs w:val="24"/>
                <w:highlight w:val="none"/>
                <w:lang w:eastAsia="zh-CN"/>
              </w:rPr>
              <w:t>、</w:t>
            </w:r>
            <w:r>
              <w:rPr>
                <w:rFonts w:hint="eastAsia" w:cs="Times New Roman"/>
                <w:color w:val="auto"/>
                <w:szCs w:val="24"/>
                <w:highlight w:val="none"/>
                <w:lang w:val="en-US" w:eastAsia="zh-CN"/>
              </w:rPr>
              <w:t>筛分</w:t>
            </w:r>
            <w:r>
              <w:rPr>
                <w:rFonts w:hint="default" w:ascii="Times New Roman" w:hAnsi="Times New Roman" w:cs="Times New Roman"/>
                <w:color w:val="auto"/>
                <w:szCs w:val="24"/>
                <w:highlight w:val="none"/>
              </w:rPr>
              <w:t>设备进料口、出料口均设置喷雾措施，每个进料口喷雾用水量为0.8m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/h；每个出料口喷雾用水量以0.5m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/h。本项目共有</w:t>
            </w:r>
            <w:r>
              <w:rPr>
                <w:rFonts w:hint="eastAsia" w:cs="Times New Roman"/>
                <w:color w:val="auto"/>
                <w:szCs w:val="24"/>
                <w:highlight w:val="none"/>
                <w:lang w:val="en-US" w:eastAsia="zh-CN"/>
              </w:rPr>
              <w:t>3</w:t>
            </w:r>
            <w:r>
              <w:rPr>
                <w:rFonts w:hint="default" w:ascii="Times New Roman" w:hAnsi="Times New Roman" w:cs="Times New Roman"/>
                <w:color w:val="auto"/>
                <w:szCs w:val="24"/>
                <w:highlight w:val="none"/>
              </w:rPr>
              <w:t>台破碎机、</w:t>
            </w:r>
            <w:r>
              <w:rPr>
                <w:rFonts w:hint="eastAsia" w:cs="Times New Roman"/>
                <w:color w:val="auto"/>
                <w:szCs w:val="24"/>
                <w:highlight w:val="none"/>
                <w:lang w:val="en-US" w:eastAsia="zh-CN"/>
              </w:rPr>
              <w:t>2</w:t>
            </w:r>
            <w:r>
              <w:rPr>
                <w:rFonts w:hint="default" w:ascii="Times New Roman" w:hAnsi="Times New Roman" w:cs="Times New Roman"/>
                <w:color w:val="auto"/>
                <w:szCs w:val="24"/>
                <w:highlight w:val="none"/>
              </w:rPr>
              <w:t>台振动筛其设备均有一个进料口和一个出料口。本项目年工作日为</w:t>
            </w:r>
            <w:r>
              <w:rPr>
                <w:rFonts w:hint="eastAsia" w:cs="Times New Roman"/>
                <w:color w:val="auto"/>
                <w:szCs w:val="24"/>
                <w:highlight w:val="none"/>
                <w:lang w:val="en-US" w:eastAsia="zh-CN"/>
              </w:rPr>
              <w:t>300</w:t>
            </w:r>
            <w:r>
              <w:rPr>
                <w:rFonts w:hint="default" w:ascii="Times New Roman" w:hAnsi="Times New Roman" w:cs="Times New Roman"/>
                <w:color w:val="auto"/>
                <w:szCs w:val="24"/>
                <w:highlight w:val="none"/>
              </w:rPr>
              <w:t>d，则</w:t>
            </w:r>
            <w:r>
              <w:rPr>
                <w:rFonts w:hint="eastAsia" w:cs="Times New Roman"/>
                <w:color w:val="auto"/>
                <w:szCs w:val="24"/>
                <w:highlight w:val="none"/>
                <w:lang w:eastAsia="zh-CN"/>
              </w:rPr>
              <w:t>工业场地</w:t>
            </w:r>
            <w:r>
              <w:rPr>
                <w:rFonts w:hint="default" w:ascii="Times New Roman" w:hAnsi="Times New Roman" w:cs="Times New Roman"/>
                <w:color w:val="auto"/>
                <w:szCs w:val="24"/>
                <w:highlight w:val="none"/>
              </w:rPr>
              <w:t>破碎筛分用水量约为</w:t>
            </w:r>
            <w:r>
              <w:rPr>
                <w:rFonts w:hint="eastAsia" w:cs="Times New Roman"/>
                <w:color w:val="auto"/>
                <w:szCs w:val="24"/>
                <w:highlight w:val="none"/>
                <w:lang w:val="en-US" w:eastAsia="zh-CN"/>
              </w:rPr>
              <w:t>15600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/a。这部分水全部随产品带走蒸发损失。</w:t>
            </w:r>
          </w:p>
          <w:p w14:paraId="33E9163C">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（2）车辆</w:t>
            </w:r>
            <w:r>
              <w:rPr>
                <w:rFonts w:hint="eastAsia" w:cs="Times New Roman"/>
                <w:color w:val="auto"/>
                <w:szCs w:val="24"/>
                <w:highlight w:val="none"/>
                <w:lang w:val="en-US" w:eastAsia="zh-CN"/>
              </w:rPr>
              <w:t>轮胎</w:t>
            </w:r>
            <w:r>
              <w:rPr>
                <w:rFonts w:hint="default" w:ascii="Times New Roman" w:hAnsi="Times New Roman" w:cs="Times New Roman"/>
                <w:color w:val="auto"/>
                <w:szCs w:val="24"/>
                <w:highlight w:val="none"/>
              </w:rPr>
              <w:t>冲洗废水</w:t>
            </w:r>
          </w:p>
          <w:p w14:paraId="271E13FD">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为保证道路的清洁与运输道路降尘，进出场车辆在入口设置洗车区，车辆经过洗车区时，可去除车辆轮胎上的泥沙。本项目平均每天产生的碎石量为</w:t>
            </w:r>
            <w:r>
              <w:rPr>
                <w:rFonts w:hint="eastAsia" w:cs="Times New Roman"/>
                <w:color w:val="auto"/>
                <w:szCs w:val="24"/>
                <w:highlight w:val="none"/>
                <w:lang w:val="en-US" w:eastAsia="zh-CN"/>
              </w:rPr>
              <w:t>4000</w:t>
            </w:r>
            <w:r>
              <w:rPr>
                <w:rFonts w:hint="default" w:ascii="Times New Roman" w:hAnsi="Times New Roman" w:cs="Times New Roman"/>
                <w:color w:val="auto"/>
                <w:szCs w:val="24"/>
                <w:highlight w:val="none"/>
              </w:rPr>
              <w:t>t，汽车载重</w:t>
            </w:r>
            <w:r>
              <w:rPr>
                <w:rFonts w:hint="eastAsia" w:cs="Times New Roman"/>
                <w:color w:val="auto"/>
                <w:szCs w:val="24"/>
                <w:highlight w:val="none"/>
                <w:lang w:val="en-US" w:eastAsia="zh-CN"/>
              </w:rPr>
              <w:t>20</w:t>
            </w:r>
            <w:r>
              <w:rPr>
                <w:rFonts w:hint="default" w:ascii="Times New Roman" w:hAnsi="Times New Roman" w:cs="Times New Roman"/>
                <w:color w:val="auto"/>
                <w:szCs w:val="24"/>
                <w:highlight w:val="none"/>
              </w:rPr>
              <w:t>t，即每天需</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00车次进行运输，车辆冲洗用水量按 200L/车次计，则车辆冲洗用水量为</w:t>
            </w:r>
            <w:r>
              <w:rPr>
                <w:rFonts w:hint="eastAsia"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0m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w:t>
            </w:r>
            <w:r>
              <w:rPr>
                <w:rFonts w:hint="eastAsia" w:ascii="Times New Roman" w:hAnsi="Times New Roman" w:cs="Times New Roman"/>
                <w:color w:val="auto"/>
                <w:szCs w:val="24"/>
                <w:highlight w:val="none"/>
                <w:lang w:val="en-US" w:eastAsia="zh-CN"/>
              </w:rPr>
              <w:t>12</w:t>
            </w:r>
            <w:r>
              <w:rPr>
                <w:rFonts w:hint="default" w:ascii="Times New Roman" w:hAnsi="Times New Roman" w:cs="Times New Roman"/>
                <w:color w:val="auto"/>
                <w:szCs w:val="24"/>
                <w:highlight w:val="none"/>
              </w:rPr>
              <w:t>000m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/a）该部分水经沉淀后用作场地洒水抑尘，损耗率按10%计，则废水产生量</w:t>
            </w:r>
            <w:r>
              <w:rPr>
                <w:rFonts w:hint="eastAsia" w:ascii="Times New Roman" w:hAnsi="Times New Roman" w:cs="Times New Roman"/>
                <w:color w:val="auto"/>
                <w:szCs w:val="24"/>
                <w:highlight w:val="none"/>
                <w:lang w:val="en-US" w:eastAsia="zh-CN"/>
              </w:rPr>
              <w:t>108</w:t>
            </w:r>
            <w:r>
              <w:rPr>
                <w:rFonts w:hint="default" w:ascii="Times New Roman" w:hAnsi="Times New Roman" w:cs="Times New Roman"/>
                <w:color w:val="auto"/>
                <w:szCs w:val="24"/>
                <w:highlight w:val="none"/>
              </w:rPr>
              <w:t>00m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/a。本项目车辆</w:t>
            </w:r>
            <w:r>
              <w:rPr>
                <w:rFonts w:hint="eastAsia" w:cs="Times New Roman"/>
                <w:color w:val="auto"/>
                <w:szCs w:val="24"/>
                <w:highlight w:val="none"/>
                <w:lang w:val="en-US" w:eastAsia="zh-CN"/>
              </w:rPr>
              <w:t>轮胎</w:t>
            </w:r>
            <w:r>
              <w:rPr>
                <w:rFonts w:hint="default" w:ascii="Times New Roman" w:hAnsi="Times New Roman" w:cs="Times New Roman"/>
                <w:color w:val="auto"/>
                <w:szCs w:val="24"/>
                <w:highlight w:val="none"/>
              </w:rPr>
              <w:t>冲洗废水经沉淀池处理回用做矿区生产和抑尘用水。</w:t>
            </w:r>
          </w:p>
          <w:p w14:paraId="75CF9672">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w:t>
            </w:r>
            <w:r>
              <w:rPr>
                <w:rFonts w:hint="eastAsia" w:cs="Times New Roman"/>
                <w:color w:val="auto"/>
                <w:szCs w:val="24"/>
                <w:highlight w:val="none"/>
                <w:lang w:val="en-US" w:eastAsia="zh-CN"/>
              </w:rPr>
              <w:t>初期</w:t>
            </w:r>
            <w:r>
              <w:rPr>
                <w:rFonts w:hint="default" w:ascii="Times New Roman" w:hAnsi="Times New Roman" w:cs="Times New Roman"/>
                <w:color w:val="auto"/>
                <w:szCs w:val="24"/>
                <w:highlight w:val="none"/>
              </w:rPr>
              <w:t>雨水</w:t>
            </w:r>
          </w:p>
          <w:p w14:paraId="2738ED79">
            <w:pPr>
              <w:ind w:firstLine="480"/>
              <w:rPr>
                <w:rFonts w:hint="eastAsia" w:cs="Times New Roman"/>
                <w:color w:val="auto"/>
                <w:szCs w:val="24"/>
                <w:highlight w:val="none"/>
                <w:lang w:val="en-US" w:eastAsia="zh-CN"/>
              </w:rPr>
            </w:pPr>
            <w:r>
              <w:rPr>
                <w:rFonts w:hint="eastAsia" w:ascii="Times New Roman" w:hAnsi="Times New Roman" w:eastAsia="宋体" w:cs="Times New Roman"/>
                <w:color w:val="auto"/>
                <w:sz w:val="24"/>
                <w:highlight w:val="none"/>
                <w:u w:val="single"/>
                <w:lang w:val="en-US" w:eastAsia="zh-CN"/>
              </w:rPr>
              <w:t>项目矿区地面降雨天气形成地表径流，通过冲刷地表浮土、泥沙、碎石形成泥浆雨水</w:t>
            </w:r>
            <w:r>
              <w:rPr>
                <w:rFonts w:hint="default" w:ascii="Times New Roman" w:hAnsi="Times New Roman" w:eastAsia="宋体" w:cs="Times New Roman"/>
                <w:color w:val="auto"/>
                <w:sz w:val="24"/>
                <w:highlight w:val="none"/>
                <w:u w:val="single"/>
              </w:rPr>
              <w:t>，主要</w:t>
            </w:r>
            <w:r>
              <w:rPr>
                <w:rFonts w:hint="default" w:ascii="Times New Roman" w:hAnsi="Times New Roman" w:cs="Times New Roman"/>
                <w:color w:val="auto"/>
                <w:sz w:val="24"/>
                <w:szCs w:val="24"/>
                <w:highlight w:val="none"/>
                <w:u w:val="single"/>
              </w:rPr>
              <w:t>污染物与矿石、废石成分有关。本项目</w:t>
            </w:r>
            <w:r>
              <w:rPr>
                <w:rFonts w:hint="eastAsia" w:ascii="Times New Roman" w:hAnsi="Times New Roman" w:cs="Times New Roman"/>
                <w:color w:val="auto"/>
                <w:sz w:val="24"/>
                <w:szCs w:val="24"/>
                <w:highlight w:val="none"/>
                <w:u w:val="single"/>
                <w:lang w:eastAsia="zh-CN"/>
              </w:rPr>
              <w:t>矿</w:t>
            </w:r>
            <w:r>
              <w:rPr>
                <w:rFonts w:hint="default" w:ascii="Times New Roman" w:hAnsi="Times New Roman" w:cs="Times New Roman"/>
                <w:color w:val="auto"/>
                <w:sz w:val="24"/>
                <w:szCs w:val="24"/>
                <w:highlight w:val="none"/>
                <w:u w:val="single"/>
                <w:lang w:eastAsia="zh-CN"/>
              </w:rPr>
              <w:t>区</w:t>
            </w:r>
            <w:r>
              <w:rPr>
                <w:rFonts w:hint="default" w:ascii="Times New Roman" w:hAnsi="Times New Roman" w:cs="Times New Roman"/>
                <w:color w:val="auto"/>
                <w:sz w:val="24"/>
                <w:szCs w:val="24"/>
                <w:highlight w:val="none"/>
                <w:u w:val="single"/>
              </w:rPr>
              <w:t>、</w:t>
            </w:r>
            <w:r>
              <w:rPr>
                <w:rFonts w:hint="eastAsia" w:ascii="Times New Roman" w:hAnsi="Times New Roman" w:cs="Times New Roman"/>
                <w:color w:val="auto"/>
                <w:sz w:val="24"/>
                <w:szCs w:val="24"/>
                <w:highlight w:val="none"/>
                <w:u w:val="single"/>
                <w:lang w:eastAsia="zh-CN"/>
              </w:rPr>
              <w:t>排土</w:t>
            </w:r>
            <w:r>
              <w:rPr>
                <w:rFonts w:hint="default" w:ascii="Times New Roman" w:hAnsi="Times New Roman" w:cs="Times New Roman"/>
                <w:color w:val="auto"/>
                <w:sz w:val="24"/>
                <w:szCs w:val="24"/>
                <w:highlight w:val="none"/>
                <w:u w:val="single"/>
              </w:rPr>
              <w:t>场</w:t>
            </w:r>
            <w:r>
              <w:rPr>
                <w:rFonts w:hint="eastAsia" w:cs="Times New Roman"/>
                <w:color w:val="auto"/>
                <w:sz w:val="24"/>
                <w:szCs w:val="24"/>
                <w:highlight w:val="none"/>
                <w:u w:val="single"/>
                <w:lang w:val="en-US" w:eastAsia="zh-CN"/>
              </w:rPr>
              <w:t>以及工业场地</w:t>
            </w:r>
            <w:r>
              <w:rPr>
                <w:rFonts w:hint="default" w:ascii="Times New Roman" w:hAnsi="Times New Roman" w:cs="Times New Roman"/>
                <w:color w:val="auto"/>
                <w:sz w:val="24"/>
                <w:szCs w:val="24"/>
                <w:highlight w:val="none"/>
                <w:u w:val="single"/>
              </w:rPr>
              <w:t>面积</w:t>
            </w:r>
            <w:r>
              <w:rPr>
                <w:rFonts w:hint="eastAsia" w:ascii="Times New Roman" w:hAnsi="Times New Roman" w:cs="Times New Roman"/>
                <w:color w:val="auto"/>
                <w:sz w:val="24"/>
                <w:szCs w:val="24"/>
                <w:highlight w:val="none"/>
                <w:u w:val="single"/>
                <w:lang w:eastAsia="zh-CN"/>
              </w:rPr>
              <w:t>分别</w:t>
            </w:r>
            <w:r>
              <w:rPr>
                <w:rFonts w:hint="default" w:ascii="Times New Roman" w:hAnsi="Times New Roman" w:cs="Times New Roman"/>
                <w:color w:val="auto"/>
                <w:sz w:val="24"/>
                <w:szCs w:val="24"/>
                <w:highlight w:val="none"/>
                <w:u w:val="single"/>
              </w:rPr>
              <w:t>按</w:t>
            </w:r>
            <w:r>
              <w:rPr>
                <w:rFonts w:hint="eastAsia" w:cs="Times New Roman"/>
                <w:color w:val="auto"/>
                <w:sz w:val="24"/>
                <w:szCs w:val="24"/>
                <w:highlight w:val="none"/>
                <w:u w:val="single"/>
                <w:lang w:val="en-US" w:eastAsia="zh-CN"/>
              </w:rPr>
              <w:t>2578</w:t>
            </w:r>
            <w:r>
              <w:rPr>
                <w:rFonts w:hint="default" w:ascii="Times New Roman" w:hAnsi="Times New Roman" w:cs="Times New Roman"/>
                <w:color w:val="auto"/>
                <w:sz w:val="24"/>
                <w:szCs w:val="24"/>
                <w:highlight w:val="none"/>
                <w:u w:val="single"/>
              </w:rPr>
              <w:t>00m</w:t>
            </w:r>
            <w:r>
              <w:rPr>
                <w:rFonts w:hint="default" w:ascii="Times New Roman" w:hAnsi="Times New Roman" w:cs="Times New Roman"/>
                <w:color w:val="auto"/>
                <w:sz w:val="24"/>
                <w:szCs w:val="24"/>
                <w:highlight w:val="none"/>
                <w:u w:val="single"/>
                <w:vertAlign w:val="superscript"/>
              </w:rPr>
              <w:t>2</w:t>
            </w:r>
            <w:r>
              <w:rPr>
                <w:rFonts w:hint="eastAsia" w:ascii="Times New Roman" w:hAnsi="Times New Roman" w:cs="Times New Roman"/>
                <w:color w:val="auto"/>
                <w:sz w:val="24"/>
                <w:szCs w:val="24"/>
                <w:highlight w:val="none"/>
                <w:u w:val="single"/>
                <w:lang w:eastAsia="zh-CN"/>
              </w:rPr>
              <w:t>、</w:t>
            </w:r>
            <w:r>
              <w:rPr>
                <w:rFonts w:hint="eastAsia" w:cs="Times New Roman"/>
                <w:color w:val="auto"/>
                <w:sz w:val="24"/>
                <w:szCs w:val="24"/>
                <w:highlight w:val="none"/>
                <w:u w:val="single"/>
                <w:lang w:val="en-US" w:eastAsia="zh-CN"/>
              </w:rPr>
              <w:t>238</w:t>
            </w:r>
            <w:r>
              <w:rPr>
                <w:rFonts w:hint="default" w:ascii="Times New Roman" w:hAnsi="Times New Roman" w:cs="Times New Roman"/>
                <w:color w:val="auto"/>
                <w:sz w:val="24"/>
                <w:szCs w:val="24"/>
                <w:highlight w:val="none"/>
                <w:u w:val="single"/>
              </w:rPr>
              <w:t>00m</w:t>
            </w:r>
            <w:r>
              <w:rPr>
                <w:rFonts w:hint="default" w:ascii="Times New Roman" w:hAnsi="Times New Roman" w:cs="Times New Roman"/>
                <w:color w:val="auto"/>
                <w:sz w:val="24"/>
                <w:szCs w:val="24"/>
                <w:highlight w:val="none"/>
                <w:u w:val="single"/>
                <w:vertAlign w:val="superscript"/>
              </w:rPr>
              <w:t>2</w:t>
            </w:r>
            <w:r>
              <w:rPr>
                <w:rFonts w:hint="eastAsia" w:ascii="Times New Roman" w:hAnsi="Times New Roman" w:cs="Times New Roman"/>
                <w:color w:val="auto"/>
                <w:sz w:val="24"/>
                <w:szCs w:val="24"/>
                <w:highlight w:val="none"/>
                <w:u w:val="single"/>
                <w:lang w:eastAsia="zh-CN"/>
              </w:rPr>
              <w:t>、</w:t>
            </w:r>
            <w:r>
              <w:rPr>
                <w:rFonts w:hint="eastAsia" w:ascii="Times New Roman" w:hAnsi="Times New Roman" w:cs="Times New Roman"/>
                <w:color w:val="auto"/>
                <w:sz w:val="24"/>
                <w:szCs w:val="24"/>
                <w:highlight w:val="none"/>
                <w:u w:val="single"/>
                <w:lang w:val="en-US" w:eastAsia="zh-CN"/>
              </w:rPr>
              <w:t>9</w:t>
            </w:r>
            <w:r>
              <w:rPr>
                <w:rFonts w:hint="default" w:ascii="Times New Roman" w:hAnsi="Times New Roman" w:cs="Times New Roman"/>
                <w:color w:val="auto"/>
                <w:sz w:val="24"/>
                <w:szCs w:val="24"/>
                <w:highlight w:val="none"/>
                <w:u w:val="single"/>
              </w:rPr>
              <w:t>000m</w:t>
            </w:r>
            <w:r>
              <w:rPr>
                <w:rFonts w:hint="default" w:ascii="Times New Roman" w:hAnsi="Times New Roman" w:cs="Times New Roman"/>
                <w:color w:val="auto"/>
                <w:sz w:val="24"/>
                <w:szCs w:val="24"/>
                <w:highlight w:val="none"/>
                <w:u w:val="single"/>
                <w:vertAlign w:val="superscript"/>
              </w:rPr>
              <w:t>2</w:t>
            </w:r>
            <w:r>
              <w:rPr>
                <w:rFonts w:hint="default" w:ascii="Times New Roman" w:hAnsi="Times New Roman" w:cs="Times New Roman"/>
                <w:color w:val="auto"/>
                <w:sz w:val="24"/>
                <w:szCs w:val="24"/>
                <w:highlight w:val="none"/>
                <w:u w:val="single"/>
              </w:rPr>
              <w:t>计算。</w:t>
            </w:r>
            <w:r>
              <w:rPr>
                <w:rFonts w:hint="eastAsia" w:cs="Times New Roman"/>
                <w:color w:val="auto"/>
                <w:szCs w:val="24"/>
                <w:highlight w:val="none"/>
                <w:u w:val="single"/>
                <w:lang w:val="en-US" w:eastAsia="zh-CN"/>
              </w:rPr>
              <w:t>项目初期雨水根据同济大学采用解析法编制的暴雨强度及初期雨水流量计算软件（V1.0.9.2）进行计算，其暴雨强度公式如下：</w:t>
            </w:r>
          </w:p>
          <w:p w14:paraId="3D68BF78">
            <w:pPr>
              <w:ind w:left="0" w:leftChars="0" w:firstLine="0" w:firstLineChars="0"/>
              <w:jc w:val="center"/>
              <w:rPr>
                <w:rFonts w:hint="eastAsia" w:cs="Times New Roman"/>
                <w:color w:val="auto"/>
                <w:szCs w:val="24"/>
                <w:highlight w:val="none"/>
                <w:lang w:val="en-US" w:eastAsia="zh-CN"/>
              </w:rPr>
            </w:pPr>
            <w:r>
              <w:rPr>
                <w:color w:val="auto"/>
                <w:highlight w:val="none"/>
              </w:rPr>
              <w:drawing>
                <wp:inline distT="0" distB="0" distL="114300" distR="114300">
                  <wp:extent cx="1661160" cy="449580"/>
                  <wp:effectExtent l="0" t="0" r="0" b="762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5"/>
                          <a:stretch>
                            <a:fillRect/>
                          </a:stretch>
                        </pic:blipFill>
                        <pic:spPr>
                          <a:xfrm>
                            <a:off x="0" y="0"/>
                            <a:ext cx="1661160" cy="449580"/>
                          </a:xfrm>
                          <a:prstGeom prst="rect">
                            <a:avLst/>
                          </a:prstGeom>
                          <a:noFill/>
                          <a:ln>
                            <a:noFill/>
                          </a:ln>
                        </pic:spPr>
                      </pic:pic>
                    </a:graphicData>
                  </a:graphic>
                </wp:inline>
              </w:drawing>
            </w:r>
          </w:p>
          <w:p w14:paraId="4BCA61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single"/>
              </w:rPr>
              <w:t>雨水降雨历时一般取</w:t>
            </w:r>
            <w:r>
              <w:rPr>
                <w:rFonts w:hint="eastAsia" w:cs="Times New Roman"/>
                <w:color w:val="auto"/>
                <w:sz w:val="24"/>
                <w:szCs w:val="24"/>
                <w:highlight w:val="none"/>
                <w:u w:val="single"/>
                <w:lang w:val="en-US" w:eastAsia="zh-CN"/>
              </w:rPr>
              <w:t>15</w:t>
            </w:r>
            <w:r>
              <w:rPr>
                <w:rFonts w:hint="default" w:ascii="Times New Roman" w:hAnsi="Times New Roman" w:cs="Times New Roman"/>
                <w:color w:val="auto"/>
                <w:sz w:val="24"/>
                <w:szCs w:val="24"/>
                <w:highlight w:val="none"/>
                <w:u w:val="single"/>
              </w:rPr>
              <w:t>min，设计重现期取1年。</w:t>
            </w:r>
            <w:r>
              <w:rPr>
                <w:rFonts w:hint="eastAsia" w:ascii="Times New Roman" w:hAnsi="Times New Roman" w:cs="Times New Roman"/>
                <w:color w:val="auto"/>
                <w:sz w:val="24"/>
                <w:szCs w:val="24"/>
                <w:highlight w:val="none"/>
                <w:u w:val="single"/>
                <w:lang w:eastAsia="zh-CN"/>
              </w:rPr>
              <w:t>根据</w:t>
            </w:r>
            <w:r>
              <w:rPr>
                <w:rFonts w:hint="default" w:ascii="Times New Roman" w:hAnsi="Times New Roman" w:cs="Times New Roman"/>
                <w:color w:val="auto"/>
                <w:sz w:val="24"/>
                <w:szCs w:val="24"/>
                <w:highlight w:val="none"/>
                <w:u w:val="single"/>
              </w:rPr>
              <w:t>计算可知</w:t>
            </w:r>
            <w:r>
              <w:rPr>
                <w:rFonts w:hint="eastAsia" w:ascii="Times New Roman" w:hAnsi="Times New Roman" w:cs="Times New Roman"/>
                <w:color w:val="auto"/>
                <w:sz w:val="24"/>
                <w:szCs w:val="24"/>
                <w:highlight w:val="none"/>
                <w:u w:val="single"/>
                <w:lang w:eastAsia="zh-CN"/>
              </w:rPr>
              <w:t>地表径流流量</w:t>
            </w:r>
            <w:r>
              <w:rPr>
                <w:rFonts w:hint="default" w:ascii="Times New Roman" w:hAnsi="Times New Roman" w:cs="Times New Roman"/>
                <w:color w:val="auto"/>
                <w:sz w:val="24"/>
                <w:szCs w:val="24"/>
                <w:highlight w:val="none"/>
                <w:u w:val="single"/>
              </w:rPr>
              <w:t>为</w:t>
            </w:r>
            <w:r>
              <w:rPr>
                <w:rFonts w:hint="eastAsia" w:cs="Times New Roman"/>
                <w:color w:val="auto"/>
                <w:sz w:val="24"/>
                <w:szCs w:val="24"/>
                <w:highlight w:val="none"/>
                <w:u w:val="single"/>
                <w:lang w:val="en-US" w:eastAsia="zh-CN"/>
              </w:rPr>
              <w:t>99.5</w:t>
            </w:r>
            <w:r>
              <w:rPr>
                <w:rFonts w:hint="default" w:ascii="Times New Roman" w:hAnsi="Times New Roman" w:cs="Times New Roman"/>
                <w:color w:val="auto"/>
                <w:sz w:val="24"/>
                <w:szCs w:val="24"/>
                <w:highlight w:val="none"/>
                <w:u w:val="single"/>
              </w:rPr>
              <w:t>L/s·10000m</w:t>
            </w:r>
            <w:r>
              <w:rPr>
                <w:rFonts w:hint="default" w:ascii="Times New Roman" w:hAnsi="Times New Roman" w:cs="Times New Roman"/>
                <w:color w:val="auto"/>
                <w:sz w:val="24"/>
                <w:szCs w:val="24"/>
                <w:highlight w:val="none"/>
                <w:u w:val="single"/>
                <w:vertAlign w:val="superscript"/>
              </w:rPr>
              <w:t>2</w:t>
            </w:r>
            <w:r>
              <w:rPr>
                <w:rFonts w:hint="default" w:ascii="Times New Roman" w:hAnsi="Times New Roman" w:cs="Times New Roman"/>
                <w:color w:val="auto"/>
                <w:sz w:val="24"/>
                <w:szCs w:val="24"/>
                <w:highlight w:val="none"/>
                <w:u w:val="single"/>
              </w:rPr>
              <w:t>。当地地表径流系数取0.9，即10%渗入地下，90%形成地表径流。</w:t>
            </w:r>
            <w:r>
              <w:rPr>
                <w:color w:val="auto"/>
                <w:sz w:val="24"/>
                <w:highlight w:val="none"/>
                <w:u w:val="single"/>
              </w:rPr>
              <w:t>根据雨水量计算公式进行计算，</w:t>
            </w:r>
            <w:r>
              <w:rPr>
                <w:rFonts w:hint="eastAsia" w:ascii="Times New Roman" w:hAnsi="Times New Roman" w:cs="Times New Roman"/>
                <w:color w:val="auto"/>
                <w:sz w:val="24"/>
                <w:szCs w:val="24"/>
                <w:highlight w:val="none"/>
                <w:u w:val="single"/>
                <w:lang w:eastAsia="zh-CN"/>
              </w:rPr>
              <w:t>矿区</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量</w:t>
            </w:r>
            <w:r>
              <w:rPr>
                <w:rFonts w:hint="eastAsia" w:cs="Times New Roman"/>
                <w:color w:val="auto"/>
                <w:sz w:val="24"/>
                <w:szCs w:val="24"/>
                <w:highlight w:val="none"/>
                <w:u w:val="single"/>
                <w:lang w:val="en-US" w:eastAsia="zh-CN"/>
              </w:rPr>
              <w:t>2073.68</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/次，</w:t>
            </w:r>
            <w:r>
              <w:rPr>
                <w:rFonts w:hint="eastAsia" w:ascii="Times New Roman" w:hAnsi="Times New Roman" w:cs="Times New Roman"/>
                <w:color w:val="auto"/>
                <w:sz w:val="24"/>
                <w:szCs w:val="24"/>
                <w:highlight w:val="none"/>
                <w:u w:val="single"/>
                <w:lang w:eastAsia="zh-CN"/>
              </w:rPr>
              <w:t>排土场</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量</w:t>
            </w:r>
            <w:r>
              <w:rPr>
                <w:rFonts w:hint="eastAsia" w:cs="Times New Roman"/>
                <w:color w:val="auto"/>
                <w:sz w:val="24"/>
                <w:szCs w:val="24"/>
                <w:highlight w:val="none"/>
                <w:u w:val="single"/>
                <w:lang w:val="en-US" w:eastAsia="zh-CN"/>
              </w:rPr>
              <w:t>191.44</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/次，</w:t>
            </w:r>
            <w:r>
              <w:rPr>
                <w:rFonts w:hint="eastAsia" w:ascii="Times New Roman" w:hAnsi="Times New Roman" w:cs="Times New Roman"/>
                <w:color w:val="auto"/>
                <w:sz w:val="24"/>
                <w:szCs w:val="24"/>
                <w:highlight w:val="none"/>
                <w:u w:val="single"/>
                <w:lang w:val="en-US" w:eastAsia="zh-CN"/>
              </w:rPr>
              <w:t>工业场地</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量</w:t>
            </w:r>
            <w:r>
              <w:rPr>
                <w:rFonts w:hint="eastAsia" w:ascii="Times New Roman" w:hAnsi="Times New Roman" w:cs="Times New Roman"/>
                <w:color w:val="auto"/>
                <w:sz w:val="24"/>
                <w:szCs w:val="24"/>
                <w:highlight w:val="none"/>
                <w:u w:val="single"/>
                <w:lang w:val="en-US" w:eastAsia="zh-CN"/>
              </w:rPr>
              <w:t>72.39</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/次，一年按10次计</w:t>
            </w:r>
            <w:r>
              <w:rPr>
                <w:rFonts w:hint="eastAsia" w:ascii="Times New Roman" w:hAnsi="Times New Roman" w:cs="Times New Roman"/>
                <w:color w:val="auto"/>
                <w:sz w:val="24"/>
                <w:szCs w:val="24"/>
                <w:highlight w:val="none"/>
                <w:u w:val="single"/>
                <w:lang w:eastAsia="zh-CN"/>
              </w:rPr>
              <w:t>。</w:t>
            </w:r>
            <w:r>
              <w:rPr>
                <w:rFonts w:hint="default" w:ascii="Times New Roman" w:hAnsi="Times New Roman" w:cs="Times New Roman"/>
                <w:color w:val="auto"/>
                <w:sz w:val="24"/>
                <w:szCs w:val="24"/>
                <w:highlight w:val="none"/>
                <w:u w:val="single"/>
              </w:rPr>
              <w:t>因此，本项目</w:t>
            </w:r>
            <w:r>
              <w:rPr>
                <w:rFonts w:hint="eastAsia" w:ascii="Times New Roman" w:hAnsi="Times New Roman" w:cs="Times New Roman"/>
                <w:color w:val="auto"/>
                <w:sz w:val="24"/>
                <w:szCs w:val="24"/>
                <w:highlight w:val="none"/>
                <w:u w:val="single"/>
                <w:lang w:eastAsia="zh-CN"/>
              </w:rPr>
              <w:t>矿区</w:t>
            </w:r>
            <w:r>
              <w:rPr>
                <w:rFonts w:hint="default" w:ascii="Times New Roman" w:hAnsi="Times New Roman" w:cs="Times New Roman"/>
                <w:color w:val="auto"/>
                <w:sz w:val="24"/>
                <w:szCs w:val="24"/>
                <w:highlight w:val="none"/>
                <w:u w:val="single"/>
              </w:rPr>
              <w:t>产生的</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约为</w:t>
            </w:r>
            <w:r>
              <w:rPr>
                <w:rFonts w:hint="eastAsia" w:cs="Times New Roman"/>
                <w:color w:val="auto"/>
                <w:sz w:val="24"/>
                <w:szCs w:val="24"/>
                <w:highlight w:val="none"/>
                <w:u w:val="single"/>
                <w:lang w:val="en-US" w:eastAsia="zh-CN"/>
              </w:rPr>
              <w:t>20736.8</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/a</w:t>
            </w:r>
            <w:r>
              <w:rPr>
                <w:rFonts w:hint="eastAsia" w:ascii="Times New Roman" w:hAnsi="Times New Roman" w:cs="Times New Roman"/>
                <w:color w:val="auto"/>
                <w:sz w:val="24"/>
                <w:szCs w:val="24"/>
                <w:highlight w:val="none"/>
                <w:u w:val="single"/>
                <w:lang w:eastAsia="zh-CN"/>
              </w:rPr>
              <w:t>，排土场</w:t>
            </w:r>
            <w:r>
              <w:rPr>
                <w:rFonts w:hint="default" w:ascii="Times New Roman" w:hAnsi="Times New Roman" w:cs="Times New Roman"/>
                <w:color w:val="auto"/>
                <w:sz w:val="24"/>
                <w:szCs w:val="24"/>
                <w:highlight w:val="none"/>
                <w:u w:val="single"/>
              </w:rPr>
              <w:t>产生的</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约为</w:t>
            </w:r>
            <w:r>
              <w:rPr>
                <w:rFonts w:hint="eastAsia" w:cs="Times New Roman"/>
                <w:color w:val="auto"/>
                <w:sz w:val="24"/>
                <w:szCs w:val="24"/>
                <w:highlight w:val="none"/>
                <w:u w:val="single"/>
                <w:lang w:val="en-US" w:eastAsia="zh-CN"/>
              </w:rPr>
              <w:t>1914.4</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/a</w:t>
            </w:r>
            <w:r>
              <w:rPr>
                <w:rFonts w:hint="eastAsia" w:cs="Times New Roman"/>
                <w:color w:val="auto"/>
                <w:sz w:val="24"/>
                <w:szCs w:val="24"/>
                <w:highlight w:val="none"/>
                <w:u w:val="single"/>
                <w:lang w:eastAsia="zh-CN"/>
              </w:rPr>
              <w:t>，</w:t>
            </w:r>
            <w:r>
              <w:rPr>
                <w:rFonts w:hint="eastAsia" w:ascii="Times New Roman" w:hAnsi="Times New Roman" w:cs="Times New Roman"/>
                <w:color w:val="auto"/>
                <w:sz w:val="24"/>
                <w:szCs w:val="24"/>
                <w:highlight w:val="none"/>
                <w:u w:val="single"/>
                <w:lang w:val="en-US" w:eastAsia="zh-CN"/>
              </w:rPr>
              <w:t>工业场地</w:t>
            </w:r>
            <w:r>
              <w:rPr>
                <w:rFonts w:hint="default" w:ascii="Times New Roman" w:hAnsi="Times New Roman" w:cs="Times New Roman"/>
                <w:color w:val="auto"/>
                <w:sz w:val="24"/>
                <w:szCs w:val="24"/>
                <w:highlight w:val="none"/>
                <w:u w:val="single"/>
              </w:rPr>
              <w:t>产生的</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约为</w:t>
            </w:r>
            <w:r>
              <w:rPr>
                <w:rFonts w:hint="eastAsia" w:ascii="Times New Roman" w:hAnsi="Times New Roman" w:cs="Times New Roman"/>
                <w:color w:val="auto"/>
                <w:sz w:val="24"/>
                <w:szCs w:val="24"/>
                <w:highlight w:val="none"/>
                <w:u w:val="single"/>
                <w:lang w:val="en-US" w:eastAsia="zh-CN"/>
              </w:rPr>
              <w:t>723.9</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/a。</w:t>
            </w:r>
            <w:r>
              <w:rPr>
                <w:rFonts w:hint="eastAsia" w:cs="Times New Roman"/>
                <w:color w:val="auto"/>
                <w:sz w:val="24"/>
                <w:szCs w:val="24"/>
                <w:highlight w:val="none"/>
                <w:u w:val="single"/>
                <w:lang w:val="en-US" w:eastAsia="zh-CN"/>
              </w:rPr>
              <w:t>初期雨水</w:t>
            </w:r>
            <w:r>
              <w:rPr>
                <w:rFonts w:hint="eastAsia"/>
                <w:color w:val="auto"/>
                <w:sz w:val="24"/>
                <w:szCs w:val="24"/>
                <w:highlight w:val="none"/>
                <w:u w:val="single"/>
              </w:rPr>
              <w:t>中SS含量约1000mg/L。</w:t>
            </w:r>
          </w:p>
          <w:p w14:paraId="6C8D5513">
            <w:pPr>
              <w:ind w:firstLine="480"/>
              <w:rPr>
                <w:rFonts w:hint="eastAsia" w:ascii="Times New Roman" w:hAnsi="Times New Roman" w:eastAsia="宋体" w:cs="Times New Roman"/>
                <w:color w:val="auto"/>
                <w:szCs w:val="24"/>
                <w:highlight w:val="none"/>
                <w:u w:val="single"/>
                <w:lang w:eastAsia="zh-CN"/>
              </w:rPr>
            </w:pPr>
            <w:r>
              <w:rPr>
                <w:color w:val="auto"/>
                <w:sz w:val="24"/>
                <w:highlight w:val="none"/>
                <w:u w:val="single"/>
              </w:rPr>
              <w:t>项目于开采作业面、排土场以及</w:t>
            </w:r>
            <w:r>
              <w:rPr>
                <w:rFonts w:hint="eastAsia"/>
                <w:color w:val="auto"/>
                <w:sz w:val="24"/>
                <w:highlight w:val="none"/>
                <w:u w:val="single"/>
                <w:lang w:val="en-US" w:eastAsia="zh-CN"/>
              </w:rPr>
              <w:t>工业场地</w:t>
            </w:r>
            <w:r>
              <w:rPr>
                <w:color w:val="auto"/>
                <w:sz w:val="24"/>
                <w:highlight w:val="none"/>
                <w:u w:val="single"/>
              </w:rPr>
              <w:t>周围设置截水沟和导流沟，</w:t>
            </w:r>
            <w:r>
              <w:rPr>
                <w:rFonts w:hint="eastAsia"/>
                <w:color w:val="auto"/>
                <w:sz w:val="24"/>
                <w:highlight w:val="none"/>
                <w:u w:val="single"/>
                <w:lang w:val="en-US" w:eastAsia="zh-CN"/>
              </w:rPr>
              <w:t>初期雨水</w:t>
            </w:r>
            <w:r>
              <w:rPr>
                <w:color w:val="auto"/>
                <w:sz w:val="24"/>
                <w:highlight w:val="none"/>
                <w:u w:val="single"/>
              </w:rPr>
              <w:t>通过导流沟排入沉淀池，</w:t>
            </w:r>
            <w:r>
              <w:rPr>
                <w:rFonts w:hint="eastAsia"/>
                <w:color w:val="auto"/>
                <w:sz w:val="24"/>
                <w:highlight w:val="none"/>
                <w:u w:val="single"/>
                <w:lang w:val="en-US" w:eastAsia="zh-CN"/>
              </w:rPr>
              <w:t>环评要求</w:t>
            </w:r>
            <w:r>
              <w:rPr>
                <w:rFonts w:hint="eastAsia"/>
                <w:color w:val="auto"/>
                <w:sz w:val="24"/>
                <w:highlight w:val="none"/>
                <w:u w:val="single"/>
                <w:lang w:eastAsia="zh-CN"/>
              </w:rPr>
              <w:t>矿区</w:t>
            </w:r>
            <w:r>
              <w:rPr>
                <w:rFonts w:hint="eastAsia"/>
                <w:color w:val="auto"/>
                <w:sz w:val="24"/>
                <w:highlight w:val="none"/>
                <w:u w:val="single"/>
                <w:lang w:val="en-US" w:eastAsia="zh-CN"/>
              </w:rPr>
              <w:t>设置</w:t>
            </w:r>
            <w:r>
              <w:rPr>
                <w:color w:val="auto"/>
                <w:sz w:val="24"/>
                <w:highlight w:val="none"/>
                <w:u w:val="single"/>
              </w:rPr>
              <w:t>容积</w:t>
            </w:r>
            <w:r>
              <w:rPr>
                <w:rFonts w:hint="eastAsia"/>
                <w:color w:val="auto"/>
                <w:sz w:val="24"/>
                <w:highlight w:val="none"/>
                <w:u w:val="single"/>
                <w:lang w:val="en-US" w:eastAsia="zh-CN"/>
              </w:rPr>
              <w:t>不少于21</w:t>
            </w:r>
            <w:r>
              <w:rPr>
                <w:rFonts w:hint="eastAsia"/>
                <w:color w:val="auto"/>
                <w:sz w:val="24"/>
                <w:highlight w:val="none"/>
                <w:u w:val="single"/>
              </w:rPr>
              <w:t>00</w:t>
            </w:r>
            <w:r>
              <w:rPr>
                <w:color w:val="auto"/>
                <w:sz w:val="24"/>
                <w:highlight w:val="none"/>
                <w:u w:val="single"/>
              </w:rPr>
              <w:t>m</w:t>
            </w:r>
            <w:r>
              <w:rPr>
                <w:color w:val="auto"/>
                <w:sz w:val="24"/>
                <w:highlight w:val="none"/>
                <w:u w:val="single"/>
                <w:vertAlign w:val="superscript"/>
              </w:rPr>
              <w:t>3</w:t>
            </w:r>
            <w:r>
              <w:rPr>
                <w:rFonts w:hint="eastAsia"/>
                <w:color w:val="auto"/>
                <w:sz w:val="24"/>
                <w:highlight w:val="none"/>
                <w:u w:val="single"/>
                <w:lang w:val="en-US" w:eastAsia="zh-CN"/>
              </w:rPr>
              <w:t>的三级</w:t>
            </w:r>
            <w:r>
              <w:rPr>
                <w:rFonts w:hint="eastAsia"/>
                <w:color w:val="auto"/>
                <w:sz w:val="24"/>
                <w:highlight w:val="none"/>
                <w:u w:val="single"/>
                <w:lang w:eastAsia="zh-CN"/>
              </w:rPr>
              <w:t>沉淀池，排土场</w:t>
            </w:r>
            <w:r>
              <w:rPr>
                <w:rFonts w:hint="eastAsia"/>
                <w:color w:val="auto"/>
                <w:sz w:val="24"/>
                <w:highlight w:val="none"/>
                <w:u w:val="single"/>
                <w:lang w:val="en-US" w:eastAsia="zh-CN"/>
              </w:rPr>
              <w:t>设置</w:t>
            </w:r>
            <w:r>
              <w:rPr>
                <w:color w:val="auto"/>
                <w:sz w:val="24"/>
                <w:highlight w:val="none"/>
                <w:u w:val="single"/>
              </w:rPr>
              <w:t>容积</w:t>
            </w:r>
            <w:r>
              <w:rPr>
                <w:rFonts w:hint="eastAsia"/>
                <w:color w:val="auto"/>
                <w:sz w:val="24"/>
                <w:highlight w:val="none"/>
                <w:u w:val="single"/>
                <w:lang w:val="en-US" w:eastAsia="zh-CN"/>
              </w:rPr>
              <w:t>不少于20</w:t>
            </w:r>
            <w:r>
              <w:rPr>
                <w:rFonts w:hint="eastAsia"/>
                <w:color w:val="auto"/>
                <w:sz w:val="24"/>
                <w:highlight w:val="none"/>
                <w:u w:val="single"/>
              </w:rPr>
              <w:t>0</w:t>
            </w:r>
            <w:r>
              <w:rPr>
                <w:color w:val="auto"/>
                <w:sz w:val="24"/>
                <w:highlight w:val="none"/>
                <w:u w:val="single"/>
              </w:rPr>
              <w:t>m</w:t>
            </w:r>
            <w:r>
              <w:rPr>
                <w:color w:val="auto"/>
                <w:sz w:val="24"/>
                <w:highlight w:val="none"/>
                <w:u w:val="single"/>
                <w:vertAlign w:val="superscript"/>
              </w:rPr>
              <w:t>3</w:t>
            </w:r>
            <w:r>
              <w:rPr>
                <w:rFonts w:hint="eastAsia"/>
                <w:color w:val="auto"/>
                <w:sz w:val="24"/>
                <w:highlight w:val="none"/>
                <w:u w:val="single"/>
                <w:lang w:val="en-US" w:eastAsia="zh-CN"/>
              </w:rPr>
              <w:t>的三级</w:t>
            </w:r>
            <w:r>
              <w:rPr>
                <w:rFonts w:hint="eastAsia"/>
                <w:color w:val="auto"/>
                <w:sz w:val="24"/>
                <w:highlight w:val="none"/>
                <w:u w:val="single"/>
                <w:lang w:eastAsia="zh-CN"/>
              </w:rPr>
              <w:t>沉淀池，</w:t>
            </w:r>
            <w:r>
              <w:rPr>
                <w:rFonts w:hint="eastAsia"/>
                <w:color w:val="auto"/>
                <w:sz w:val="24"/>
                <w:highlight w:val="none"/>
                <w:u w:val="single"/>
                <w:lang w:val="en-US" w:eastAsia="zh-CN"/>
              </w:rPr>
              <w:t>工业场地设置</w:t>
            </w:r>
            <w:r>
              <w:rPr>
                <w:color w:val="auto"/>
                <w:sz w:val="24"/>
                <w:highlight w:val="none"/>
                <w:u w:val="single"/>
              </w:rPr>
              <w:t>容积</w:t>
            </w:r>
            <w:r>
              <w:rPr>
                <w:rFonts w:hint="eastAsia"/>
                <w:color w:val="auto"/>
                <w:sz w:val="24"/>
                <w:highlight w:val="none"/>
                <w:u w:val="single"/>
                <w:lang w:val="en-US" w:eastAsia="zh-CN"/>
              </w:rPr>
              <w:t>不少于8</w:t>
            </w:r>
            <w:r>
              <w:rPr>
                <w:rFonts w:hint="eastAsia"/>
                <w:color w:val="auto"/>
                <w:sz w:val="24"/>
                <w:highlight w:val="none"/>
                <w:u w:val="single"/>
              </w:rPr>
              <w:t>0</w:t>
            </w:r>
            <w:r>
              <w:rPr>
                <w:color w:val="auto"/>
                <w:sz w:val="24"/>
                <w:highlight w:val="none"/>
                <w:u w:val="single"/>
              </w:rPr>
              <w:t>m</w:t>
            </w:r>
            <w:r>
              <w:rPr>
                <w:color w:val="auto"/>
                <w:sz w:val="24"/>
                <w:highlight w:val="none"/>
                <w:u w:val="single"/>
                <w:vertAlign w:val="superscript"/>
              </w:rPr>
              <w:t>3</w:t>
            </w:r>
            <w:r>
              <w:rPr>
                <w:rFonts w:hint="eastAsia"/>
                <w:color w:val="auto"/>
                <w:sz w:val="24"/>
                <w:highlight w:val="none"/>
                <w:u w:val="single"/>
                <w:lang w:val="en-US" w:eastAsia="zh-CN"/>
              </w:rPr>
              <w:t>的三级</w:t>
            </w:r>
            <w:r>
              <w:rPr>
                <w:rFonts w:hint="eastAsia"/>
                <w:color w:val="auto"/>
                <w:sz w:val="24"/>
                <w:highlight w:val="none"/>
                <w:u w:val="single"/>
                <w:lang w:eastAsia="zh-CN"/>
              </w:rPr>
              <w:t>沉淀池</w:t>
            </w:r>
            <w:r>
              <w:rPr>
                <w:color w:val="auto"/>
                <w:sz w:val="24"/>
                <w:highlight w:val="none"/>
                <w:u w:val="single"/>
              </w:rPr>
              <w:t>。</w:t>
            </w:r>
            <w:r>
              <w:rPr>
                <w:rFonts w:hint="eastAsia"/>
                <w:color w:val="auto"/>
                <w:sz w:val="24"/>
                <w:highlight w:val="none"/>
                <w:u w:val="single"/>
                <w:lang w:val="en-US" w:eastAsia="zh-CN"/>
              </w:rPr>
              <w:t>雨水</w:t>
            </w:r>
            <w:r>
              <w:rPr>
                <w:color w:val="auto"/>
                <w:sz w:val="24"/>
                <w:highlight w:val="none"/>
                <w:u w:val="single"/>
              </w:rPr>
              <w:t>经收集沉淀后回用</w:t>
            </w:r>
            <w:r>
              <w:rPr>
                <w:rFonts w:hint="eastAsia"/>
                <w:color w:val="auto"/>
                <w:sz w:val="24"/>
                <w:highlight w:val="none"/>
                <w:u w:val="single"/>
                <w:lang w:eastAsia="zh-CN"/>
              </w:rPr>
              <w:t>于</w:t>
            </w:r>
            <w:r>
              <w:rPr>
                <w:color w:val="auto"/>
                <w:sz w:val="24"/>
                <w:highlight w:val="none"/>
                <w:u w:val="single"/>
              </w:rPr>
              <w:t>矿区开采过程中洒水降尘，不外排</w:t>
            </w:r>
            <w:r>
              <w:rPr>
                <w:rFonts w:hint="eastAsia"/>
                <w:color w:val="auto"/>
                <w:sz w:val="24"/>
                <w:highlight w:val="none"/>
                <w:u w:val="single"/>
                <w:lang w:eastAsia="zh-CN"/>
              </w:rPr>
              <w:t>。</w:t>
            </w:r>
          </w:p>
          <w:p w14:paraId="6890DE3F">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（4）生活污水</w:t>
            </w:r>
          </w:p>
          <w:p w14:paraId="1DC45C6C">
            <w:pPr>
              <w:ind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szCs w:val="24"/>
                <w:highlight w:val="none"/>
              </w:rPr>
              <w:t>本项目劳动定员</w:t>
            </w:r>
            <w:r>
              <w:rPr>
                <w:rFonts w:hint="eastAsia" w:cs="Times New Roman"/>
                <w:color w:val="auto"/>
                <w:szCs w:val="24"/>
                <w:highlight w:val="none"/>
                <w:lang w:val="en-US" w:eastAsia="zh-CN"/>
              </w:rPr>
              <w:t>20</w:t>
            </w:r>
            <w:r>
              <w:rPr>
                <w:rFonts w:hint="default" w:ascii="Times New Roman" w:hAnsi="Times New Roman" w:cs="Times New Roman"/>
                <w:color w:val="auto"/>
                <w:szCs w:val="24"/>
                <w:highlight w:val="none"/>
              </w:rPr>
              <w:t>人，</w:t>
            </w:r>
            <w:r>
              <w:rPr>
                <w:rFonts w:hint="eastAsia" w:cs="Times New Roman"/>
                <w:color w:val="auto"/>
                <w:szCs w:val="24"/>
                <w:highlight w:val="none"/>
                <w:lang w:val="en-US" w:eastAsia="zh-CN"/>
              </w:rPr>
              <w:t>其中5人</w:t>
            </w:r>
            <w:r>
              <w:rPr>
                <w:rFonts w:hint="default" w:ascii="Times New Roman" w:hAnsi="Times New Roman" w:cs="Times New Roman"/>
                <w:color w:val="auto"/>
                <w:szCs w:val="24"/>
                <w:highlight w:val="none"/>
              </w:rPr>
              <w:t>在厂区住宿。根据《湖南省用水定额》 （DB43T388-20</w:t>
            </w:r>
            <w:r>
              <w:rPr>
                <w:rFonts w:hint="eastAsia" w:cs="Times New Roman"/>
                <w:color w:val="auto"/>
                <w:szCs w:val="24"/>
                <w:highlight w:val="none"/>
                <w:lang w:val="en-US" w:eastAsia="zh-CN"/>
              </w:rPr>
              <w:t>25</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w:t>
            </w:r>
            <w:r>
              <w:rPr>
                <w:rFonts w:hint="eastAsia" w:cs="Times New Roman"/>
                <w:color w:val="auto"/>
                <w:szCs w:val="24"/>
                <w:highlight w:val="none"/>
                <w:lang w:val="en-US" w:eastAsia="zh-CN"/>
              </w:rPr>
              <w:t>住宿</w:t>
            </w:r>
            <w:r>
              <w:rPr>
                <w:rFonts w:hint="default" w:ascii="Times New Roman" w:hAnsi="Times New Roman" w:cs="Times New Roman"/>
                <w:color w:val="auto"/>
                <w:szCs w:val="24"/>
                <w:highlight w:val="none"/>
              </w:rPr>
              <w:t>员工生活用水按</w:t>
            </w:r>
            <w:r>
              <w:rPr>
                <w:rFonts w:hint="eastAsia" w:cs="Times New Roman"/>
                <w:color w:val="auto"/>
                <w:szCs w:val="24"/>
                <w:highlight w:val="none"/>
                <w:lang w:val="en-US" w:eastAsia="zh-CN"/>
              </w:rPr>
              <w:t>120</w:t>
            </w:r>
            <w:r>
              <w:rPr>
                <w:rFonts w:hint="default" w:ascii="Times New Roman" w:hAnsi="Times New Roman" w:cs="Times New Roman"/>
                <w:color w:val="auto"/>
                <w:szCs w:val="24"/>
                <w:highlight w:val="none"/>
              </w:rPr>
              <w:t>L/人·d计，</w:t>
            </w:r>
            <w:r>
              <w:rPr>
                <w:rFonts w:hint="eastAsia" w:cs="Times New Roman"/>
                <w:color w:val="auto"/>
                <w:szCs w:val="24"/>
                <w:highlight w:val="none"/>
                <w:lang w:val="en-US" w:eastAsia="zh-CN"/>
              </w:rPr>
              <w:t>非住宿人员</w:t>
            </w:r>
            <w:r>
              <w:rPr>
                <w:rFonts w:hint="default" w:ascii="Times New Roman" w:hAnsi="Times New Roman" w:cs="Times New Roman"/>
                <w:color w:val="auto"/>
                <w:szCs w:val="24"/>
                <w:highlight w:val="none"/>
              </w:rPr>
              <w:t>生活用水按</w:t>
            </w:r>
            <w:r>
              <w:rPr>
                <w:rFonts w:hint="eastAsia" w:cs="Times New Roman"/>
                <w:color w:val="auto"/>
                <w:szCs w:val="24"/>
                <w:highlight w:val="none"/>
                <w:lang w:val="en-US" w:eastAsia="zh-CN"/>
              </w:rPr>
              <w:t>80</w:t>
            </w:r>
            <w:r>
              <w:rPr>
                <w:rFonts w:hint="default" w:ascii="Times New Roman" w:hAnsi="Times New Roman" w:cs="Times New Roman"/>
                <w:color w:val="auto"/>
                <w:szCs w:val="24"/>
                <w:highlight w:val="none"/>
              </w:rPr>
              <w:t>L/人·d计</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则生活用水量为</w:t>
            </w:r>
            <w:r>
              <w:rPr>
                <w:rFonts w:hint="eastAsia" w:cs="Times New Roman"/>
                <w:color w:val="auto"/>
                <w:szCs w:val="24"/>
                <w:highlight w:val="none"/>
                <w:lang w:val="en-US" w:eastAsia="zh-CN"/>
              </w:rPr>
              <w:t>522</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污水排放系数按80%计，则生活污水产生量</w:t>
            </w:r>
            <w:r>
              <w:rPr>
                <w:rFonts w:hint="eastAsia" w:cs="Times New Roman"/>
                <w:color w:val="auto"/>
                <w:szCs w:val="24"/>
                <w:highlight w:val="none"/>
                <w:lang w:val="en-US" w:eastAsia="zh-CN"/>
              </w:rPr>
              <w:t>417.6</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/a，产生的污染物COD：</w:t>
            </w:r>
            <w:r>
              <w:rPr>
                <w:rFonts w:hint="eastAsia" w:cs="Times New Roman"/>
                <w:color w:val="auto"/>
                <w:szCs w:val="24"/>
                <w:highlight w:val="none"/>
                <w:lang w:val="en-US" w:eastAsia="zh-CN"/>
              </w:rPr>
              <w:t>0.13</w:t>
            </w:r>
            <w:r>
              <w:rPr>
                <w:rFonts w:hint="default" w:ascii="Times New Roman" w:hAnsi="Times New Roman" w:cs="Times New Roman"/>
                <w:color w:val="auto"/>
                <w:szCs w:val="24"/>
                <w:highlight w:val="none"/>
              </w:rPr>
              <w:t>t/a；BOD：</w:t>
            </w:r>
            <w:r>
              <w:rPr>
                <w:rFonts w:hint="eastAsia" w:cs="Times New Roman"/>
                <w:color w:val="auto"/>
                <w:szCs w:val="24"/>
                <w:highlight w:val="none"/>
                <w:lang w:val="en-US" w:eastAsia="zh-CN"/>
              </w:rPr>
              <w:t>0.06</w:t>
            </w:r>
            <w:r>
              <w:rPr>
                <w:rFonts w:hint="default" w:ascii="Times New Roman" w:hAnsi="Times New Roman" w:cs="Times New Roman"/>
                <w:color w:val="auto"/>
                <w:szCs w:val="24"/>
                <w:highlight w:val="none"/>
              </w:rPr>
              <w:t>t/a；氨氮：</w:t>
            </w:r>
            <w:r>
              <w:rPr>
                <w:rFonts w:hint="eastAsia" w:cs="Times New Roman"/>
                <w:color w:val="auto"/>
                <w:szCs w:val="24"/>
                <w:highlight w:val="none"/>
                <w:lang w:val="en-US" w:eastAsia="zh-CN"/>
              </w:rPr>
              <w:t>0.013</w:t>
            </w:r>
            <w:r>
              <w:rPr>
                <w:rFonts w:hint="default" w:ascii="Times New Roman" w:hAnsi="Times New Roman" w:cs="Times New Roman"/>
                <w:color w:val="auto"/>
                <w:szCs w:val="24"/>
                <w:highlight w:val="none"/>
              </w:rPr>
              <w:t>t/a；SS：</w:t>
            </w:r>
            <w:r>
              <w:rPr>
                <w:rFonts w:hint="eastAsia" w:cs="Times New Roman"/>
                <w:color w:val="auto"/>
                <w:szCs w:val="24"/>
                <w:highlight w:val="none"/>
                <w:lang w:val="en-US" w:eastAsia="zh-CN"/>
              </w:rPr>
              <w:t>0.08</w:t>
            </w:r>
            <w:r>
              <w:rPr>
                <w:rFonts w:hint="default" w:ascii="Times New Roman" w:hAnsi="Times New Roman" w:cs="Times New Roman"/>
                <w:color w:val="auto"/>
                <w:szCs w:val="24"/>
                <w:highlight w:val="none"/>
              </w:rPr>
              <w:t>t/a（COD:3</w:t>
            </w:r>
            <w:r>
              <w:rPr>
                <w:rFonts w:hint="eastAsia" w:cs="Times New Roman"/>
                <w:color w:val="auto"/>
                <w:szCs w:val="24"/>
                <w:highlight w:val="none"/>
                <w:lang w:val="en-US" w:eastAsia="zh-CN"/>
              </w:rPr>
              <w:t>0</w:t>
            </w:r>
            <w:r>
              <w:rPr>
                <w:rFonts w:hint="default" w:ascii="Times New Roman" w:hAnsi="Times New Roman" w:cs="Times New Roman"/>
                <w:color w:val="auto"/>
                <w:szCs w:val="24"/>
                <w:highlight w:val="none"/>
              </w:rPr>
              <w:t>0mg/L；BOD：150mg/L；氨氮：30mg/L</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SS：200mg/L计算）</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项目生活污水经化粪池处理后用于周边农肥灌溉，不外排，对照《环境影响评价技术导则—地面水环境》（HJ2.3-2018）中有关地表水环境评价工作等级划分原则和判别方法，确定本工程地表水环境评价等级为三级B，由于周边农田较多，可满足需求，因此对周围环境的影响较小。</w:t>
            </w:r>
          </w:p>
          <w:p w14:paraId="0E5AD676">
            <w:pPr>
              <w:ind w:firstLine="480"/>
              <w:rPr>
                <w:rFonts w:hint="eastAsia"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cs="Times New Roman"/>
                <w:color w:val="auto"/>
                <w:highlight w:val="none"/>
                <w:lang w:eastAsia="zh-CN"/>
              </w:rPr>
              <w:t>）</w:t>
            </w:r>
            <w:r>
              <w:rPr>
                <w:rFonts w:hint="eastAsia" w:cs="Times New Roman"/>
                <w:color w:val="auto"/>
                <w:highlight w:val="none"/>
                <w:lang w:val="en-US" w:eastAsia="zh-CN"/>
              </w:rPr>
              <w:t>项目水平衡图</w:t>
            </w:r>
          </w:p>
          <w:p w14:paraId="49EA2172">
            <w:pPr>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8" o:spt="75" type="#_x0000_t75" style="height:339.6pt;width:364.65pt;" o:ole="t" filled="f" o:preferrelative="t" stroked="f" coordsize="21600,21600">
                  <v:path/>
                  <v:fill on="f" focussize="0,0"/>
                  <v:stroke on="f"/>
                  <v:imagedata r:id="rId37" cropright="15899f" cropbottom="1286f" o:title=""/>
                  <o:lock v:ext="edit" aspectratio="f"/>
                  <w10:wrap type="none"/>
                  <w10:anchorlock/>
                </v:shape>
                <o:OLEObject Type="Embed" ProgID="Visio.Drawing.11" ShapeID="_x0000_i1028" DrawAspect="Content" ObjectID="_1468075728" r:id="rId36">
                  <o:LockedField>false</o:LockedField>
                </o:OLEObject>
              </w:object>
            </w:r>
          </w:p>
          <w:p w14:paraId="47835E33">
            <w:pPr>
              <w:ind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图4-1  项目水平衡图  单位：t/a</w:t>
            </w:r>
          </w:p>
          <w:p w14:paraId="61D1D22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6</w:t>
            </w:r>
            <w:r>
              <w:rPr>
                <w:rFonts w:hint="default" w:ascii="Times New Roman" w:hAnsi="Times New Roman" w:cs="Times New Roman"/>
                <w:color w:val="auto"/>
                <w:highlight w:val="none"/>
              </w:rPr>
              <w:t>）影响分析</w:t>
            </w:r>
          </w:p>
          <w:p w14:paraId="046FB9E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项目营运期废水包括生活废水</w:t>
            </w:r>
            <w:r>
              <w:rPr>
                <w:rFonts w:hint="eastAsia" w:cs="Times New Roman"/>
                <w:color w:val="auto"/>
                <w:highlight w:val="none"/>
                <w:lang w:eastAsia="zh-CN"/>
              </w:rPr>
              <w:t>、</w:t>
            </w:r>
            <w:r>
              <w:rPr>
                <w:rFonts w:hint="eastAsia" w:cs="Times New Roman"/>
                <w:color w:val="auto"/>
                <w:highlight w:val="none"/>
                <w:lang w:val="en-US" w:eastAsia="zh-CN"/>
              </w:rPr>
              <w:t>车辆冲洗废水</w:t>
            </w:r>
            <w:r>
              <w:rPr>
                <w:rFonts w:hint="default" w:ascii="Times New Roman" w:hAnsi="Times New Roman" w:cs="Times New Roman"/>
                <w:color w:val="auto"/>
                <w:highlight w:val="none"/>
              </w:rPr>
              <w:t>及地表径流雨水，地表径流雨水经排水沟全部收集至沉淀池，经沉淀处理后用于项目抑尘用水</w:t>
            </w:r>
            <w:r>
              <w:rPr>
                <w:rFonts w:hint="eastAsia" w:cs="Times New Roman"/>
                <w:color w:val="auto"/>
                <w:highlight w:val="none"/>
                <w:lang w:eastAsia="zh-CN"/>
              </w:rPr>
              <w:t>；</w:t>
            </w:r>
            <w:r>
              <w:rPr>
                <w:rFonts w:hint="eastAsia" w:cs="Times New Roman"/>
                <w:color w:val="auto"/>
                <w:highlight w:val="none"/>
                <w:lang w:val="en-US" w:eastAsia="zh-CN"/>
              </w:rPr>
              <w:t>车辆冲洗废水经沉淀池沉淀后用于抑尘用水</w:t>
            </w:r>
            <w:r>
              <w:rPr>
                <w:rFonts w:hint="default" w:ascii="Times New Roman" w:hAnsi="Times New Roman" w:cs="Times New Roman"/>
                <w:color w:val="auto"/>
                <w:highlight w:val="none"/>
              </w:rPr>
              <w:t>；生活污水经化粪池处理后用于周边</w:t>
            </w:r>
            <w:r>
              <w:rPr>
                <w:rFonts w:hint="eastAsia" w:cs="Times New Roman"/>
                <w:color w:val="auto"/>
                <w:highlight w:val="none"/>
                <w:lang w:val="en-US" w:eastAsia="zh-CN"/>
              </w:rPr>
              <w:t>农业灌溉</w:t>
            </w:r>
            <w:r>
              <w:rPr>
                <w:rFonts w:hint="default" w:ascii="Times New Roman" w:hAnsi="Times New Roman" w:cs="Times New Roman"/>
                <w:color w:val="auto"/>
                <w:highlight w:val="none"/>
              </w:rPr>
              <w:t>。</w:t>
            </w:r>
          </w:p>
          <w:p w14:paraId="7174DCE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综上分析，矿区</w:t>
            </w:r>
            <w:r>
              <w:rPr>
                <w:rFonts w:hint="eastAsia" w:cs="Times New Roman"/>
                <w:color w:val="auto"/>
                <w:highlight w:val="none"/>
                <w:lang w:val="en-US" w:eastAsia="zh-CN"/>
              </w:rPr>
              <w:t>、工业场地以及排土场</w:t>
            </w:r>
            <w:r>
              <w:rPr>
                <w:rFonts w:hint="default" w:ascii="Times New Roman" w:hAnsi="Times New Roman" w:cs="Times New Roman"/>
                <w:color w:val="auto"/>
                <w:highlight w:val="none"/>
              </w:rPr>
              <w:t>地表径流雨水经收集沉淀后回用，生活污水得到妥善处置；项目废水对周边地表水环境影响较小。</w:t>
            </w:r>
          </w:p>
          <w:p w14:paraId="50459768">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w:t>
            </w:r>
            <w:r>
              <w:rPr>
                <w:rFonts w:hint="eastAsia" w:ascii="Times New Roman" w:hAnsi="Times New Roman" w:cs="Times New Roman"/>
                <w:b/>
                <w:bCs/>
                <w:color w:val="auto"/>
                <w:highlight w:val="none"/>
                <w:lang w:val="en-US" w:eastAsia="zh-CN"/>
              </w:rPr>
              <w:t>地下水</w:t>
            </w:r>
            <w:r>
              <w:rPr>
                <w:rFonts w:hint="default" w:ascii="Times New Roman" w:hAnsi="Times New Roman" w:cs="Times New Roman"/>
                <w:b/>
                <w:bCs/>
                <w:color w:val="auto"/>
                <w:highlight w:val="none"/>
              </w:rPr>
              <w:t>环境影响分析</w:t>
            </w:r>
          </w:p>
          <w:p w14:paraId="3FC733D9">
            <w:pPr>
              <w:ind w:firstLine="480"/>
              <w:rPr>
                <w:rFonts w:hint="eastAsia" w:ascii="Times New Roman" w:hAnsi="Times New Roman" w:cs="Times New Roman"/>
                <w:color w:val="auto"/>
                <w:highlight w:val="none"/>
                <w:u w:val="single"/>
              </w:rPr>
            </w:pPr>
            <w:r>
              <w:rPr>
                <w:rFonts w:hint="eastAsia" w:cs="Times New Roman"/>
                <w:color w:val="auto"/>
                <w:highlight w:val="none"/>
                <w:u w:val="single"/>
                <w:lang w:eastAsia="zh-CN"/>
              </w:rPr>
              <w:t>（</w:t>
            </w:r>
            <w:r>
              <w:rPr>
                <w:rFonts w:hint="eastAsia" w:cs="Times New Roman"/>
                <w:color w:val="auto"/>
                <w:highlight w:val="none"/>
                <w:u w:val="single"/>
                <w:lang w:val="en-US" w:eastAsia="zh-CN"/>
              </w:rPr>
              <w:t>1</w:t>
            </w:r>
            <w:r>
              <w:rPr>
                <w:rFonts w:hint="eastAsia" w:cs="Times New Roman"/>
                <w:color w:val="auto"/>
                <w:highlight w:val="none"/>
                <w:u w:val="single"/>
                <w:lang w:eastAsia="zh-CN"/>
              </w:rPr>
              <w:t>）</w:t>
            </w:r>
            <w:r>
              <w:rPr>
                <w:rFonts w:hint="eastAsia" w:ascii="Times New Roman" w:hAnsi="Times New Roman" w:cs="Times New Roman"/>
                <w:color w:val="auto"/>
                <w:highlight w:val="none"/>
                <w:u w:val="single"/>
              </w:rPr>
              <w:t>对地下水补给、径流、排泄影响分析</w:t>
            </w:r>
          </w:p>
          <w:p w14:paraId="2B39EA55">
            <w:pPr>
              <w:pStyle w:val="19"/>
              <w:spacing w:after="0"/>
              <w:ind w:firstLine="480" w:firstLineChars="200"/>
              <w:rPr>
                <w:rFonts w:hint="eastAsia"/>
                <w:color w:val="auto"/>
              </w:rPr>
            </w:pPr>
            <w:r>
              <w:rPr>
                <w:rFonts w:hint="eastAsia"/>
                <w:color w:val="auto"/>
                <w:u w:val="single"/>
              </w:rPr>
              <w:t>本项目</w:t>
            </w:r>
            <w:r>
              <w:rPr>
                <w:rFonts w:hint="eastAsia"/>
                <w:color w:val="auto"/>
                <w:sz w:val="24"/>
                <w:highlight w:val="none"/>
                <w:u w:val="single"/>
              </w:rPr>
              <w:t>矿区及附近地层出露主要有第四系、三叠系下统大冶组及嘉陵江组</w:t>
            </w:r>
            <w:r>
              <w:rPr>
                <w:rFonts w:hint="eastAsia"/>
                <w:color w:val="auto"/>
                <w:u w:val="single"/>
              </w:rPr>
              <w:t>，属隔水层，与地下水无水力联系。</w:t>
            </w:r>
            <w:r>
              <w:rPr>
                <w:rFonts w:hint="eastAsia"/>
                <w:color w:val="auto"/>
                <w:sz w:val="24"/>
                <w:highlight w:val="none"/>
                <w:u w:val="single"/>
              </w:rPr>
              <w:t>区内地下水类型有赋存于第四系残坡积层中的松散岩类孔隙水以及赋存于三叠系下统灰岩的岩溶裂隙水两种类型</w:t>
            </w:r>
            <w:r>
              <w:rPr>
                <w:rFonts w:hint="eastAsia"/>
                <w:color w:val="auto"/>
                <w:sz w:val="24"/>
                <w:highlight w:val="none"/>
                <w:u w:val="single"/>
                <w:lang w:eastAsia="zh-CN"/>
              </w:rPr>
              <w:t>。</w:t>
            </w:r>
            <w:r>
              <w:rPr>
                <w:color w:val="auto"/>
                <w:u w:val="single"/>
              </w:rPr>
              <w:t>地下水主要接受大气降</w:t>
            </w:r>
            <w:r>
              <w:rPr>
                <w:rFonts w:hint="eastAsia"/>
                <w:color w:val="auto"/>
                <w:u w:val="single"/>
                <w:lang w:val="en-US" w:eastAsia="zh-CN"/>
              </w:rPr>
              <w:t>雨</w:t>
            </w:r>
            <w:r>
              <w:rPr>
                <w:color w:val="auto"/>
                <w:u w:val="single"/>
              </w:rPr>
              <w:t>补给，补给强度随时空变化。矿区地下水径流场受地形控制，地下水由地势较高的山坡向附近地势较低的沟谷径流。</w:t>
            </w:r>
            <w:r>
              <w:rPr>
                <w:rFonts w:hint="eastAsia"/>
                <w:color w:val="auto"/>
                <w:u w:val="single"/>
                <w:lang w:val="en-US" w:eastAsia="zh-CN"/>
              </w:rPr>
              <w:t>本项目为露天开采，</w:t>
            </w:r>
            <w:r>
              <w:rPr>
                <w:rFonts w:hint="eastAsia"/>
                <w:color w:val="auto"/>
                <w:u w:val="single"/>
              </w:rPr>
              <w:t>项目开采后，地下水排放量较小，因此，项目开采对地下水的排泄影响小。</w:t>
            </w:r>
          </w:p>
          <w:p w14:paraId="7996CF34">
            <w:pPr>
              <w:pStyle w:val="5"/>
              <w:ind w:firstLine="480" w:firstLineChars="200"/>
              <w:rPr>
                <w:rFonts w:hint="eastAsia" w:ascii="Times New Roman" w:hAnsi="Times New Roman" w:eastAsia="宋体"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（2）</w:t>
            </w:r>
            <w:r>
              <w:rPr>
                <w:rFonts w:hint="eastAsia" w:ascii="Times New Roman" w:hAnsi="Times New Roman" w:eastAsia="宋体" w:cs="Times New Roman"/>
                <w:b w:val="0"/>
                <w:bCs w:val="0"/>
                <w:color w:val="auto"/>
                <w:kern w:val="2"/>
                <w:sz w:val="24"/>
                <w:szCs w:val="22"/>
                <w:highlight w:val="none"/>
                <w:u w:val="single"/>
                <w:lang w:val="en-US" w:eastAsia="zh-CN" w:bidi="ar-SA"/>
              </w:rPr>
              <w:t>地下水水质影响分析</w:t>
            </w:r>
          </w:p>
          <w:p w14:paraId="42738834">
            <w:pPr>
              <w:ind w:firstLine="480" w:firstLineChars="200"/>
              <w:rPr>
                <w:rFonts w:hint="eastAsia"/>
                <w:color w:val="auto"/>
                <w:u w:val="single"/>
              </w:rPr>
            </w:pPr>
            <w:r>
              <w:rPr>
                <w:rFonts w:hint="eastAsia"/>
                <w:color w:val="auto"/>
                <w:u w:val="single"/>
              </w:rPr>
              <w:t>本项目为</w:t>
            </w:r>
            <w:r>
              <w:rPr>
                <w:rFonts w:hint="eastAsia" w:cs="Times New Roman"/>
                <w:color w:val="auto"/>
                <w:szCs w:val="24"/>
                <w:highlight w:val="none"/>
                <w:u w:val="single"/>
                <w:lang w:eastAsia="zh-CN"/>
              </w:rPr>
              <w:t>建筑石料用灰岩矿</w:t>
            </w:r>
            <w:r>
              <w:rPr>
                <w:rFonts w:hint="eastAsia" w:cs="Times New Roman"/>
                <w:color w:val="auto"/>
                <w:szCs w:val="24"/>
                <w:highlight w:val="none"/>
                <w:u w:val="single"/>
                <w:lang w:val="en-US" w:eastAsia="zh-CN"/>
              </w:rPr>
              <w:t>露天</w:t>
            </w:r>
            <w:r>
              <w:rPr>
                <w:rFonts w:hint="eastAsia"/>
                <w:color w:val="auto"/>
                <w:u w:val="single"/>
              </w:rPr>
              <w:t>开采项目，项目可能存在的污染源为采矿过程中产生的初期雨水和生活污水。</w:t>
            </w:r>
          </w:p>
          <w:p w14:paraId="111A57FC">
            <w:pPr>
              <w:ind w:firstLine="480" w:firstLineChars="200"/>
              <w:rPr>
                <w:color w:val="auto"/>
              </w:rPr>
            </w:pPr>
            <w:r>
              <w:rPr>
                <w:rFonts w:hint="eastAsia"/>
                <w:color w:val="auto"/>
                <w:u w:val="single"/>
              </w:rPr>
              <w:t>初期雨水</w:t>
            </w:r>
            <w:r>
              <w:rPr>
                <w:color w:val="auto"/>
                <w:u w:val="single"/>
              </w:rPr>
              <w:t>经沉淀池处理后，回用于</w:t>
            </w:r>
            <w:r>
              <w:rPr>
                <w:rFonts w:hint="eastAsia"/>
                <w:color w:val="auto"/>
                <w:u w:val="single"/>
              </w:rPr>
              <w:t>矿区</w:t>
            </w:r>
            <w:r>
              <w:rPr>
                <w:color w:val="auto"/>
                <w:u w:val="single"/>
              </w:rPr>
              <w:t>抑尘。</w:t>
            </w:r>
            <w:r>
              <w:rPr>
                <w:rFonts w:hint="eastAsia"/>
                <w:color w:val="auto"/>
                <w:u w:val="single"/>
                <w:lang w:val="en-US" w:eastAsia="zh-CN"/>
              </w:rPr>
              <w:t>初期雨水主要污染物为SS</w:t>
            </w:r>
            <w:r>
              <w:rPr>
                <w:rFonts w:hint="eastAsia"/>
                <w:color w:val="auto"/>
                <w:u w:val="single"/>
              </w:rPr>
              <w:t>，</w:t>
            </w:r>
            <w:r>
              <w:rPr>
                <w:color w:val="auto"/>
                <w:u w:val="single"/>
              </w:rPr>
              <w:t>不含有毒有害物质，不会对地下水质产生大的影响。生活污水经化粪池处理后用作农肥。可见，项目</w:t>
            </w:r>
            <w:r>
              <w:rPr>
                <w:rFonts w:hint="eastAsia"/>
                <w:color w:val="auto"/>
                <w:u w:val="single"/>
              </w:rPr>
              <w:t>初期雨水</w:t>
            </w:r>
            <w:r>
              <w:rPr>
                <w:color w:val="auto"/>
                <w:u w:val="single"/>
              </w:rPr>
              <w:t>和生活污水对地下水水质影响不大。</w:t>
            </w:r>
          </w:p>
          <w:p w14:paraId="3C7EF227">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（4）对地下水位的影响分析</w:t>
            </w:r>
          </w:p>
          <w:p w14:paraId="7DED784C">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矿区地下水类型主要为松散岩类孔隙水和岩溶裂隙水两种类型，拟开采矿体均位于当地侵蚀基准面和地下水位以上。矿山基建和开采对含水层基本未遭受破坏，上层潜水与下层承压水未发生水力联系，对周围的地下水水文影响较小。</w:t>
            </w:r>
          </w:p>
          <w:p w14:paraId="4CB7A798">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（5）对含水层、顶部植被、农作物地影响分析</w:t>
            </w:r>
          </w:p>
          <w:p w14:paraId="5391228B">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矿山开采过程中可能导致地面沉陷及地下水的减少，将会对地表植被产生一定的影响，据调查，影响的范围内的土地利用现状主要为其它林地、采矿用地、灌木林地和少量裸岩石砾地，主要分布有马尾松、杉树、毛竹以及灌木等。植物基本根系基本都分布于0~50cm的上层耕作层内；4~5年龄的柑橘树深约1.5~2.0m，主要集中分布在0-1.5m土壤层内。矿区植被生长利用的地下水含水层主要为第四系残坡积粉质粘土，分布较广，厚度与地貌有关，一般3-10cm不等，属弱透水层，富水性弱，主要接受大气降雨补给，雨季可形成少量上层滞水，季节性明显。由于地表为非饱和土壤，植被土壤层持水性好，本项目排水只会疏干岩石中的沙砾水，对毛细水及分子水没有影响，不会引起表土干枯，植物的生产环境没有改变，因此项目排水对顶部植物的生长影响很小。</w:t>
            </w:r>
          </w:p>
          <w:p w14:paraId="4C268154">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（6）对周边居民饮用水的影响分析</w:t>
            </w:r>
          </w:p>
          <w:p w14:paraId="656B97B9">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根据现场调查，本项目周边的居民点饮用水来源均为自来水。矿山采矿层位于第四系、三叠系下统大冶组及嘉陵江组，属隔水层，与地下水无水力联系，矿坑充水因素主要来自大气降水，充水形成为裂隙溶隙水呈滴水状汇集在矿坑中。矿层现状未联通区内主要含水层，经调查，矿山开采对区域周边井泉未造成干涸现象，未影响当地居民的生产生活用水。</w:t>
            </w:r>
          </w:p>
          <w:p w14:paraId="21604DC3">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因此，本项目采矿活动不会对周边居民的井水的水位及水质造成明显的影响。</w:t>
            </w:r>
          </w:p>
          <w:p w14:paraId="37F71B1A">
            <w:pPr>
              <w:pStyle w:val="5"/>
              <w:ind w:firstLine="480" w:firstLineChars="200"/>
              <w:rPr>
                <w:rFonts w:hint="default"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（7）对矿区外西南侧的下降泉影响分析</w:t>
            </w:r>
          </w:p>
          <w:p w14:paraId="0869BB83">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根据《湖南省澧县屠夫垭矿区建筑石料用灰岩矿资源开发利用方案》，本矿区南部的三处溶洞呈串珠状，与区外西南侧的下降泉W1距离较近，推测三处落水洞在地下与W1有所联通。本项目区域地下水的主要补给来源为大气降雨，矿区为裸露型岩溶区，灌木发育较好，大气降雨通过渗透补给含水层，沿岩溶裂隙洞穴管道系统渗漏与运移，以垂直运动为主，径流途径短，循环交替速度较快。</w:t>
            </w:r>
          </w:p>
          <w:p w14:paraId="54F9DEC9">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矿区范围内地表无地表水体存在，矿区界外北侧肖家河海拔标高+93m（可视为当地的最低侵蚀基准面），现状调查以往露采场底盘平台最低标高+126.7m。采场底盘平台未见积水，周边见下降泉水（W1）一处，出露标高124.80m，位置在矿区外西南侧150m处，取水样分析其总矿化度277.12mg/L，属HCO。-Ca型水，PH为8.2，三角堰测得泉流量0.869L/s。据红岩峪溪居民表述，该下降泉点无饮用水功能，除季节性变化外，以往闭坑矿山矿山开采前后无明显变化。现状未造成井泉干枯和地表水漏失。</w:t>
            </w:r>
          </w:p>
          <w:p w14:paraId="10F8B421">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因此，矿山开采未改变岩溶裂隙水给地下水的径流补给，矿山周边及矿界内未抽排地下水行为，矿山未来开采标高均处于基准侵蚀面以上，开采过程地下水水位基本无变化，故未进行地下水降落漏斗范围的计算。对当地的地下水资源、区域地下水均衡、矿区外西南侧的下降泉影响较小。</w:t>
            </w:r>
          </w:p>
          <w:p w14:paraId="15525F52">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为进一步确保对西南侧下降泉的影响，本次环评要求建设单位采取以下措施：</w:t>
            </w:r>
          </w:p>
          <w:p w14:paraId="61FAA9B0">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（1）强化开采管理，可以将部分含水层的含水量较大的区域水资源进行有效的引流或阻断。采取适宜的采矿工艺，将含水层中的水进行引流，改变其流向，保证西南侧下降泉的水量。</w:t>
            </w:r>
          </w:p>
          <w:p w14:paraId="2B9F1545">
            <w:pPr>
              <w:pStyle w:val="5"/>
              <w:ind w:firstLine="480" w:firstLineChars="200"/>
              <w:rPr>
                <w:rFonts w:hint="default"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（2）矿区开采后开展下降泉点W1丰平枯跟踪监测（流量、水温、电导率及特征离子浓度等）。</w:t>
            </w:r>
          </w:p>
          <w:p w14:paraId="05501BD8">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5</w:t>
            </w:r>
            <w:r>
              <w:rPr>
                <w:rFonts w:hint="default" w:ascii="Times New Roman" w:hAnsi="Times New Roman" w:cs="Times New Roman"/>
                <w:b/>
                <w:bCs/>
                <w:color w:val="auto"/>
                <w:highlight w:val="none"/>
              </w:rPr>
              <w:t>、声环境影响分析</w:t>
            </w:r>
          </w:p>
          <w:p w14:paraId="60E199B9">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lang w:eastAsia="zh-CN"/>
              </w:rPr>
              <w:t>（</w:t>
            </w:r>
            <w:r>
              <w:rPr>
                <w:rFonts w:hint="eastAsia" w:ascii="Times New Roman" w:hAnsi="Times New Roman" w:eastAsia="宋体" w:cs="Times New Roman"/>
                <w:color w:val="auto"/>
                <w:highlight w:val="none"/>
                <w:u w:val="single"/>
                <w:lang w:val="en-US" w:eastAsia="zh-CN"/>
              </w:rPr>
              <w:t>1</w:t>
            </w:r>
            <w:r>
              <w:rPr>
                <w:rFonts w:hint="eastAsia" w:ascii="Times New Roman" w:hAnsi="Times New Roman" w:eastAsia="宋体" w:cs="Times New Roman"/>
                <w:color w:val="auto"/>
                <w:highlight w:val="none"/>
                <w:u w:val="single"/>
                <w:lang w:eastAsia="zh-CN"/>
              </w:rPr>
              <w:t>）</w:t>
            </w:r>
            <w:r>
              <w:rPr>
                <w:rFonts w:hint="default" w:ascii="Times New Roman" w:hAnsi="Times New Roman" w:eastAsia="宋体" w:cs="Times New Roman"/>
                <w:color w:val="auto"/>
                <w:highlight w:val="none"/>
                <w:u w:val="single"/>
              </w:rPr>
              <w:t>爆破</w:t>
            </w:r>
            <w:r>
              <w:rPr>
                <w:rFonts w:hint="eastAsia" w:ascii="Times New Roman" w:hAnsi="Times New Roman" w:eastAsia="宋体" w:cs="Times New Roman"/>
                <w:color w:val="auto"/>
                <w:sz w:val="24"/>
                <w:szCs w:val="24"/>
                <w:u w:val="single"/>
                <w:lang w:val="en-US" w:eastAsia="zh-CN"/>
              </w:rPr>
              <w:t>振动</w:t>
            </w:r>
            <w:r>
              <w:rPr>
                <w:rFonts w:hint="default" w:ascii="Times New Roman" w:hAnsi="Times New Roman" w:eastAsia="宋体" w:cs="Times New Roman"/>
                <w:color w:val="auto"/>
                <w:highlight w:val="none"/>
                <w:u w:val="single"/>
              </w:rPr>
              <w:t>环境影响分析</w:t>
            </w:r>
          </w:p>
          <w:p w14:paraId="341C8116">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1）爆破</w:t>
            </w:r>
            <w:r>
              <w:rPr>
                <w:rFonts w:hint="eastAsia" w:ascii="Times New Roman" w:hAnsi="Times New Roman" w:eastAsia="宋体" w:cs="Times New Roman"/>
                <w:color w:val="auto"/>
                <w:sz w:val="24"/>
                <w:szCs w:val="24"/>
                <w:u w:val="single"/>
                <w:lang w:val="en-US" w:eastAsia="zh-CN"/>
              </w:rPr>
              <w:t>振动</w:t>
            </w:r>
            <w:r>
              <w:rPr>
                <w:rFonts w:hint="default" w:ascii="Times New Roman" w:hAnsi="Times New Roman" w:eastAsia="宋体" w:cs="Times New Roman"/>
                <w:color w:val="auto"/>
                <w:highlight w:val="none"/>
                <w:u w:val="single"/>
              </w:rPr>
              <w:t>安全标准</w:t>
            </w:r>
          </w:p>
          <w:p w14:paraId="1FD62328">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衡量爆破地震强度的参数包括位移、速度和加速度，井下爆破对地面建筑物的破坏程度主要取决于质点峰值</w:t>
            </w:r>
            <w:r>
              <w:rPr>
                <w:rFonts w:hint="eastAsia" w:ascii="Times New Roman" w:hAnsi="Times New Roman" w:eastAsia="宋体" w:cs="Times New Roman"/>
                <w:color w:val="auto"/>
                <w:sz w:val="24"/>
                <w:szCs w:val="24"/>
                <w:u w:val="single"/>
                <w:lang w:val="en-US" w:eastAsia="zh-CN"/>
              </w:rPr>
              <w:t>振动</w:t>
            </w:r>
            <w:r>
              <w:rPr>
                <w:rFonts w:hint="default" w:ascii="Times New Roman" w:hAnsi="Times New Roman" w:eastAsia="宋体" w:cs="Times New Roman"/>
                <w:color w:val="auto"/>
                <w:highlight w:val="none"/>
                <w:u w:val="single"/>
              </w:rPr>
              <w:t>速度。《爆破安全规程》（</w:t>
            </w:r>
            <w:r>
              <w:rPr>
                <w:rFonts w:hint="eastAsia" w:ascii="Times New Roman" w:hAnsi="Times New Roman" w:eastAsia="宋体" w:cs="Times New Roman"/>
                <w:color w:val="auto"/>
                <w:highlight w:val="none"/>
                <w:u w:val="single"/>
              </w:rPr>
              <w:t>GB6722-2014</w:t>
            </w:r>
            <w:r>
              <w:rPr>
                <w:rFonts w:hint="default" w:ascii="Times New Roman" w:hAnsi="Times New Roman" w:eastAsia="宋体" w:cs="Times New Roman"/>
                <w:color w:val="auto"/>
                <w:highlight w:val="none"/>
                <w:u w:val="single"/>
              </w:rPr>
              <w:t>）规定，一般建筑物和构筑物的爆破地震安全性应满足安全</w:t>
            </w:r>
            <w:r>
              <w:rPr>
                <w:rFonts w:hint="eastAsia" w:ascii="Times New Roman" w:hAnsi="Times New Roman" w:eastAsia="宋体" w:cs="Times New Roman"/>
                <w:color w:val="auto"/>
                <w:sz w:val="24"/>
                <w:szCs w:val="24"/>
                <w:u w:val="single"/>
                <w:lang w:val="en-US" w:eastAsia="zh-CN"/>
              </w:rPr>
              <w:t>振动</w:t>
            </w:r>
            <w:r>
              <w:rPr>
                <w:rFonts w:hint="default" w:ascii="Times New Roman" w:hAnsi="Times New Roman" w:eastAsia="宋体" w:cs="Times New Roman"/>
                <w:color w:val="auto"/>
                <w:highlight w:val="none"/>
                <w:u w:val="single"/>
              </w:rPr>
              <w:t>速度的要求，主要类型的建（构）筑物地面质点的安全</w:t>
            </w:r>
            <w:r>
              <w:rPr>
                <w:rFonts w:hint="eastAsia" w:ascii="Times New Roman" w:hAnsi="Times New Roman" w:eastAsia="宋体" w:cs="Times New Roman"/>
                <w:color w:val="auto"/>
                <w:sz w:val="24"/>
                <w:szCs w:val="24"/>
                <w:u w:val="single"/>
                <w:lang w:val="en-US" w:eastAsia="zh-CN"/>
              </w:rPr>
              <w:t>振动</w:t>
            </w:r>
            <w:r>
              <w:rPr>
                <w:rFonts w:hint="default" w:ascii="Times New Roman" w:hAnsi="Times New Roman" w:eastAsia="宋体" w:cs="Times New Roman"/>
                <w:color w:val="auto"/>
                <w:highlight w:val="none"/>
                <w:u w:val="single"/>
              </w:rPr>
              <w:t>速度规定如下：</w:t>
            </w:r>
          </w:p>
          <w:p w14:paraId="43414F52">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a．土窑洞、土坯房、毛石房屋 1.0cm/s</w:t>
            </w:r>
          </w:p>
          <w:p w14:paraId="6CA8D087">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b．一般砖房、非抗震的大型砌块建筑物 2~3cm/s；</w:t>
            </w:r>
          </w:p>
          <w:p w14:paraId="65EC8C59">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c．钢筋混凝土框架房屋 5cm/s；</w:t>
            </w:r>
          </w:p>
          <w:p w14:paraId="4A8B9030">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d．水工隧洞 10cm/s；</w:t>
            </w:r>
          </w:p>
          <w:p w14:paraId="7E39B4E6">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e．交通隧洞 15cm/s；</w:t>
            </w:r>
          </w:p>
          <w:p w14:paraId="4FA563AD">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f．矿山巷道：</w:t>
            </w:r>
          </w:p>
          <w:p w14:paraId="5B6D148E">
            <w:pPr>
              <w:ind w:firstLine="480"/>
              <w:rPr>
                <w:rFonts w:hint="default"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g.</w:t>
            </w:r>
            <w:r>
              <w:rPr>
                <w:rFonts w:hint="default" w:ascii="Times New Roman" w:hAnsi="Times New Roman" w:eastAsia="宋体" w:cs="Times New Roman"/>
                <w:color w:val="auto"/>
                <w:highlight w:val="none"/>
                <w:u w:val="single"/>
              </w:rPr>
              <w:t>围岩不稳定有良好支护10cm/s；</w:t>
            </w:r>
          </w:p>
          <w:p w14:paraId="79D7C7EC">
            <w:pPr>
              <w:ind w:firstLine="480"/>
              <w:rPr>
                <w:rFonts w:hint="default"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h.</w:t>
            </w:r>
            <w:r>
              <w:rPr>
                <w:rFonts w:hint="default" w:ascii="Times New Roman" w:hAnsi="Times New Roman" w:eastAsia="宋体" w:cs="Times New Roman"/>
                <w:color w:val="auto"/>
                <w:highlight w:val="none"/>
                <w:u w:val="single"/>
              </w:rPr>
              <w:t>围岩中等稳定有良好支护20cm/s；</w:t>
            </w:r>
          </w:p>
          <w:p w14:paraId="7AC83756">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i.围岩稳定无支护30cm/s；</w:t>
            </w:r>
          </w:p>
          <w:p w14:paraId="1E397290">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2）爆破安全距离与爆破振动速度预测</w:t>
            </w:r>
          </w:p>
          <w:p w14:paraId="249D2F80">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根据《爆破安全规程》，爆破地震安全距离可按下式计算：</w:t>
            </w:r>
          </w:p>
          <w:p w14:paraId="2D67732E">
            <w:pPr>
              <w:ind w:firstLine="480"/>
              <w:jc w:val="center"/>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object>
                <v:shape id="_x0000_i1029" o:spt="75" type="#_x0000_t75" style="height:41pt;width:67.95pt;" o:ole="t" filled="f" o:preferrelative="t" stroked="f" coordsize="21600,21600">
                  <v:path/>
                  <v:fill on="f" focussize="0,0"/>
                  <v:stroke on="f"/>
                  <v:imagedata r:id="rId39" o:title=""/>
                  <o:lock v:ext="edit" aspectratio="t"/>
                  <w10:wrap type="none"/>
                  <w10:anchorlock/>
                </v:shape>
                <o:OLEObject Type="Embed" ProgID="Equation.KSEE3" ShapeID="_x0000_i1029" DrawAspect="Content" ObjectID="_1468075729" r:id="rId38">
                  <o:LockedField>false</o:LockedField>
                </o:OLEObject>
              </w:object>
            </w:r>
          </w:p>
          <w:p w14:paraId="62B8D220">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式中：R——爆破地震安全距离，m；</w:t>
            </w:r>
          </w:p>
          <w:p w14:paraId="73C8CC3B">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Q——炸药量，kg；齐发爆破取总炸药量；微差爆破或秒差爆破取最大一段药量；本工程采矿一次使用炸药量为24kg；</w:t>
            </w:r>
          </w:p>
          <w:p w14:paraId="1F407BCC">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V——地震安全速度，本工程地表构筑物主要为居民的房屋，为一般砖房，V取2.5cm/s；</w:t>
            </w:r>
          </w:p>
          <w:p w14:paraId="7F49C49F">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m——药包形状系数，欧美等国家的值通常取0.5，我国和前苏联一般1/3；</w:t>
            </w:r>
          </w:p>
          <w:p w14:paraId="27C59840">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K、α——与爆破点地形、地质等条件有关的系数和衰减指数，见下表。</w:t>
            </w:r>
          </w:p>
          <w:p w14:paraId="10CFA7C7">
            <w:pPr>
              <w:pStyle w:val="19"/>
              <w:spacing w:after="0"/>
              <w:ind w:firstLine="0" w:firstLineChars="0"/>
              <w:jc w:val="center"/>
              <w:rPr>
                <w:rStyle w:val="56"/>
                <w:b/>
                <w:color w:val="auto"/>
                <w:sz w:val="21"/>
                <w:szCs w:val="21"/>
                <w:u w:val="single"/>
              </w:rPr>
            </w:pPr>
            <w:r>
              <w:rPr>
                <w:rStyle w:val="44"/>
                <w:rFonts w:hint="default" w:ascii="Times New Roman" w:hAnsi="Times New Roman"/>
                <w:b/>
                <w:color w:val="auto"/>
                <w:sz w:val="21"/>
                <w:szCs w:val="21"/>
                <w:u w:val="single"/>
              </w:rPr>
              <w:t>表</w:t>
            </w:r>
            <w:r>
              <w:rPr>
                <w:rStyle w:val="44"/>
                <w:rFonts w:hint="eastAsia"/>
                <w:b/>
                <w:color w:val="auto"/>
                <w:sz w:val="21"/>
                <w:szCs w:val="21"/>
                <w:u w:val="single"/>
                <w:lang w:val="en-US" w:eastAsia="zh-CN"/>
              </w:rPr>
              <w:t>4</w:t>
            </w:r>
            <w:r>
              <w:rPr>
                <w:rStyle w:val="44"/>
                <w:rFonts w:hint="default" w:ascii="Times New Roman" w:hAnsi="Times New Roman"/>
                <w:b/>
                <w:color w:val="auto"/>
                <w:sz w:val="21"/>
                <w:szCs w:val="21"/>
                <w:u w:val="single"/>
              </w:rPr>
              <w:t>-2   爆区不同岩性的K、</w:t>
            </w:r>
            <w:r>
              <w:rPr>
                <w:rStyle w:val="56"/>
                <w:b/>
                <w:color w:val="auto"/>
                <w:sz w:val="21"/>
                <w:szCs w:val="21"/>
                <w:u w:val="single"/>
              </w:rPr>
              <w:t>α值</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2629"/>
              <w:gridCol w:w="2628"/>
            </w:tblGrid>
            <w:tr w14:paraId="67CA3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1" w:type="dxa"/>
                  <w:noWrap w:val="0"/>
                  <w:vAlign w:val="center"/>
                </w:tcPr>
                <w:p w14:paraId="473E097E">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b/>
                      <w:bCs/>
                      <w:color w:val="auto"/>
                      <w:sz w:val="21"/>
                      <w:szCs w:val="21"/>
                      <w:u w:val="single"/>
                    </w:rPr>
                  </w:pPr>
                  <w:r>
                    <w:rPr>
                      <w:b/>
                      <w:bCs/>
                      <w:color w:val="auto"/>
                      <w:sz w:val="21"/>
                      <w:szCs w:val="21"/>
                      <w:u w:val="single"/>
                    </w:rPr>
                    <w:t>岩性</w:t>
                  </w:r>
                </w:p>
              </w:tc>
              <w:tc>
                <w:tcPr>
                  <w:tcW w:w="2841" w:type="dxa"/>
                  <w:noWrap w:val="0"/>
                  <w:vAlign w:val="center"/>
                </w:tcPr>
                <w:p w14:paraId="4C6D55A5">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b/>
                      <w:bCs/>
                      <w:color w:val="auto"/>
                      <w:sz w:val="21"/>
                      <w:szCs w:val="21"/>
                      <w:u w:val="single"/>
                    </w:rPr>
                  </w:pPr>
                  <w:r>
                    <w:rPr>
                      <w:rStyle w:val="44"/>
                      <w:rFonts w:hint="default" w:ascii="Times New Roman" w:hAnsi="Times New Roman"/>
                      <w:b/>
                      <w:bCs/>
                      <w:color w:val="auto"/>
                      <w:sz w:val="21"/>
                      <w:szCs w:val="21"/>
                      <w:u w:val="single"/>
                    </w:rPr>
                    <w:t>K</w:t>
                  </w:r>
                </w:p>
              </w:tc>
              <w:tc>
                <w:tcPr>
                  <w:tcW w:w="2840" w:type="dxa"/>
                  <w:noWrap w:val="0"/>
                  <w:vAlign w:val="center"/>
                </w:tcPr>
                <w:p w14:paraId="119FE377">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b/>
                      <w:bCs/>
                      <w:color w:val="auto"/>
                      <w:sz w:val="21"/>
                      <w:szCs w:val="21"/>
                      <w:u w:val="single"/>
                    </w:rPr>
                  </w:pPr>
                  <w:r>
                    <w:rPr>
                      <w:rStyle w:val="56"/>
                      <w:b/>
                      <w:bCs/>
                      <w:color w:val="auto"/>
                      <w:sz w:val="21"/>
                      <w:szCs w:val="21"/>
                      <w:u w:val="single"/>
                    </w:rPr>
                    <w:t>α</w:t>
                  </w:r>
                </w:p>
              </w:tc>
            </w:tr>
            <w:tr w14:paraId="43AA8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1" w:type="dxa"/>
                  <w:noWrap w:val="0"/>
                  <w:vAlign w:val="center"/>
                </w:tcPr>
                <w:p w14:paraId="258CE8D2">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坚硬岩石</w:t>
                  </w:r>
                </w:p>
              </w:tc>
              <w:tc>
                <w:tcPr>
                  <w:tcW w:w="2841" w:type="dxa"/>
                  <w:noWrap w:val="0"/>
                  <w:vAlign w:val="center"/>
                </w:tcPr>
                <w:p w14:paraId="67279F30">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50-150</w:t>
                  </w:r>
                </w:p>
              </w:tc>
              <w:tc>
                <w:tcPr>
                  <w:tcW w:w="2840" w:type="dxa"/>
                  <w:noWrap w:val="0"/>
                  <w:vAlign w:val="center"/>
                </w:tcPr>
                <w:p w14:paraId="1F931E59">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1.3-1.5</w:t>
                  </w:r>
                </w:p>
              </w:tc>
            </w:tr>
            <w:tr w14:paraId="10C0B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1" w:type="dxa"/>
                  <w:noWrap w:val="0"/>
                  <w:vAlign w:val="center"/>
                </w:tcPr>
                <w:p w14:paraId="3106C5CF">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中硬岩石</w:t>
                  </w:r>
                </w:p>
              </w:tc>
              <w:tc>
                <w:tcPr>
                  <w:tcW w:w="2841" w:type="dxa"/>
                  <w:noWrap w:val="0"/>
                  <w:vAlign w:val="center"/>
                </w:tcPr>
                <w:p w14:paraId="024C51EF">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150-250</w:t>
                  </w:r>
                </w:p>
              </w:tc>
              <w:tc>
                <w:tcPr>
                  <w:tcW w:w="2840" w:type="dxa"/>
                  <w:noWrap w:val="0"/>
                  <w:vAlign w:val="center"/>
                </w:tcPr>
                <w:p w14:paraId="3F5728CB">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1.5-1.8</w:t>
                  </w:r>
                </w:p>
              </w:tc>
            </w:tr>
            <w:tr w14:paraId="1190E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1" w:type="dxa"/>
                  <w:noWrap w:val="0"/>
                  <w:vAlign w:val="center"/>
                </w:tcPr>
                <w:p w14:paraId="1DCBD754">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软岩石</w:t>
                  </w:r>
                </w:p>
              </w:tc>
              <w:tc>
                <w:tcPr>
                  <w:tcW w:w="2841" w:type="dxa"/>
                  <w:noWrap w:val="0"/>
                  <w:vAlign w:val="center"/>
                </w:tcPr>
                <w:p w14:paraId="368F75B9">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250-350</w:t>
                  </w:r>
                </w:p>
              </w:tc>
              <w:tc>
                <w:tcPr>
                  <w:tcW w:w="2840" w:type="dxa"/>
                  <w:noWrap w:val="0"/>
                  <w:vAlign w:val="center"/>
                </w:tcPr>
                <w:p w14:paraId="6F1F9100">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1.8-2.0</w:t>
                  </w:r>
                </w:p>
              </w:tc>
            </w:tr>
          </w:tbl>
          <w:p w14:paraId="70D56125">
            <w:pPr>
              <w:pStyle w:val="19"/>
              <w:keepNext w:val="0"/>
              <w:keepLines w:val="0"/>
              <w:pageBreakBefore w:val="0"/>
              <w:kinsoku/>
              <w:wordWrap/>
              <w:overflowPunct/>
              <w:topLinePunct w:val="0"/>
              <w:autoSpaceDE/>
              <w:autoSpaceDN/>
              <w:bidi w:val="0"/>
              <w:adjustRightInd w:val="0"/>
              <w:snapToGrid w:val="0"/>
              <w:spacing w:before="0" w:beforeLines="0" w:after="0"/>
              <w:ind w:right="0" w:firstLine="480" w:firstLineChars="200"/>
              <w:textAlignment w:val="auto"/>
              <w:rPr>
                <w:rStyle w:val="56"/>
                <w:color w:val="auto"/>
                <w:sz w:val="24"/>
                <w:szCs w:val="24"/>
                <w:u w:val="single"/>
              </w:rPr>
            </w:pPr>
            <w:r>
              <w:rPr>
                <w:color w:val="auto"/>
                <w:u w:val="single"/>
              </w:rPr>
              <w:t>本矿山属中硬岩石地质条件，取</w:t>
            </w:r>
            <w:r>
              <w:rPr>
                <w:rStyle w:val="56"/>
                <w:color w:val="auto"/>
                <w:sz w:val="24"/>
                <w:szCs w:val="24"/>
                <w:u w:val="single"/>
              </w:rPr>
              <w:t>K</w:t>
            </w:r>
            <w:r>
              <w:rPr>
                <w:rStyle w:val="44"/>
                <w:rFonts w:hint="default" w:ascii="Times New Roman" w:hAnsi="Times New Roman"/>
                <w:color w:val="auto"/>
                <w:sz w:val="24"/>
                <w:szCs w:val="24"/>
                <w:u w:val="single"/>
              </w:rPr>
              <w:t>=200、</w:t>
            </w:r>
            <w:r>
              <w:rPr>
                <w:rStyle w:val="56"/>
                <w:color w:val="auto"/>
                <w:sz w:val="24"/>
                <w:szCs w:val="24"/>
                <w:u w:val="single"/>
              </w:rPr>
              <w:t>α=1.65。</w:t>
            </w:r>
          </w:p>
          <w:p w14:paraId="13942CEA">
            <w:pPr>
              <w:pStyle w:val="19"/>
              <w:keepNext w:val="0"/>
              <w:keepLines w:val="0"/>
              <w:pageBreakBefore w:val="0"/>
              <w:kinsoku/>
              <w:wordWrap/>
              <w:overflowPunct/>
              <w:topLinePunct w:val="0"/>
              <w:autoSpaceDE/>
              <w:autoSpaceDN/>
              <w:bidi w:val="0"/>
              <w:adjustRightInd w:val="0"/>
              <w:snapToGrid w:val="0"/>
              <w:spacing w:before="0" w:beforeLines="0" w:after="0"/>
              <w:ind w:right="0" w:firstLine="480" w:firstLineChars="200"/>
              <w:textAlignment w:val="auto"/>
              <w:rPr>
                <w:rStyle w:val="44"/>
                <w:rFonts w:hint="default" w:ascii="Times New Roman" w:hAnsi="Times New Roman"/>
                <w:color w:val="auto"/>
                <w:sz w:val="24"/>
                <w:szCs w:val="24"/>
                <w:u w:val="single"/>
              </w:rPr>
            </w:pPr>
            <w:r>
              <w:rPr>
                <w:rStyle w:val="56"/>
                <w:color w:val="auto"/>
                <w:sz w:val="24"/>
                <w:szCs w:val="24"/>
                <w:u w:val="single"/>
              </w:rPr>
              <w:t>根据建设单位提供资料，本项目每次炸药使用量为</w:t>
            </w:r>
            <w:r>
              <w:rPr>
                <w:rStyle w:val="56"/>
                <w:rFonts w:hint="eastAsia"/>
                <w:color w:val="auto"/>
                <w:sz w:val="24"/>
                <w:szCs w:val="24"/>
                <w:u w:val="single"/>
                <w:lang w:val="en-US" w:eastAsia="zh-CN"/>
              </w:rPr>
              <w:t>31.67</w:t>
            </w:r>
            <w:r>
              <w:rPr>
                <w:rStyle w:val="56"/>
                <w:color w:val="auto"/>
                <w:sz w:val="24"/>
                <w:szCs w:val="24"/>
                <w:u w:val="single"/>
              </w:rPr>
              <w:t>kg。对于中硬岩石地质条件，在一次炸药使用量为</w:t>
            </w:r>
            <w:r>
              <w:rPr>
                <w:rStyle w:val="56"/>
                <w:rFonts w:hint="eastAsia"/>
                <w:color w:val="auto"/>
                <w:sz w:val="24"/>
                <w:szCs w:val="24"/>
                <w:u w:val="single"/>
                <w:lang w:val="en-US" w:eastAsia="zh-CN"/>
              </w:rPr>
              <w:t>31</w:t>
            </w:r>
            <w:r>
              <w:rPr>
                <w:rStyle w:val="56"/>
                <w:rFonts w:hint="eastAsia"/>
                <w:color w:val="auto"/>
                <w:sz w:val="24"/>
                <w:szCs w:val="24"/>
                <w:u w:val="single"/>
              </w:rPr>
              <w:t>.67</w:t>
            </w:r>
            <w:r>
              <w:rPr>
                <w:rStyle w:val="56"/>
                <w:color w:val="auto"/>
                <w:sz w:val="24"/>
                <w:szCs w:val="24"/>
                <w:u w:val="single"/>
              </w:rPr>
              <w:t>kg时，</w:t>
            </w:r>
            <w:r>
              <w:rPr>
                <w:rStyle w:val="44"/>
                <w:rFonts w:hint="default" w:ascii="Times New Roman" w:hAnsi="Times New Roman"/>
                <w:color w:val="auto"/>
                <w:sz w:val="24"/>
                <w:szCs w:val="24"/>
                <w:u w:val="single"/>
              </w:rPr>
              <w:t>计算得爆破地震安全距离</w:t>
            </w:r>
            <w:r>
              <w:rPr>
                <w:rStyle w:val="57"/>
                <w:color w:val="auto"/>
                <w:sz w:val="24"/>
                <w:szCs w:val="24"/>
                <w:u w:val="single"/>
              </w:rPr>
              <w:t>R</w:t>
            </w:r>
            <w:r>
              <w:rPr>
                <w:rStyle w:val="44"/>
                <w:rFonts w:hint="default" w:ascii="Times New Roman" w:hAnsi="Times New Roman"/>
                <w:color w:val="auto"/>
                <w:sz w:val="24"/>
                <w:szCs w:val="24"/>
                <w:u w:val="single"/>
              </w:rPr>
              <w:t>为</w:t>
            </w:r>
            <w:r>
              <w:rPr>
                <w:rStyle w:val="57"/>
                <w:rFonts w:hint="eastAsia"/>
                <w:color w:val="auto"/>
                <w:sz w:val="24"/>
                <w:szCs w:val="24"/>
                <w:u w:val="single"/>
                <w:lang w:val="en-US" w:eastAsia="zh-CN"/>
              </w:rPr>
              <w:t>82</w:t>
            </w:r>
            <w:r>
              <w:rPr>
                <w:rStyle w:val="57"/>
                <w:color w:val="auto"/>
                <w:sz w:val="24"/>
                <w:szCs w:val="24"/>
                <w:u w:val="single"/>
              </w:rPr>
              <w:t>m</w:t>
            </w:r>
            <w:r>
              <w:rPr>
                <w:rStyle w:val="44"/>
                <w:rFonts w:hint="default" w:ascii="Times New Roman" w:hAnsi="Times New Roman"/>
                <w:color w:val="auto"/>
                <w:sz w:val="24"/>
                <w:szCs w:val="24"/>
                <w:u w:val="single"/>
              </w:rPr>
              <w:t>。即距离爆点</w:t>
            </w:r>
            <w:r>
              <w:rPr>
                <w:rStyle w:val="56"/>
                <w:rFonts w:hint="eastAsia"/>
                <w:color w:val="auto"/>
                <w:sz w:val="24"/>
                <w:szCs w:val="24"/>
                <w:u w:val="single"/>
                <w:lang w:val="en-US" w:eastAsia="zh-CN"/>
              </w:rPr>
              <w:t>82m</w:t>
            </w:r>
            <w:r>
              <w:rPr>
                <w:rStyle w:val="44"/>
                <w:rFonts w:hint="default" w:ascii="Times New Roman" w:hAnsi="Times New Roman"/>
                <w:color w:val="auto"/>
                <w:sz w:val="24"/>
                <w:szCs w:val="24"/>
                <w:u w:val="single"/>
              </w:rPr>
              <w:t>范围内的建筑物将不同程度地受到爆破振动影响，根据矿体赋存标高以及地表屋场标高和项目周边敏感物的分布情况，</w:t>
            </w:r>
            <w:r>
              <w:rPr>
                <w:rStyle w:val="44"/>
                <w:rFonts w:hint="eastAsia" w:ascii="Times New Roman" w:hAnsi="Times New Roman"/>
                <w:color w:val="auto"/>
                <w:sz w:val="24"/>
                <w:szCs w:val="24"/>
                <w:u w:val="single"/>
                <w:lang w:val="en-US" w:eastAsia="zh-CN"/>
              </w:rPr>
              <w:t>本项目矿区82m范围内无</w:t>
            </w:r>
            <w:r>
              <w:rPr>
                <w:rStyle w:val="44"/>
                <w:rFonts w:hint="default" w:ascii="Times New Roman" w:hAnsi="Times New Roman"/>
                <w:color w:val="auto"/>
                <w:sz w:val="24"/>
                <w:szCs w:val="24"/>
                <w:u w:val="single"/>
              </w:rPr>
              <w:t>居民点。</w:t>
            </w:r>
            <w:r>
              <w:rPr>
                <w:rStyle w:val="44"/>
                <w:rFonts w:hint="eastAsia"/>
                <w:color w:val="auto"/>
                <w:sz w:val="24"/>
                <w:szCs w:val="24"/>
                <w:u w:val="single"/>
                <w:lang w:val="en-US" w:eastAsia="zh-CN"/>
              </w:rPr>
              <w:t>本项目</w:t>
            </w:r>
            <w:r>
              <w:rPr>
                <w:rStyle w:val="44"/>
                <w:rFonts w:hint="default" w:ascii="Times New Roman" w:hAnsi="Times New Roman"/>
                <w:color w:val="auto"/>
                <w:sz w:val="24"/>
                <w:szCs w:val="24"/>
                <w:u w:val="single"/>
              </w:rPr>
              <w:t>振动对</w:t>
            </w:r>
            <w:r>
              <w:rPr>
                <w:rStyle w:val="44"/>
                <w:rFonts w:hint="eastAsia"/>
                <w:color w:val="auto"/>
                <w:sz w:val="24"/>
                <w:szCs w:val="24"/>
                <w:u w:val="single"/>
                <w:lang w:val="en-US" w:eastAsia="zh-CN"/>
              </w:rPr>
              <w:t>周边</w:t>
            </w:r>
            <w:r>
              <w:rPr>
                <w:rStyle w:val="44"/>
                <w:rFonts w:hint="default" w:ascii="Times New Roman" w:hAnsi="Times New Roman"/>
                <w:color w:val="auto"/>
                <w:sz w:val="24"/>
                <w:szCs w:val="24"/>
                <w:u w:val="single"/>
              </w:rPr>
              <w:t>建筑的影响较小。</w:t>
            </w:r>
          </w:p>
          <w:p w14:paraId="524149A2">
            <w:pPr>
              <w:keepNext w:val="0"/>
              <w:keepLines w:val="0"/>
              <w:pageBreakBefore w:val="0"/>
              <w:kinsoku/>
              <w:wordWrap/>
              <w:overflowPunct/>
              <w:topLinePunct w:val="0"/>
              <w:autoSpaceDE/>
              <w:autoSpaceDN/>
              <w:bidi w:val="0"/>
              <w:adjustRightInd w:val="0"/>
              <w:snapToGrid w:val="0"/>
              <w:ind w:right="0" w:firstLine="480"/>
              <w:textAlignment w:val="auto"/>
              <w:rPr>
                <w:rFonts w:hint="default" w:ascii="Times New Roman" w:hAnsi="Times New Roman" w:cs="Times New Roman"/>
                <w:color w:val="auto"/>
                <w:highlight w:val="none"/>
              </w:rPr>
            </w:pPr>
            <w:r>
              <w:rPr>
                <w:rStyle w:val="44"/>
                <w:rFonts w:hint="default" w:ascii="Times New Roman" w:hAnsi="Times New Roman"/>
                <w:color w:val="auto"/>
                <w:sz w:val="24"/>
                <w:szCs w:val="24"/>
                <w:u w:val="single"/>
              </w:rPr>
              <w:t>此外，本环评建议建设单位</w:t>
            </w:r>
            <w:r>
              <w:rPr>
                <w:color w:val="auto"/>
                <w:u w:val="single"/>
              </w:rPr>
              <w:t>采用延时起爆，同排炮孔采用孔间延时起爆，控制一次齐爆的总装药量；严格控制起爆时间，避免夜间和12：00</w:t>
            </w:r>
            <w:r>
              <w:rPr>
                <w:rFonts w:hint="eastAsia"/>
                <w:color w:val="auto"/>
                <w:u w:val="single"/>
              </w:rPr>
              <w:t>~</w:t>
            </w:r>
            <w:r>
              <w:rPr>
                <w:color w:val="auto"/>
                <w:u w:val="single"/>
              </w:rPr>
              <w:t>14：00起爆；</w:t>
            </w:r>
            <w:r>
              <w:rPr>
                <w:rStyle w:val="44"/>
                <w:rFonts w:hint="default" w:ascii="Times New Roman" w:hAnsi="Times New Roman"/>
                <w:color w:val="auto"/>
                <w:sz w:val="24"/>
                <w:szCs w:val="24"/>
                <w:u w:val="single"/>
              </w:rPr>
              <w:t>设置减震沟减轻本项目爆破振动对敏感目标产生的影响。</w:t>
            </w:r>
          </w:p>
          <w:p w14:paraId="195818B2">
            <w:pPr>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eastAsia" w:cs="Times New Roman"/>
                <w:color w:val="auto"/>
                <w:highlight w:val="none"/>
                <w:lang w:val="en-US" w:eastAsia="zh-CN"/>
              </w:rPr>
              <w:t>生产设备和交通运输噪声影响分析</w:t>
            </w:r>
          </w:p>
          <w:p w14:paraId="4CB68A4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项目运营期噪声主要来源于生产过程中</w:t>
            </w:r>
            <w:r>
              <w:rPr>
                <w:rFonts w:hint="eastAsia" w:cs="Times New Roman"/>
                <w:color w:val="auto"/>
                <w:highlight w:val="none"/>
                <w:lang w:val="en-US" w:eastAsia="zh-CN"/>
              </w:rPr>
              <w:t>挖掘机、装载机、破碎锤</w:t>
            </w:r>
            <w:r>
              <w:rPr>
                <w:rFonts w:hint="default" w:ascii="Times New Roman" w:hAnsi="Times New Roman" w:cs="Times New Roman"/>
                <w:color w:val="auto"/>
                <w:highlight w:val="none"/>
              </w:rPr>
              <w:t>、钻孔机、破碎机、空压机、振动筛等机械设备和车辆工作时产生的噪声，噪声源强为70-120dB（A）。</w:t>
            </w:r>
          </w:p>
          <w:p w14:paraId="51006FA0">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1</w:t>
            </w:r>
            <w:r>
              <w:rPr>
                <w:rFonts w:hint="default" w:ascii="Times New Roman" w:hAnsi="Times New Roman" w:cs="Times New Roman"/>
                <w:color w:val="auto"/>
                <w:highlight w:val="none"/>
              </w:rPr>
              <w:t>）生产设备噪声</w:t>
            </w:r>
          </w:p>
          <w:p w14:paraId="61543D8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主要为挖掘机、</w:t>
            </w:r>
            <w:r>
              <w:rPr>
                <w:rFonts w:hint="eastAsia" w:cs="Times New Roman"/>
                <w:color w:val="auto"/>
                <w:highlight w:val="none"/>
                <w:lang w:val="en-US" w:eastAsia="zh-CN"/>
              </w:rPr>
              <w:t>钻孔机、破碎锤、</w:t>
            </w:r>
            <w:r>
              <w:rPr>
                <w:rFonts w:hint="default" w:ascii="Times New Roman" w:hAnsi="Times New Roman" w:cs="Times New Roman"/>
                <w:color w:val="auto"/>
                <w:highlight w:val="none"/>
              </w:rPr>
              <w:t>破碎机、筛分机、空压机等设备运作时产生噪声，其声级一般在75-1</w:t>
            </w:r>
            <w:r>
              <w:rPr>
                <w:rFonts w:hint="eastAsia" w:cs="Times New Roman"/>
                <w:color w:val="auto"/>
                <w:highlight w:val="none"/>
                <w:lang w:val="en-US" w:eastAsia="zh-CN"/>
              </w:rPr>
              <w:t>2</w:t>
            </w:r>
            <w:r>
              <w:rPr>
                <w:rFonts w:hint="default" w:ascii="Times New Roman" w:hAnsi="Times New Roman" w:cs="Times New Roman"/>
                <w:color w:val="auto"/>
                <w:highlight w:val="none"/>
              </w:rPr>
              <w:t>0dB（A）之间。</w:t>
            </w:r>
          </w:p>
          <w:p w14:paraId="301014AA">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2</w:t>
            </w:r>
            <w:r>
              <w:rPr>
                <w:rFonts w:hint="default" w:ascii="Times New Roman" w:hAnsi="Times New Roman" w:cs="Times New Roman"/>
                <w:color w:val="auto"/>
                <w:highlight w:val="none"/>
              </w:rPr>
              <w:t>）车辆运输噪声</w:t>
            </w:r>
          </w:p>
          <w:p w14:paraId="4A3E5BA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项目对外运输工作在白天进行，夜间不运输。货车运输</w:t>
            </w:r>
            <w:r>
              <w:rPr>
                <w:rFonts w:hint="eastAsia" w:cs="Times New Roman"/>
                <w:color w:val="auto"/>
                <w:highlight w:val="none"/>
                <w:lang w:val="en-US" w:eastAsia="zh-CN"/>
              </w:rPr>
              <w:t>产品</w:t>
            </w:r>
            <w:r>
              <w:rPr>
                <w:rFonts w:hint="default" w:ascii="Times New Roman" w:hAnsi="Times New Roman" w:cs="Times New Roman"/>
                <w:color w:val="auto"/>
                <w:highlight w:val="none"/>
              </w:rPr>
              <w:t>需行驶经过乡村道路，车辆运输过程对道路两侧敏感点产生交通噪声影响。本项目</w:t>
            </w:r>
            <w:r>
              <w:rPr>
                <w:rFonts w:hint="eastAsia" w:cs="Times New Roman"/>
                <w:color w:val="auto"/>
                <w:highlight w:val="none"/>
                <w:lang w:val="en-US" w:eastAsia="zh-CN"/>
              </w:rPr>
              <w:t>产品</w:t>
            </w:r>
            <w:r>
              <w:rPr>
                <w:rFonts w:hint="default" w:ascii="Times New Roman" w:hAnsi="Times New Roman" w:cs="Times New Roman"/>
                <w:color w:val="auto"/>
                <w:highlight w:val="none"/>
              </w:rPr>
              <w:t>运输采用载重30t汽车</w:t>
            </w:r>
            <w:r>
              <w:rPr>
                <w:rFonts w:hint="eastAsia" w:cs="Times New Roman"/>
                <w:color w:val="auto"/>
                <w:highlight w:val="none"/>
                <w:lang w:eastAsia="zh-CN"/>
              </w:rPr>
              <w:t>，</w:t>
            </w:r>
            <w:r>
              <w:rPr>
                <w:rFonts w:hint="default" w:ascii="Times New Roman" w:hAnsi="Times New Roman" w:cs="Times New Roman"/>
                <w:color w:val="auto"/>
                <w:highlight w:val="none"/>
              </w:rPr>
              <w:t>限速</w:t>
            </w:r>
            <w:r>
              <w:rPr>
                <w:rFonts w:hint="eastAsia" w:cs="Times New Roman"/>
                <w:color w:val="auto"/>
                <w:highlight w:val="none"/>
                <w:lang w:val="en-US" w:eastAsia="zh-CN"/>
              </w:rPr>
              <w:t>20</w:t>
            </w:r>
            <w:r>
              <w:rPr>
                <w:rFonts w:hint="default" w:ascii="Times New Roman" w:hAnsi="Times New Roman" w:cs="Times New Roman"/>
                <w:color w:val="auto"/>
                <w:highlight w:val="none"/>
              </w:rPr>
              <w:t>km/h，产生的噪声源强约为70~80dB (A)。 由于项目运输车流量不大，车速较慢，产生的噪声源强不大。通过运输车辆控制车速，禁止鸣笛等措施后，运输车辆交通噪声对道路沿线敏感点的影响不大。噪声源强统计见下表。</w:t>
            </w:r>
          </w:p>
          <w:p w14:paraId="760A9AA7">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表4-</w:t>
            </w:r>
            <w:r>
              <w:rPr>
                <w:rFonts w:hint="eastAsia" w:cs="Times New Roman"/>
                <w:b/>
                <w:bCs/>
                <w:color w:val="auto"/>
                <w:sz w:val="21"/>
                <w:szCs w:val="21"/>
                <w:highlight w:val="none"/>
                <w:u w:val="single"/>
                <w:lang w:val="en-US" w:eastAsia="zh-CN"/>
              </w:rPr>
              <w:t>3</w:t>
            </w:r>
            <w:r>
              <w:rPr>
                <w:rFonts w:hint="default" w:ascii="Times New Roman" w:hAnsi="Times New Roman" w:cs="Times New Roman"/>
                <w:b/>
                <w:bCs/>
                <w:color w:val="auto"/>
                <w:sz w:val="21"/>
                <w:szCs w:val="21"/>
                <w:highlight w:val="none"/>
                <w:u w:val="single"/>
              </w:rPr>
              <w:t xml:space="preserve">  项目设备噪声源强一览表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110"/>
              <w:gridCol w:w="734"/>
              <w:gridCol w:w="1386"/>
              <w:gridCol w:w="1574"/>
              <w:gridCol w:w="821"/>
              <w:gridCol w:w="1473"/>
            </w:tblGrid>
            <w:tr w14:paraId="4D82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0BF6F73">
                  <w:pPr>
                    <w:spacing w:line="240" w:lineRule="auto"/>
                    <w:ind w:firstLine="0" w:firstLineChars="0"/>
                    <w:jc w:val="center"/>
                    <w:rPr>
                      <w:rFonts w:hint="eastAsia"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位置</w:t>
                  </w:r>
                </w:p>
              </w:tc>
              <w:tc>
                <w:tcPr>
                  <w:tcW w:w="1110" w:type="dxa"/>
                  <w:vAlign w:val="center"/>
                </w:tcPr>
                <w:p w14:paraId="45C9D5D1">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设备名称</w:t>
                  </w:r>
                </w:p>
              </w:tc>
              <w:tc>
                <w:tcPr>
                  <w:tcW w:w="734" w:type="dxa"/>
                  <w:vAlign w:val="center"/>
                </w:tcPr>
                <w:p w14:paraId="7D50E2CC">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数量</w:t>
                  </w:r>
                </w:p>
              </w:tc>
              <w:tc>
                <w:tcPr>
                  <w:tcW w:w="1386" w:type="dxa"/>
                  <w:vAlign w:val="center"/>
                </w:tcPr>
                <w:p w14:paraId="6380C486">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源强</w:t>
                  </w:r>
                </w:p>
              </w:tc>
              <w:tc>
                <w:tcPr>
                  <w:tcW w:w="1574" w:type="dxa"/>
                  <w:vAlign w:val="center"/>
                </w:tcPr>
                <w:p w14:paraId="5837B0E5">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治理措施</w:t>
                  </w:r>
                </w:p>
              </w:tc>
              <w:tc>
                <w:tcPr>
                  <w:tcW w:w="821" w:type="dxa"/>
                  <w:vAlign w:val="center"/>
                </w:tcPr>
                <w:p w14:paraId="2A97364D">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运行时段</w:t>
                  </w:r>
                </w:p>
              </w:tc>
              <w:tc>
                <w:tcPr>
                  <w:tcW w:w="1473" w:type="dxa"/>
                  <w:vAlign w:val="center"/>
                </w:tcPr>
                <w:p w14:paraId="6884AA34">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治理后</w:t>
                  </w:r>
                </w:p>
              </w:tc>
            </w:tr>
            <w:tr w14:paraId="3DD3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restart"/>
                  <w:vAlign w:val="center"/>
                </w:tcPr>
                <w:p w14:paraId="3B445F6C">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开采区</w:t>
                  </w:r>
                </w:p>
              </w:tc>
              <w:tc>
                <w:tcPr>
                  <w:tcW w:w="1110" w:type="dxa"/>
                  <w:vAlign w:val="center"/>
                </w:tcPr>
                <w:p w14:paraId="49262C67">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钻孔机</w:t>
                  </w:r>
                </w:p>
              </w:tc>
              <w:tc>
                <w:tcPr>
                  <w:tcW w:w="734" w:type="dxa"/>
                  <w:vAlign w:val="center"/>
                </w:tcPr>
                <w:p w14:paraId="0C9842B8">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w:t>
                  </w:r>
                </w:p>
              </w:tc>
              <w:tc>
                <w:tcPr>
                  <w:tcW w:w="1386" w:type="dxa"/>
                  <w:vAlign w:val="center"/>
                </w:tcPr>
                <w:p w14:paraId="2E41B1FD">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80~1</w:t>
                  </w:r>
                  <w:r>
                    <w:rPr>
                      <w:rFonts w:hint="eastAsia" w:cs="Times New Roman"/>
                      <w:color w:val="auto"/>
                      <w:sz w:val="21"/>
                      <w:szCs w:val="21"/>
                      <w:highlight w:val="none"/>
                      <w:u w:val="single"/>
                      <w:lang w:val="en-US" w:eastAsia="zh-CN"/>
                    </w:rPr>
                    <w:t>2</w:t>
                  </w:r>
                  <w:r>
                    <w:rPr>
                      <w:rFonts w:hint="default" w:ascii="Times New Roman" w:hAnsi="Times New Roman" w:cs="Times New Roman"/>
                      <w:color w:val="auto"/>
                      <w:sz w:val="21"/>
                      <w:szCs w:val="21"/>
                      <w:highlight w:val="none"/>
                      <w:u w:val="single"/>
                    </w:rPr>
                    <w:t>0dB（A）</w:t>
                  </w:r>
                </w:p>
              </w:tc>
              <w:tc>
                <w:tcPr>
                  <w:tcW w:w="1574" w:type="dxa"/>
                  <w:vMerge w:val="restart"/>
                  <w:vAlign w:val="center"/>
                </w:tcPr>
                <w:p w14:paraId="374A290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加强操作管理与维护</w:t>
                  </w:r>
                </w:p>
              </w:tc>
              <w:tc>
                <w:tcPr>
                  <w:tcW w:w="821" w:type="dxa"/>
                  <w:vAlign w:val="center"/>
                </w:tcPr>
                <w:p w14:paraId="23C78A5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683B7657">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70~</w:t>
                  </w:r>
                  <w:r>
                    <w:rPr>
                      <w:rFonts w:hint="eastAsia" w:cs="Times New Roman"/>
                      <w:color w:val="auto"/>
                      <w:sz w:val="21"/>
                      <w:szCs w:val="21"/>
                      <w:highlight w:val="none"/>
                      <w:u w:val="single"/>
                      <w:lang w:val="en-US" w:eastAsia="zh-CN"/>
                    </w:rPr>
                    <w:t>110</w:t>
                  </w:r>
                  <w:r>
                    <w:rPr>
                      <w:rFonts w:hint="default" w:ascii="Times New Roman" w:hAnsi="Times New Roman" w:cs="Times New Roman"/>
                      <w:color w:val="auto"/>
                      <w:sz w:val="21"/>
                      <w:szCs w:val="21"/>
                      <w:highlight w:val="none"/>
                      <w:u w:val="single"/>
                    </w:rPr>
                    <w:t>dB（A）</w:t>
                  </w:r>
                </w:p>
              </w:tc>
            </w:tr>
            <w:tr w14:paraId="2D2F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44E2AB03">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10" w:type="dxa"/>
                  <w:vAlign w:val="center"/>
                </w:tcPr>
                <w:p w14:paraId="56E047C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挖掘机</w:t>
                  </w:r>
                </w:p>
              </w:tc>
              <w:tc>
                <w:tcPr>
                  <w:tcW w:w="734" w:type="dxa"/>
                  <w:vAlign w:val="center"/>
                </w:tcPr>
                <w:p w14:paraId="641A7BA5">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w:t>
                  </w:r>
                </w:p>
              </w:tc>
              <w:tc>
                <w:tcPr>
                  <w:tcW w:w="1386" w:type="dxa"/>
                  <w:vAlign w:val="center"/>
                </w:tcPr>
                <w:p w14:paraId="707280E8">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70~90dB（A）</w:t>
                  </w:r>
                </w:p>
              </w:tc>
              <w:tc>
                <w:tcPr>
                  <w:tcW w:w="1574" w:type="dxa"/>
                  <w:vMerge w:val="continue"/>
                  <w:vAlign w:val="center"/>
                </w:tcPr>
                <w:p w14:paraId="51A2998B">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681EEEA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27D75715">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60~80dB（A）</w:t>
                  </w:r>
                </w:p>
              </w:tc>
            </w:tr>
            <w:tr w14:paraId="11AD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7107D7B8">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10" w:type="dxa"/>
                  <w:vAlign w:val="center"/>
                </w:tcPr>
                <w:p w14:paraId="35A6D67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破碎锤</w:t>
                  </w:r>
                </w:p>
              </w:tc>
              <w:tc>
                <w:tcPr>
                  <w:tcW w:w="734" w:type="dxa"/>
                  <w:vAlign w:val="center"/>
                </w:tcPr>
                <w:p w14:paraId="0C6F56F9">
                  <w:pPr>
                    <w:spacing w:line="240" w:lineRule="auto"/>
                    <w:ind w:firstLine="0" w:firstLineChars="0"/>
                    <w:jc w:val="center"/>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w:t>
                  </w:r>
                </w:p>
              </w:tc>
              <w:tc>
                <w:tcPr>
                  <w:tcW w:w="1386" w:type="dxa"/>
                  <w:vAlign w:val="center"/>
                </w:tcPr>
                <w:p w14:paraId="1D3575D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80~1</w:t>
                  </w:r>
                  <w:r>
                    <w:rPr>
                      <w:rFonts w:hint="eastAsia" w:cs="Times New Roman"/>
                      <w:color w:val="auto"/>
                      <w:sz w:val="21"/>
                      <w:szCs w:val="21"/>
                      <w:highlight w:val="none"/>
                      <w:u w:val="single"/>
                      <w:lang w:val="en-US" w:eastAsia="zh-CN"/>
                    </w:rPr>
                    <w:t>2</w:t>
                  </w:r>
                  <w:r>
                    <w:rPr>
                      <w:rFonts w:hint="default" w:ascii="Times New Roman" w:hAnsi="Times New Roman" w:cs="Times New Roman"/>
                      <w:color w:val="auto"/>
                      <w:sz w:val="21"/>
                      <w:szCs w:val="21"/>
                      <w:highlight w:val="none"/>
                      <w:u w:val="single"/>
                    </w:rPr>
                    <w:t>0dB（A）</w:t>
                  </w:r>
                </w:p>
              </w:tc>
              <w:tc>
                <w:tcPr>
                  <w:tcW w:w="1574" w:type="dxa"/>
                  <w:vMerge w:val="restart"/>
                  <w:vAlign w:val="center"/>
                </w:tcPr>
                <w:p w14:paraId="687ED20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选用低噪声设备及加强设备保养</w:t>
                  </w:r>
                </w:p>
              </w:tc>
              <w:tc>
                <w:tcPr>
                  <w:tcW w:w="821" w:type="dxa"/>
                  <w:vAlign w:val="center"/>
                </w:tcPr>
                <w:p w14:paraId="2DE0DABE">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6A5F930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70~</w:t>
                  </w:r>
                  <w:r>
                    <w:rPr>
                      <w:rFonts w:hint="eastAsia" w:cs="Times New Roman"/>
                      <w:color w:val="auto"/>
                      <w:sz w:val="21"/>
                      <w:szCs w:val="21"/>
                      <w:highlight w:val="none"/>
                      <w:u w:val="single"/>
                      <w:lang w:val="en-US" w:eastAsia="zh-CN"/>
                    </w:rPr>
                    <w:t>110</w:t>
                  </w:r>
                  <w:r>
                    <w:rPr>
                      <w:rFonts w:hint="default" w:ascii="Times New Roman" w:hAnsi="Times New Roman" w:cs="Times New Roman"/>
                      <w:color w:val="auto"/>
                      <w:sz w:val="21"/>
                      <w:szCs w:val="21"/>
                      <w:highlight w:val="none"/>
                      <w:u w:val="single"/>
                    </w:rPr>
                    <w:t>dB（A）</w:t>
                  </w:r>
                </w:p>
              </w:tc>
            </w:tr>
            <w:tr w14:paraId="2393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7F25A251">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10" w:type="dxa"/>
                  <w:vAlign w:val="center"/>
                </w:tcPr>
                <w:p w14:paraId="7C0B862F">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推土机</w:t>
                  </w:r>
                </w:p>
              </w:tc>
              <w:tc>
                <w:tcPr>
                  <w:tcW w:w="734" w:type="dxa"/>
                  <w:vAlign w:val="center"/>
                </w:tcPr>
                <w:p w14:paraId="50299994">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w:t>
                  </w:r>
                </w:p>
              </w:tc>
              <w:tc>
                <w:tcPr>
                  <w:tcW w:w="1386" w:type="dxa"/>
                  <w:vAlign w:val="center"/>
                </w:tcPr>
                <w:p w14:paraId="4D956F7F">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70~90dB（A）</w:t>
                  </w:r>
                </w:p>
              </w:tc>
              <w:tc>
                <w:tcPr>
                  <w:tcW w:w="1574" w:type="dxa"/>
                  <w:vMerge w:val="continue"/>
                  <w:vAlign w:val="center"/>
                </w:tcPr>
                <w:p w14:paraId="638FFFC3">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1B49FA3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5C858F94">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60~80dB（A）</w:t>
                  </w:r>
                </w:p>
              </w:tc>
            </w:tr>
            <w:tr w14:paraId="35EC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restart"/>
                  <w:vAlign w:val="center"/>
                </w:tcPr>
                <w:p w14:paraId="6164F79F">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p>
              </w:tc>
              <w:tc>
                <w:tcPr>
                  <w:tcW w:w="1110" w:type="dxa"/>
                  <w:vAlign w:val="center"/>
                </w:tcPr>
                <w:p w14:paraId="0D4095CB">
                  <w:pPr>
                    <w:spacing w:line="240" w:lineRule="auto"/>
                    <w:ind w:firstLine="0" w:firstLineChars="0"/>
                    <w:jc w:val="center"/>
                    <w:rPr>
                      <w:rFonts w:hint="default" w:ascii="Times New Roman" w:hAnsi="Times New Roman" w:cs="Times New Roman"/>
                      <w:color w:val="auto"/>
                      <w:sz w:val="21"/>
                      <w:szCs w:val="21"/>
                      <w:highlight w:val="none"/>
                      <w:u w:val="single"/>
                      <w:lang w:val="en-US"/>
                    </w:rPr>
                  </w:pPr>
                  <w:r>
                    <w:rPr>
                      <w:rFonts w:hint="eastAsia" w:cs="Times New Roman"/>
                      <w:color w:val="auto"/>
                      <w:sz w:val="21"/>
                      <w:szCs w:val="21"/>
                      <w:highlight w:val="none"/>
                      <w:u w:val="single"/>
                      <w:lang w:val="en-US" w:eastAsia="zh-CN"/>
                    </w:rPr>
                    <w:t>喂料机</w:t>
                  </w:r>
                </w:p>
              </w:tc>
              <w:tc>
                <w:tcPr>
                  <w:tcW w:w="734" w:type="dxa"/>
                  <w:vAlign w:val="center"/>
                </w:tcPr>
                <w:p w14:paraId="6451BA3A">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w:t>
                  </w:r>
                </w:p>
              </w:tc>
              <w:tc>
                <w:tcPr>
                  <w:tcW w:w="1386" w:type="dxa"/>
                  <w:vAlign w:val="center"/>
                </w:tcPr>
                <w:p w14:paraId="68AF4DCD">
                  <w:pPr>
                    <w:spacing w:line="240" w:lineRule="auto"/>
                    <w:ind w:firstLine="0" w:firstLineChars="0"/>
                    <w:jc w:val="center"/>
                    <w:rPr>
                      <w:rFonts w:hint="default" w:ascii="Times New Roman" w:hAnsi="Times New Roman" w:cs="Times New Roman"/>
                      <w:color w:val="auto"/>
                      <w:highlight w:val="none"/>
                      <w:u w:val="single"/>
                    </w:rPr>
                  </w:pPr>
                  <w:r>
                    <w:rPr>
                      <w:rFonts w:hint="eastAsia" w:cs="Times New Roman"/>
                      <w:color w:val="auto"/>
                      <w:sz w:val="21"/>
                      <w:szCs w:val="21"/>
                      <w:highlight w:val="none"/>
                      <w:u w:val="single"/>
                      <w:lang w:val="en-US" w:eastAsia="zh-CN"/>
                    </w:rPr>
                    <w:t>7</w:t>
                  </w: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9</w:t>
                  </w:r>
                  <w:r>
                    <w:rPr>
                      <w:rFonts w:hint="default" w:ascii="Times New Roman" w:hAnsi="Times New Roman" w:cs="Times New Roman"/>
                      <w:color w:val="auto"/>
                      <w:sz w:val="21"/>
                      <w:szCs w:val="21"/>
                      <w:highlight w:val="none"/>
                      <w:u w:val="single"/>
                    </w:rPr>
                    <w:t>0dB（A）</w:t>
                  </w:r>
                </w:p>
              </w:tc>
              <w:tc>
                <w:tcPr>
                  <w:tcW w:w="1574" w:type="dxa"/>
                  <w:vMerge w:val="continue"/>
                  <w:vAlign w:val="center"/>
                </w:tcPr>
                <w:p w14:paraId="144FBC88">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31A3A4D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5F888ECF">
                  <w:pPr>
                    <w:spacing w:line="240" w:lineRule="auto"/>
                    <w:ind w:firstLine="0" w:firstLineChars="0"/>
                    <w:jc w:val="center"/>
                    <w:rPr>
                      <w:rFonts w:hint="default" w:ascii="Times New Roman" w:hAnsi="Times New Roman" w:cs="Times New Roman"/>
                      <w:color w:val="auto"/>
                      <w:highlight w:val="none"/>
                      <w:u w:val="single"/>
                    </w:rPr>
                  </w:pPr>
                  <w:r>
                    <w:rPr>
                      <w:rFonts w:hint="eastAsia" w:cs="Times New Roman"/>
                      <w:color w:val="auto"/>
                      <w:sz w:val="21"/>
                      <w:szCs w:val="21"/>
                      <w:highlight w:val="none"/>
                      <w:u w:val="single"/>
                      <w:lang w:val="en-US" w:eastAsia="zh-CN"/>
                    </w:rPr>
                    <w:t>6</w:t>
                  </w: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80</w:t>
                  </w:r>
                  <w:r>
                    <w:rPr>
                      <w:rFonts w:hint="default" w:ascii="Times New Roman" w:hAnsi="Times New Roman" w:cs="Times New Roman"/>
                      <w:color w:val="auto"/>
                      <w:sz w:val="21"/>
                      <w:szCs w:val="21"/>
                      <w:highlight w:val="none"/>
                      <w:u w:val="single"/>
                    </w:rPr>
                    <w:t>dB（A）</w:t>
                  </w:r>
                </w:p>
              </w:tc>
            </w:tr>
            <w:tr w14:paraId="0B91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204C92AD">
                  <w:pPr>
                    <w:spacing w:line="240" w:lineRule="auto"/>
                    <w:ind w:firstLine="0" w:firstLineChars="0"/>
                    <w:jc w:val="center"/>
                    <w:rPr>
                      <w:rFonts w:hint="eastAsia" w:cs="Times New Roman"/>
                      <w:color w:val="auto"/>
                      <w:sz w:val="21"/>
                      <w:szCs w:val="21"/>
                      <w:highlight w:val="none"/>
                      <w:u w:val="single"/>
                      <w:lang w:val="en-US" w:eastAsia="zh-CN"/>
                    </w:rPr>
                  </w:pPr>
                </w:p>
              </w:tc>
              <w:tc>
                <w:tcPr>
                  <w:tcW w:w="1110" w:type="dxa"/>
                  <w:vAlign w:val="center"/>
                </w:tcPr>
                <w:p w14:paraId="426AF671">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破碎机</w:t>
                  </w:r>
                </w:p>
              </w:tc>
              <w:tc>
                <w:tcPr>
                  <w:tcW w:w="734" w:type="dxa"/>
                  <w:vAlign w:val="center"/>
                </w:tcPr>
                <w:p w14:paraId="25B8DABA">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w:t>
                  </w:r>
                </w:p>
              </w:tc>
              <w:tc>
                <w:tcPr>
                  <w:tcW w:w="1386" w:type="dxa"/>
                  <w:vAlign w:val="center"/>
                </w:tcPr>
                <w:p w14:paraId="49B64C3C">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80~1</w:t>
                  </w:r>
                  <w:r>
                    <w:rPr>
                      <w:rFonts w:hint="eastAsia" w:cs="Times New Roman"/>
                      <w:color w:val="auto"/>
                      <w:sz w:val="21"/>
                      <w:szCs w:val="21"/>
                      <w:highlight w:val="none"/>
                      <w:u w:val="single"/>
                      <w:lang w:val="en-US" w:eastAsia="zh-CN"/>
                    </w:rPr>
                    <w:t>2</w:t>
                  </w:r>
                  <w:r>
                    <w:rPr>
                      <w:rFonts w:hint="default" w:ascii="Times New Roman" w:hAnsi="Times New Roman" w:cs="Times New Roman"/>
                      <w:color w:val="auto"/>
                      <w:sz w:val="21"/>
                      <w:szCs w:val="21"/>
                      <w:highlight w:val="none"/>
                      <w:u w:val="single"/>
                    </w:rPr>
                    <w:t>0dB（A）</w:t>
                  </w:r>
                </w:p>
              </w:tc>
              <w:tc>
                <w:tcPr>
                  <w:tcW w:w="1574" w:type="dxa"/>
                  <w:vMerge w:val="continue"/>
                  <w:vAlign w:val="center"/>
                </w:tcPr>
                <w:p w14:paraId="09E14846">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497C65A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2D5B1D03">
                  <w:pPr>
                    <w:spacing w:line="240" w:lineRule="auto"/>
                    <w:ind w:firstLine="0" w:firstLineChars="0"/>
                    <w:jc w:val="center"/>
                    <w:rPr>
                      <w:rFonts w:hint="default" w:ascii="Times New Roman" w:hAnsi="Times New Roman" w:cs="Times New Roman"/>
                      <w:color w:val="auto"/>
                      <w:highlight w:val="none"/>
                      <w:u w:val="single"/>
                    </w:rPr>
                  </w:pPr>
                  <w:r>
                    <w:rPr>
                      <w:rFonts w:hint="eastAsia" w:cs="Times New Roman"/>
                      <w:color w:val="auto"/>
                      <w:sz w:val="21"/>
                      <w:szCs w:val="21"/>
                      <w:highlight w:val="none"/>
                      <w:u w:val="single"/>
                      <w:lang w:val="en-US" w:eastAsia="zh-CN"/>
                    </w:rPr>
                    <w:t>7</w:t>
                  </w: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11</w:t>
                  </w:r>
                  <w:r>
                    <w:rPr>
                      <w:rFonts w:hint="default" w:ascii="Times New Roman" w:hAnsi="Times New Roman" w:cs="Times New Roman"/>
                      <w:color w:val="auto"/>
                      <w:sz w:val="21"/>
                      <w:szCs w:val="21"/>
                      <w:highlight w:val="none"/>
                      <w:u w:val="single"/>
                    </w:rPr>
                    <w:t>0dB（A）</w:t>
                  </w:r>
                </w:p>
              </w:tc>
            </w:tr>
            <w:tr w14:paraId="729C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4932499F">
                  <w:pPr>
                    <w:spacing w:line="240" w:lineRule="auto"/>
                    <w:ind w:firstLine="0" w:firstLineChars="0"/>
                    <w:jc w:val="center"/>
                    <w:rPr>
                      <w:rFonts w:hint="eastAsia" w:cs="Times New Roman"/>
                      <w:color w:val="auto"/>
                      <w:sz w:val="21"/>
                      <w:szCs w:val="21"/>
                      <w:highlight w:val="none"/>
                      <w:u w:val="single"/>
                      <w:lang w:val="en-US" w:eastAsia="zh-CN"/>
                    </w:rPr>
                  </w:pPr>
                </w:p>
              </w:tc>
              <w:tc>
                <w:tcPr>
                  <w:tcW w:w="1110" w:type="dxa"/>
                  <w:vAlign w:val="center"/>
                </w:tcPr>
                <w:p w14:paraId="542A5119">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振动筛</w:t>
                  </w:r>
                </w:p>
              </w:tc>
              <w:tc>
                <w:tcPr>
                  <w:tcW w:w="734" w:type="dxa"/>
                  <w:vAlign w:val="center"/>
                </w:tcPr>
                <w:p w14:paraId="60627C73">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w:t>
                  </w:r>
                </w:p>
              </w:tc>
              <w:tc>
                <w:tcPr>
                  <w:tcW w:w="1386" w:type="dxa"/>
                  <w:vAlign w:val="center"/>
                </w:tcPr>
                <w:p w14:paraId="0F1DD27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80~1</w:t>
                  </w:r>
                  <w:r>
                    <w:rPr>
                      <w:rFonts w:hint="eastAsia" w:cs="Times New Roman"/>
                      <w:color w:val="auto"/>
                      <w:sz w:val="21"/>
                      <w:szCs w:val="21"/>
                      <w:highlight w:val="none"/>
                      <w:u w:val="single"/>
                      <w:lang w:val="en-US" w:eastAsia="zh-CN"/>
                    </w:rPr>
                    <w:t>2</w:t>
                  </w:r>
                  <w:r>
                    <w:rPr>
                      <w:rFonts w:hint="default" w:ascii="Times New Roman" w:hAnsi="Times New Roman" w:cs="Times New Roman"/>
                      <w:color w:val="auto"/>
                      <w:sz w:val="21"/>
                      <w:szCs w:val="21"/>
                      <w:highlight w:val="none"/>
                      <w:u w:val="single"/>
                    </w:rPr>
                    <w:t>0dB（A）</w:t>
                  </w:r>
                </w:p>
              </w:tc>
              <w:tc>
                <w:tcPr>
                  <w:tcW w:w="1574" w:type="dxa"/>
                  <w:vMerge w:val="continue"/>
                  <w:vAlign w:val="center"/>
                </w:tcPr>
                <w:p w14:paraId="1B72A5DD">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31E35EB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180DF70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7</w:t>
                  </w: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11</w:t>
                  </w:r>
                  <w:r>
                    <w:rPr>
                      <w:rFonts w:hint="default" w:ascii="Times New Roman" w:hAnsi="Times New Roman" w:cs="Times New Roman"/>
                      <w:color w:val="auto"/>
                      <w:sz w:val="21"/>
                      <w:szCs w:val="21"/>
                      <w:highlight w:val="none"/>
                      <w:u w:val="single"/>
                    </w:rPr>
                    <w:t>0dB（A）</w:t>
                  </w:r>
                </w:p>
              </w:tc>
            </w:tr>
            <w:tr w14:paraId="2CAE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789B36F7">
                  <w:pPr>
                    <w:spacing w:line="240" w:lineRule="auto"/>
                    <w:ind w:firstLine="0" w:firstLineChars="0"/>
                    <w:jc w:val="center"/>
                    <w:rPr>
                      <w:rFonts w:hint="eastAsia" w:cs="Times New Roman"/>
                      <w:color w:val="auto"/>
                      <w:sz w:val="21"/>
                      <w:szCs w:val="21"/>
                      <w:highlight w:val="none"/>
                      <w:u w:val="single"/>
                      <w:lang w:val="en-US" w:eastAsia="zh-CN"/>
                    </w:rPr>
                  </w:pPr>
                </w:p>
              </w:tc>
              <w:tc>
                <w:tcPr>
                  <w:tcW w:w="1110" w:type="dxa"/>
                  <w:vAlign w:val="center"/>
                </w:tcPr>
                <w:p w14:paraId="519A5B8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制砂机</w:t>
                  </w:r>
                </w:p>
              </w:tc>
              <w:tc>
                <w:tcPr>
                  <w:tcW w:w="734" w:type="dxa"/>
                  <w:vAlign w:val="center"/>
                </w:tcPr>
                <w:p w14:paraId="3C9B58A9">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w:t>
                  </w:r>
                </w:p>
              </w:tc>
              <w:tc>
                <w:tcPr>
                  <w:tcW w:w="1386" w:type="dxa"/>
                  <w:vAlign w:val="center"/>
                </w:tcPr>
                <w:p w14:paraId="293B517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80~1</w:t>
                  </w:r>
                  <w:r>
                    <w:rPr>
                      <w:rFonts w:hint="eastAsia" w:cs="Times New Roman"/>
                      <w:color w:val="auto"/>
                      <w:sz w:val="21"/>
                      <w:szCs w:val="21"/>
                      <w:highlight w:val="none"/>
                      <w:u w:val="single"/>
                      <w:lang w:val="en-US" w:eastAsia="zh-CN"/>
                    </w:rPr>
                    <w:t>2</w:t>
                  </w:r>
                  <w:r>
                    <w:rPr>
                      <w:rFonts w:hint="default" w:ascii="Times New Roman" w:hAnsi="Times New Roman" w:cs="Times New Roman"/>
                      <w:color w:val="auto"/>
                      <w:sz w:val="21"/>
                      <w:szCs w:val="21"/>
                      <w:highlight w:val="none"/>
                      <w:u w:val="single"/>
                    </w:rPr>
                    <w:t>0dB（A）</w:t>
                  </w:r>
                </w:p>
              </w:tc>
              <w:tc>
                <w:tcPr>
                  <w:tcW w:w="1574" w:type="dxa"/>
                  <w:vMerge w:val="continue"/>
                  <w:vAlign w:val="center"/>
                </w:tcPr>
                <w:p w14:paraId="04531BBD">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113B888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2CB325C0">
                  <w:pPr>
                    <w:spacing w:line="240" w:lineRule="auto"/>
                    <w:ind w:firstLine="0" w:firstLineChars="0"/>
                    <w:jc w:val="center"/>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7</w:t>
                  </w: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11</w:t>
                  </w:r>
                  <w:r>
                    <w:rPr>
                      <w:rFonts w:hint="default" w:ascii="Times New Roman" w:hAnsi="Times New Roman" w:cs="Times New Roman"/>
                      <w:color w:val="auto"/>
                      <w:sz w:val="21"/>
                      <w:szCs w:val="21"/>
                      <w:highlight w:val="none"/>
                      <w:u w:val="single"/>
                    </w:rPr>
                    <w:t>0dB（A）</w:t>
                  </w:r>
                </w:p>
              </w:tc>
            </w:tr>
            <w:tr w14:paraId="7683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2F489D72">
                  <w:pPr>
                    <w:spacing w:line="240" w:lineRule="auto"/>
                    <w:ind w:firstLine="0" w:firstLineChars="0"/>
                    <w:jc w:val="center"/>
                    <w:rPr>
                      <w:rFonts w:hint="eastAsia" w:cs="Times New Roman"/>
                      <w:color w:val="auto"/>
                      <w:sz w:val="21"/>
                      <w:szCs w:val="21"/>
                      <w:highlight w:val="none"/>
                      <w:u w:val="single"/>
                      <w:lang w:val="en-US" w:eastAsia="zh-CN"/>
                    </w:rPr>
                  </w:pPr>
                </w:p>
              </w:tc>
              <w:tc>
                <w:tcPr>
                  <w:tcW w:w="1110" w:type="dxa"/>
                  <w:vAlign w:val="center"/>
                </w:tcPr>
                <w:p w14:paraId="2F5BD744">
                  <w:pPr>
                    <w:spacing w:line="240" w:lineRule="auto"/>
                    <w:ind w:firstLine="0" w:firstLineChars="0"/>
                    <w:jc w:val="center"/>
                    <w:rPr>
                      <w:rFonts w:hint="default"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装载机</w:t>
                  </w:r>
                </w:p>
              </w:tc>
              <w:tc>
                <w:tcPr>
                  <w:tcW w:w="734" w:type="dxa"/>
                  <w:vAlign w:val="center"/>
                </w:tcPr>
                <w:p w14:paraId="129AFA93">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6</w:t>
                  </w:r>
                </w:p>
              </w:tc>
              <w:tc>
                <w:tcPr>
                  <w:tcW w:w="1386" w:type="dxa"/>
                  <w:vAlign w:val="center"/>
                </w:tcPr>
                <w:p w14:paraId="52584D6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70~90dB（A）</w:t>
                  </w:r>
                </w:p>
              </w:tc>
              <w:tc>
                <w:tcPr>
                  <w:tcW w:w="1574" w:type="dxa"/>
                  <w:vMerge w:val="restart"/>
                  <w:vAlign w:val="center"/>
                </w:tcPr>
                <w:p w14:paraId="6435841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限速，禁止鸣笛</w:t>
                  </w:r>
                </w:p>
              </w:tc>
              <w:tc>
                <w:tcPr>
                  <w:tcW w:w="821" w:type="dxa"/>
                  <w:vAlign w:val="center"/>
                </w:tcPr>
                <w:p w14:paraId="168C80E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55AB7D7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60~80dB（A）</w:t>
                  </w:r>
                </w:p>
              </w:tc>
            </w:tr>
            <w:tr w14:paraId="4564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1793804">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运输道路</w:t>
                  </w:r>
                </w:p>
              </w:tc>
              <w:tc>
                <w:tcPr>
                  <w:tcW w:w="1110" w:type="dxa"/>
                  <w:vAlign w:val="center"/>
                </w:tcPr>
                <w:p w14:paraId="28500E4A">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运输车辆</w:t>
                  </w:r>
                </w:p>
              </w:tc>
              <w:tc>
                <w:tcPr>
                  <w:tcW w:w="734" w:type="dxa"/>
                  <w:vAlign w:val="center"/>
                </w:tcPr>
                <w:p w14:paraId="6D8FE604">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7</w:t>
                  </w:r>
                </w:p>
              </w:tc>
              <w:tc>
                <w:tcPr>
                  <w:tcW w:w="1386" w:type="dxa"/>
                  <w:vAlign w:val="center"/>
                </w:tcPr>
                <w:p w14:paraId="78C8206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70~90dB（A）</w:t>
                  </w:r>
                </w:p>
              </w:tc>
              <w:tc>
                <w:tcPr>
                  <w:tcW w:w="1574" w:type="dxa"/>
                  <w:vMerge w:val="continue"/>
                  <w:vAlign w:val="center"/>
                </w:tcPr>
                <w:p w14:paraId="1B70E566">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04508ED0">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连续</w:t>
                  </w:r>
                </w:p>
              </w:tc>
              <w:tc>
                <w:tcPr>
                  <w:tcW w:w="1473" w:type="dxa"/>
                  <w:vAlign w:val="center"/>
                </w:tcPr>
                <w:p w14:paraId="4AC4B27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60~80dB（A）</w:t>
                  </w:r>
                </w:p>
              </w:tc>
            </w:tr>
          </w:tbl>
          <w:p w14:paraId="0A45D691">
            <w:pPr>
              <w:ind w:firstLine="480"/>
              <w:rPr>
                <w:rFonts w:hint="default" w:eastAsia="宋体"/>
                <w:color w:val="auto"/>
                <w:highlight w:val="none"/>
                <w:u w:val="none"/>
                <w:lang w:val="en-US" w:eastAsia="zh-CN"/>
              </w:rPr>
            </w:pPr>
            <w:r>
              <w:rPr>
                <w:rFonts w:hint="eastAsia"/>
                <w:color w:val="auto"/>
                <w:highlight w:val="none"/>
                <w:u w:val="none"/>
                <w:lang w:val="en-US" w:eastAsia="zh-CN"/>
              </w:rPr>
              <w:t>3</w:t>
            </w:r>
            <w:r>
              <w:rPr>
                <w:rFonts w:hint="eastAsia"/>
                <w:color w:val="auto"/>
                <w:highlight w:val="none"/>
                <w:u w:val="none"/>
                <w:lang w:eastAsia="zh-CN"/>
              </w:rPr>
              <w:t>）</w:t>
            </w:r>
            <w:r>
              <w:rPr>
                <w:rFonts w:hint="eastAsia"/>
                <w:color w:val="auto"/>
                <w:highlight w:val="none"/>
                <w:u w:val="none"/>
                <w:lang w:val="en-US" w:eastAsia="zh-CN"/>
              </w:rPr>
              <w:t>噪声影响预测</w:t>
            </w:r>
          </w:p>
          <w:p w14:paraId="5231C029">
            <w:pPr>
              <w:ind w:firstLine="480"/>
              <w:rPr>
                <w:rFonts w:hint="default" w:eastAsia="宋体"/>
                <w:color w:val="auto"/>
                <w:highlight w:val="none"/>
                <w:u w:val="none"/>
                <w:lang w:val="en-US" w:eastAsia="zh-CN"/>
              </w:rPr>
            </w:pPr>
            <w:r>
              <w:rPr>
                <w:rFonts w:hint="eastAsia"/>
                <w:color w:val="auto"/>
                <w:highlight w:val="none"/>
                <w:u w:val="none"/>
                <w:lang w:val="en-US" w:eastAsia="zh-CN"/>
              </w:rPr>
              <w:t>①预测点设置</w:t>
            </w:r>
          </w:p>
          <w:p w14:paraId="006124B3">
            <w:pPr>
              <w:ind w:firstLine="480"/>
              <w:rPr>
                <w:rFonts w:hint="eastAsia"/>
                <w:color w:val="auto"/>
                <w:highlight w:val="none"/>
                <w:u w:val="none"/>
              </w:rPr>
            </w:pPr>
            <w:r>
              <w:rPr>
                <w:rFonts w:hint="eastAsia"/>
                <w:color w:val="auto"/>
                <w:highlight w:val="none"/>
                <w:u w:val="none"/>
              </w:rPr>
              <w:t>本次预测在</w:t>
            </w:r>
            <w:r>
              <w:rPr>
                <w:rFonts w:hint="eastAsia"/>
                <w:color w:val="auto"/>
                <w:highlight w:val="none"/>
                <w:u w:val="none"/>
                <w:lang w:val="en-US" w:eastAsia="zh-CN"/>
              </w:rPr>
              <w:t>工业场地</w:t>
            </w:r>
            <w:r>
              <w:rPr>
                <w:rFonts w:hint="eastAsia"/>
                <w:color w:val="auto"/>
                <w:highlight w:val="none"/>
                <w:u w:val="none"/>
              </w:rPr>
              <w:t>厂界东</w:t>
            </w:r>
            <w:r>
              <w:rPr>
                <w:rFonts w:hint="eastAsia"/>
                <w:color w:val="auto"/>
                <w:highlight w:val="none"/>
                <w:u w:val="none"/>
                <w:lang w:val="en-US" w:eastAsia="zh-CN"/>
              </w:rPr>
              <w:t>侧</w:t>
            </w:r>
            <w:r>
              <w:rPr>
                <w:rFonts w:hint="eastAsia"/>
                <w:color w:val="auto"/>
                <w:highlight w:val="none"/>
                <w:u w:val="none"/>
              </w:rPr>
              <w:t>、</w:t>
            </w:r>
            <w:r>
              <w:rPr>
                <w:rFonts w:hint="eastAsia"/>
                <w:color w:val="auto"/>
                <w:highlight w:val="none"/>
                <w:u w:val="none"/>
                <w:lang w:val="en-US" w:eastAsia="zh-CN"/>
              </w:rPr>
              <w:t>南侧</w:t>
            </w:r>
            <w:r>
              <w:rPr>
                <w:rFonts w:hint="eastAsia"/>
                <w:color w:val="auto"/>
                <w:highlight w:val="none"/>
                <w:u w:val="none"/>
              </w:rPr>
              <w:t>、</w:t>
            </w:r>
            <w:r>
              <w:rPr>
                <w:rFonts w:hint="eastAsia"/>
                <w:color w:val="auto"/>
                <w:highlight w:val="none"/>
                <w:u w:val="none"/>
                <w:lang w:val="en-US" w:eastAsia="zh-CN"/>
              </w:rPr>
              <w:t>西侧、北侧</w:t>
            </w:r>
            <w:r>
              <w:rPr>
                <w:rFonts w:hint="eastAsia"/>
                <w:color w:val="auto"/>
                <w:highlight w:val="none"/>
                <w:u w:val="none"/>
              </w:rPr>
              <w:t>各设置1个预测点，共计</w:t>
            </w:r>
            <w:r>
              <w:rPr>
                <w:rFonts w:hint="eastAsia"/>
                <w:color w:val="auto"/>
                <w:highlight w:val="none"/>
                <w:u w:val="none"/>
                <w:lang w:val="en-US" w:eastAsia="zh-CN"/>
              </w:rPr>
              <w:t>4</w:t>
            </w:r>
            <w:r>
              <w:rPr>
                <w:rFonts w:hint="eastAsia"/>
                <w:color w:val="auto"/>
                <w:highlight w:val="none"/>
                <w:u w:val="none"/>
              </w:rPr>
              <w:t>个预测点。</w:t>
            </w:r>
          </w:p>
          <w:p w14:paraId="726CB67B">
            <w:pPr>
              <w:ind w:firstLine="480"/>
              <w:rPr>
                <w:rFonts w:hint="eastAsia"/>
                <w:color w:val="auto"/>
                <w:highlight w:val="none"/>
                <w:u w:val="none"/>
              </w:rPr>
            </w:pPr>
            <w:r>
              <w:rPr>
                <w:rFonts w:hint="eastAsia"/>
                <w:color w:val="auto"/>
                <w:highlight w:val="none"/>
                <w:u w:val="none"/>
                <w:lang w:val="en-US" w:eastAsia="zh-CN"/>
              </w:rPr>
              <w:t>②</w:t>
            </w:r>
            <w:r>
              <w:rPr>
                <w:rFonts w:hint="eastAsia"/>
                <w:color w:val="auto"/>
                <w:highlight w:val="none"/>
                <w:u w:val="none"/>
              </w:rPr>
              <w:t>预测方法</w:t>
            </w:r>
          </w:p>
          <w:p w14:paraId="1260C7BA">
            <w:pPr>
              <w:ind w:firstLine="480"/>
              <w:rPr>
                <w:rFonts w:hint="default" w:ascii="Times New Roman" w:hAnsi="Times New Roman" w:cs="Times New Roman"/>
                <w:color w:val="auto"/>
                <w:highlight w:val="none"/>
                <w:u w:val="none"/>
              </w:rPr>
            </w:pPr>
            <w:r>
              <w:rPr>
                <w:rFonts w:hint="eastAsia"/>
                <w:color w:val="auto"/>
                <w:highlight w:val="none"/>
                <w:u w:val="none"/>
              </w:rPr>
              <w:t>根据《环境影响评价技术导则 声环境》（HJ 2.4-2021），无指向性点声源几何发散衰减的基本公式：</w:t>
            </w:r>
          </w:p>
          <w:p w14:paraId="79993A28">
            <w:pPr>
              <w:ind w:left="0" w:leftChars="0" w:firstLine="0" w:firstLineChars="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Lp(r)=Lr0 -20lg(r/r0)</w:t>
            </w:r>
          </w:p>
          <w:p w14:paraId="78885F24">
            <w:pPr>
              <w:ind w:left="0" w:leftChars="0" w:firstLine="480" w:firstLineChars="2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式中：Lp(r)—预测点处声压级，dB；</w:t>
            </w:r>
          </w:p>
          <w:p w14:paraId="7FCCA792">
            <w:pPr>
              <w:ind w:left="0" w:leftChars="0" w:firstLine="1200" w:firstLineChars="5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Lr0—参考位置r0处的声压级，dB；</w:t>
            </w:r>
          </w:p>
          <w:p w14:paraId="3623B9FE">
            <w:pPr>
              <w:ind w:left="0" w:leftChars="0" w:firstLine="1200" w:firstLineChars="5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r—预测点距声源的距离；</w:t>
            </w:r>
          </w:p>
          <w:p w14:paraId="62CF4759">
            <w:pPr>
              <w:ind w:left="0" w:leftChars="0" w:firstLine="1200" w:firstLineChars="5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r0—参考位置距声源的距离。</w:t>
            </w:r>
          </w:p>
          <w:p w14:paraId="572279E8">
            <w:pPr>
              <w:ind w:left="0" w:leftChars="0" w:firstLine="480" w:firstLineChars="2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建设项目在各受声点的声源叠加按下列公式计算：</w:t>
            </w:r>
          </w:p>
          <w:p w14:paraId="3363CAEC">
            <w:pPr>
              <w:ind w:left="0" w:leftChars="0" w:firstLine="0" w:firstLineChars="0"/>
              <w:jc w:val="center"/>
              <w:rPr>
                <w:rFonts w:hint="default" w:ascii="Times New Roman" w:hAnsi="Times New Roman" w:cs="Times New Roman"/>
                <w:color w:val="auto"/>
                <w:highlight w:val="none"/>
                <w:u w:val="none"/>
              </w:rPr>
            </w:pPr>
            <w:r>
              <w:rPr>
                <w:color w:val="auto"/>
                <w:highlight w:val="none"/>
                <w:u w:val="none"/>
              </w:rPr>
              <w:drawing>
                <wp:inline distT="0" distB="0" distL="114300" distR="114300">
                  <wp:extent cx="1539875" cy="335280"/>
                  <wp:effectExtent l="0" t="0" r="3175"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40"/>
                          <a:stretch>
                            <a:fillRect/>
                          </a:stretch>
                        </pic:blipFill>
                        <pic:spPr>
                          <a:xfrm>
                            <a:off x="0" y="0"/>
                            <a:ext cx="1539875" cy="335280"/>
                          </a:xfrm>
                          <a:prstGeom prst="rect">
                            <a:avLst/>
                          </a:prstGeom>
                          <a:noFill/>
                          <a:ln>
                            <a:noFill/>
                          </a:ln>
                        </pic:spPr>
                      </pic:pic>
                    </a:graphicData>
                  </a:graphic>
                </wp:inline>
              </w:drawing>
            </w:r>
          </w:p>
          <w:p w14:paraId="4446DCA3">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式中：Li—第i个声源声值；</w:t>
            </w:r>
          </w:p>
          <w:p w14:paraId="4611FDFC">
            <w:pPr>
              <w:ind w:firstLine="1200" w:firstLineChars="5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Lp—某点噪声总叠加值；</w:t>
            </w:r>
          </w:p>
          <w:p w14:paraId="19176064">
            <w:pPr>
              <w:ind w:firstLine="1200" w:firstLineChars="5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n—声源个数。</w:t>
            </w:r>
          </w:p>
          <w:p w14:paraId="1614436F">
            <w:pPr>
              <w:ind w:firstLine="480"/>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③</w:t>
            </w:r>
            <w:r>
              <w:rPr>
                <w:rFonts w:hint="default" w:ascii="Times New Roman" w:hAnsi="Times New Roman" w:cs="Times New Roman"/>
                <w:color w:val="auto"/>
                <w:highlight w:val="none"/>
                <w:u w:val="none"/>
              </w:rPr>
              <w:t>噪声预测结果</w:t>
            </w:r>
          </w:p>
          <w:p w14:paraId="2711277D">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本项目正常运行下噪声厂界预测值预测结果及叠加噪声背景值后噪声预测结果详见下表：</w:t>
            </w:r>
          </w:p>
          <w:p w14:paraId="502DB9B0">
            <w:pPr>
              <w:ind w:left="0" w:leftChars="0"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表4-</w:t>
            </w:r>
            <w:r>
              <w:rPr>
                <w:rFonts w:hint="eastAsia" w:cs="Times New Roman"/>
                <w:b/>
                <w:bCs/>
                <w:color w:val="auto"/>
                <w:sz w:val="21"/>
                <w:szCs w:val="21"/>
                <w:highlight w:val="none"/>
                <w:u w:val="single"/>
                <w:lang w:val="en-US" w:eastAsia="zh-CN"/>
              </w:rPr>
              <w:t>4</w:t>
            </w:r>
            <w:r>
              <w:rPr>
                <w:rFonts w:hint="default" w:ascii="Times New Roman" w:hAnsi="Times New Roman" w:cs="Times New Roman"/>
                <w:b/>
                <w:bCs/>
                <w:color w:val="auto"/>
                <w:sz w:val="21"/>
                <w:szCs w:val="21"/>
                <w:highlight w:val="none"/>
                <w:u w:val="single"/>
              </w:rPr>
              <w:t xml:space="preserve"> </w:t>
            </w:r>
            <w:r>
              <w:rPr>
                <w:rFonts w:hint="eastAsia" w:cs="Times New Roman"/>
                <w:b/>
                <w:bCs/>
                <w:color w:val="auto"/>
                <w:sz w:val="21"/>
                <w:szCs w:val="21"/>
                <w:highlight w:val="none"/>
                <w:u w:val="single"/>
                <w:lang w:val="en-US" w:eastAsia="zh-CN"/>
              </w:rPr>
              <w:t xml:space="preserve"> </w:t>
            </w:r>
            <w:r>
              <w:rPr>
                <w:rFonts w:hint="default" w:ascii="Times New Roman" w:hAnsi="Times New Roman" w:cs="Times New Roman"/>
                <w:b/>
                <w:bCs/>
                <w:color w:val="auto"/>
                <w:sz w:val="21"/>
                <w:szCs w:val="21"/>
                <w:highlight w:val="none"/>
                <w:u w:val="single"/>
              </w:rPr>
              <w:t>厂界噪声预测结果 单位：dB（A）</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541"/>
              <w:gridCol w:w="1056"/>
              <w:gridCol w:w="1527"/>
              <w:gridCol w:w="1219"/>
              <w:gridCol w:w="778"/>
            </w:tblGrid>
            <w:tr w14:paraId="13C0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Merge w:val="restart"/>
                  <w:vAlign w:val="center"/>
                </w:tcPr>
                <w:p w14:paraId="1060D88E">
                  <w:pPr>
                    <w:spacing w:line="240" w:lineRule="auto"/>
                    <w:ind w:firstLine="0" w:firstLineChars="0"/>
                    <w:jc w:val="center"/>
                    <w:rPr>
                      <w:rFonts w:hint="eastAsia"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预测点</w:t>
                  </w:r>
                </w:p>
              </w:tc>
              <w:tc>
                <w:tcPr>
                  <w:tcW w:w="2600" w:type="dxa"/>
                  <w:gridSpan w:val="2"/>
                  <w:vAlign w:val="center"/>
                </w:tcPr>
                <w:p w14:paraId="7599007F">
                  <w:pPr>
                    <w:spacing w:line="240" w:lineRule="auto"/>
                    <w:ind w:firstLine="0" w:firstLineChars="0"/>
                    <w:jc w:val="center"/>
                    <w:rPr>
                      <w:rFonts w:hint="eastAsia"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本项目声源贡献值</w:t>
                  </w:r>
                </w:p>
              </w:tc>
              <w:tc>
                <w:tcPr>
                  <w:tcW w:w="2750" w:type="dxa"/>
                  <w:gridSpan w:val="2"/>
                  <w:vAlign w:val="center"/>
                </w:tcPr>
                <w:p w14:paraId="21C1A4B5">
                  <w:pPr>
                    <w:spacing w:line="240" w:lineRule="auto"/>
                    <w:ind w:firstLine="0" w:firstLineChars="0"/>
                    <w:jc w:val="center"/>
                    <w:rPr>
                      <w:rFonts w:hint="eastAsia"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标准值</w:t>
                  </w:r>
                </w:p>
              </w:tc>
              <w:tc>
                <w:tcPr>
                  <w:tcW w:w="779" w:type="dxa"/>
                  <w:vMerge w:val="restart"/>
                  <w:vAlign w:val="center"/>
                </w:tcPr>
                <w:p w14:paraId="0F63ADFA">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评价结果</w:t>
                  </w:r>
                </w:p>
              </w:tc>
            </w:tr>
            <w:tr w14:paraId="18B6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Merge w:val="continue"/>
                  <w:vAlign w:val="center"/>
                </w:tcPr>
                <w:p w14:paraId="6C3471B1">
                  <w:pPr>
                    <w:spacing w:line="240" w:lineRule="auto"/>
                    <w:ind w:firstLine="0" w:firstLineChars="0"/>
                    <w:jc w:val="center"/>
                    <w:rPr>
                      <w:rFonts w:hint="default" w:cs="Times New Roman"/>
                      <w:color w:val="auto"/>
                      <w:sz w:val="21"/>
                      <w:szCs w:val="21"/>
                      <w:highlight w:val="none"/>
                      <w:u w:val="single"/>
                      <w:lang w:val="en-US" w:eastAsia="zh-CN"/>
                    </w:rPr>
                  </w:pPr>
                </w:p>
              </w:tc>
              <w:tc>
                <w:tcPr>
                  <w:tcW w:w="1543" w:type="dxa"/>
                  <w:vAlign w:val="center"/>
                </w:tcPr>
                <w:p w14:paraId="3D5B994E">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昼间</w:t>
                  </w:r>
                </w:p>
              </w:tc>
              <w:tc>
                <w:tcPr>
                  <w:tcW w:w="1057" w:type="dxa"/>
                  <w:vAlign w:val="center"/>
                </w:tcPr>
                <w:p w14:paraId="4643364C">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夜间</w:t>
                  </w:r>
                </w:p>
              </w:tc>
              <w:tc>
                <w:tcPr>
                  <w:tcW w:w="1529" w:type="dxa"/>
                  <w:vAlign w:val="center"/>
                </w:tcPr>
                <w:p w14:paraId="284F37F0">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昼间</w:t>
                  </w:r>
                </w:p>
              </w:tc>
              <w:tc>
                <w:tcPr>
                  <w:tcW w:w="1221" w:type="dxa"/>
                  <w:vAlign w:val="center"/>
                </w:tcPr>
                <w:p w14:paraId="0A2A5A4F">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夜间</w:t>
                  </w:r>
                </w:p>
              </w:tc>
              <w:tc>
                <w:tcPr>
                  <w:tcW w:w="779" w:type="dxa"/>
                  <w:vMerge w:val="continue"/>
                  <w:vAlign w:val="center"/>
                </w:tcPr>
                <w:p w14:paraId="73CE3793">
                  <w:pPr>
                    <w:spacing w:line="240" w:lineRule="auto"/>
                    <w:ind w:firstLine="0" w:firstLineChars="0"/>
                    <w:jc w:val="center"/>
                    <w:rPr>
                      <w:rFonts w:hint="default" w:cs="Times New Roman"/>
                      <w:color w:val="auto"/>
                      <w:sz w:val="21"/>
                      <w:szCs w:val="21"/>
                      <w:highlight w:val="none"/>
                      <w:u w:val="single"/>
                      <w:lang w:val="en-US" w:eastAsia="zh-CN"/>
                    </w:rPr>
                  </w:pPr>
                </w:p>
              </w:tc>
            </w:tr>
            <w:tr w14:paraId="68EF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Align w:val="center"/>
                </w:tcPr>
                <w:p w14:paraId="43D81D10">
                  <w:pPr>
                    <w:spacing w:line="240" w:lineRule="auto"/>
                    <w:ind w:firstLine="0" w:firstLineChars="0"/>
                    <w:jc w:val="center"/>
                    <w:rPr>
                      <w:rFonts w:hint="default" w:cs="Times New Roman"/>
                      <w:color w:val="auto"/>
                      <w:sz w:val="21"/>
                      <w:szCs w:val="21"/>
                      <w:highlight w:val="none"/>
                      <w:u w:val="single"/>
                      <w:lang w:val="en-US" w:eastAsia="zh-CN"/>
                    </w:rPr>
                  </w:pPr>
                  <w:r>
                    <w:rPr>
                      <w:rFonts w:hint="eastAsia"/>
                      <w:color w:val="auto"/>
                      <w:sz w:val="21"/>
                      <w:szCs w:val="21"/>
                      <w:highlight w:val="none"/>
                      <w:u w:val="single"/>
                    </w:rPr>
                    <w:t>厂界东</w:t>
                  </w:r>
                  <w:r>
                    <w:rPr>
                      <w:rFonts w:hint="eastAsia"/>
                      <w:color w:val="auto"/>
                      <w:sz w:val="21"/>
                      <w:szCs w:val="21"/>
                      <w:highlight w:val="none"/>
                      <w:u w:val="single"/>
                      <w:lang w:val="en-US" w:eastAsia="zh-CN"/>
                    </w:rPr>
                    <w:t>侧</w:t>
                  </w:r>
                </w:p>
              </w:tc>
              <w:tc>
                <w:tcPr>
                  <w:tcW w:w="1543" w:type="dxa"/>
                  <w:vAlign w:val="center"/>
                </w:tcPr>
                <w:p w14:paraId="6DA3701C">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46.62</w:t>
                  </w:r>
                </w:p>
              </w:tc>
              <w:tc>
                <w:tcPr>
                  <w:tcW w:w="1057" w:type="dxa"/>
                  <w:vAlign w:val="center"/>
                </w:tcPr>
                <w:p w14:paraId="5D01E93B">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46.62</w:t>
                  </w:r>
                </w:p>
              </w:tc>
              <w:tc>
                <w:tcPr>
                  <w:tcW w:w="1529" w:type="dxa"/>
                  <w:vAlign w:val="center"/>
                </w:tcPr>
                <w:p w14:paraId="24F5FCA1">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60</w:t>
                  </w:r>
                </w:p>
              </w:tc>
              <w:tc>
                <w:tcPr>
                  <w:tcW w:w="1221" w:type="dxa"/>
                  <w:vAlign w:val="center"/>
                </w:tcPr>
                <w:p w14:paraId="58790175">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50</w:t>
                  </w:r>
                </w:p>
              </w:tc>
              <w:tc>
                <w:tcPr>
                  <w:tcW w:w="779" w:type="dxa"/>
                  <w:vAlign w:val="center"/>
                </w:tcPr>
                <w:p w14:paraId="1AFDAE43">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达标</w:t>
                  </w:r>
                </w:p>
              </w:tc>
            </w:tr>
            <w:tr w14:paraId="1F08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Align w:val="center"/>
                </w:tcPr>
                <w:p w14:paraId="3A6367FC">
                  <w:pPr>
                    <w:spacing w:line="240" w:lineRule="auto"/>
                    <w:ind w:firstLine="0" w:firstLineChars="0"/>
                    <w:jc w:val="center"/>
                    <w:rPr>
                      <w:rFonts w:hint="default" w:cs="Times New Roman"/>
                      <w:color w:val="auto"/>
                      <w:sz w:val="21"/>
                      <w:szCs w:val="21"/>
                      <w:highlight w:val="none"/>
                      <w:u w:val="single"/>
                      <w:lang w:val="en-US" w:eastAsia="zh-CN"/>
                    </w:rPr>
                  </w:pPr>
                  <w:r>
                    <w:rPr>
                      <w:rFonts w:hint="eastAsia"/>
                      <w:color w:val="auto"/>
                      <w:sz w:val="21"/>
                      <w:szCs w:val="21"/>
                      <w:highlight w:val="none"/>
                      <w:u w:val="single"/>
                      <w:lang w:val="en-US" w:eastAsia="zh-CN"/>
                    </w:rPr>
                    <w:t>厂界南侧</w:t>
                  </w:r>
                </w:p>
              </w:tc>
              <w:tc>
                <w:tcPr>
                  <w:tcW w:w="1543" w:type="dxa"/>
                  <w:vAlign w:val="center"/>
                </w:tcPr>
                <w:p w14:paraId="5DCA3815">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48.58</w:t>
                  </w:r>
                </w:p>
              </w:tc>
              <w:tc>
                <w:tcPr>
                  <w:tcW w:w="1057" w:type="dxa"/>
                  <w:vAlign w:val="center"/>
                </w:tcPr>
                <w:p w14:paraId="3F5997DA">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48.58</w:t>
                  </w:r>
                </w:p>
              </w:tc>
              <w:tc>
                <w:tcPr>
                  <w:tcW w:w="1529" w:type="dxa"/>
                  <w:vAlign w:val="center"/>
                </w:tcPr>
                <w:p w14:paraId="69A660C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60</w:t>
                  </w:r>
                </w:p>
              </w:tc>
              <w:tc>
                <w:tcPr>
                  <w:tcW w:w="1221" w:type="dxa"/>
                  <w:vAlign w:val="center"/>
                </w:tcPr>
                <w:p w14:paraId="311F7284">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50</w:t>
                  </w:r>
                </w:p>
              </w:tc>
              <w:tc>
                <w:tcPr>
                  <w:tcW w:w="779" w:type="dxa"/>
                  <w:vAlign w:val="center"/>
                </w:tcPr>
                <w:p w14:paraId="2E1B30E9">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达标</w:t>
                  </w:r>
                </w:p>
              </w:tc>
            </w:tr>
            <w:tr w14:paraId="140A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Align w:val="center"/>
                </w:tcPr>
                <w:p w14:paraId="4655540B">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厂界西侧</w:t>
                  </w:r>
                </w:p>
              </w:tc>
              <w:tc>
                <w:tcPr>
                  <w:tcW w:w="1543" w:type="dxa"/>
                  <w:vAlign w:val="center"/>
                </w:tcPr>
                <w:p w14:paraId="6C41746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47.14</w:t>
                  </w:r>
                </w:p>
              </w:tc>
              <w:tc>
                <w:tcPr>
                  <w:tcW w:w="1057" w:type="dxa"/>
                  <w:vAlign w:val="center"/>
                </w:tcPr>
                <w:p w14:paraId="60D12D26">
                  <w:pPr>
                    <w:spacing w:line="240" w:lineRule="auto"/>
                    <w:ind w:firstLine="0" w:firstLineChars="0"/>
                    <w:jc w:val="center"/>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47.14</w:t>
                  </w:r>
                </w:p>
              </w:tc>
              <w:tc>
                <w:tcPr>
                  <w:tcW w:w="1529" w:type="dxa"/>
                  <w:vAlign w:val="center"/>
                </w:tcPr>
                <w:p w14:paraId="16B491CD">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60</w:t>
                  </w:r>
                </w:p>
              </w:tc>
              <w:tc>
                <w:tcPr>
                  <w:tcW w:w="1221" w:type="dxa"/>
                  <w:vAlign w:val="center"/>
                </w:tcPr>
                <w:p w14:paraId="7F24690E">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50</w:t>
                  </w:r>
                </w:p>
              </w:tc>
              <w:tc>
                <w:tcPr>
                  <w:tcW w:w="779" w:type="dxa"/>
                  <w:vAlign w:val="center"/>
                </w:tcPr>
                <w:p w14:paraId="6943EE7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达标</w:t>
                  </w:r>
                </w:p>
              </w:tc>
            </w:tr>
            <w:tr w14:paraId="2010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Align w:val="center"/>
                </w:tcPr>
                <w:p w14:paraId="4DF4B7E9">
                  <w:pPr>
                    <w:spacing w:line="240" w:lineRule="auto"/>
                    <w:ind w:firstLine="0" w:firstLineChars="0"/>
                    <w:jc w:val="center"/>
                    <w:rPr>
                      <w:rFonts w:hint="default" w:cs="Times New Roman"/>
                      <w:color w:val="auto"/>
                      <w:sz w:val="21"/>
                      <w:szCs w:val="21"/>
                      <w:highlight w:val="none"/>
                      <w:u w:val="single"/>
                      <w:lang w:val="en-US" w:eastAsia="zh-CN"/>
                    </w:rPr>
                  </w:pPr>
                  <w:r>
                    <w:rPr>
                      <w:rFonts w:hint="eastAsia"/>
                      <w:color w:val="auto"/>
                      <w:sz w:val="21"/>
                      <w:szCs w:val="21"/>
                      <w:highlight w:val="none"/>
                      <w:u w:val="single"/>
                      <w:lang w:val="en-US" w:eastAsia="zh-CN"/>
                    </w:rPr>
                    <w:t>厂界北侧</w:t>
                  </w:r>
                </w:p>
              </w:tc>
              <w:tc>
                <w:tcPr>
                  <w:tcW w:w="1543" w:type="dxa"/>
                  <w:vAlign w:val="center"/>
                </w:tcPr>
                <w:p w14:paraId="397A1608">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46.23</w:t>
                  </w:r>
                </w:p>
              </w:tc>
              <w:tc>
                <w:tcPr>
                  <w:tcW w:w="1057" w:type="dxa"/>
                  <w:vAlign w:val="center"/>
                </w:tcPr>
                <w:p w14:paraId="6C8C2E93">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46.23</w:t>
                  </w:r>
                </w:p>
              </w:tc>
              <w:tc>
                <w:tcPr>
                  <w:tcW w:w="1529" w:type="dxa"/>
                  <w:vAlign w:val="center"/>
                </w:tcPr>
                <w:p w14:paraId="095E040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60</w:t>
                  </w:r>
                </w:p>
              </w:tc>
              <w:tc>
                <w:tcPr>
                  <w:tcW w:w="1221" w:type="dxa"/>
                  <w:vAlign w:val="center"/>
                </w:tcPr>
                <w:p w14:paraId="3A9CF492">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50</w:t>
                  </w:r>
                </w:p>
              </w:tc>
              <w:tc>
                <w:tcPr>
                  <w:tcW w:w="779" w:type="dxa"/>
                  <w:vAlign w:val="center"/>
                </w:tcPr>
                <w:p w14:paraId="6067E22C">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达标</w:t>
                  </w:r>
                </w:p>
              </w:tc>
            </w:tr>
          </w:tbl>
          <w:p w14:paraId="303E837E">
            <w:pPr>
              <w:ind w:firstLine="480"/>
              <w:rPr>
                <w:rFonts w:hint="default" w:cs="Times New Roman"/>
                <w:color w:val="auto"/>
                <w:highlight w:val="none"/>
                <w:u w:val="single"/>
                <w:lang w:val="en-US" w:eastAsia="zh-CN"/>
              </w:rPr>
            </w:pPr>
            <w:r>
              <w:rPr>
                <w:rFonts w:hint="default" w:cs="Times New Roman"/>
                <w:color w:val="auto"/>
                <w:highlight w:val="none"/>
                <w:u w:val="single"/>
                <w:lang w:val="en-US" w:eastAsia="zh-CN"/>
              </w:rPr>
              <w:t>由上表可以看出，本项目运营期各</w:t>
            </w:r>
            <w:r>
              <w:rPr>
                <w:rFonts w:hint="eastAsia" w:cs="Times New Roman"/>
                <w:color w:val="auto"/>
                <w:highlight w:val="none"/>
                <w:u w:val="single"/>
                <w:lang w:val="en-US" w:eastAsia="zh-CN"/>
              </w:rPr>
              <w:t>预测点</w:t>
            </w:r>
            <w:r>
              <w:rPr>
                <w:rFonts w:hint="default" w:cs="Times New Roman"/>
                <w:color w:val="auto"/>
                <w:highlight w:val="none"/>
                <w:u w:val="single"/>
                <w:lang w:val="en-US" w:eastAsia="zh-CN"/>
              </w:rPr>
              <w:t>噪声贡献值</w:t>
            </w:r>
            <w:r>
              <w:rPr>
                <w:rFonts w:hint="eastAsia" w:cs="Times New Roman"/>
                <w:color w:val="auto"/>
                <w:highlight w:val="none"/>
                <w:u w:val="single"/>
                <w:lang w:val="en-US" w:eastAsia="zh-CN"/>
              </w:rPr>
              <w:t>均</w:t>
            </w:r>
            <w:r>
              <w:rPr>
                <w:rFonts w:hint="default" w:cs="Times New Roman"/>
                <w:color w:val="auto"/>
                <w:highlight w:val="none"/>
                <w:u w:val="single"/>
                <w:lang w:val="en-US" w:eastAsia="zh-CN"/>
              </w:rPr>
              <w:t>可满足《工业企业厂界环境噪声排放标准》（GB12348-2008）</w:t>
            </w:r>
            <w:r>
              <w:rPr>
                <w:rFonts w:hint="eastAsia" w:cs="Times New Roman"/>
                <w:color w:val="auto"/>
                <w:highlight w:val="none"/>
                <w:u w:val="single"/>
                <w:lang w:val="en-US" w:eastAsia="zh-CN"/>
              </w:rPr>
              <w:t>2</w:t>
            </w:r>
            <w:r>
              <w:rPr>
                <w:rFonts w:hint="default" w:cs="Times New Roman"/>
                <w:color w:val="auto"/>
                <w:highlight w:val="none"/>
                <w:u w:val="single"/>
                <w:lang w:val="en-US" w:eastAsia="zh-CN"/>
              </w:rPr>
              <w:t>类标准限值要求，对周围环境影响较小。</w:t>
            </w:r>
          </w:p>
          <w:p w14:paraId="40AB838D">
            <w:pPr>
              <w:keepNext w:val="0"/>
              <w:keepLines w:val="0"/>
              <w:widowControl/>
              <w:suppressLineNumbers w:val="0"/>
              <w:jc w:val="left"/>
              <w:rPr>
                <w:rFonts w:hint="default" w:cs="Times New Roman"/>
                <w:color w:val="auto"/>
                <w:highlight w:val="none"/>
                <w:u w:val="single"/>
                <w:lang w:val="en-US" w:eastAsia="zh-CN"/>
              </w:rPr>
            </w:pPr>
            <w:r>
              <w:rPr>
                <w:rFonts w:hint="eastAsia" w:ascii="宋体" w:hAnsi="宋体" w:eastAsia="宋体" w:cs="宋体"/>
                <w:color w:val="auto"/>
                <w:kern w:val="0"/>
                <w:sz w:val="24"/>
                <w:szCs w:val="24"/>
                <w:u w:val="single"/>
                <w:lang w:val="en-US" w:eastAsia="zh-CN" w:bidi="ar"/>
              </w:rPr>
              <w:t>对声环境敏感目标影响分析：项目拆迁后开采区周边</w:t>
            </w:r>
            <w:r>
              <w:rPr>
                <w:rFonts w:hint="eastAsia" w:cs="Times New Roman"/>
                <w:color w:val="auto"/>
                <w:highlight w:val="none"/>
                <w:u w:val="single"/>
                <w:lang w:val="en-US" w:eastAsia="zh-CN"/>
              </w:rPr>
              <w:t>300m范围</w:t>
            </w:r>
            <w:r>
              <w:rPr>
                <w:rFonts w:hint="eastAsia" w:ascii="宋体" w:hAnsi="宋体" w:eastAsia="宋体" w:cs="宋体"/>
                <w:color w:val="auto"/>
                <w:kern w:val="0"/>
                <w:sz w:val="24"/>
                <w:szCs w:val="24"/>
                <w:u w:val="single"/>
                <w:lang w:val="en-US" w:eastAsia="zh-CN" w:bidi="ar"/>
              </w:rPr>
              <w:t>内无居民点，</w:t>
            </w:r>
            <w:r>
              <w:rPr>
                <w:rFonts w:hint="eastAsia" w:cs="Times New Roman"/>
                <w:color w:val="auto"/>
                <w:highlight w:val="none"/>
                <w:u w:val="single"/>
                <w:lang w:val="en-US" w:eastAsia="zh-CN"/>
              </w:rPr>
              <w:t>300m外有</w:t>
            </w:r>
            <w:r>
              <w:rPr>
                <w:rFonts w:hint="eastAsia" w:ascii="宋体" w:hAnsi="宋体" w:eastAsia="宋体" w:cs="宋体"/>
                <w:color w:val="auto"/>
                <w:kern w:val="0"/>
                <w:sz w:val="24"/>
                <w:szCs w:val="24"/>
                <w:u w:val="single"/>
                <w:lang w:val="en-US" w:eastAsia="zh-CN" w:bidi="ar"/>
              </w:rPr>
              <w:t>居民点，中间有林带阻隔，仅白天施工夜间不施工，因此运营期对周边居民点噪声影响不大。为进一步降低对周边居民的影响，本次环评要求建设单位应合理制定好开采计划，提前通知周围居民，并加强生产设备维护和保养，防止出现不正常状态下高噪声影响，加强运输车辆管理，采用禁鸣、限速等措施，降低对周边居民点声环境影响。排土场运营期噪声主要是运输噪声和堆卸土石过程中产生的噪声，噪声源强不大且为间歇分散噪声源，居民点与排土场之间设置了挡土墙，因而对其影响不大。工业场地运营期噪声主要是破碎机、筛分机、制砂机等生产设备噪声，破碎机、筛分机、制砂机等生产设备</w:t>
            </w:r>
            <w:r>
              <w:rPr>
                <w:rFonts w:hint="eastAsia" w:ascii="宋体" w:hAnsi="宋体" w:cs="宋体"/>
                <w:color w:val="auto"/>
                <w:kern w:val="0"/>
                <w:sz w:val="24"/>
                <w:szCs w:val="24"/>
                <w:u w:val="single"/>
                <w:lang w:val="en-US" w:eastAsia="zh-CN" w:bidi="ar"/>
              </w:rPr>
              <w:t>均布置在密闭车间内，</w:t>
            </w:r>
            <w:r>
              <w:rPr>
                <w:rFonts w:hint="eastAsia" w:ascii="宋体" w:hAnsi="宋体" w:eastAsia="宋体" w:cs="宋体"/>
                <w:color w:val="auto"/>
                <w:kern w:val="0"/>
                <w:sz w:val="24"/>
                <w:szCs w:val="24"/>
                <w:u w:val="single"/>
                <w:lang w:val="en-US" w:eastAsia="zh-CN" w:bidi="ar"/>
              </w:rPr>
              <w:t>同时建设单位应尽量选用低噪声设备和生产工艺，加强生产设施维护和保养，从源头上降低噪声源强度；加强运输车辆管理，采用禁鸣、限速等措施。本项目废土及矿石在运输过程中存在一定的运输噪声影响，但运输道路周边</w:t>
            </w:r>
            <w:r>
              <w:rPr>
                <w:rFonts w:hint="eastAsia" w:ascii="Times New Roman" w:hAnsi="Times New Roman" w:eastAsia="宋体" w:cs="Times New Roman"/>
                <w:color w:val="auto"/>
                <w:kern w:val="0"/>
                <w:sz w:val="24"/>
                <w:szCs w:val="24"/>
                <w:u w:val="single"/>
                <w:lang w:val="en-US" w:eastAsia="zh-CN" w:bidi="ar"/>
              </w:rPr>
              <w:t>20</w:t>
            </w:r>
            <w:r>
              <w:rPr>
                <w:rFonts w:hint="default" w:ascii="Times New Roman" w:hAnsi="Times New Roman" w:eastAsia="宋体" w:cs="Times New Roman"/>
                <w:color w:val="auto"/>
                <w:kern w:val="0"/>
                <w:sz w:val="24"/>
                <w:szCs w:val="24"/>
                <w:u w:val="single"/>
                <w:lang w:val="en-US" w:eastAsia="zh-CN" w:bidi="ar"/>
              </w:rPr>
              <w:t xml:space="preserve">0m </w:t>
            </w:r>
            <w:r>
              <w:rPr>
                <w:rFonts w:hint="eastAsia" w:ascii="宋体" w:hAnsi="宋体" w:eastAsia="宋体" w:cs="宋体"/>
                <w:color w:val="auto"/>
                <w:kern w:val="0"/>
                <w:sz w:val="24"/>
                <w:szCs w:val="24"/>
                <w:u w:val="single"/>
                <w:lang w:val="en-US" w:eastAsia="zh-CN" w:bidi="ar"/>
              </w:rPr>
              <w:t>范围内无声环境保护目标同时项目运输车辆采取禁止鸣笛，合理安排运输时段（一般只在昼间进行）等措施降低运输噪声影响。采取上述措施后，项目运营期对声环境影响不大。</w:t>
            </w:r>
          </w:p>
          <w:p w14:paraId="33B9C67D">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5、固体废物影响分析</w:t>
            </w:r>
          </w:p>
          <w:p w14:paraId="16A23C4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（1）矿山剥离表土</w:t>
            </w:r>
          </w:p>
          <w:p w14:paraId="73541F03">
            <w:pPr>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根据《</w:t>
            </w:r>
            <w:r>
              <w:rPr>
                <w:rFonts w:hint="eastAsia" w:cs="Times New Roman"/>
                <w:color w:val="auto"/>
                <w:szCs w:val="24"/>
                <w:highlight w:val="none"/>
                <w:lang w:eastAsia="zh-CN"/>
              </w:rPr>
              <w:t>湖南省澧县屠夫垭矿区建筑石料用灰岩矿</w:t>
            </w:r>
            <w:r>
              <w:rPr>
                <w:rFonts w:hint="default" w:ascii="Times New Roman" w:hAnsi="Times New Roman" w:cs="Times New Roman"/>
                <w:color w:val="auto"/>
                <w:szCs w:val="24"/>
                <w:highlight w:val="none"/>
              </w:rPr>
              <w:t>资源开发利用方案》，项目矿山剥离表土总量</w:t>
            </w:r>
            <w:r>
              <w:rPr>
                <w:rFonts w:hint="eastAsia" w:cs="Times New Roman"/>
                <w:color w:val="auto"/>
                <w:szCs w:val="24"/>
                <w:highlight w:val="none"/>
                <w:lang w:val="en-US" w:eastAsia="zh-CN"/>
              </w:rPr>
              <w:t>为21.1万</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属于一般固废。剥离的表土运至</w:t>
            </w:r>
            <w:r>
              <w:rPr>
                <w:rFonts w:hint="eastAsia" w:cs="Times New Roman"/>
                <w:color w:val="auto"/>
                <w:highlight w:val="none"/>
                <w:lang w:eastAsia="zh-CN"/>
              </w:rPr>
              <w:t>排土场</w:t>
            </w:r>
            <w:r>
              <w:rPr>
                <w:rFonts w:hint="default" w:ascii="Times New Roman" w:hAnsi="Times New Roman" w:cs="Times New Roman"/>
                <w:color w:val="auto"/>
                <w:highlight w:val="none"/>
              </w:rPr>
              <w:t>存放，并用</w:t>
            </w:r>
            <w:r>
              <w:rPr>
                <w:rFonts w:hint="eastAsia" w:cs="Times New Roman"/>
                <w:color w:val="auto"/>
                <w:highlight w:val="none"/>
                <w:lang w:val="en-US" w:eastAsia="zh-CN"/>
              </w:rPr>
              <w:t>防尘网</w:t>
            </w:r>
            <w:r>
              <w:rPr>
                <w:rFonts w:hint="default" w:ascii="Times New Roman" w:hAnsi="Times New Roman" w:cs="Times New Roman"/>
                <w:color w:val="auto"/>
                <w:highlight w:val="none"/>
              </w:rPr>
              <w:t>遮盖保存，表土可用于复垦时覆土。</w:t>
            </w:r>
          </w:p>
          <w:p w14:paraId="519278EC">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eastAsia" w:cs="Times New Roman"/>
                <w:color w:val="auto"/>
                <w:highlight w:val="none"/>
                <w:lang w:eastAsia="zh-CN"/>
              </w:rPr>
              <w:t>排土场</w:t>
            </w:r>
            <w:r>
              <w:rPr>
                <w:rFonts w:hint="default" w:ascii="Times New Roman" w:hAnsi="Times New Roman" w:cs="Times New Roman"/>
                <w:color w:val="auto"/>
                <w:highlight w:val="none"/>
              </w:rPr>
              <w:t>位于</w:t>
            </w:r>
            <w:r>
              <w:rPr>
                <w:rFonts w:hint="eastAsia" w:ascii="Times New Roman" w:hAnsi="Times New Roman" w:cs="Times New Roman"/>
                <w:color w:val="auto"/>
                <w:highlight w:val="none"/>
              </w:rPr>
              <w:t>矿区</w:t>
            </w:r>
            <w:r>
              <w:rPr>
                <w:rFonts w:hint="eastAsia" w:cs="Times New Roman"/>
                <w:color w:val="auto"/>
                <w:highlight w:val="none"/>
                <w:lang w:val="en-US" w:eastAsia="zh-CN"/>
              </w:rPr>
              <w:t>西部</w:t>
            </w:r>
            <w:r>
              <w:rPr>
                <w:rFonts w:hint="eastAsia" w:ascii="宋体" w:hAnsi="宋体" w:eastAsia="宋体" w:cs="宋体"/>
                <w:color w:val="auto"/>
                <w:kern w:val="0"/>
                <w:sz w:val="24"/>
                <w:szCs w:val="24"/>
                <w:highlight w:val="none"/>
                <w:lang w:val="en-US" w:eastAsia="zh-CN" w:bidi="ar"/>
              </w:rPr>
              <w:t xml:space="preserve">西部 </w:t>
            </w:r>
            <w:r>
              <w:rPr>
                <w:rFonts w:hint="default" w:ascii="Times New Roman" w:hAnsi="Times New Roman" w:eastAsia="宋体" w:cs="Times New Roman"/>
                <w:color w:val="auto"/>
                <w:kern w:val="0"/>
                <w:sz w:val="24"/>
                <w:szCs w:val="24"/>
                <w:highlight w:val="none"/>
                <w:lang w:val="en-US" w:eastAsia="zh-CN" w:bidi="ar"/>
              </w:rPr>
              <w:t xml:space="preserve">7 </w:t>
            </w:r>
            <w:r>
              <w:rPr>
                <w:rFonts w:hint="eastAsia" w:ascii="宋体" w:hAnsi="宋体" w:eastAsia="宋体" w:cs="宋体"/>
                <w:color w:val="auto"/>
                <w:kern w:val="0"/>
                <w:sz w:val="24"/>
                <w:szCs w:val="24"/>
                <w:highlight w:val="none"/>
                <w:lang w:val="en-US" w:eastAsia="zh-CN" w:bidi="ar"/>
              </w:rPr>
              <w:t>号拐点外洼地处</w:t>
            </w:r>
            <w:r>
              <w:rPr>
                <w:rFonts w:hint="default" w:ascii="Times New Roman" w:hAnsi="Times New Roman" w:cs="Times New Roman"/>
                <w:color w:val="auto"/>
                <w:highlight w:val="none"/>
              </w:rPr>
              <w:t>，</w:t>
            </w:r>
            <w:r>
              <w:rPr>
                <w:rFonts w:hint="eastAsia" w:cs="Times New Roman"/>
                <w:color w:val="auto"/>
                <w:highlight w:val="none"/>
                <w:lang w:eastAsia="zh-CN"/>
              </w:rPr>
              <w:t>排土场</w:t>
            </w:r>
            <w:r>
              <w:rPr>
                <w:rFonts w:hint="default" w:ascii="Times New Roman" w:hAnsi="Times New Roman" w:cs="Times New Roman"/>
                <w:color w:val="auto"/>
                <w:highlight w:val="none"/>
              </w:rPr>
              <w:t>容量可满足本项目剥离物产生量。通过对现场的调查，</w:t>
            </w:r>
            <w:r>
              <w:rPr>
                <w:rFonts w:hint="eastAsia" w:cs="Times New Roman"/>
                <w:color w:val="auto"/>
                <w:highlight w:val="none"/>
                <w:lang w:eastAsia="zh-CN"/>
              </w:rPr>
              <w:t>排土场</w:t>
            </w:r>
            <w:r>
              <w:rPr>
                <w:rFonts w:hint="default" w:ascii="Times New Roman" w:hAnsi="Times New Roman" w:cs="Times New Roman"/>
                <w:color w:val="auto"/>
                <w:highlight w:val="none"/>
              </w:rPr>
              <w:t>工程地质条件相对简单，不占良田、耕地和经济山林，同时场地水文地质条件简单，上游无大面积汇水，且设有截水沟排水，发生泥石流的可能性小。选址合理。</w:t>
            </w:r>
          </w:p>
          <w:p w14:paraId="070FEA8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评价要求建设单位应做好项目弃土弃石管理，剥离的表土和弃石应全部及时运至</w:t>
            </w:r>
            <w:r>
              <w:rPr>
                <w:rFonts w:hint="eastAsia" w:cs="Times New Roman"/>
                <w:color w:val="auto"/>
                <w:highlight w:val="none"/>
                <w:lang w:eastAsia="zh-CN"/>
              </w:rPr>
              <w:t>排土场</w:t>
            </w:r>
            <w:r>
              <w:rPr>
                <w:rFonts w:hint="default" w:ascii="Times New Roman" w:hAnsi="Times New Roman" w:cs="Times New Roman"/>
                <w:color w:val="auto"/>
                <w:highlight w:val="none"/>
              </w:rPr>
              <w:t>，不得随意堆放在开采区周边；同时应将剥离的表层土与其他弃土弃石分区堆放，以免土质恶化，尽可能地做到回填后保持原有土壤结构，以利进行种植，表土用于后期覆土绿化用土。在采取以上措施后，项目剥离物的处置可满足《</w:t>
            </w:r>
            <w:r>
              <w:rPr>
                <w:rFonts w:hint="eastAsia" w:ascii="Times New Roman" w:hAnsi="Times New Roman" w:cs="Times New Roman"/>
                <w:color w:val="auto"/>
                <w:highlight w:val="none"/>
                <w:lang w:eastAsia="zh-CN"/>
              </w:rPr>
              <w:t>一般工业固体废物贮存和填埋污染控制标准</w:t>
            </w:r>
            <w:r>
              <w:rPr>
                <w:rFonts w:hint="default" w:ascii="Times New Roman" w:hAnsi="Times New Roman" w:cs="Times New Roman"/>
                <w:color w:val="auto"/>
                <w:highlight w:val="none"/>
              </w:rPr>
              <w:t>》（GB18599-2020）相关要求，对区域环境影响较小。</w:t>
            </w:r>
          </w:p>
          <w:p w14:paraId="672B6257">
            <w:pPr>
              <w:ind w:firstLine="48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eastAsia="zh-CN"/>
              </w:rPr>
              <w:t>（</w:t>
            </w:r>
            <w:r>
              <w:rPr>
                <w:rFonts w:hint="eastAsia" w:cs="Times New Roman"/>
                <w:color w:val="auto"/>
                <w:highlight w:val="none"/>
                <w:u w:val="none"/>
                <w:lang w:val="en-US" w:eastAsia="zh-CN"/>
              </w:rPr>
              <w:t>2</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沉淀池沉渣</w:t>
            </w:r>
          </w:p>
          <w:p w14:paraId="53F8C15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none"/>
              </w:rPr>
              <w:t>项目沉淀池需定期进行清理，清掏产生泥渣，主要成分为泥土、碎石等，产生量约</w:t>
            </w:r>
            <w:r>
              <w:rPr>
                <w:rFonts w:hint="eastAsia" w:cs="Times New Roman"/>
                <w:color w:val="auto"/>
                <w:highlight w:val="none"/>
                <w:u w:val="none"/>
                <w:lang w:val="en-US" w:eastAsia="zh-CN"/>
              </w:rPr>
              <w:t>50</w:t>
            </w:r>
            <w:r>
              <w:rPr>
                <w:rFonts w:hint="default" w:ascii="Times New Roman" w:hAnsi="Times New Roman" w:cs="Times New Roman"/>
                <w:color w:val="auto"/>
                <w:highlight w:val="none"/>
                <w:u w:val="none"/>
              </w:rPr>
              <w:t>t/a。清掏的泥渣直接送</w:t>
            </w:r>
            <w:r>
              <w:rPr>
                <w:rFonts w:hint="eastAsia" w:cs="Times New Roman"/>
                <w:color w:val="auto"/>
                <w:highlight w:val="none"/>
                <w:u w:val="none"/>
                <w:lang w:eastAsia="zh-CN"/>
              </w:rPr>
              <w:t>排土场</w:t>
            </w:r>
            <w:r>
              <w:rPr>
                <w:rFonts w:hint="default" w:ascii="Times New Roman" w:hAnsi="Times New Roman" w:cs="Times New Roman"/>
                <w:color w:val="auto"/>
                <w:highlight w:val="none"/>
                <w:u w:val="none"/>
              </w:rPr>
              <w:t>暂存，通过自然风干后与剥离表土一起用于矿山复垦。</w:t>
            </w:r>
          </w:p>
          <w:p w14:paraId="04A571CE">
            <w:pPr>
              <w:ind w:firstLine="480"/>
              <w:rPr>
                <w:rFonts w:hint="default"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3）布袋收集粉尘</w:t>
            </w:r>
          </w:p>
          <w:p w14:paraId="6A2E56E0">
            <w:pPr>
              <w:keepNext w:val="0"/>
              <w:keepLines w:val="0"/>
              <w:widowControl/>
              <w:suppressLineNumbers w:val="0"/>
              <w:jc w:val="left"/>
              <w:rPr>
                <w:rFonts w:hint="eastAsia" w:cs="Times New Roman"/>
                <w:color w:val="auto"/>
                <w:highlight w:val="none"/>
                <w:lang w:eastAsia="zh-CN"/>
              </w:rPr>
            </w:pPr>
            <w:r>
              <w:rPr>
                <w:rFonts w:hint="eastAsia" w:ascii="宋体" w:hAnsi="宋体" w:eastAsia="宋体" w:cs="宋体"/>
                <w:color w:val="auto"/>
                <w:kern w:val="0"/>
                <w:sz w:val="24"/>
                <w:szCs w:val="24"/>
                <w:highlight w:val="none"/>
                <w:lang w:val="en-US" w:eastAsia="zh-CN" w:bidi="ar"/>
              </w:rPr>
              <w:t>项目破碎、筛分过程中会产生大量粉尘，经布袋除尘器处理后经</w:t>
            </w:r>
            <w:r>
              <w:rPr>
                <w:rFonts w:hint="default" w:ascii="Times New Roman" w:hAnsi="Times New Roman" w:eastAsia="宋体" w:cs="Times New Roman"/>
                <w:color w:val="auto"/>
                <w:kern w:val="0"/>
                <w:sz w:val="24"/>
                <w:szCs w:val="24"/>
                <w:highlight w:val="none"/>
                <w:lang w:val="en-US" w:eastAsia="zh-CN" w:bidi="ar"/>
              </w:rPr>
              <w:t>15m</w:t>
            </w:r>
            <w:r>
              <w:rPr>
                <w:rFonts w:hint="eastAsia" w:ascii="宋体" w:hAnsi="宋体" w:eastAsia="宋体" w:cs="宋体"/>
                <w:color w:val="auto"/>
                <w:kern w:val="0"/>
                <w:sz w:val="24"/>
                <w:szCs w:val="24"/>
                <w:highlight w:val="none"/>
                <w:lang w:val="en-US" w:eastAsia="zh-CN" w:bidi="ar"/>
              </w:rPr>
              <w:t>高排气筒外排，根据前面分析，布袋除尘器收集粉尘量为</w:t>
            </w:r>
            <w:r>
              <w:rPr>
                <w:rFonts w:hint="default" w:ascii="Times New Roman" w:hAnsi="Times New Roman" w:eastAsia="宋体" w:cs="Times New Roman"/>
                <w:color w:val="auto"/>
                <w:kern w:val="0"/>
                <w:sz w:val="24"/>
                <w:szCs w:val="24"/>
                <w:highlight w:val="none"/>
                <w:lang w:val="en-US" w:eastAsia="zh-CN" w:bidi="ar"/>
              </w:rPr>
              <w:t>29.7t/a</w:t>
            </w:r>
            <w:r>
              <w:rPr>
                <w:rFonts w:hint="eastAsia" w:ascii="宋体" w:hAnsi="宋体" w:eastAsia="宋体" w:cs="宋体"/>
                <w:color w:val="auto"/>
                <w:kern w:val="0"/>
                <w:sz w:val="24"/>
                <w:szCs w:val="24"/>
                <w:highlight w:val="none"/>
                <w:lang w:val="en-US" w:eastAsia="zh-CN" w:bidi="ar"/>
              </w:rPr>
              <w:t>。其成分与原矿石相似，经收集后可作为产品外售。</w:t>
            </w:r>
          </w:p>
          <w:p w14:paraId="7699FFD5">
            <w:pPr>
              <w:ind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cs="Times New Roman"/>
                <w:color w:val="auto"/>
                <w:highlight w:val="none"/>
                <w:lang w:eastAsia="zh-CN"/>
              </w:rPr>
              <w:t>）</w:t>
            </w:r>
            <w:r>
              <w:rPr>
                <w:rFonts w:hint="default" w:ascii="Times New Roman" w:hAnsi="Times New Roman" w:cs="Times New Roman"/>
                <w:color w:val="auto"/>
                <w:highlight w:val="none"/>
              </w:rPr>
              <w:t>生活垃圾</w:t>
            </w:r>
          </w:p>
          <w:p w14:paraId="746B095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项目劳动定员</w:t>
            </w:r>
            <w:r>
              <w:rPr>
                <w:rFonts w:hint="eastAsia" w:cs="Times New Roman"/>
                <w:color w:val="auto"/>
                <w:highlight w:val="none"/>
                <w:lang w:val="en-US" w:eastAsia="zh-CN"/>
              </w:rPr>
              <w:t>20</w:t>
            </w:r>
            <w:r>
              <w:rPr>
                <w:rFonts w:hint="default" w:ascii="Times New Roman" w:hAnsi="Times New Roman" w:cs="Times New Roman"/>
                <w:color w:val="auto"/>
                <w:highlight w:val="none"/>
              </w:rPr>
              <w:t>人，根据《第二次全国污染源普查生活污染源产排污系数手册（试用版）》，生活垃圾按0.5kg/人·d计算；则项目生活垃圾产生量</w:t>
            </w:r>
            <w:r>
              <w:rPr>
                <w:rFonts w:hint="eastAsia" w:cs="Times New Roman"/>
                <w:color w:val="auto"/>
                <w:highlight w:val="none"/>
                <w:lang w:val="en-US" w:eastAsia="zh-CN"/>
              </w:rPr>
              <w:t>2.9</w:t>
            </w:r>
            <w:r>
              <w:rPr>
                <w:rFonts w:hint="default" w:ascii="Times New Roman" w:hAnsi="Times New Roman" w:cs="Times New Roman"/>
                <w:color w:val="auto"/>
                <w:highlight w:val="none"/>
              </w:rPr>
              <w:t>t/a。生活垃圾统一收集，就近送到当地垃圾收集点，由环卫部门统一清运处理。</w:t>
            </w:r>
          </w:p>
          <w:p w14:paraId="0AAB475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default" w:ascii="Times New Roman" w:hAnsi="Times New Roman" w:cs="Times New Roman"/>
                <w:color w:val="auto"/>
                <w:highlight w:val="none"/>
              </w:rPr>
              <w:t>）废含油抹布手套和产生的少量废机油</w:t>
            </w:r>
          </w:p>
          <w:p w14:paraId="249B39B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废含油抹布手套：项目在进行机械设备操作及维修时会产生的含油抹布手套，其产生量约0.05t/a，属于危险固废。</w:t>
            </w:r>
          </w:p>
          <w:p w14:paraId="304431D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废机油</w:t>
            </w:r>
            <w:r>
              <w:rPr>
                <w:rFonts w:hint="eastAsia" w:cs="Times New Roman"/>
                <w:color w:val="auto"/>
                <w:highlight w:val="none"/>
                <w:lang w:eastAsia="zh-CN"/>
              </w:rPr>
              <w:t>：</w:t>
            </w:r>
            <w:r>
              <w:rPr>
                <w:rFonts w:hint="default" w:ascii="Times New Roman" w:hAnsi="Times New Roman" w:cs="Times New Roman"/>
                <w:color w:val="auto"/>
                <w:highlight w:val="none"/>
              </w:rPr>
              <w:t>在设备维修、养护等过程会产生少量的废机油，根据项目各类养护油使用量分析，废机油产生量约0.8t/a，查阅《国家危险废物名录</w:t>
            </w:r>
            <w:r>
              <w:rPr>
                <w:rFonts w:hint="eastAsia" w:cs="Times New Roman"/>
                <w:color w:val="auto"/>
                <w:highlight w:val="none"/>
                <w:lang w:eastAsia="zh-CN"/>
              </w:rPr>
              <w:t>（</w:t>
            </w:r>
            <w:r>
              <w:rPr>
                <w:rFonts w:hint="eastAsia" w:cs="Times New Roman"/>
                <w:color w:val="auto"/>
                <w:highlight w:val="none"/>
                <w:lang w:val="en-US" w:eastAsia="zh-CN"/>
              </w:rPr>
              <w:t>2025版</w:t>
            </w:r>
            <w:r>
              <w:rPr>
                <w:rFonts w:hint="eastAsia" w:cs="Times New Roman"/>
                <w:color w:val="auto"/>
                <w:highlight w:val="none"/>
                <w:lang w:eastAsia="zh-CN"/>
              </w:rPr>
              <w:t>）</w:t>
            </w:r>
            <w:r>
              <w:rPr>
                <w:rFonts w:hint="default" w:ascii="Times New Roman" w:hAnsi="Times New Roman" w:cs="Times New Roman"/>
                <w:color w:val="auto"/>
                <w:highlight w:val="none"/>
              </w:rPr>
              <w:t>》可知，废机油属于危险废物，废物类别为HW08。</w:t>
            </w:r>
          </w:p>
          <w:p w14:paraId="40D54CB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评价要求</w:t>
            </w:r>
            <w:r>
              <w:rPr>
                <w:rFonts w:hint="eastAsia" w:cs="Times New Roman"/>
                <w:color w:val="auto"/>
                <w:highlight w:val="none"/>
                <w:lang w:val="en-US" w:eastAsia="zh-CN"/>
              </w:rPr>
              <w:t>建设单位按照</w:t>
            </w:r>
            <w:r>
              <w:rPr>
                <w:rFonts w:hint="default" w:ascii="Times New Roman" w:hAnsi="Times New Roman" w:cs="Times New Roman"/>
                <w:color w:val="auto"/>
                <w:highlight w:val="none"/>
              </w:rPr>
              <w:t>《危险废物贮存污染控制标准》（GB18597-2023）</w:t>
            </w:r>
            <w:r>
              <w:rPr>
                <w:rFonts w:hint="eastAsia" w:cs="Times New Roman"/>
                <w:color w:val="auto"/>
                <w:highlight w:val="none"/>
                <w:lang w:val="en-US" w:eastAsia="zh-CN"/>
              </w:rPr>
              <w:t>设置</w:t>
            </w:r>
            <w:r>
              <w:rPr>
                <w:rFonts w:hint="default" w:ascii="Times New Roman" w:hAnsi="Times New Roman" w:cs="Times New Roman"/>
                <w:color w:val="auto"/>
                <w:highlight w:val="none"/>
              </w:rPr>
              <w:t>危废暂存间，并在暂存间分类收集上述各类危险废物，并要求做好危废暂存间的防漏、防渗、防晒工作，规范设置危废标识牌，危废收集到一定量后定期委托有资质的单位进行处理，避免危险固废对外界造成影响。</w:t>
            </w:r>
          </w:p>
          <w:p w14:paraId="78AF20C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6</w:t>
            </w:r>
            <w:r>
              <w:rPr>
                <w:rFonts w:hint="default" w:ascii="Times New Roman" w:hAnsi="Times New Roman" w:cs="Times New Roman"/>
                <w:color w:val="auto"/>
                <w:highlight w:val="none"/>
              </w:rPr>
              <w:t>）影响分析</w:t>
            </w:r>
          </w:p>
          <w:p w14:paraId="5021EBA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项目运营期产生的固体废物均能得到妥善处置，剥离表土、沉淀池沉渣暂存</w:t>
            </w:r>
            <w:r>
              <w:rPr>
                <w:rFonts w:hint="eastAsia" w:cs="Times New Roman"/>
                <w:color w:val="auto"/>
                <w:highlight w:val="none"/>
                <w:lang w:eastAsia="zh-CN"/>
              </w:rPr>
              <w:t>排土场</w:t>
            </w:r>
            <w:r>
              <w:rPr>
                <w:rFonts w:hint="default" w:ascii="Times New Roman" w:hAnsi="Times New Roman" w:cs="Times New Roman"/>
                <w:color w:val="auto"/>
                <w:highlight w:val="none"/>
              </w:rPr>
              <w:t>，用于矿山复垦用土；生活垃圾收集后交由环卫部门统一清运处理；维修保养废机油暂存于危废暂存间，委托有资质的单位收集处置。综上所述，项目产生的固体废物经妥善处置后不会对环境造成二次污染，对周边环境不会造成较大影响。</w:t>
            </w:r>
          </w:p>
          <w:p w14:paraId="75F04614">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6、环境风险分析</w:t>
            </w:r>
          </w:p>
          <w:p w14:paraId="7982410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（1）风险源识别</w:t>
            </w:r>
          </w:p>
          <w:p w14:paraId="2A79441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风险识别的范围包括生产设施风险识别和生产过程所涉及的物质风险识别。物质风险识别对项目涉及的主要原材料及辅料、燃料、中间产品、最终产品以及生产过程排放的“三废”污染物等，按其危险性或毒性，进行危险性识别；生产设施风险识别对项目主要生产装置、贮运系统、公用工程系统、工程环保设施及辅助设施，注意划分功能单元，分别进行危险性识别。</w:t>
            </w:r>
          </w:p>
          <w:p w14:paraId="6A3C5B7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（2）物质风险识别</w:t>
            </w:r>
          </w:p>
          <w:p w14:paraId="655E52A4">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本项目涉及环境风险物质主要为炸药、柴油、废机油等，本项目爆破工作均由爆破公司进行，爆破公司自行携带爆破材料，按照技术规范要求进行安全爆破，爆破之后的材料或废爆破材料等均由爆破公司带回处理，爆破炸药及材料均不在本矿区储存，本项目不设置爆破产品的储存区；项目使用的运输车辆和开采设备等机械设备加油均有矿区外的加油站供给，本项目不设置油罐储存设施。</w:t>
            </w:r>
          </w:p>
          <w:p w14:paraId="6DEC2EBA">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废机油的最大储存量为0.8t，经查附录B中B.2其他危险物质临界量推荐值可知，油类物质</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矿物油类，如石油、汽油、柴油等</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生物柴油等</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临界量为2500t，则本项目Q=</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0.8</w:t>
            </w:r>
            <w:r>
              <w:rPr>
                <w:rFonts w:hint="eastAsia" w:cs="Times New Roman"/>
                <w:color w:val="auto"/>
                <w:highlight w:val="none"/>
                <w:u w:val="none"/>
                <w:lang w:val="en-US" w:eastAsia="zh-CN"/>
              </w:rPr>
              <w:t>+20</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/2500=</w:t>
            </w:r>
            <w:r>
              <w:rPr>
                <w:rFonts w:hint="eastAsia" w:cs="Times New Roman"/>
                <w:color w:val="auto"/>
                <w:highlight w:val="none"/>
                <w:u w:val="none"/>
                <w:lang w:val="en-US" w:eastAsia="zh-CN"/>
              </w:rPr>
              <w:t>0.00832</w:t>
            </w:r>
            <w:r>
              <w:rPr>
                <w:rFonts w:hint="default" w:ascii="Times New Roman" w:hAnsi="Times New Roman" w:cs="Times New Roman"/>
                <w:color w:val="auto"/>
                <w:highlight w:val="none"/>
                <w:u w:val="none"/>
              </w:rPr>
              <w:t>&lt;1。按照《建设项目环境风险评价技术导则》（HJ169-2018），本项目仅需进行简单分析。</w:t>
            </w:r>
          </w:p>
          <w:p w14:paraId="6D1B4E31">
            <w:pPr>
              <w:keepNext w:val="0"/>
              <w:keepLines w:val="0"/>
              <w:widowControl/>
              <w:suppressLineNumbers w:val="0"/>
              <w:jc w:val="left"/>
              <w:rPr>
                <w:color w:val="auto"/>
                <w:u w:val="single"/>
              </w:rPr>
            </w:pPr>
            <w:r>
              <w:rPr>
                <w:rFonts w:hint="eastAsia" w:cs="Times New Roman"/>
                <w:color w:val="auto"/>
                <w:highlight w:val="none"/>
                <w:u w:val="single"/>
                <w:lang w:eastAsia="zh-CN"/>
              </w:rPr>
              <w:t>（</w:t>
            </w:r>
            <w:r>
              <w:rPr>
                <w:rFonts w:hint="eastAsia" w:cs="Times New Roman"/>
                <w:color w:val="auto"/>
                <w:highlight w:val="none"/>
                <w:u w:val="single"/>
                <w:lang w:val="en-US" w:eastAsia="zh-CN"/>
              </w:rPr>
              <w:t>3</w:t>
            </w:r>
            <w:r>
              <w:rPr>
                <w:rFonts w:hint="eastAsia" w:cs="Times New Roman"/>
                <w:color w:val="auto"/>
                <w:highlight w:val="none"/>
                <w:u w:val="single"/>
                <w:lang w:eastAsia="zh-CN"/>
              </w:rPr>
              <w:t>）</w:t>
            </w:r>
            <w:r>
              <w:rPr>
                <w:rFonts w:hint="eastAsia" w:ascii="宋体" w:hAnsi="宋体" w:eastAsia="宋体" w:cs="宋体"/>
                <w:color w:val="auto"/>
                <w:kern w:val="0"/>
                <w:sz w:val="24"/>
                <w:szCs w:val="24"/>
                <w:u w:val="single"/>
                <w:lang w:val="en-US" w:eastAsia="zh-CN" w:bidi="ar"/>
              </w:rPr>
              <w:t>风险源分布情况及可能影响途径</w:t>
            </w:r>
          </w:p>
          <w:p w14:paraId="43E33BAA">
            <w:pPr>
              <w:keepNext w:val="0"/>
              <w:keepLines w:val="0"/>
              <w:widowControl/>
              <w:suppressLineNumbers w:val="0"/>
              <w:jc w:val="left"/>
              <w:rPr>
                <w:color w:val="auto"/>
                <w:u w:val="single"/>
              </w:rPr>
            </w:pPr>
            <w:r>
              <w:rPr>
                <w:rFonts w:hint="eastAsia" w:ascii="宋体" w:hAnsi="宋体" w:eastAsia="宋体" w:cs="宋体"/>
                <w:color w:val="auto"/>
                <w:kern w:val="0"/>
                <w:sz w:val="24"/>
                <w:szCs w:val="24"/>
                <w:u w:val="single"/>
                <w:lang w:val="en-US" w:eastAsia="zh-CN" w:bidi="ar"/>
              </w:rPr>
              <w:t>经对本项目风险源、生产设施、生产操作过程分析，主要存在以下风险：</w:t>
            </w:r>
          </w:p>
          <w:p w14:paraId="62E0F531">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jc w:val="center"/>
              <w:textAlignment w:val="auto"/>
              <w:rPr>
                <w:rFonts w:hint="default" w:ascii="Times New Roman" w:hAnsi="Times New Roman" w:cs="宋体"/>
                <w:b/>
                <w:bCs/>
                <w:color w:val="auto"/>
                <w:kern w:val="2"/>
                <w:sz w:val="21"/>
                <w:szCs w:val="21"/>
                <w:highlight w:val="none"/>
                <w:u w:val="single"/>
                <w:vertAlign w:val="baseline"/>
                <w:lang w:val="en-US" w:eastAsia="zh-CN"/>
              </w:rPr>
            </w:pPr>
            <w:r>
              <w:rPr>
                <w:rFonts w:hint="default" w:ascii="Times New Roman" w:hAnsi="Times New Roman" w:cs="宋体"/>
                <w:b/>
                <w:bCs/>
                <w:color w:val="auto"/>
                <w:kern w:val="2"/>
                <w:sz w:val="21"/>
                <w:szCs w:val="21"/>
                <w:highlight w:val="none"/>
                <w:u w:val="single"/>
                <w:vertAlign w:val="baseline"/>
                <w:lang w:val="en-US" w:eastAsia="zh-CN"/>
              </w:rPr>
              <w:t>表4-</w:t>
            </w:r>
            <w:r>
              <w:rPr>
                <w:rFonts w:hint="eastAsia" w:ascii="Times New Roman" w:hAnsi="Times New Roman" w:cs="宋体"/>
                <w:b/>
                <w:bCs/>
                <w:color w:val="auto"/>
                <w:kern w:val="2"/>
                <w:sz w:val="21"/>
                <w:szCs w:val="21"/>
                <w:highlight w:val="none"/>
                <w:u w:val="single"/>
                <w:vertAlign w:val="baseline"/>
                <w:lang w:val="en-US" w:eastAsia="zh-CN"/>
              </w:rPr>
              <w:t xml:space="preserve">5 </w:t>
            </w:r>
            <w:r>
              <w:rPr>
                <w:rFonts w:hint="default" w:ascii="Times New Roman" w:hAnsi="Times New Roman" w:cs="宋体"/>
                <w:b/>
                <w:bCs/>
                <w:color w:val="auto"/>
                <w:kern w:val="2"/>
                <w:sz w:val="21"/>
                <w:szCs w:val="21"/>
                <w:highlight w:val="none"/>
                <w:u w:val="single"/>
                <w:vertAlign w:val="baseline"/>
                <w:lang w:val="en-US" w:eastAsia="zh-CN"/>
              </w:rPr>
              <w:t xml:space="preserve"> 风险</w:t>
            </w:r>
            <w:r>
              <w:rPr>
                <w:rFonts w:hint="eastAsia" w:ascii="Times New Roman" w:hAnsi="Times New Roman" w:cs="宋体"/>
                <w:b/>
                <w:bCs/>
                <w:color w:val="auto"/>
                <w:kern w:val="2"/>
                <w:sz w:val="21"/>
                <w:szCs w:val="21"/>
                <w:highlight w:val="none"/>
                <w:u w:val="single"/>
                <w:vertAlign w:val="baseline"/>
                <w:lang w:val="en-US" w:eastAsia="zh-CN"/>
              </w:rPr>
              <w:t>识别结果一览</w:t>
            </w:r>
            <w:r>
              <w:rPr>
                <w:rFonts w:hint="default" w:ascii="Times New Roman" w:hAnsi="Times New Roman" w:cs="宋体"/>
                <w:b/>
                <w:bCs/>
                <w:color w:val="auto"/>
                <w:kern w:val="2"/>
                <w:sz w:val="21"/>
                <w:szCs w:val="21"/>
                <w:highlight w:val="none"/>
                <w:u w:val="single"/>
                <w:vertAlign w:val="baseline"/>
                <w:lang w:val="en-US" w:eastAsia="zh-CN"/>
              </w:rPr>
              <w:t>表</w:t>
            </w:r>
          </w:p>
          <w:tbl>
            <w:tblPr>
              <w:tblStyle w:val="51"/>
              <w:tblW w:w="498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0"/>
              <w:gridCol w:w="1592"/>
              <w:gridCol w:w="1513"/>
              <w:gridCol w:w="1890"/>
              <w:gridCol w:w="1736"/>
            </w:tblGrid>
            <w:tr w14:paraId="00768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30" w:type="dxa"/>
                  <w:tcBorders>
                    <w:tl2br w:val="nil"/>
                    <w:tr2bl w:val="nil"/>
                  </w:tcBorders>
                  <w:noWrap w:val="0"/>
                  <w:vAlign w:val="center"/>
                </w:tcPr>
                <w:p w14:paraId="25D9BDF2">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风险单元</w:t>
                  </w:r>
                </w:p>
              </w:tc>
              <w:tc>
                <w:tcPr>
                  <w:tcW w:w="1592" w:type="dxa"/>
                  <w:tcBorders>
                    <w:tl2br w:val="nil"/>
                    <w:tr2bl w:val="nil"/>
                  </w:tcBorders>
                  <w:noWrap w:val="0"/>
                  <w:vAlign w:val="center"/>
                </w:tcPr>
                <w:p w14:paraId="524A7B61">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风险源</w:t>
                  </w:r>
                </w:p>
              </w:tc>
              <w:tc>
                <w:tcPr>
                  <w:tcW w:w="1513" w:type="dxa"/>
                  <w:tcBorders>
                    <w:tl2br w:val="nil"/>
                    <w:tr2bl w:val="nil"/>
                  </w:tcBorders>
                  <w:noWrap w:val="0"/>
                  <w:vAlign w:val="center"/>
                </w:tcPr>
                <w:p w14:paraId="37B148D2">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主要风险物质</w:t>
                  </w:r>
                </w:p>
              </w:tc>
              <w:tc>
                <w:tcPr>
                  <w:tcW w:w="1890" w:type="dxa"/>
                  <w:tcBorders>
                    <w:tl2br w:val="nil"/>
                    <w:tr2bl w:val="nil"/>
                  </w:tcBorders>
                  <w:noWrap w:val="0"/>
                  <w:vAlign w:val="center"/>
                </w:tcPr>
                <w:p w14:paraId="2AB80C45">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主要风险类型</w:t>
                  </w:r>
                </w:p>
              </w:tc>
              <w:tc>
                <w:tcPr>
                  <w:tcW w:w="1736" w:type="dxa"/>
                  <w:tcBorders>
                    <w:tl2br w:val="nil"/>
                    <w:tr2bl w:val="nil"/>
                  </w:tcBorders>
                  <w:noWrap w:val="0"/>
                  <w:vAlign w:val="center"/>
                </w:tcPr>
                <w:p w14:paraId="3A490817">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环境影响途径</w:t>
                  </w:r>
                </w:p>
              </w:tc>
            </w:tr>
            <w:tr w14:paraId="44100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30" w:type="dxa"/>
                  <w:tcBorders>
                    <w:tl2br w:val="nil"/>
                    <w:tr2bl w:val="nil"/>
                  </w:tcBorders>
                  <w:noWrap w:val="0"/>
                  <w:vAlign w:val="center"/>
                </w:tcPr>
                <w:p w14:paraId="6F5854EA">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危废暂存间</w:t>
                  </w:r>
                </w:p>
              </w:tc>
              <w:tc>
                <w:tcPr>
                  <w:tcW w:w="1592" w:type="dxa"/>
                  <w:tcBorders>
                    <w:tl2br w:val="nil"/>
                    <w:tr2bl w:val="nil"/>
                  </w:tcBorders>
                  <w:noWrap w:val="0"/>
                  <w:vAlign w:val="center"/>
                </w:tcPr>
                <w:p w14:paraId="423D8A78">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风险物质泄漏、火灾爆炸次生环境 事故</w:t>
                  </w:r>
                </w:p>
              </w:tc>
              <w:tc>
                <w:tcPr>
                  <w:tcW w:w="1513" w:type="dxa"/>
                  <w:tcBorders>
                    <w:tl2br w:val="nil"/>
                    <w:tr2bl w:val="nil"/>
                  </w:tcBorders>
                  <w:noWrap w:val="0"/>
                  <w:vAlign w:val="center"/>
                </w:tcPr>
                <w:p w14:paraId="6CBEF691">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废机油</w:t>
                  </w:r>
                </w:p>
              </w:tc>
              <w:tc>
                <w:tcPr>
                  <w:tcW w:w="1890" w:type="dxa"/>
                  <w:tcBorders>
                    <w:tl2br w:val="nil"/>
                    <w:tr2bl w:val="nil"/>
                  </w:tcBorders>
                  <w:noWrap w:val="0"/>
                  <w:vAlign w:val="center"/>
                </w:tcPr>
                <w:p w14:paraId="48C1832B">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泄露、火灾、爆炸</w:t>
                  </w:r>
                </w:p>
              </w:tc>
              <w:tc>
                <w:tcPr>
                  <w:tcW w:w="1736" w:type="dxa"/>
                  <w:tcBorders>
                    <w:tl2br w:val="nil"/>
                    <w:tr2bl w:val="nil"/>
                  </w:tcBorders>
                  <w:noWrap w:val="0"/>
                  <w:vAlign w:val="center"/>
                </w:tcPr>
                <w:p w14:paraId="43CE47B2">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大气、地表水、土壤、 地下水、生态</w:t>
                  </w:r>
                </w:p>
              </w:tc>
            </w:tr>
            <w:tr w14:paraId="3CC06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30" w:type="dxa"/>
                  <w:tcBorders>
                    <w:tl2br w:val="nil"/>
                    <w:tr2bl w:val="nil"/>
                  </w:tcBorders>
                  <w:noWrap w:val="0"/>
                  <w:vAlign w:val="center"/>
                </w:tcPr>
                <w:p w14:paraId="2094CB71">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开采区</w:t>
                  </w:r>
                </w:p>
              </w:tc>
              <w:tc>
                <w:tcPr>
                  <w:tcW w:w="1592" w:type="dxa"/>
                  <w:tcBorders>
                    <w:tl2br w:val="nil"/>
                    <w:tr2bl w:val="nil"/>
                  </w:tcBorders>
                  <w:noWrap w:val="0"/>
                  <w:vAlign w:val="center"/>
                </w:tcPr>
                <w:p w14:paraId="2E8C37BD">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露采边坡失稳或采空区塌陷、岩溶突水</w:t>
                  </w:r>
                </w:p>
              </w:tc>
              <w:tc>
                <w:tcPr>
                  <w:tcW w:w="1513" w:type="dxa"/>
                  <w:tcBorders>
                    <w:tl2br w:val="nil"/>
                    <w:tr2bl w:val="nil"/>
                  </w:tcBorders>
                  <w:noWrap w:val="0"/>
                  <w:vAlign w:val="center"/>
                </w:tcPr>
                <w:p w14:paraId="587451E3">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1890" w:type="dxa"/>
                  <w:tcBorders>
                    <w:tl2br w:val="nil"/>
                    <w:tr2bl w:val="nil"/>
                  </w:tcBorders>
                  <w:noWrap w:val="0"/>
                  <w:vAlign w:val="center"/>
                </w:tcPr>
                <w:p w14:paraId="0C3BD9CF">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滑坡、泥石流、塌陷、岩溶突水</w:t>
                  </w:r>
                </w:p>
              </w:tc>
              <w:tc>
                <w:tcPr>
                  <w:tcW w:w="1736" w:type="dxa"/>
                  <w:tcBorders>
                    <w:tl2br w:val="nil"/>
                    <w:tr2bl w:val="nil"/>
                  </w:tcBorders>
                  <w:noWrap w:val="0"/>
                  <w:vAlign w:val="center"/>
                </w:tcPr>
                <w:p w14:paraId="31889484">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生态</w:t>
                  </w:r>
                </w:p>
              </w:tc>
            </w:tr>
            <w:tr w14:paraId="16D13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30" w:type="dxa"/>
                  <w:tcBorders>
                    <w:tl2br w:val="nil"/>
                    <w:tr2bl w:val="nil"/>
                  </w:tcBorders>
                  <w:noWrap w:val="0"/>
                  <w:vAlign w:val="center"/>
                </w:tcPr>
                <w:p w14:paraId="0B1294C2">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排土场</w:t>
                  </w:r>
                </w:p>
              </w:tc>
              <w:tc>
                <w:tcPr>
                  <w:tcW w:w="1592" w:type="dxa"/>
                  <w:tcBorders>
                    <w:tl2br w:val="nil"/>
                    <w:tr2bl w:val="nil"/>
                  </w:tcBorders>
                  <w:noWrap w:val="0"/>
                  <w:vAlign w:val="center"/>
                </w:tcPr>
                <w:p w14:paraId="7D2A2753">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排土场失稳</w:t>
                  </w:r>
                </w:p>
              </w:tc>
              <w:tc>
                <w:tcPr>
                  <w:tcW w:w="1513" w:type="dxa"/>
                  <w:tcBorders>
                    <w:tl2br w:val="nil"/>
                    <w:tr2bl w:val="nil"/>
                  </w:tcBorders>
                  <w:noWrap w:val="0"/>
                  <w:vAlign w:val="center"/>
                </w:tcPr>
                <w:p w14:paraId="42717DEA">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1890" w:type="dxa"/>
                  <w:tcBorders>
                    <w:tl2br w:val="nil"/>
                    <w:tr2bl w:val="nil"/>
                  </w:tcBorders>
                  <w:noWrap w:val="0"/>
                  <w:vAlign w:val="center"/>
                </w:tcPr>
                <w:p w14:paraId="7E8AF804">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滑坡、泥石流</w:t>
                  </w:r>
                </w:p>
              </w:tc>
              <w:tc>
                <w:tcPr>
                  <w:tcW w:w="1736" w:type="dxa"/>
                  <w:tcBorders>
                    <w:tl2br w:val="nil"/>
                    <w:tr2bl w:val="nil"/>
                  </w:tcBorders>
                  <w:noWrap w:val="0"/>
                  <w:vAlign w:val="center"/>
                </w:tcPr>
                <w:p w14:paraId="094F4B69">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生态</w:t>
                  </w:r>
                </w:p>
              </w:tc>
            </w:tr>
          </w:tbl>
          <w:p w14:paraId="18416C7F">
            <w:pPr>
              <w:ind w:firstLine="48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eastAsia="zh-CN"/>
              </w:rPr>
              <w:t>（</w:t>
            </w:r>
            <w:r>
              <w:rPr>
                <w:rFonts w:hint="eastAsia" w:cs="Times New Roman"/>
                <w:color w:val="auto"/>
                <w:highlight w:val="none"/>
                <w:u w:val="single"/>
                <w:lang w:val="en-US" w:eastAsia="zh-CN"/>
              </w:rPr>
              <w:t>4</w:t>
            </w:r>
            <w:r>
              <w:rPr>
                <w:rFonts w:hint="eastAsia" w:cs="Times New Roman"/>
                <w:color w:val="auto"/>
                <w:highlight w:val="none"/>
                <w:u w:val="single"/>
                <w:lang w:eastAsia="zh-CN"/>
              </w:rPr>
              <w:t>）</w:t>
            </w:r>
            <w:r>
              <w:rPr>
                <w:rFonts w:hint="eastAsia" w:cs="Times New Roman"/>
                <w:color w:val="auto"/>
                <w:highlight w:val="none"/>
                <w:u w:val="single"/>
                <w:lang w:val="en-US" w:eastAsia="zh-CN"/>
              </w:rPr>
              <w:t>风险防范措施</w:t>
            </w:r>
          </w:p>
          <w:p w14:paraId="4ED022D7">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1</w:t>
            </w:r>
            <w:r>
              <w:rPr>
                <w:rFonts w:hint="eastAsia" w:ascii="宋体" w:hAnsi="宋体" w:eastAsia="宋体" w:cs="宋体"/>
                <w:color w:val="auto"/>
                <w:kern w:val="0"/>
                <w:sz w:val="24"/>
                <w:szCs w:val="24"/>
                <w:u w:val="single"/>
                <w:lang w:val="en-US" w:eastAsia="zh-CN" w:bidi="ar"/>
              </w:rPr>
              <w:t xml:space="preserve">）泄漏事故防范措施 </w:t>
            </w:r>
          </w:p>
          <w:p w14:paraId="742FD9B6">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A </w:t>
            </w:r>
            <w:r>
              <w:rPr>
                <w:rFonts w:hint="eastAsia" w:ascii="宋体" w:hAnsi="宋体" w:eastAsia="宋体" w:cs="宋体"/>
                <w:color w:val="auto"/>
                <w:kern w:val="0"/>
                <w:sz w:val="24"/>
                <w:szCs w:val="24"/>
                <w:u w:val="single"/>
                <w:lang w:val="en-US" w:eastAsia="zh-CN" w:bidi="ar"/>
              </w:rPr>
              <w:t xml:space="preserve">加强对员工的安全生产和环境保护教育，严格按规范操作。 </w:t>
            </w:r>
          </w:p>
          <w:p w14:paraId="58C572DA">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B </w:t>
            </w:r>
            <w:r>
              <w:rPr>
                <w:rFonts w:hint="eastAsia" w:ascii="宋体" w:hAnsi="宋体" w:eastAsia="宋体" w:cs="宋体"/>
                <w:color w:val="auto"/>
                <w:kern w:val="0"/>
                <w:sz w:val="24"/>
                <w:szCs w:val="24"/>
                <w:u w:val="single"/>
                <w:lang w:val="en-US" w:eastAsia="zh-CN" w:bidi="ar"/>
              </w:rPr>
              <w:t xml:space="preserve">危废暂存间应采取重点防渗，设置导流沟及收集井，避免泄漏的油类物质外溢污染土壤。 </w:t>
            </w:r>
          </w:p>
          <w:p w14:paraId="571629DF">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2</w:t>
            </w:r>
            <w:r>
              <w:rPr>
                <w:rFonts w:hint="eastAsia" w:ascii="宋体" w:hAnsi="宋体" w:eastAsia="宋体" w:cs="宋体"/>
                <w:color w:val="auto"/>
                <w:kern w:val="0"/>
                <w:sz w:val="24"/>
                <w:szCs w:val="24"/>
                <w:u w:val="single"/>
                <w:lang w:val="en-US" w:eastAsia="zh-CN" w:bidi="ar"/>
              </w:rPr>
              <w:t xml:space="preserve">）炸药管理要求和爆破风险防范措施 </w:t>
            </w:r>
          </w:p>
          <w:p w14:paraId="173E22A0">
            <w:pPr>
              <w:keepNext w:val="0"/>
              <w:keepLines w:val="0"/>
              <w:widowControl/>
              <w:suppressLineNumbers w:val="0"/>
              <w:jc w:val="left"/>
              <w:rPr>
                <w:color w:val="auto"/>
                <w:u w:val="single"/>
              </w:rPr>
            </w:pPr>
            <w:r>
              <w:rPr>
                <w:rFonts w:hint="eastAsia" w:ascii="宋体" w:hAnsi="宋体" w:eastAsia="宋体" w:cs="宋体"/>
                <w:color w:val="auto"/>
                <w:kern w:val="0"/>
                <w:sz w:val="24"/>
                <w:szCs w:val="24"/>
                <w:u w:val="single"/>
                <w:lang w:val="en-US" w:eastAsia="zh-CN" w:bidi="ar"/>
              </w:rPr>
              <w:t xml:space="preserve">本项目所有爆破工作委托专业的爆破公司进行，所有爆破材料由爆破公司带来，不在矿区内存放，爆破后的废料由爆破公司回收。 </w:t>
            </w:r>
          </w:p>
          <w:p w14:paraId="02A91045">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A </w:t>
            </w:r>
            <w:r>
              <w:rPr>
                <w:rFonts w:hint="eastAsia" w:ascii="宋体" w:hAnsi="宋体" w:eastAsia="宋体" w:cs="宋体"/>
                <w:color w:val="auto"/>
                <w:kern w:val="0"/>
                <w:sz w:val="24"/>
                <w:szCs w:val="24"/>
                <w:u w:val="single"/>
                <w:lang w:val="en-US" w:eastAsia="zh-CN" w:bidi="ar"/>
              </w:rPr>
              <w:t xml:space="preserve">炸药的使用及运输严格按照《爆破安全规程》和《民用爆炸物品安全 管理条例》等相关要求来操作和全程监视。爆破作业严格按照设计执行。 </w:t>
            </w:r>
          </w:p>
          <w:p w14:paraId="36F03DC9">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B </w:t>
            </w:r>
            <w:r>
              <w:rPr>
                <w:rFonts w:hint="eastAsia" w:ascii="宋体" w:hAnsi="宋体" w:eastAsia="宋体" w:cs="宋体"/>
                <w:color w:val="auto"/>
                <w:kern w:val="0"/>
                <w:sz w:val="24"/>
                <w:szCs w:val="24"/>
                <w:u w:val="single"/>
                <w:lang w:val="en-US" w:eastAsia="zh-CN" w:bidi="ar"/>
              </w:rPr>
              <w:t xml:space="preserve">禁止在雷雨天、雾天、夜间进行爆破作业。 </w:t>
            </w:r>
          </w:p>
          <w:p w14:paraId="0519794F">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C </w:t>
            </w:r>
            <w:r>
              <w:rPr>
                <w:rFonts w:hint="eastAsia" w:ascii="宋体" w:hAnsi="宋体" w:eastAsia="宋体" w:cs="宋体"/>
                <w:color w:val="auto"/>
                <w:kern w:val="0"/>
                <w:sz w:val="24"/>
                <w:szCs w:val="24"/>
                <w:u w:val="single"/>
                <w:lang w:val="en-US" w:eastAsia="zh-CN" w:bidi="ar"/>
              </w:rPr>
              <w:t xml:space="preserve">爆破安全施工人员，必须具备高度责任感，遵章守纪，服从领导，听从指挥，熟悉爆破程序及技术要求，较全面的爆破安全生产管理，操作素质。 </w:t>
            </w:r>
          </w:p>
          <w:p w14:paraId="70414DFF">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D </w:t>
            </w:r>
            <w:r>
              <w:rPr>
                <w:rFonts w:hint="eastAsia" w:ascii="宋体" w:hAnsi="宋体" w:eastAsia="宋体" w:cs="宋体"/>
                <w:color w:val="auto"/>
                <w:kern w:val="0"/>
                <w:sz w:val="24"/>
                <w:szCs w:val="24"/>
                <w:u w:val="single"/>
                <w:lang w:val="en-US" w:eastAsia="zh-CN" w:bidi="ar"/>
              </w:rPr>
              <w:t>爆破工必须持证上岗，严禁无证上岗。爆破工严格执行戴安全帽、穿 胶鞋，严禁穿拖鞋、不带安全帽上岗。</w:t>
            </w:r>
            <w:r>
              <w:rPr>
                <w:rFonts w:hint="default" w:ascii="Times New Roman" w:hAnsi="Times New Roman" w:eastAsia="宋体" w:cs="Times New Roman"/>
                <w:color w:val="auto"/>
                <w:kern w:val="0"/>
                <w:sz w:val="24"/>
                <w:szCs w:val="24"/>
                <w:u w:val="single"/>
                <w:lang w:val="en-US" w:eastAsia="zh-CN" w:bidi="ar"/>
              </w:rPr>
              <w:t xml:space="preserve">E </w:t>
            </w:r>
            <w:r>
              <w:rPr>
                <w:rFonts w:hint="eastAsia" w:ascii="宋体" w:hAnsi="宋体" w:eastAsia="宋体" w:cs="宋体"/>
                <w:color w:val="auto"/>
                <w:kern w:val="0"/>
                <w:sz w:val="24"/>
                <w:szCs w:val="24"/>
                <w:u w:val="single"/>
                <w:lang w:val="en-US" w:eastAsia="zh-CN" w:bidi="ar"/>
              </w:rPr>
              <w:t xml:space="preserve">混装车应配备消防器具，接地良好，进入现场应悬挂危险标志。 </w:t>
            </w:r>
          </w:p>
          <w:p w14:paraId="2A3F92D9">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F </w:t>
            </w:r>
            <w:r>
              <w:rPr>
                <w:rFonts w:hint="eastAsia" w:ascii="宋体" w:hAnsi="宋体" w:eastAsia="宋体" w:cs="宋体"/>
                <w:color w:val="auto"/>
                <w:kern w:val="0"/>
                <w:sz w:val="24"/>
                <w:szCs w:val="24"/>
                <w:u w:val="single"/>
                <w:lang w:val="en-US" w:eastAsia="zh-CN" w:bidi="ar"/>
              </w:rPr>
              <w:t xml:space="preserve">工作面遇有瞎炮时，必须及时处理，处理时禁止掏出或者拉出爆药包， 禁止打残眼。 </w:t>
            </w:r>
          </w:p>
          <w:p w14:paraId="5AA36786">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G </w:t>
            </w:r>
            <w:r>
              <w:rPr>
                <w:rFonts w:hint="eastAsia" w:ascii="宋体" w:hAnsi="宋体" w:eastAsia="宋体" w:cs="宋体"/>
                <w:color w:val="auto"/>
                <w:kern w:val="0"/>
                <w:sz w:val="24"/>
                <w:szCs w:val="24"/>
                <w:u w:val="single"/>
                <w:lang w:val="en-US" w:eastAsia="zh-CN" w:bidi="ar"/>
              </w:rPr>
              <w:t xml:space="preserve">装药现场严禁烟火，禁止无关人员进入现场。 </w:t>
            </w:r>
          </w:p>
          <w:p w14:paraId="6C873F5A">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H </w:t>
            </w:r>
            <w:r>
              <w:rPr>
                <w:rFonts w:hint="eastAsia" w:ascii="宋体" w:hAnsi="宋体" w:eastAsia="宋体" w:cs="宋体"/>
                <w:color w:val="auto"/>
                <w:kern w:val="0"/>
                <w:sz w:val="24"/>
                <w:szCs w:val="24"/>
                <w:u w:val="single"/>
                <w:lang w:val="en-US" w:eastAsia="zh-CN" w:bidi="ar"/>
              </w:rPr>
              <w:t xml:space="preserve">企业应组织对相关人员进行定期培训和考核，提高员工的风险防范意识、责任心，加强对风险防范知识和技能的学习，增强防范处理风险能力。 </w:t>
            </w:r>
          </w:p>
          <w:p w14:paraId="7B2AD1C5">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3</w:t>
            </w:r>
            <w:r>
              <w:rPr>
                <w:rFonts w:hint="eastAsia" w:ascii="宋体" w:hAnsi="宋体" w:eastAsia="宋体" w:cs="宋体"/>
                <w:color w:val="auto"/>
                <w:kern w:val="0"/>
                <w:sz w:val="24"/>
                <w:szCs w:val="24"/>
                <w:u w:val="single"/>
                <w:lang w:val="en-US" w:eastAsia="zh-CN" w:bidi="ar"/>
              </w:rPr>
              <w:t xml:space="preserve">）采场和排土场边坡失稳事故风险防范措施 </w:t>
            </w:r>
          </w:p>
          <w:p w14:paraId="367FC043">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A </w:t>
            </w:r>
            <w:r>
              <w:rPr>
                <w:rFonts w:hint="eastAsia" w:ascii="宋体" w:hAnsi="宋体" w:eastAsia="宋体" w:cs="宋体"/>
                <w:color w:val="auto"/>
                <w:kern w:val="0"/>
                <w:sz w:val="24"/>
                <w:szCs w:val="24"/>
                <w:u w:val="single"/>
                <w:lang w:val="en-US" w:eastAsia="zh-CN" w:bidi="ar"/>
              </w:rPr>
              <w:t xml:space="preserve">开采平台要有一定的安全宽度，按规范设立合理的宽度，保证边坡的 强度，在雨季也不至出现失稳、裂缝、变形等状况出现，开采平台宽度按照 项目开发利用方案设置，做好边坡的截排水沟工作。 </w:t>
            </w:r>
          </w:p>
          <w:p w14:paraId="2E7AA0EA">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B </w:t>
            </w:r>
            <w:r>
              <w:rPr>
                <w:rFonts w:hint="eastAsia" w:ascii="宋体" w:hAnsi="宋体" w:eastAsia="宋体" w:cs="宋体"/>
                <w:color w:val="auto"/>
                <w:kern w:val="0"/>
                <w:sz w:val="24"/>
                <w:szCs w:val="24"/>
                <w:u w:val="single"/>
                <w:lang w:val="en-US" w:eastAsia="zh-CN" w:bidi="ar"/>
              </w:rPr>
              <w:t xml:space="preserve">坚持从上至下逐层开采的原则。严格禁止一面坡的开采方式，按要求 设置台阶高度和台阶坡面角。 </w:t>
            </w:r>
          </w:p>
          <w:p w14:paraId="075B3E55">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C </w:t>
            </w:r>
            <w:r>
              <w:rPr>
                <w:rFonts w:hint="eastAsia" w:ascii="宋体" w:hAnsi="宋体" w:eastAsia="宋体" w:cs="宋体"/>
                <w:color w:val="auto"/>
                <w:kern w:val="0"/>
                <w:sz w:val="24"/>
                <w:szCs w:val="24"/>
                <w:u w:val="single"/>
                <w:lang w:val="en-US" w:eastAsia="zh-CN" w:bidi="ar"/>
              </w:rPr>
              <w:t xml:space="preserve">加强对采矿边坡和台阶的检查，及时清除松石，加固不稳定的边坡。 </w:t>
            </w:r>
          </w:p>
          <w:p w14:paraId="639FB545">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D </w:t>
            </w:r>
            <w:r>
              <w:rPr>
                <w:rFonts w:hint="eastAsia" w:ascii="宋体" w:hAnsi="宋体" w:eastAsia="宋体" w:cs="宋体"/>
                <w:color w:val="auto"/>
                <w:kern w:val="0"/>
                <w:sz w:val="24"/>
                <w:szCs w:val="24"/>
                <w:u w:val="single"/>
                <w:lang w:val="en-US" w:eastAsia="zh-CN" w:bidi="ar"/>
              </w:rPr>
              <w:t xml:space="preserve">边坡高处作业要使用安全防护用具，并且要安全可靠。 </w:t>
            </w:r>
          </w:p>
          <w:p w14:paraId="17A6EAB5">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E </w:t>
            </w:r>
            <w:r>
              <w:rPr>
                <w:rFonts w:hint="eastAsia" w:ascii="宋体" w:hAnsi="宋体" w:eastAsia="宋体" w:cs="宋体"/>
                <w:color w:val="auto"/>
                <w:kern w:val="0"/>
                <w:sz w:val="24"/>
                <w:szCs w:val="24"/>
                <w:u w:val="single"/>
                <w:lang w:val="en-US" w:eastAsia="zh-CN" w:bidi="ar"/>
              </w:rPr>
              <w:t xml:space="preserve">设备在高处作业时，要停在地基平稳和坡度不大的台阶上，操作要符 合规程要求。 </w:t>
            </w:r>
          </w:p>
          <w:p w14:paraId="4B0D2DB7">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F </w:t>
            </w:r>
            <w:r>
              <w:rPr>
                <w:rFonts w:hint="eastAsia" w:ascii="宋体" w:hAnsi="宋体" w:eastAsia="宋体" w:cs="宋体"/>
                <w:color w:val="auto"/>
                <w:kern w:val="0"/>
                <w:sz w:val="24"/>
                <w:szCs w:val="24"/>
                <w:u w:val="single"/>
                <w:lang w:val="en-US" w:eastAsia="zh-CN" w:bidi="ar"/>
              </w:rPr>
              <w:t>应严格按照开采设计，由上而下按顺序开采，避免无序开采。</w:t>
            </w:r>
          </w:p>
          <w:p w14:paraId="7EC68D71">
            <w:pPr>
              <w:ind w:firstLine="480"/>
              <w:rPr>
                <w:rFonts w:hint="eastAsia" w:ascii="宋体" w:hAnsi="宋体" w:eastAsia="宋体" w:cs="宋体"/>
                <w:color w:val="auto"/>
                <w:kern w:val="0"/>
                <w:sz w:val="24"/>
                <w:szCs w:val="24"/>
                <w:u w:val="single"/>
                <w:lang w:val="en-US" w:eastAsia="zh-CN" w:bidi="ar"/>
              </w:rPr>
            </w:pPr>
            <w:r>
              <w:rPr>
                <w:rFonts w:hint="eastAsia" w:cs="Times New Roman"/>
                <w:color w:val="auto"/>
                <w:highlight w:val="none"/>
                <w:u w:val="single"/>
                <w:lang w:val="en-US" w:eastAsia="zh-CN"/>
              </w:rPr>
              <w:t>4）</w:t>
            </w:r>
            <w:r>
              <w:rPr>
                <w:rFonts w:hint="eastAsia" w:ascii="宋体" w:hAnsi="宋体" w:eastAsia="宋体" w:cs="宋体"/>
                <w:color w:val="auto"/>
                <w:kern w:val="0"/>
                <w:sz w:val="24"/>
                <w:szCs w:val="24"/>
                <w:u w:val="single"/>
                <w:lang w:val="en-US" w:eastAsia="zh-CN" w:bidi="ar"/>
              </w:rPr>
              <w:t>岩溶突水事故风险防范措施</w:t>
            </w:r>
          </w:p>
          <w:p w14:paraId="0094D34C">
            <w:pPr>
              <w:keepNext w:val="0"/>
              <w:keepLines w:val="0"/>
              <w:widowControl/>
              <w:suppressLineNumbers w:val="0"/>
              <w:jc w:val="left"/>
              <w:rPr>
                <w:rFonts w:hint="default" w:ascii="Times New Roman" w:hAnsi="Times New Roman" w:eastAsia="宋体" w:cs="Times New Roman"/>
                <w:color w:val="auto"/>
                <w:kern w:val="0"/>
                <w:sz w:val="24"/>
                <w:szCs w:val="24"/>
                <w:u w:val="single"/>
                <w:lang w:val="en-US" w:eastAsia="zh-CN" w:bidi="ar"/>
              </w:rPr>
            </w:pPr>
            <w:r>
              <w:rPr>
                <w:rFonts w:hint="eastAsia" w:ascii="Times New Roman" w:hAnsi="Times New Roman" w:eastAsia="宋体" w:cs="Times New Roman"/>
                <w:color w:val="auto"/>
                <w:kern w:val="0"/>
                <w:sz w:val="24"/>
                <w:szCs w:val="24"/>
                <w:u w:val="single"/>
                <w:lang w:val="en-US" w:eastAsia="zh-CN" w:bidi="ar"/>
              </w:rPr>
              <w:t>A 加强地质勘探。</w:t>
            </w:r>
            <w:r>
              <w:rPr>
                <w:rFonts w:hint="default" w:ascii="Times New Roman" w:hAnsi="Times New Roman" w:eastAsia="宋体" w:cs="Times New Roman"/>
                <w:color w:val="auto"/>
                <w:kern w:val="0"/>
                <w:sz w:val="24"/>
                <w:szCs w:val="24"/>
                <w:u w:val="single"/>
                <w:lang w:val="en-US" w:eastAsia="zh-CN" w:bidi="ar"/>
              </w:rPr>
              <w:t>在开采前，应进行全面、详细的地质勘探，了解采区的地质条件、水文环境等情况，为采矿工艺的选择提供依据</w:t>
            </w:r>
            <w:r>
              <w:rPr>
                <w:rFonts w:hint="eastAsia" w:ascii="Times New Roman" w:hAnsi="Times New Roman" w:eastAsia="宋体" w:cs="Times New Roman"/>
                <w:color w:val="auto"/>
                <w:kern w:val="0"/>
                <w:sz w:val="24"/>
                <w:szCs w:val="24"/>
                <w:u w:val="single"/>
                <w:lang w:val="en-US" w:eastAsia="zh-CN" w:bidi="ar"/>
              </w:rPr>
              <w:t>。</w:t>
            </w:r>
          </w:p>
          <w:p w14:paraId="185604C6">
            <w:pPr>
              <w:keepNext w:val="0"/>
              <w:keepLines w:val="0"/>
              <w:widowControl/>
              <w:suppressLineNumbers w:val="0"/>
              <w:jc w:val="left"/>
              <w:rPr>
                <w:rFonts w:hint="default" w:ascii="Times New Roman" w:hAnsi="Times New Roman" w:eastAsia="宋体" w:cs="Times New Roman"/>
                <w:color w:val="auto"/>
                <w:kern w:val="0"/>
                <w:sz w:val="24"/>
                <w:szCs w:val="24"/>
                <w:u w:val="single"/>
                <w:lang w:val="en-US" w:eastAsia="zh-CN" w:bidi="ar"/>
              </w:rPr>
            </w:pPr>
            <w:r>
              <w:rPr>
                <w:rFonts w:hint="eastAsia" w:ascii="Times New Roman" w:hAnsi="Times New Roman" w:eastAsia="宋体" w:cs="Times New Roman"/>
                <w:color w:val="auto"/>
                <w:kern w:val="0"/>
                <w:sz w:val="24"/>
                <w:szCs w:val="24"/>
                <w:u w:val="single"/>
                <w:lang w:val="en-US" w:eastAsia="zh-CN" w:bidi="ar"/>
              </w:rPr>
              <w:t xml:space="preserve">B </w:t>
            </w:r>
            <w:r>
              <w:rPr>
                <w:rFonts w:hint="default" w:ascii="Times New Roman" w:hAnsi="Times New Roman" w:eastAsia="宋体" w:cs="Times New Roman"/>
                <w:color w:val="auto"/>
                <w:kern w:val="0"/>
                <w:sz w:val="24"/>
                <w:szCs w:val="24"/>
                <w:u w:val="single"/>
                <w:lang w:val="en-US" w:eastAsia="zh-CN" w:bidi="ar"/>
              </w:rPr>
              <w:t>优化采矿工艺。 应根据地质条件、采矿条件等因素，选择合适的采矿方法、采矿顺序和采矿强度，确保采区的稳定性。</w:t>
            </w:r>
          </w:p>
          <w:p w14:paraId="704090D6">
            <w:pPr>
              <w:keepNext w:val="0"/>
              <w:keepLines w:val="0"/>
              <w:widowControl/>
              <w:suppressLineNumbers w:val="0"/>
              <w:jc w:val="left"/>
              <w:rPr>
                <w:rFonts w:hint="eastAsia" w:cs="Times New Roman"/>
                <w:color w:val="auto"/>
                <w:highlight w:val="none"/>
                <w:u w:val="none"/>
                <w:lang w:val="en-US" w:eastAsia="zh-CN"/>
              </w:rPr>
            </w:pPr>
            <w:r>
              <w:rPr>
                <w:rFonts w:hint="default" w:ascii="Times New Roman" w:hAnsi="Times New Roman" w:eastAsia="宋体" w:cs="Times New Roman"/>
                <w:color w:val="auto"/>
                <w:kern w:val="0"/>
                <w:sz w:val="24"/>
                <w:szCs w:val="24"/>
                <w:u w:val="single"/>
                <w:lang w:val="en-US" w:eastAsia="zh-CN" w:bidi="ar"/>
              </w:rPr>
              <w:t> </w:t>
            </w:r>
            <w:r>
              <w:rPr>
                <w:rFonts w:hint="eastAsia" w:ascii="Times New Roman" w:hAnsi="Times New Roman" w:cs="Times New Roman"/>
                <w:color w:val="auto"/>
                <w:kern w:val="0"/>
                <w:sz w:val="24"/>
                <w:szCs w:val="24"/>
                <w:u w:val="single"/>
                <w:lang w:val="en-US" w:eastAsia="zh-CN" w:bidi="ar"/>
              </w:rPr>
              <w:t xml:space="preserve">C </w:t>
            </w:r>
            <w:r>
              <w:rPr>
                <w:rFonts w:hint="default" w:ascii="Times New Roman" w:hAnsi="Times New Roman" w:eastAsia="宋体" w:cs="Times New Roman"/>
                <w:color w:val="auto"/>
                <w:kern w:val="0"/>
                <w:sz w:val="24"/>
                <w:szCs w:val="24"/>
                <w:u w:val="single"/>
                <w:lang w:val="en-US" w:eastAsia="zh-CN" w:bidi="ar"/>
              </w:rPr>
              <w:t>建立完善的</w:t>
            </w:r>
            <w:r>
              <w:rPr>
                <w:rFonts w:hint="default" w:ascii="宋体" w:hAnsi="宋体" w:eastAsia="宋体" w:cs="宋体"/>
                <w:color w:val="auto"/>
                <w:kern w:val="0"/>
                <w:sz w:val="24"/>
                <w:szCs w:val="24"/>
                <w:u w:val="single"/>
                <w:lang w:val="en-US" w:eastAsia="zh-CN" w:bidi="ar"/>
              </w:rPr>
              <w:t>排水系统。</w:t>
            </w:r>
            <w:r>
              <w:rPr>
                <w:rFonts w:hint="eastAsia" w:ascii="宋体" w:hAnsi="宋体" w:cs="宋体"/>
                <w:color w:val="auto"/>
                <w:kern w:val="0"/>
                <w:sz w:val="24"/>
                <w:szCs w:val="24"/>
                <w:u w:val="single"/>
                <w:lang w:val="en-US" w:eastAsia="zh-CN" w:bidi="ar"/>
              </w:rPr>
              <w:t>开采区设置截洪沟及沉淀池，岩溶突水可经截洪沟进入沉淀池处理。</w:t>
            </w:r>
          </w:p>
          <w:p w14:paraId="0F201E5A">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 xml:space="preserve">环境风险结论 </w:t>
            </w:r>
          </w:p>
          <w:p w14:paraId="560BC710">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本项目主要风险事故源为废机油泄漏风险、废机油泄漏事故燃烧引发的次生</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伴生污染排放、采场及排土场等边坡失稳滑塌的环境风险。在建设方落实各项风险防范措施后，风险事故发生的概率及风险发生时的环境影响均能得到有效控制，环境风险可控。同时企业应加强管理，减少事故的发生，制定好应急预案，一旦发生风险事故，及时进行解决，减轻事故风险造成的影响，项目环境风险在可接受范围内。</w:t>
            </w:r>
          </w:p>
          <w:p w14:paraId="66CDD885">
            <w:pPr>
              <w:ind w:firstLine="480"/>
              <w:jc w:val="center"/>
              <w:rPr>
                <w:rFonts w:hint="default" w:ascii="Times New Roman" w:hAnsi="Times New Roman" w:cs="宋体"/>
                <w:b/>
                <w:bCs/>
                <w:color w:val="auto"/>
                <w:kern w:val="2"/>
                <w:sz w:val="21"/>
                <w:szCs w:val="21"/>
                <w:highlight w:val="none"/>
                <w:u w:val="none"/>
                <w:vertAlign w:val="baseline"/>
                <w:lang w:val="en-US" w:eastAsia="zh-CN"/>
              </w:rPr>
            </w:pPr>
            <w:r>
              <w:rPr>
                <w:rFonts w:hint="eastAsia" w:cs="Times New Roman"/>
                <w:color w:val="auto"/>
                <w:highlight w:val="none"/>
                <w:u w:val="none"/>
                <w:lang w:val="en-US" w:eastAsia="zh-CN"/>
              </w:rPr>
              <w:t>.</w:t>
            </w:r>
            <w:r>
              <w:rPr>
                <w:rFonts w:hint="default" w:ascii="Times New Roman" w:hAnsi="Times New Roman" w:cs="宋体"/>
                <w:b/>
                <w:bCs/>
                <w:color w:val="auto"/>
                <w:kern w:val="2"/>
                <w:sz w:val="21"/>
                <w:szCs w:val="21"/>
                <w:highlight w:val="none"/>
                <w:u w:val="none"/>
                <w:vertAlign w:val="baseline"/>
                <w:lang w:val="en-US" w:eastAsia="zh-CN"/>
              </w:rPr>
              <w:t>表4-</w:t>
            </w:r>
            <w:r>
              <w:rPr>
                <w:rFonts w:hint="eastAsia" w:ascii="Times New Roman" w:hAnsi="Times New Roman" w:cs="宋体"/>
                <w:b/>
                <w:bCs/>
                <w:color w:val="auto"/>
                <w:kern w:val="2"/>
                <w:sz w:val="21"/>
                <w:szCs w:val="21"/>
                <w:highlight w:val="none"/>
                <w:u w:val="none"/>
                <w:vertAlign w:val="baseline"/>
                <w:lang w:val="en-US" w:eastAsia="zh-CN"/>
              </w:rPr>
              <w:t xml:space="preserve">6 </w:t>
            </w:r>
            <w:r>
              <w:rPr>
                <w:rFonts w:hint="default" w:ascii="Times New Roman" w:hAnsi="Times New Roman" w:cs="宋体"/>
                <w:b/>
                <w:bCs/>
                <w:color w:val="auto"/>
                <w:kern w:val="2"/>
                <w:sz w:val="21"/>
                <w:szCs w:val="21"/>
                <w:highlight w:val="none"/>
                <w:u w:val="none"/>
                <w:vertAlign w:val="baseline"/>
                <w:lang w:val="en-US" w:eastAsia="zh-CN"/>
              </w:rPr>
              <w:t xml:space="preserve"> 建设项目环境风险简单分析内容表</w:t>
            </w:r>
          </w:p>
          <w:tbl>
            <w:tblPr>
              <w:tblStyle w:val="5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2"/>
              <w:gridCol w:w="1054"/>
              <w:gridCol w:w="784"/>
              <w:gridCol w:w="1096"/>
              <w:gridCol w:w="916"/>
              <w:gridCol w:w="2243"/>
            </w:tblGrid>
            <w:tr w14:paraId="3B848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83" w:type="dxa"/>
                  <w:tcBorders>
                    <w:tl2br w:val="nil"/>
                    <w:tr2bl w:val="nil"/>
                  </w:tcBorders>
                  <w:noWrap w:val="0"/>
                  <w:vAlign w:val="center"/>
                </w:tcPr>
                <w:p w14:paraId="6441C6E7">
                  <w:pPr>
                    <w:spacing w:line="240" w:lineRule="auto"/>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建设项目名称</w:t>
                  </w:r>
                </w:p>
              </w:tc>
              <w:tc>
                <w:tcPr>
                  <w:tcW w:w="6094" w:type="dxa"/>
                  <w:gridSpan w:val="5"/>
                  <w:tcBorders>
                    <w:tl2br w:val="nil"/>
                    <w:tr2bl w:val="nil"/>
                  </w:tcBorders>
                  <w:noWrap w:val="0"/>
                  <w:vAlign w:val="center"/>
                </w:tcPr>
                <w:p w14:paraId="169405FC">
                  <w:pPr>
                    <w:spacing w:line="240" w:lineRule="auto"/>
                    <w:ind w:firstLine="0" w:firstLineChars="0"/>
                    <w:jc w:val="center"/>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湖南省澧县屠夫垭矿区建筑石料用灰岩矿项目</w:t>
                  </w:r>
                </w:p>
              </w:tc>
            </w:tr>
            <w:tr w14:paraId="330F0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83" w:type="dxa"/>
                  <w:tcBorders>
                    <w:tl2br w:val="nil"/>
                    <w:tr2bl w:val="nil"/>
                  </w:tcBorders>
                  <w:noWrap w:val="0"/>
                  <w:vAlign w:val="center"/>
                </w:tcPr>
                <w:p w14:paraId="1EEB4C73">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建设地点</w:t>
                  </w:r>
                </w:p>
              </w:tc>
              <w:tc>
                <w:tcPr>
                  <w:tcW w:w="1054" w:type="dxa"/>
                  <w:tcBorders>
                    <w:tl2br w:val="nil"/>
                    <w:tr2bl w:val="nil"/>
                  </w:tcBorders>
                  <w:noWrap w:val="0"/>
                  <w:vAlign w:val="center"/>
                </w:tcPr>
                <w:p w14:paraId="4848D918">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（湖南）省</w:t>
                  </w:r>
                </w:p>
              </w:tc>
              <w:tc>
                <w:tcPr>
                  <w:tcW w:w="784" w:type="dxa"/>
                  <w:tcBorders>
                    <w:tl2br w:val="nil"/>
                    <w:tr2bl w:val="nil"/>
                  </w:tcBorders>
                  <w:noWrap w:val="0"/>
                  <w:vAlign w:val="center"/>
                </w:tcPr>
                <w:p w14:paraId="40854011">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w:t>
                  </w:r>
                  <w:r>
                    <w:rPr>
                      <w:rFonts w:hint="eastAsia" w:cs="Times New Roman"/>
                      <w:color w:val="auto"/>
                      <w:sz w:val="21"/>
                      <w:szCs w:val="21"/>
                      <w:highlight w:val="none"/>
                      <w:u w:val="none"/>
                      <w:lang w:val="en-US" w:eastAsia="zh-CN"/>
                    </w:rPr>
                    <w:t>常德</w:t>
                  </w:r>
                  <w:r>
                    <w:rPr>
                      <w:rFonts w:hint="default" w:cs="Times New Roman"/>
                      <w:color w:val="auto"/>
                      <w:sz w:val="21"/>
                      <w:szCs w:val="21"/>
                      <w:highlight w:val="none"/>
                      <w:u w:val="none"/>
                      <w:lang w:val="en-US" w:eastAsia="zh-CN"/>
                    </w:rPr>
                    <w:t>）市</w:t>
                  </w:r>
                </w:p>
              </w:tc>
              <w:tc>
                <w:tcPr>
                  <w:tcW w:w="1096" w:type="dxa"/>
                  <w:tcBorders>
                    <w:tl2br w:val="nil"/>
                    <w:tr2bl w:val="nil"/>
                  </w:tcBorders>
                  <w:noWrap w:val="0"/>
                  <w:vAlign w:val="center"/>
                </w:tcPr>
                <w:p w14:paraId="199983F4">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（/）区</w:t>
                  </w:r>
                </w:p>
              </w:tc>
              <w:tc>
                <w:tcPr>
                  <w:tcW w:w="916" w:type="dxa"/>
                  <w:tcBorders>
                    <w:tl2br w:val="nil"/>
                    <w:tr2bl w:val="nil"/>
                  </w:tcBorders>
                  <w:noWrap w:val="0"/>
                  <w:vAlign w:val="center"/>
                </w:tcPr>
                <w:p w14:paraId="61B75FBE">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w:t>
                  </w:r>
                  <w:r>
                    <w:rPr>
                      <w:rFonts w:hint="eastAsia" w:cs="Times New Roman"/>
                      <w:color w:val="auto"/>
                      <w:sz w:val="21"/>
                      <w:szCs w:val="21"/>
                      <w:highlight w:val="none"/>
                      <w:u w:val="none"/>
                      <w:lang w:val="en-US" w:eastAsia="zh-CN"/>
                    </w:rPr>
                    <w:t>澧</w:t>
                  </w:r>
                  <w:r>
                    <w:rPr>
                      <w:rFonts w:hint="default" w:cs="Times New Roman"/>
                      <w:color w:val="auto"/>
                      <w:sz w:val="21"/>
                      <w:szCs w:val="21"/>
                      <w:highlight w:val="none"/>
                      <w:u w:val="none"/>
                      <w:lang w:val="en-US" w:eastAsia="zh-CN"/>
                    </w:rPr>
                    <w:t>）县</w:t>
                  </w:r>
                </w:p>
              </w:tc>
              <w:tc>
                <w:tcPr>
                  <w:tcW w:w="2244" w:type="dxa"/>
                  <w:tcBorders>
                    <w:tl2br w:val="nil"/>
                    <w:tr2bl w:val="nil"/>
                  </w:tcBorders>
                  <w:noWrap w:val="0"/>
                  <w:vAlign w:val="center"/>
                </w:tcPr>
                <w:p w14:paraId="7F579D84">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常德市澧县火连坡镇芦桥村九组</w:t>
                  </w:r>
                </w:p>
              </w:tc>
            </w:tr>
            <w:tr w14:paraId="4D4C5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83" w:type="dxa"/>
                  <w:tcBorders>
                    <w:tl2br w:val="nil"/>
                    <w:tr2bl w:val="nil"/>
                  </w:tcBorders>
                  <w:noWrap w:val="0"/>
                  <w:vAlign w:val="center"/>
                </w:tcPr>
                <w:p w14:paraId="0C92268E">
                  <w:pPr>
                    <w:pStyle w:val="50"/>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eastAsia="宋体" w:cs="Times New Roman"/>
                      <w:color w:val="auto"/>
                      <w:spacing w:val="1"/>
                      <w:kern w:val="2"/>
                      <w:sz w:val="21"/>
                      <w:szCs w:val="21"/>
                      <w:highlight w:val="none"/>
                      <w:u w:val="none"/>
                      <w:lang w:val="en-US" w:eastAsia="zh-CN" w:bidi="ar-SA"/>
                    </w:rPr>
                    <w:t>地理坐标</w:t>
                  </w:r>
                </w:p>
              </w:tc>
              <w:tc>
                <w:tcPr>
                  <w:tcW w:w="1054" w:type="dxa"/>
                  <w:tcBorders>
                    <w:tl2br w:val="nil"/>
                    <w:tr2bl w:val="nil"/>
                  </w:tcBorders>
                  <w:noWrap w:val="0"/>
                  <w:vAlign w:val="center"/>
                </w:tcPr>
                <w:p w14:paraId="7A9BE9AC">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经度</w:t>
                  </w:r>
                </w:p>
              </w:tc>
              <w:tc>
                <w:tcPr>
                  <w:tcW w:w="1880" w:type="dxa"/>
                  <w:gridSpan w:val="2"/>
                  <w:tcBorders>
                    <w:tl2br w:val="nil"/>
                    <w:tr2bl w:val="nil"/>
                  </w:tcBorders>
                  <w:noWrap w:val="0"/>
                  <w:vAlign w:val="center"/>
                </w:tcPr>
                <w:p w14:paraId="42B1DBE6">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cs="Times New Roman"/>
                      <w:color w:val="auto"/>
                      <w:sz w:val="21"/>
                      <w:szCs w:val="21"/>
                      <w:highlight w:val="none"/>
                      <w:u w:val="none"/>
                    </w:rPr>
                    <w:t>111°</w:t>
                  </w:r>
                  <w:r>
                    <w:rPr>
                      <w:rFonts w:hint="eastAsia" w:cs="Times New Roman"/>
                      <w:color w:val="auto"/>
                      <w:sz w:val="21"/>
                      <w:szCs w:val="21"/>
                      <w:highlight w:val="none"/>
                      <w:u w:val="none"/>
                      <w:lang w:val="en-US" w:eastAsia="zh-CN"/>
                    </w:rPr>
                    <w:t>28</w:t>
                  </w:r>
                  <w:r>
                    <w:rPr>
                      <w:rFonts w:hint="default" w:ascii="Times New Roman" w:hAnsi="Times New Roman" w:cs="Times New Roman"/>
                      <w:color w:val="auto"/>
                      <w:sz w:val="21"/>
                      <w:szCs w:val="21"/>
                      <w:highlight w:val="none"/>
                      <w:u w:val="none"/>
                    </w:rPr>
                    <w:t>′</w:t>
                  </w:r>
                  <w:r>
                    <w:rPr>
                      <w:rFonts w:hint="eastAsia" w:cs="Times New Roman"/>
                      <w:color w:val="auto"/>
                      <w:sz w:val="21"/>
                      <w:szCs w:val="21"/>
                      <w:highlight w:val="none"/>
                      <w:u w:val="none"/>
                      <w:lang w:val="en-US" w:eastAsia="zh-CN"/>
                    </w:rPr>
                    <w:t>55.006</w:t>
                  </w:r>
                  <w:r>
                    <w:rPr>
                      <w:rFonts w:hint="default" w:ascii="Times New Roman" w:hAnsi="Times New Roman" w:cs="Times New Roman"/>
                      <w:color w:val="auto"/>
                      <w:sz w:val="21"/>
                      <w:szCs w:val="21"/>
                      <w:highlight w:val="none"/>
                      <w:u w:val="none"/>
                    </w:rPr>
                    <w:t>″</w:t>
                  </w:r>
                </w:p>
              </w:tc>
              <w:tc>
                <w:tcPr>
                  <w:tcW w:w="916" w:type="dxa"/>
                  <w:tcBorders>
                    <w:tl2br w:val="nil"/>
                    <w:tr2bl w:val="nil"/>
                  </w:tcBorders>
                  <w:noWrap w:val="0"/>
                  <w:vAlign w:val="center"/>
                </w:tcPr>
                <w:p w14:paraId="42665266">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纬度</w:t>
                  </w:r>
                </w:p>
              </w:tc>
              <w:tc>
                <w:tcPr>
                  <w:tcW w:w="2244" w:type="dxa"/>
                  <w:tcBorders>
                    <w:tl2br w:val="nil"/>
                    <w:tr2bl w:val="nil"/>
                  </w:tcBorders>
                  <w:noWrap w:val="0"/>
                  <w:vAlign w:val="center"/>
                </w:tcPr>
                <w:p w14:paraId="7C4F3EBC">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cs="Times New Roman"/>
                      <w:color w:val="auto"/>
                      <w:sz w:val="21"/>
                      <w:szCs w:val="21"/>
                      <w:highlight w:val="none"/>
                      <w:u w:val="none"/>
                    </w:rPr>
                    <w:t>29°</w:t>
                  </w:r>
                  <w:r>
                    <w:rPr>
                      <w:rFonts w:hint="eastAsia" w:cs="Times New Roman"/>
                      <w:color w:val="auto"/>
                      <w:sz w:val="21"/>
                      <w:szCs w:val="21"/>
                      <w:highlight w:val="none"/>
                      <w:u w:val="none"/>
                      <w:lang w:val="en-US" w:eastAsia="zh-CN"/>
                    </w:rPr>
                    <w:t>51</w:t>
                  </w:r>
                  <w:r>
                    <w:rPr>
                      <w:rFonts w:hint="default" w:ascii="Times New Roman" w:hAnsi="Times New Roman" w:cs="Times New Roman"/>
                      <w:color w:val="auto"/>
                      <w:sz w:val="21"/>
                      <w:szCs w:val="21"/>
                      <w:highlight w:val="none"/>
                      <w:u w:val="none"/>
                    </w:rPr>
                    <w:t>′</w:t>
                  </w:r>
                  <w:r>
                    <w:rPr>
                      <w:rFonts w:hint="eastAsia" w:cs="Times New Roman"/>
                      <w:color w:val="auto"/>
                      <w:sz w:val="21"/>
                      <w:szCs w:val="21"/>
                      <w:highlight w:val="none"/>
                      <w:u w:val="none"/>
                      <w:lang w:val="en-US" w:eastAsia="zh-CN"/>
                    </w:rPr>
                    <w:t>58.392</w:t>
                  </w:r>
                  <w:r>
                    <w:rPr>
                      <w:rFonts w:hint="default" w:ascii="Times New Roman" w:hAnsi="Times New Roman" w:cs="Times New Roman"/>
                      <w:color w:val="auto"/>
                      <w:sz w:val="21"/>
                      <w:szCs w:val="21"/>
                      <w:highlight w:val="none"/>
                      <w:u w:val="none"/>
                    </w:rPr>
                    <w:t>″</w:t>
                  </w:r>
                </w:p>
              </w:tc>
            </w:tr>
            <w:tr w14:paraId="2CC1C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83" w:type="dxa"/>
                  <w:tcBorders>
                    <w:tl2br w:val="nil"/>
                    <w:tr2bl w:val="nil"/>
                  </w:tcBorders>
                  <w:noWrap w:val="0"/>
                  <w:vAlign w:val="center"/>
                </w:tcPr>
                <w:p w14:paraId="138C34CD">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主要危险物质及分布</w:t>
                  </w:r>
                </w:p>
              </w:tc>
              <w:tc>
                <w:tcPr>
                  <w:tcW w:w="6094" w:type="dxa"/>
                  <w:gridSpan w:val="5"/>
                  <w:tcBorders>
                    <w:tl2br w:val="nil"/>
                    <w:tr2bl w:val="nil"/>
                  </w:tcBorders>
                  <w:noWrap w:val="0"/>
                  <w:vAlign w:val="center"/>
                </w:tcPr>
                <w:p w14:paraId="4110BA62">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eastAsia" w:ascii="Times New Roman" w:hAnsi="Times New Roman" w:eastAsia="宋体" w:cs="Times New Roman"/>
                      <w:color w:val="auto"/>
                      <w:spacing w:val="1"/>
                      <w:sz w:val="21"/>
                      <w:szCs w:val="21"/>
                      <w:highlight w:val="none"/>
                      <w:u w:val="none"/>
                      <w:lang w:val="en-US" w:eastAsia="zh-CN"/>
                    </w:rPr>
                    <w:t>废机油，储存于危险废物暂存间</w:t>
                  </w:r>
                </w:p>
              </w:tc>
            </w:tr>
            <w:tr w14:paraId="73921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83" w:type="dxa"/>
                  <w:tcBorders>
                    <w:tl2br w:val="nil"/>
                    <w:tr2bl w:val="nil"/>
                  </w:tcBorders>
                  <w:noWrap w:val="0"/>
                  <w:vAlign w:val="center"/>
                </w:tcPr>
                <w:p w14:paraId="43BE5EAD">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环境影响途径及</w:t>
                  </w:r>
                </w:p>
                <w:p w14:paraId="156A0541">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危害后果（大气、</w:t>
                  </w:r>
                </w:p>
                <w:p w14:paraId="77710E14">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地表水、地下水</w:t>
                  </w:r>
                </w:p>
                <w:p w14:paraId="209FE072">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等）</w:t>
                  </w:r>
                </w:p>
              </w:tc>
              <w:tc>
                <w:tcPr>
                  <w:tcW w:w="6094" w:type="dxa"/>
                  <w:gridSpan w:val="5"/>
                  <w:tcBorders>
                    <w:tl2br w:val="nil"/>
                    <w:tr2bl w:val="nil"/>
                  </w:tcBorders>
                  <w:noWrap w:val="0"/>
                  <w:vAlign w:val="center"/>
                </w:tcPr>
                <w:p w14:paraId="26A9DBD0">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eastAsia" w:cs="Times New Roman"/>
                      <w:color w:val="auto"/>
                      <w:spacing w:val="1"/>
                      <w:sz w:val="21"/>
                      <w:szCs w:val="21"/>
                      <w:highlight w:val="none"/>
                      <w:u w:val="none"/>
                      <w:lang w:val="en-US" w:eastAsia="zh-CN"/>
                    </w:rPr>
                    <w:t>废机油储存或转运过程中发生泄漏，造成暂存间及周边土壤、地下水污染。若遇到降雨天气，将会随着雨水进入地表水体，可能造成地表水体中水质中石油类因子升高。</w:t>
                  </w:r>
                </w:p>
              </w:tc>
            </w:tr>
            <w:tr w14:paraId="2E998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83" w:type="dxa"/>
                  <w:tcBorders>
                    <w:tl2br w:val="nil"/>
                    <w:tr2bl w:val="nil"/>
                  </w:tcBorders>
                  <w:noWrap w:val="0"/>
                  <w:vAlign w:val="center"/>
                </w:tcPr>
                <w:p w14:paraId="7C3A2709">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风险防范措施要求</w:t>
                  </w:r>
                </w:p>
              </w:tc>
              <w:tc>
                <w:tcPr>
                  <w:tcW w:w="6094" w:type="dxa"/>
                  <w:gridSpan w:val="5"/>
                  <w:tcBorders>
                    <w:tl2br w:val="nil"/>
                    <w:tr2bl w:val="nil"/>
                  </w:tcBorders>
                  <w:noWrap w:val="0"/>
                  <w:vAlign w:val="center"/>
                </w:tcPr>
                <w:p w14:paraId="23162355">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left"/>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①在项目区醒目位置设置禁烟、禁火的警示牌。</w:t>
                  </w:r>
                </w:p>
                <w:p w14:paraId="2F9CFA55">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left"/>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②对危险废物的储存量、储存周期要根据生产进度安排，避免过量存储，收集的危险废物要及时委托有资质的单位进行处理，以便降低事故发生的概率。</w:t>
                  </w:r>
                </w:p>
                <w:p w14:paraId="7A6B5CAF">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left"/>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③储存区备有泡沫灭火器，大量泄漏采用泡沫覆盖，降低蒸汽灾害。</w:t>
                  </w:r>
                </w:p>
                <w:p w14:paraId="36F2E982">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left"/>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④贮存期间，定期对存储容器进行检查，及时更换破损容器。</w:t>
                  </w:r>
                </w:p>
                <w:p w14:paraId="0A738713">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left"/>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⑤应急措施：须配备有应急桶、铲子、</w:t>
                  </w:r>
                  <w:r>
                    <w:rPr>
                      <w:rFonts w:hint="eastAsia" w:cs="Times New Roman"/>
                      <w:color w:val="auto"/>
                      <w:spacing w:val="1"/>
                      <w:sz w:val="21"/>
                      <w:szCs w:val="21"/>
                      <w:highlight w:val="none"/>
                      <w:u w:val="none"/>
                      <w:lang w:val="en-US" w:eastAsia="zh-CN"/>
                    </w:rPr>
                    <w:t>吸油毡</w:t>
                  </w:r>
                  <w:r>
                    <w:rPr>
                      <w:rFonts w:hint="default" w:ascii="Times New Roman" w:hAnsi="Times New Roman" w:eastAsia="宋体" w:cs="Times New Roman"/>
                      <w:color w:val="auto"/>
                      <w:spacing w:val="1"/>
                      <w:sz w:val="21"/>
                      <w:szCs w:val="21"/>
                      <w:highlight w:val="none"/>
                      <w:u w:val="none"/>
                      <w:lang w:val="en-US" w:eastAsia="zh-CN"/>
                    </w:rPr>
                    <w:t>、灭火器等应急物资。发现</w:t>
                  </w:r>
                  <w:r>
                    <w:rPr>
                      <w:rFonts w:hint="eastAsia" w:cs="Times New Roman"/>
                      <w:color w:val="auto"/>
                      <w:spacing w:val="1"/>
                      <w:sz w:val="21"/>
                      <w:szCs w:val="21"/>
                      <w:highlight w:val="none"/>
                      <w:u w:val="none"/>
                      <w:lang w:val="en-US" w:eastAsia="zh-CN"/>
                    </w:rPr>
                    <w:t>废机油</w:t>
                  </w:r>
                  <w:r>
                    <w:rPr>
                      <w:rFonts w:hint="default" w:ascii="Times New Roman" w:hAnsi="Times New Roman" w:eastAsia="宋体" w:cs="Times New Roman"/>
                      <w:color w:val="auto"/>
                      <w:spacing w:val="1"/>
                      <w:sz w:val="21"/>
                      <w:szCs w:val="21"/>
                      <w:highlight w:val="none"/>
                      <w:u w:val="none"/>
                      <w:lang w:val="en-US" w:eastAsia="zh-CN"/>
                    </w:rPr>
                    <w:t>泄漏后先进行溢流的围堵， 用</w:t>
                  </w:r>
                  <w:r>
                    <w:rPr>
                      <w:rFonts w:hint="eastAsia" w:cs="Times New Roman"/>
                      <w:color w:val="auto"/>
                      <w:spacing w:val="1"/>
                      <w:sz w:val="21"/>
                      <w:szCs w:val="21"/>
                      <w:highlight w:val="none"/>
                      <w:u w:val="none"/>
                      <w:lang w:val="en-US" w:eastAsia="zh-CN"/>
                    </w:rPr>
                    <w:t>吸油毡</w:t>
                  </w:r>
                  <w:r>
                    <w:rPr>
                      <w:rFonts w:hint="default" w:ascii="Times New Roman" w:hAnsi="Times New Roman" w:eastAsia="宋体" w:cs="Times New Roman"/>
                      <w:color w:val="auto"/>
                      <w:spacing w:val="1"/>
                      <w:sz w:val="21"/>
                      <w:szCs w:val="21"/>
                      <w:highlight w:val="none"/>
                      <w:u w:val="none"/>
                      <w:lang w:val="en-US" w:eastAsia="zh-CN"/>
                    </w:rPr>
                    <w:t>吸收溢出的液体， 然后用铲子铲装至应急桶，妥善放置。尽快找出泄露源并进行封堵处理，避免持续泄漏。</w:t>
                  </w:r>
                </w:p>
              </w:tc>
            </w:tr>
            <w:tr w14:paraId="35F03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77" w:type="dxa"/>
                  <w:gridSpan w:val="6"/>
                  <w:tcBorders>
                    <w:tl2br w:val="nil"/>
                    <w:tr2bl w:val="nil"/>
                  </w:tcBorders>
                  <w:noWrap w:val="0"/>
                  <w:vAlign w:val="center"/>
                </w:tcPr>
                <w:p w14:paraId="43934D85">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填表说明（列出项目相关信息及评价说明）：</w:t>
                  </w:r>
                </w:p>
                <w:p w14:paraId="61A337D4">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危险物质数量与临界量比值（Q）＜1，该项目环境风险潜势为Ⅰ。</w:t>
                  </w:r>
                </w:p>
              </w:tc>
            </w:tr>
          </w:tbl>
          <w:p w14:paraId="0AAF8734">
            <w:pPr>
              <w:ind w:firstLine="480"/>
              <w:rPr>
                <w:rFonts w:hint="default" w:ascii="Times New Roman" w:hAnsi="Times New Roman" w:cs="Times New Roman"/>
                <w:color w:val="auto"/>
                <w:highlight w:val="none"/>
              </w:rPr>
            </w:pPr>
          </w:p>
        </w:tc>
      </w:tr>
      <w:tr w14:paraId="2694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7A4A0466">
            <w:pPr>
              <w:spacing w:line="276" w:lineRule="auto"/>
              <w:ind w:firstLine="0" w:firstLineChars="0"/>
              <w:jc w:val="center"/>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选址选线环境合理性分析</w:t>
            </w:r>
          </w:p>
        </w:tc>
        <w:tc>
          <w:tcPr>
            <w:tcW w:w="8101" w:type="dxa"/>
          </w:tcPr>
          <w:p w14:paraId="5E37368D">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 xml:space="preserve">一、 </w:t>
            </w:r>
            <w:r>
              <w:rPr>
                <w:rFonts w:hint="eastAsia" w:cs="Times New Roman"/>
                <w:color w:val="auto"/>
                <w:szCs w:val="24"/>
                <w:highlight w:val="none"/>
                <w:lang w:val="en-US" w:eastAsia="zh-CN"/>
              </w:rPr>
              <w:t>矿山</w:t>
            </w:r>
            <w:r>
              <w:rPr>
                <w:rFonts w:hint="default" w:ascii="Times New Roman" w:hAnsi="Times New Roman" w:cs="Times New Roman"/>
                <w:color w:val="auto"/>
                <w:szCs w:val="24"/>
                <w:highlight w:val="none"/>
              </w:rPr>
              <w:t>选址合理性分析</w:t>
            </w:r>
          </w:p>
          <w:p w14:paraId="483B4B96">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u w:val="single"/>
              </w:rPr>
              <w:t>本项目位于</w:t>
            </w:r>
            <w:r>
              <w:rPr>
                <w:rFonts w:hint="eastAsia" w:cs="Times New Roman"/>
                <w:color w:val="auto"/>
                <w:szCs w:val="24"/>
                <w:highlight w:val="none"/>
                <w:u w:val="single"/>
                <w:lang w:val="en-US" w:eastAsia="zh-CN"/>
              </w:rPr>
              <w:t>澧县火连坡镇芦桥村九组</w:t>
            </w:r>
            <w:r>
              <w:rPr>
                <w:rFonts w:hint="default" w:ascii="Times New Roman" w:hAnsi="Times New Roman" w:cs="Times New Roman"/>
                <w:color w:val="auto"/>
                <w:szCs w:val="24"/>
                <w:highlight w:val="none"/>
                <w:u w:val="single"/>
              </w:rPr>
              <w:t>，主要进行建筑石料用灰岩的开采</w:t>
            </w:r>
            <w:r>
              <w:rPr>
                <w:rFonts w:hint="eastAsia" w:cs="Times New Roman"/>
                <w:color w:val="auto"/>
                <w:szCs w:val="24"/>
                <w:highlight w:val="none"/>
                <w:u w:val="single"/>
                <w:lang w:val="en-US" w:eastAsia="zh-CN"/>
              </w:rPr>
              <w:t>及</w:t>
            </w:r>
            <w:r>
              <w:rPr>
                <w:rFonts w:hint="default" w:ascii="Times New Roman" w:hAnsi="Times New Roman" w:cs="Times New Roman"/>
                <w:color w:val="auto"/>
                <w:szCs w:val="24"/>
                <w:highlight w:val="none"/>
                <w:u w:val="single"/>
              </w:rPr>
              <w:t>加工。项目所在地不属于生态保护红线范围内，不占用耕地资源，建设单位在开采</w:t>
            </w:r>
            <w:r>
              <w:rPr>
                <w:rFonts w:hint="eastAsia" w:cs="Times New Roman"/>
                <w:color w:val="auto"/>
                <w:szCs w:val="24"/>
                <w:highlight w:val="none"/>
                <w:u w:val="single"/>
                <w:lang w:val="en-US" w:eastAsia="zh-CN"/>
              </w:rPr>
              <w:t>过程中边开采边复垦</w:t>
            </w:r>
            <w:r>
              <w:rPr>
                <w:rFonts w:hint="default" w:ascii="Times New Roman" w:hAnsi="Times New Roman" w:cs="Times New Roman"/>
                <w:color w:val="auto"/>
                <w:szCs w:val="24"/>
                <w:highlight w:val="none"/>
                <w:u w:val="single"/>
              </w:rPr>
              <w:t>，有</w:t>
            </w:r>
            <w:r>
              <w:rPr>
                <w:rFonts w:hint="eastAsia" w:cs="Times New Roman"/>
                <w:color w:val="auto"/>
                <w:szCs w:val="24"/>
                <w:highlight w:val="none"/>
                <w:u w:val="single"/>
                <w:lang w:val="en-US" w:eastAsia="zh-CN"/>
              </w:rPr>
              <w:t>利于</w:t>
            </w:r>
            <w:r>
              <w:rPr>
                <w:rFonts w:hint="default" w:ascii="Times New Roman" w:hAnsi="Times New Roman" w:cs="Times New Roman"/>
                <w:color w:val="auto"/>
                <w:szCs w:val="24"/>
                <w:highlight w:val="none"/>
                <w:u w:val="single"/>
              </w:rPr>
              <w:t>生态建设</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矿山不在自然保护区、风景名胜区、森林公园、饮用水水源保护区、重要湖泊周边、文物古迹所在地、地质遗迹保护区、基本农田保护区等范围内。矿山开采面不在铁路、国道两侧的直观可视范围内</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占地</w:t>
            </w:r>
            <w:r>
              <w:rPr>
                <w:rFonts w:hint="eastAsia" w:cs="Times New Roman"/>
                <w:color w:val="auto"/>
                <w:szCs w:val="24"/>
                <w:highlight w:val="none"/>
                <w:u w:val="single"/>
                <w:lang w:val="en-US" w:eastAsia="zh-CN"/>
              </w:rPr>
              <w:t>现状</w:t>
            </w:r>
            <w:r>
              <w:rPr>
                <w:rFonts w:hint="default" w:ascii="Times New Roman" w:hAnsi="Times New Roman" w:cs="Times New Roman"/>
                <w:color w:val="auto"/>
                <w:szCs w:val="24"/>
                <w:highlight w:val="none"/>
                <w:u w:val="single"/>
              </w:rPr>
              <w:t>为</w:t>
            </w:r>
            <w:r>
              <w:rPr>
                <w:rFonts w:hint="eastAsia" w:ascii="Times New Roman" w:hAnsi="Times New Roman" w:eastAsia="宋体" w:cs="Times New Roman"/>
                <w:color w:val="auto"/>
                <w:szCs w:val="24"/>
                <w:highlight w:val="none"/>
                <w:u w:val="single"/>
                <w:lang w:val="en-US" w:eastAsia="zh-CN"/>
              </w:rPr>
              <w:t>现状主要为其它林地、采矿用地、灌木林地和少量裸岩石砾地</w:t>
            </w:r>
            <w:r>
              <w:rPr>
                <w:rFonts w:hint="default" w:ascii="Times New Roman" w:hAnsi="Times New Roman" w:cs="Times New Roman"/>
                <w:color w:val="auto"/>
                <w:szCs w:val="24"/>
                <w:highlight w:val="none"/>
                <w:u w:val="single"/>
              </w:rPr>
              <w:t>，不在《矿山生态环境保护与污染防治技术政策》中规定的禁采区和限采区。</w:t>
            </w:r>
          </w:p>
          <w:p w14:paraId="0DF541A0">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根据现场踏勘，本工程所在区域内内无自然保护区和重点文物保护单位，未发现受国家和省、市级保护的珍稀野生动植物物种。</w:t>
            </w:r>
          </w:p>
          <w:p w14:paraId="55834A99">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由区域环境质量</w:t>
            </w:r>
            <w:r>
              <w:rPr>
                <w:rFonts w:hint="eastAsia" w:cs="Times New Roman"/>
                <w:color w:val="auto"/>
                <w:szCs w:val="24"/>
                <w:highlight w:val="none"/>
                <w:lang w:val="en-US" w:eastAsia="zh-CN"/>
              </w:rPr>
              <w:t>现状</w:t>
            </w:r>
            <w:r>
              <w:rPr>
                <w:rFonts w:hint="default" w:ascii="Times New Roman" w:hAnsi="Times New Roman" w:cs="Times New Roman"/>
                <w:color w:val="auto"/>
                <w:szCs w:val="24"/>
                <w:highlight w:val="none"/>
              </w:rPr>
              <w:t>监测结果可知</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空气环境质量各监测点位的监测因子均达到《环境空气质量标准》</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GB</w:t>
            </w:r>
            <w:r>
              <w:rPr>
                <w:rFonts w:hint="eastAsia" w:cs="Times New Roman"/>
                <w:color w:val="auto"/>
                <w:szCs w:val="24"/>
                <w:highlight w:val="none"/>
                <w:lang w:val="en-US" w:eastAsia="zh-CN"/>
              </w:rPr>
              <w:t>3</w:t>
            </w:r>
            <w:r>
              <w:rPr>
                <w:rFonts w:hint="default" w:ascii="Times New Roman" w:hAnsi="Times New Roman" w:cs="Times New Roman"/>
                <w:color w:val="auto"/>
                <w:szCs w:val="24"/>
                <w:highlight w:val="none"/>
              </w:rPr>
              <w:t>095-20</w:t>
            </w:r>
            <w:r>
              <w:rPr>
                <w:rFonts w:hint="eastAsia" w:cs="Times New Roman"/>
                <w:color w:val="auto"/>
                <w:szCs w:val="24"/>
                <w:highlight w:val="none"/>
                <w:lang w:val="en-US" w:eastAsia="zh-CN"/>
              </w:rPr>
              <w:t>26</w:t>
            </w:r>
            <w:r>
              <w:rPr>
                <w:rFonts w:hint="eastAsia" w:cs="Times New Roman"/>
                <w:color w:val="auto"/>
                <w:szCs w:val="24"/>
                <w:highlight w:val="none"/>
                <w:lang w:eastAsia="zh-CN"/>
              </w:rPr>
              <w:t>）</w:t>
            </w:r>
            <w:r>
              <w:rPr>
                <w:rFonts w:hint="eastAsia" w:cs="Times New Roman"/>
                <w:color w:val="auto"/>
                <w:szCs w:val="24"/>
                <w:highlight w:val="none"/>
                <w:lang w:val="en-US" w:eastAsia="zh-CN"/>
              </w:rPr>
              <w:t>中</w:t>
            </w:r>
            <w:r>
              <w:rPr>
                <w:rFonts w:hint="default" w:ascii="Times New Roman" w:hAnsi="Times New Roman" w:cs="Times New Roman"/>
                <w:color w:val="auto"/>
                <w:szCs w:val="24"/>
                <w:highlight w:val="none"/>
              </w:rPr>
              <w:t>标准要求。</w:t>
            </w:r>
            <w:r>
              <w:rPr>
                <w:rFonts w:hint="eastAsia" w:cs="Times New Roman"/>
                <w:color w:val="auto"/>
                <w:szCs w:val="24"/>
                <w:highlight w:val="none"/>
                <w:lang w:val="en-US" w:eastAsia="zh-CN"/>
              </w:rPr>
              <w:t>区域内</w:t>
            </w:r>
            <w:r>
              <w:rPr>
                <w:rFonts w:hint="default" w:ascii="Times New Roman" w:hAnsi="Times New Roman" w:cs="Times New Roman"/>
                <w:color w:val="auto"/>
                <w:szCs w:val="24"/>
                <w:highlight w:val="none"/>
              </w:rPr>
              <w:t>地表水均能满足《地表水环境质量标准》</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GB3838-2002</w:t>
            </w:r>
            <w:r>
              <w:rPr>
                <w:rFonts w:hint="eastAsia" w:cs="Times New Roman"/>
                <w:color w:val="auto"/>
                <w:szCs w:val="24"/>
                <w:highlight w:val="none"/>
                <w:lang w:eastAsia="zh-CN"/>
              </w:rPr>
              <w:t>）</w:t>
            </w:r>
            <w:r>
              <w:rPr>
                <w:rFonts w:hint="eastAsia" w:cs="Times New Roman"/>
                <w:color w:val="auto"/>
                <w:szCs w:val="24"/>
                <w:highlight w:val="none"/>
                <w:lang w:val="en-US" w:eastAsia="zh-CN"/>
              </w:rPr>
              <w:t>相关标准</w:t>
            </w:r>
            <w:r>
              <w:rPr>
                <w:rFonts w:hint="default" w:ascii="Times New Roman" w:hAnsi="Times New Roman" w:cs="Times New Roman"/>
                <w:color w:val="auto"/>
                <w:szCs w:val="24"/>
                <w:highlight w:val="none"/>
              </w:rPr>
              <w:t>，区域环境质量良好。</w:t>
            </w:r>
          </w:p>
          <w:p w14:paraId="2CC64D5D">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根据工程分析，经采取洒水抑尘、路面硬化等措施后，项目粉尘等大气污染物排放符合相关标准要求</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各噪声源对周边敏感保护目标的噪声影响较小。</w:t>
            </w:r>
          </w:p>
          <w:p w14:paraId="3F5D5DC8">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综上所述，项目周边环境敏感程度较低，环境质量现状较好，具有足够的环境容量，无明显环境制约因素。从环境保护的角度而言，本项目的选址合理可行。</w:t>
            </w:r>
          </w:p>
          <w:p w14:paraId="0677679D">
            <w:pPr>
              <w:ind w:firstLine="480" w:firstLineChars="200"/>
              <w:rPr>
                <w:rFonts w:hint="eastAsia" w:eastAsia="宋体"/>
                <w:color w:val="auto"/>
                <w:u w:val="single"/>
                <w:lang w:val="en-US" w:eastAsia="zh-CN"/>
              </w:rPr>
            </w:pPr>
            <w:r>
              <w:rPr>
                <w:rFonts w:hint="eastAsia"/>
                <w:color w:val="auto"/>
                <w:u w:val="single"/>
                <w:lang w:val="en-US" w:eastAsia="zh-CN"/>
              </w:rPr>
              <w:t>二、</w:t>
            </w:r>
            <w:r>
              <w:rPr>
                <w:rFonts w:hint="eastAsia"/>
                <w:color w:val="auto"/>
                <w:u w:val="single"/>
              </w:rPr>
              <w:t>工业</w:t>
            </w:r>
            <w:r>
              <w:rPr>
                <w:rFonts w:hint="eastAsia"/>
                <w:color w:val="auto"/>
                <w:u w:val="single"/>
                <w:lang w:val="en-US" w:eastAsia="zh-CN"/>
              </w:rPr>
              <w:t>场地</w:t>
            </w:r>
            <w:r>
              <w:rPr>
                <w:rFonts w:hint="eastAsia"/>
                <w:color w:val="auto"/>
                <w:u w:val="single"/>
              </w:rPr>
              <w:t>选址合理性分析</w:t>
            </w:r>
          </w:p>
          <w:p w14:paraId="2AD5086A">
            <w:pPr>
              <w:ind w:firstLine="480" w:firstLineChars="200"/>
              <w:rPr>
                <w:rFonts w:hint="default" w:ascii="Times New Roman" w:hAnsi="Times New Roman" w:cs="Times New Roman"/>
                <w:color w:val="auto"/>
                <w:szCs w:val="24"/>
                <w:highlight w:val="none"/>
              </w:rPr>
            </w:pPr>
            <w:r>
              <w:rPr>
                <w:rFonts w:hint="eastAsia"/>
                <w:color w:val="auto"/>
                <w:u w:val="single"/>
              </w:rPr>
              <w:t>本项目</w:t>
            </w:r>
            <w:r>
              <w:rPr>
                <w:rFonts w:hint="eastAsia"/>
                <w:color w:val="auto"/>
                <w:u w:val="single"/>
                <w:lang w:eastAsia="zh-CN"/>
              </w:rPr>
              <w:t>工业场地</w:t>
            </w:r>
            <w:r>
              <w:rPr>
                <w:rFonts w:hint="eastAsia"/>
                <w:color w:val="auto"/>
                <w:u w:val="single"/>
              </w:rPr>
              <w:t>利用</w:t>
            </w:r>
            <w:r>
              <w:rPr>
                <w:rFonts w:hint="eastAsia"/>
                <w:color w:val="auto"/>
                <w:u w:val="single"/>
                <w:lang w:val="en-US" w:eastAsia="zh-CN"/>
              </w:rPr>
              <w:t>芦桥采石场</w:t>
            </w:r>
            <w:r>
              <w:rPr>
                <w:rFonts w:hint="eastAsia"/>
                <w:color w:val="auto"/>
                <w:u w:val="single"/>
              </w:rPr>
              <w:t>原有场地，不进行扩建，不占用基本农田等，生态环境影响较小。其位于</w:t>
            </w:r>
            <w:r>
              <w:rPr>
                <w:rFonts w:hint="eastAsia"/>
                <w:color w:val="auto"/>
                <w:u w:val="single"/>
                <w:lang w:val="en-US" w:eastAsia="zh-CN"/>
              </w:rPr>
              <w:t>采矿区北</w:t>
            </w:r>
            <w:r>
              <w:rPr>
                <w:rFonts w:hint="eastAsia"/>
                <w:color w:val="auto"/>
                <w:u w:val="single"/>
              </w:rPr>
              <w:t>侧，</w:t>
            </w:r>
            <w:r>
              <w:rPr>
                <w:rFonts w:hint="eastAsia"/>
                <w:color w:val="auto"/>
                <w:u w:val="single"/>
                <w:lang w:val="en-US" w:eastAsia="zh-CN"/>
              </w:rPr>
              <w:t>与采矿区相邻，</w:t>
            </w:r>
            <w:r>
              <w:rPr>
                <w:rFonts w:hint="eastAsia"/>
                <w:color w:val="auto"/>
                <w:u w:val="single"/>
              </w:rPr>
              <w:t>有矿区道路连接，方便矿石的运输。综上可知，</w:t>
            </w:r>
            <w:r>
              <w:rPr>
                <w:rFonts w:hint="eastAsia"/>
                <w:color w:val="auto"/>
                <w:u w:val="single"/>
                <w:lang w:eastAsia="zh-CN"/>
              </w:rPr>
              <w:t>工业场地</w:t>
            </w:r>
            <w:r>
              <w:rPr>
                <w:rFonts w:hint="eastAsia"/>
                <w:color w:val="auto"/>
                <w:u w:val="single"/>
              </w:rPr>
              <w:t>选址是合理的。</w:t>
            </w:r>
          </w:p>
          <w:p w14:paraId="3FDB1FE8">
            <w:pPr>
              <w:ind w:firstLine="480"/>
              <w:rPr>
                <w:rFonts w:hint="default" w:ascii="Times New Roman" w:hAnsi="Times New Roman" w:cs="Times New Roman"/>
                <w:color w:val="auto"/>
                <w:szCs w:val="24"/>
                <w:highlight w:val="none"/>
              </w:rPr>
            </w:pPr>
            <w:r>
              <w:rPr>
                <w:rFonts w:hint="eastAsia" w:cs="Times New Roman"/>
                <w:color w:val="auto"/>
                <w:szCs w:val="24"/>
                <w:highlight w:val="none"/>
                <w:lang w:val="en-US" w:eastAsia="zh-CN"/>
              </w:rPr>
              <w:t>三</w:t>
            </w:r>
            <w:r>
              <w:rPr>
                <w:rFonts w:hint="default" w:ascii="Times New Roman" w:hAnsi="Times New Roman" w:cs="Times New Roman"/>
                <w:color w:val="auto"/>
                <w:szCs w:val="24"/>
                <w:highlight w:val="none"/>
              </w:rPr>
              <w:t>、平面布局合理性分析</w:t>
            </w:r>
          </w:p>
          <w:p w14:paraId="49064423">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本工程矿区位于</w:t>
            </w:r>
            <w:r>
              <w:rPr>
                <w:rFonts w:hint="eastAsia" w:cs="Times New Roman"/>
                <w:color w:val="auto"/>
                <w:szCs w:val="24"/>
                <w:highlight w:val="none"/>
                <w:lang w:val="en-US" w:eastAsia="zh-CN"/>
              </w:rPr>
              <w:t>中部</w:t>
            </w:r>
            <w:r>
              <w:rPr>
                <w:rFonts w:hint="eastAsia" w:cs="Times New Roman"/>
                <w:color w:val="auto"/>
                <w:szCs w:val="24"/>
                <w:highlight w:val="none"/>
                <w:lang w:eastAsia="zh-CN"/>
              </w:rPr>
              <w:t>；</w:t>
            </w:r>
            <w:r>
              <w:rPr>
                <w:rFonts w:hint="eastAsia" w:cs="Times New Roman"/>
                <w:color w:val="auto"/>
                <w:szCs w:val="24"/>
                <w:highlight w:val="none"/>
                <w:lang w:val="en-US" w:eastAsia="zh-CN"/>
              </w:rPr>
              <w:t>工业场地位于矿区东北侧，与矿区相邻；排土场位于矿区西侧；</w:t>
            </w:r>
            <w:r>
              <w:rPr>
                <w:rFonts w:hint="default" w:ascii="Times New Roman" w:hAnsi="Times New Roman" w:cs="Times New Roman"/>
                <w:color w:val="auto"/>
                <w:szCs w:val="24"/>
                <w:highlight w:val="none"/>
              </w:rPr>
              <w:t>办公生活区布置于</w:t>
            </w:r>
            <w:r>
              <w:rPr>
                <w:rFonts w:hint="eastAsia" w:cs="Times New Roman"/>
                <w:color w:val="auto"/>
                <w:szCs w:val="24"/>
                <w:highlight w:val="none"/>
                <w:lang w:val="en-US" w:eastAsia="zh-CN"/>
              </w:rPr>
              <w:t>矿区</w:t>
            </w:r>
            <w:r>
              <w:rPr>
                <w:rFonts w:hint="default" w:ascii="Times New Roman" w:hAnsi="Times New Roman" w:cs="Times New Roman"/>
                <w:color w:val="auto"/>
                <w:szCs w:val="24"/>
                <w:highlight w:val="none"/>
              </w:rPr>
              <w:t>东</w:t>
            </w:r>
            <w:r>
              <w:rPr>
                <w:rFonts w:hint="eastAsia" w:cs="Times New Roman"/>
                <w:color w:val="auto"/>
                <w:szCs w:val="24"/>
                <w:highlight w:val="none"/>
                <w:lang w:val="en-US" w:eastAsia="zh-CN"/>
              </w:rPr>
              <w:t>面</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工业场地</w:t>
            </w:r>
            <w:r>
              <w:rPr>
                <w:rFonts w:hint="eastAsia" w:cs="Times New Roman"/>
                <w:color w:val="auto"/>
                <w:szCs w:val="24"/>
                <w:highlight w:val="none"/>
                <w:lang w:val="en-US" w:eastAsia="zh-CN"/>
              </w:rPr>
              <w:t>南</w:t>
            </w:r>
            <w:r>
              <w:rPr>
                <w:rFonts w:hint="default" w:ascii="Times New Roman" w:hAnsi="Times New Roman" w:cs="Times New Roman"/>
                <w:color w:val="auto"/>
                <w:szCs w:val="24"/>
                <w:highlight w:val="none"/>
              </w:rPr>
              <w:t>面地块布置</w:t>
            </w:r>
            <w:r>
              <w:rPr>
                <w:rFonts w:hint="eastAsia" w:cs="Times New Roman"/>
                <w:color w:val="auto"/>
                <w:szCs w:val="24"/>
                <w:highlight w:val="none"/>
                <w:lang w:val="en-US" w:eastAsia="zh-CN"/>
              </w:rPr>
              <w:t>加工车间，西面地块布置有除尘设施，北</w:t>
            </w:r>
            <w:r>
              <w:rPr>
                <w:rFonts w:hint="default" w:ascii="Times New Roman" w:hAnsi="Times New Roman" w:cs="Times New Roman"/>
                <w:color w:val="auto"/>
                <w:szCs w:val="24"/>
                <w:highlight w:val="none"/>
              </w:rPr>
              <w:t>面地块布置成品堆场</w:t>
            </w:r>
            <w:r>
              <w:rPr>
                <w:rFonts w:hint="eastAsia" w:cs="Times New Roman"/>
                <w:color w:val="auto"/>
                <w:szCs w:val="24"/>
                <w:highlight w:val="none"/>
                <w:lang w:eastAsia="zh-CN"/>
              </w:rPr>
              <w:t>，</w:t>
            </w:r>
            <w:r>
              <w:rPr>
                <w:rFonts w:hint="eastAsia" w:cs="Times New Roman"/>
                <w:color w:val="auto"/>
                <w:szCs w:val="24"/>
                <w:highlight w:val="none"/>
                <w:lang w:val="en-US" w:eastAsia="zh-CN"/>
              </w:rPr>
              <w:t>东面地块布置有沉淀池</w:t>
            </w:r>
            <w:r>
              <w:rPr>
                <w:rFonts w:hint="default" w:ascii="Times New Roman" w:hAnsi="Times New Roman" w:cs="Times New Roman"/>
                <w:color w:val="auto"/>
                <w:szCs w:val="24"/>
                <w:highlight w:val="none"/>
              </w:rPr>
              <w:t>。项目厂区平面布置结合厂区实际情况及生产需求，布局紧凑，土地利用率高，运输线路短，保证生产各工序紧密结合、流畅运行，矿区、</w:t>
            </w:r>
            <w:r>
              <w:rPr>
                <w:rFonts w:hint="eastAsia" w:cs="Times New Roman"/>
                <w:color w:val="auto"/>
                <w:szCs w:val="24"/>
                <w:highlight w:val="none"/>
                <w:lang w:eastAsia="zh-CN"/>
              </w:rPr>
              <w:t>工业场地</w:t>
            </w:r>
            <w:r>
              <w:rPr>
                <w:rFonts w:hint="default" w:ascii="Times New Roman" w:hAnsi="Times New Roman" w:cs="Times New Roman"/>
                <w:color w:val="auto"/>
                <w:szCs w:val="24"/>
                <w:highlight w:val="none"/>
              </w:rPr>
              <w:t>均位于远离办公区、周边居民的西面，将项目破碎加工等过程中对周边影响降到最低，项目平面布置合理。</w:t>
            </w:r>
          </w:p>
          <w:p w14:paraId="13E9E298">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项目所在地处于山区，常年无大风，项目粉尘</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扬尘</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经洒水降尘措施处理后，对周围环境影响不大。同时，项目产生高噪声的设备集中在</w:t>
            </w:r>
            <w:r>
              <w:rPr>
                <w:rFonts w:hint="eastAsia" w:cs="Times New Roman"/>
                <w:color w:val="auto"/>
                <w:szCs w:val="24"/>
                <w:highlight w:val="none"/>
                <w:lang w:val="en-US" w:eastAsia="zh-CN"/>
              </w:rPr>
              <w:t>工业场地</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与周边居民有一定距离，因此对周边居民生活环境影响不大</w:t>
            </w:r>
            <w:r>
              <w:rPr>
                <w:rFonts w:hint="default" w:ascii="Times New Roman" w:hAnsi="Times New Roman" w:cs="Times New Roman"/>
                <w:color w:val="auto"/>
                <w:szCs w:val="24"/>
                <w:highlight w:val="none"/>
              </w:rPr>
              <w:t>。环评要求建设单位在采矿区及</w:t>
            </w:r>
            <w:r>
              <w:rPr>
                <w:rFonts w:hint="eastAsia" w:cs="Times New Roman"/>
                <w:color w:val="auto"/>
                <w:szCs w:val="24"/>
                <w:highlight w:val="none"/>
                <w:lang w:eastAsia="zh-CN"/>
              </w:rPr>
              <w:t>排土场</w:t>
            </w:r>
            <w:r>
              <w:rPr>
                <w:rFonts w:hint="default" w:ascii="Times New Roman" w:hAnsi="Times New Roman" w:cs="Times New Roman"/>
                <w:color w:val="auto"/>
                <w:szCs w:val="24"/>
                <w:highlight w:val="none"/>
              </w:rPr>
              <w:t>内设置截排水沟，并设置沉淀池，用于收集雨水之后回用于洒水抑尘。</w:t>
            </w:r>
          </w:p>
          <w:p w14:paraId="79C3471D">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综上所述，从环境保护的角度考虑本项目平面布置较为合理可行。</w:t>
            </w:r>
          </w:p>
          <w:p w14:paraId="4CDA1599">
            <w:pPr>
              <w:ind w:firstLine="480"/>
              <w:rPr>
                <w:rFonts w:hint="default" w:ascii="Times New Roman" w:hAnsi="Times New Roman" w:cs="Times New Roman"/>
                <w:color w:val="auto"/>
                <w:szCs w:val="24"/>
                <w:highlight w:val="none"/>
                <w:u w:val="single"/>
              </w:rPr>
            </w:pPr>
            <w:r>
              <w:rPr>
                <w:rFonts w:hint="eastAsia" w:cs="Times New Roman"/>
                <w:color w:val="auto"/>
                <w:szCs w:val="24"/>
                <w:highlight w:val="none"/>
                <w:u w:val="single"/>
                <w:lang w:val="en-US" w:eastAsia="zh-CN"/>
              </w:rPr>
              <w:t>四</w:t>
            </w:r>
            <w:r>
              <w:rPr>
                <w:rFonts w:hint="default" w:ascii="Times New Roman" w:hAnsi="Times New Roman" w:cs="Times New Roman"/>
                <w:color w:val="auto"/>
                <w:szCs w:val="24"/>
                <w:highlight w:val="none"/>
                <w:u w:val="single"/>
              </w:rPr>
              <w:t>、</w:t>
            </w:r>
            <w:r>
              <w:rPr>
                <w:rFonts w:hint="eastAsia" w:cs="Times New Roman"/>
                <w:color w:val="auto"/>
                <w:szCs w:val="24"/>
                <w:highlight w:val="none"/>
                <w:u w:val="single"/>
                <w:lang w:eastAsia="zh-CN"/>
              </w:rPr>
              <w:t>排土场</w:t>
            </w:r>
            <w:r>
              <w:rPr>
                <w:rFonts w:hint="default" w:ascii="Times New Roman" w:hAnsi="Times New Roman" w:cs="Times New Roman"/>
                <w:color w:val="auto"/>
                <w:szCs w:val="24"/>
                <w:highlight w:val="none"/>
                <w:u w:val="single"/>
              </w:rPr>
              <w:t>设置合理性分析</w:t>
            </w:r>
          </w:p>
          <w:p w14:paraId="121D92C6">
            <w:pPr>
              <w:ind w:firstLine="480"/>
              <w:rPr>
                <w:rFonts w:hint="default" w:ascii="Times New Roman" w:hAnsi="Times New Roman" w:eastAsia="宋体" w:cs="Times New Roman"/>
                <w:color w:val="auto"/>
                <w:szCs w:val="24"/>
                <w:highlight w:val="none"/>
                <w:u w:val="single"/>
              </w:rPr>
            </w:pPr>
            <w:r>
              <w:rPr>
                <w:rFonts w:hint="default" w:ascii="Times New Roman" w:hAnsi="Times New Roman" w:cs="Times New Roman"/>
                <w:color w:val="auto"/>
                <w:szCs w:val="24"/>
                <w:highlight w:val="none"/>
                <w:u w:val="single"/>
              </w:rPr>
              <w:t>根据《</w:t>
            </w:r>
            <w:r>
              <w:rPr>
                <w:rFonts w:hint="eastAsia" w:cs="Times New Roman"/>
                <w:color w:val="auto"/>
                <w:szCs w:val="24"/>
                <w:highlight w:val="none"/>
                <w:u w:val="single"/>
                <w:lang w:eastAsia="zh-CN"/>
              </w:rPr>
              <w:t>湖南省澧县屠夫垭矿区建筑石料用灰岩矿</w:t>
            </w:r>
            <w:r>
              <w:rPr>
                <w:rFonts w:hint="default" w:ascii="Times New Roman" w:hAnsi="Times New Roman" w:cs="Times New Roman"/>
                <w:color w:val="auto"/>
                <w:szCs w:val="24"/>
                <w:highlight w:val="none"/>
                <w:u w:val="single"/>
              </w:rPr>
              <w:t>资源开发利用方案》，项目矿山剥离表土总量</w:t>
            </w:r>
            <w:r>
              <w:rPr>
                <w:rFonts w:hint="eastAsia" w:cs="Times New Roman"/>
                <w:color w:val="auto"/>
                <w:szCs w:val="24"/>
                <w:highlight w:val="none"/>
                <w:u w:val="single"/>
                <w:lang w:val="en-US" w:eastAsia="zh-CN"/>
              </w:rPr>
              <w:t>为21.1万</w:t>
            </w:r>
            <w:r>
              <w:rPr>
                <w:rFonts w:hint="default" w:ascii="Times New Roman" w:hAnsi="Times New Roman" w:cs="Times New Roman"/>
                <w:color w:val="auto"/>
                <w:szCs w:val="24"/>
                <w:highlight w:val="none"/>
                <w:u w:val="single"/>
              </w:rPr>
              <w:t>m</w:t>
            </w:r>
            <w:r>
              <w:rPr>
                <w:rFonts w:hint="default" w:ascii="Times New Roman" w:hAnsi="Times New Roman" w:cs="Times New Roman"/>
                <w:color w:val="auto"/>
                <w:szCs w:val="24"/>
                <w:highlight w:val="none"/>
                <w:u w:val="single"/>
                <w:vertAlign w:val="superscript"/>
              </w:rPr>
              <w:t>3</w:t>
            </w:r>
            <w:r>
              <w:rPr>
                <w:rFonts w:hint="eastAsia" w:ascii="Times New Roman" w:hAnsi="Times New Roman" w:cs="Times New Roman"/>
                <w:color w:val="auto"/>
                <w:highlight w:val="none"/>
                <w:u w:val="single"/>
              </w:rPr>
              <w:t>。</w:t>
            </w:r>
            <w:r>
              <w:rPr>
                <w:rFonts w:hint="eastAsia" w:eastAsia="宋体" w:cs="Times New Roman"/>
                <w:color w:val="auto"/>
                <w:szCs w:val="24"/>
                <w:highlight w:val="none"/>
                <w:u w:val="single"/>
                <w:lang w:val="en-US" w:eastAsia="zh-CN"/>
              </w:rPr>
              <w:t>本项目</w:t>
            </w:r>
            <w:r>
              <w:rPr>
                <w:rFonts w:hint="eastAsia" w:ascii="Times New Roman" w:hAnsi="Times New Roman" w:eastAsia="宋体" w:cs="Times New Roman"/>
                <w:color w:val="auto"/>
                <w:szCs w:val="24"/>
                <w:highlight w:val="none"/>
                <w:u w:val="single"/>
                <w:lang w:val="en-US" w:eastAsia="zh-CN"/>
              </w:rPr>
              <w:t xml:space="preserve">排土场布置在采场西部 </w:t>
            </w:r>
            <w:r>
              <w:rPr>
                <w:rFonts w:hint="default" w:ascii="Times New Roman" w:hAnsi="Times New Roman" w:eastAsia="宋体" w:cs="Times New Roman"/>
                <w:color w:val="auto"/>
                <w:szCs w:val="24"/>
                <w:highlight w:val="none"/>
                <w:u w:val="single"/>
                <w:lang w:val="en-US" w:eastAsia="zh-CN"/>
              </w:rPr>
              <w:t xml:space="preserve">7 </w:t>
            </w:r>
            <w:r>
              <w:rPr>
                <w:rFonts w:hint="eastAsia" w:ascii="Times New Roman" w:hAnsi="Times New Roman" w:eastAsia="宋体" w:cs="Times New Roman"/>
                <w:color w:val="auto"/>
                <w:szCs w:val="24"/>
                <w:highlight w:val="none"/>
                <w:u w:val="single"/>
                <w:lang w:val="en-US" w:eastAsia="zh-CN"/>
              </w:rPr>
              <w:t xml:space="preserve">号拐点外洼地处，可排土面积约 </w:t>
            </w:r>
            <w:r>
              <w:rPr>
                <w:rFonts w:hint="default" w:ascii="Times New Roman" w:hAnsi="Times New Roman" w:eastAsia="宋体" w:cs="Times New Roman"/>
                <w:color w:val="auto"/>
                <w:szCs w:val="24"/>
                <w:highlight w:val="none"/>
                <w:u w:val="single"/>
                <w:lang w:val="en-US" w:eastAsia="zh-CN"/>
              </w:rPr>
              <w:t xml:space="preserve">2.38 </w:t>
            </w:r>
            <w:r>
              <w:rPr>
                <w:rFonts w:hint="eastAsia" w:ascii="Times New Roman" w:hAnsi="Times New Roman" w:eastAsia="宋体" w:cs="Times New Roman"/>
                <w:color w:val="auto"/>
                <w:szCs w:val="24"/>
                <w:highlight w:val="none"/>
                <w:u w:val="single"/>
                <w:lang w:val="en-US" w:eastAsia="zh-CN"/>
              </w:rPr>
              <w:t>万</w:t>
            </w:r>
            <w:r>
              <w:rPr>
                <w:rFonts w:hint="default" w:ascii="Times New Roman" w:hAnsi="Times New Roman" w:eastAsia="宋体" w:cs="Times New Roman"/>
                <w:color w:val="auto"/>
                <w:szCs w:val="24"/>
                <w:highlight w:val="none"/>
                <w:u w:val="single"/>
                <w:lang w:val="en-US" w:eastAsia="zh-CN"/>
              </w:rPr>
              <w:t>m</w:t>
            </w:r>
            <w:r>
              <w:rPr>
                <w:rFonts w:hint="default" w:ascii="Times New Roman" w:hAnsi="Times New Roman" w:eastAsia="宋体" w:cs="Times New Roman"/>
                <w:color w:val="auto"/>
                <w:szCs w:val="24"/>
                <w:highlight w:val="none"/>
                <w:u w:val="single"/>
                <w:vertAlign w:val="superscript"/>
                <w:lang w:val="en-US" w:eastAsia="zh-CN"/>
              </w:rPr>
              <w:t>2</w:t>
            </w:r>
            <w:r>
              <w:rPr>
                <w:rFonts w:hint="default" w:ascii="Times New Roman" w:hAnsi="Times New Roman" w:eastAsia="宋体" w:cs="Times New Roman"/>
                <w:color w:val="auto"/>
                <w:szCs w:val="24"/>
                <w:highlight w:val="none"/>
                <w:u w:val="single"/>
                <w:lang w:val="en-US" w:eastAsia="zh-CN"/>
              </w:rPr>
              <w:t xml:space="preserve"> </w:t>
            </w:r>
            <w:r>
              <w:rPr>
                <w:rFonts w:hint="eastAsia" w:ascii="Times New Roman" w:hAnsi="Times New Roman" w:eastAsia="宋体" w:cs="Times New Roman"/>
                <w:color w:val="auto"/>
                <w:szCs w:val="24"/>
                <w:highlight w:val="none"/>
                <w:u w:val="single"/>
                <w:lang w:val="en-US" w:eastAsia="zh-CN"/>
              </w:rPr>
              <w:t>，堆高约</w:t>
            </w:r>
            <w:r>
              <w:rPr>
                <w:rFonts w:hint="default" w:ascii="Times New Roman" w:hAnsi="Times New Roman" w:eastAsia="宋体" w:cs="Times New Roman"/>
                <w:color w:val="auto"/>
                <w:szCs w:val="24"/>
                <w:highlight w:val="none"/>
                <w:u w:val="single"/>
                <w:lang w:val="en-US" w:eastAsia="zh-CN"/>
              </w:rPr>
              <w:t>15m</w:t>
            </w:r>
            <w:r>
              <w:rPr>
                <w:rFonts w:hint="eastAsia" w:ascii="Times New Roman" w:hAnsi="Times New Roman" w:eastAsia="宋体" w:cs="Times New Roman"/>
                <w:color w:val="auto"/>
                <w:szCs w:val="24"/>
                <w:highlight w:val="none"/>
                <w:u w:val="single"/>
                <w:lang w:val="en-US" w:eastAsia="zh-CN"/>
              </w:rPr>
              <w:t>，总容积约</w:t>
            </w:r>
            <w:r>
              <w:rPr>
                <w:rFonts w:hint="default" w:ascii="Times New Roman" w:hAnsi="Times New Roman" w:eastAsia="宋体" w:cs="Times New Roman"/>
                <w:color w:val="auto"/>
                <w:szCs w:val="24"/>
                <w:highlight w:val="none"/>
                <w:u w:val="single"/>
                <w:lang w:val="en-US" w:eastAsia="zh-CN"/>
              </w:rPr>
              <w:t>23.44</w:t>
            </w:r>
            <w:r>
              <w:rPr>
                <w:rFonts w:hint="eastAsia" w:ascii="Times New Roman" w:hAnsi="Times New Roman" w:eastAsia="宋体" w:cs="Times New Roman"/>
                <w:color w:val="auto"/>
                <w:szCs w:val="24"/>
                <w:highlight w:val="none"/>
                <w:u w:val="single"/>
                <w:lang w:val="en-US" w:eastAsia="zh-CN"/>
              </w:rPr>
              <w:t>万</w:t>
            </w:r>
            <w:r>
              <w:rPr>
                <w:rFonts w:hint="default" w:ascii="Times New Roman" w:hAnsi="Times New Roman" w:eastAsia="宋体" w:cs="Times New Roman"/>
                <w:color w:val="auto"/>
                <w:szCs w:val="24"/>
                <w:highlight w:val="none"/>
                <w:u w:val="single"/>
                <w:lang w:val="en-US" w:eastAsia="zh-CN"/>
              </w:rPr>
              <w:t>m</w:t>
            </w:r>
            <w:r>
              <w:rPr>
                <w:rFonts w:hint="eastAsia" w:eastAsia="宋体" w:cs="Times New Roman"/>
                <w:color w:val="auto"/>
                <w:szCs w:val="24"/>
                <w:highlight w:val="none"/>
                <w:u w:val="single"/>
                <w:vertAlign w:val="superscript"/>
                <w:lang w:val="en-US" w:eastAsia="zh-CN"/>
              </w:rPr>
              <w:t>3</w:t>
            </w:r>
            <w:r>
              <w:rPr>
                <w:rFonts w:hint="eastAsia" w:ascii="Times New Roman" w:hAnsi="Times New Roman" w:eastAsia="宋体" w:cs="Times New Roman"/>
                <w:color w:val="auto"/>
                <w:szCs w:val="24"/>
                <w:highlight w:val="none"/>
                <w:u w:val="single"/>
                <w:lang w:val="en-US" w:eastAsia="zh-CN"/>
              </w:rPr>
              <w:t xml:space="preserve">，未来矿山根据采剥计划可将剥离覆土堆放于排土场内，总体上排土场与剥离量能够匹配，不致造成堆土高度过高。 </w:t>
            </w:r>
          </w:p>
          <w:p w14:paraId="575C3A3A">
            <w:pPr>
              <w:ind w:firstLine="480"/>
              <w:rPr>
                <w:rFonts w:hint="default" w:ascii="Times New Roman" w:hAnsi="Times New Roman" w:eastAsia="宋体" w:cs="Times New Roman"/>
                <w:color w:val="auto"/>
                <w:szCs w:val="24"/>
                <w:highlight w:val="none"/>
                <w:u w:val="single"/>
              </w:rPr>
            </w:pPr>
            <w:r>
              <w:rPr>
                <w:rFonts w:hint="eastAsia" w:ascii="Times New Roman" w:hAnsi="Times New Roman" w:eastAsia="宋体" w:cs="Times New Roman"/>
                <w:color w:val="auto"/>
                <w:szCs w:val="24"/>
                <w:highlight w:val="none"/>
                <w:u w:val="single"/>
                <w:lang w:val="en-US" w:eastAsia="zh-CN"/>
              </w:rPr>
              <w:t>矿山采用露天开采方式，开采时先对覆盖土进行剥离，从剥离体成分和种类看，主要是粘土，后续可用于矿区的道路建设、复绿、复垦，尽可能充分利用，可有效降低排土场的实际排土量。可</w:t>
            </w:r>
            <w:r>
              <w:rPr>
                <w:rFonts w:hint="eastAsia" w:ascii="Times New Roman" w:hAnsi="Times New Roman" w:eastAsia="宋体" w:cs="Times New Roman"/>
                <w:color w:val="auto"/>
                <w:szCs w:val="24"/>
                <w:highlight w:val="none"/>
                <w:u w:val="single"/>
              </w:rPr>
              <w:t>满足堆放要求。</w:t>
            </w:r>
          </w:p>
          <w:p w14:paraId="751422AB">
            <w:pPr>
              <w:ind w:firstLine="480" w:firstLineChars="200"/>
              <w:rPr>
                <w:rFonts w:hint="eastAsia"/>
                <w:color w:val="auto"/>
                <w:u w:val="single"/>
              </w:rPr>
            </w:pPr>
            <w:r>
              <w:rPr>
                <w:rFonts w:hint="eastAsia" w:ascii="Times New Roman" w:hAnsi="Times New Roman" w:cs="Times New Roman"/>
                <w:color w:val="auto"/>
                <w:u w:val="single"/>
                <w:lang w:val="en-US" w:eastAsia="zh-CN"/>
              </w:rPr>
              <w:t>本项目</w:t>
            </w:r>
            <w:r>
              <w:rPr>
                <w:rFonts w:hint="eastAsia" w:ascii="Times New Roman" w:hAnsi="Times New Roman" w:cs="Times New Roman"/>
                <w:color w:val="auto"/>
                <w:u w:val="single"/>
                <w:lang w:eastAsia="zh-CN"/>
              </w:rPr>
              <w:t>排土场</w:t>
            </w:r>
            <w:r>
              <w:rPr>
                <w:rFonts w:hint="default" w:ascii="Times New Roman" w:hAnsi="Times New Roman" w:cs="Times New Roman"/>
                <w:color w:val="auto"/>
                <w:u w:val="single"/>
              </w:rPr>
              <w:t>不在生态保护红线区域、永久基本农田集中区域和其他需要特别保护的区域内</w:t>
            </w:r>
            <w:r>
              <w:rPr>
                <w:rFonts w:hint="eastAsia" w:ascii="Times New Roman" w:hAnsi="Times New Roman" w:cs="Times New Roman"/>
                <w:color w:val="auto"/>
                <w:u w:val="single"/>
                <w:lang w:eastAsia="zh-CN"/>
              </w:rPr>
              <w:t>，</w:t>
            </w:r>
            <w:r>
              <w:rPr>
                <w:rFonts w:hint="eastAsia" w:ascii="Times New Roman" w:hAnsi="Times New Roman" w:cs="Times New Roman"/>
                <w:color w:val="auto"/>
                <w:u w:val="single"/>
              </w:rPr>
              <w:t>地基满足承载</w:t>
            </w:r>
            <w:r>
              <w:rPr>
                <w:rFonts w:hint="eastAsia"/>
                <w:color w:val="auto"/>
                <w:u w:val="single"/>
              </w:rPr>
              <w:t>力要求</w:t>
            </w:r>
            <w:r>
              <w:rPr>
                <w:rFonts w:hint="eastAsia"/>
                <w:color w:val="auto"/>
                <w:u w:val="single"/>
                <w:lang w:eastAsia="zh-CN"/>
              </w:rPr>
              <w:t>，</w:t>
            </w:r>
            <w:r>
              <w:rPr>
                <w:rFonts w:hint="eastAsia"/>
                <w:color w:val="auto"/>
                <w:u w:val="single"/>
              </w:rPr>
              <w:t>不在断层、断层破碎带、溶洞区，以及天然滑坡或泥石流影响区内；不在江河、湖泊、水库最高水位线以下的滩地和洪泛区；不在自然保护区、风景名胜区和其他特别需要保护的区域内。通过以上分析可知，</w:t>
            </w:r>
            <w:r>
              <w:rPr>
                <w:rFonts w:hint="eastAsia"/>
                <w:color w:val="auto"/>
                <w:u w:val="single"/>
                <w:lang w:val="en-US" w:eastAsia="zh-CN"/>
              </w:rPr>
              <w:t>排土场</w:t>
            </w:r>
            <w:r>
              <w:rPr>
                <w:rFonts w:hint="eastAsia"/>
                <w:color w:val="auto"/>
                <w:u w:val="single"/>
              </w:rPr>
              <w:t>选址可行。</w:t>
            </w:r>
          </w:p>
          <w:p w14:paraId="01D56A71">
            <w:pPr>
              <w:ind w:firstLine="480"/>
              <w:rPr>
                <w:rFonts w:hint="default" w:ascii="Times New Roman" w:hAnsi="Times New Roman" w:cs="Times New Roman"/>
                <w:color w:val="auto"/>
                <w:highlight w:val="none"/>
                <w:lang w:val="en-US"/>
              </w:rPr>
            </w:pPr>
            <w:r>
              <w:rPr>
                <w:rFonts w:hint="eastAsia" w:ascii="Times New Roman" w:hAnsi="Times New Roman" w:cs="Times New Roman"/>
                <w:color w:val="auto"/>
                <w:sz w:val="24"/>
                <w:szCs w:val="24"/>
                <w:u w:val="single"/>
                <w:lang w:val="en-US" w:eastAsia="zh-CN"/>
              </w:rPr>
              <w:t>根据本项目开发利用方案，项目前期</w:t>
            </w:r>
            <w:r>
              <w:rPr>
                <w:rFonts w:hint="eastAsia" w:ascii="Times New Roman" w:hAnsi="Times New Roman" w:eastAsia="宋体" w:cs="Times New Roman"/>
                <w:color w:val="auto"/>
                <w:sz w:val="24"/>
                <w:szCs w:val="24"/>
                <w:u w:val="single"/>
                <w:lang w:val="en-US" w:eastAsia="zh-CN"/>
              </w:rPr>
              <w:t>表土</w:t>
            </w:r>
            <w:r>
              <w:rPr>
                <w:rFonts w:hint="eastAsia" w:ascii="Times New Roman" w:hAnsi="Times New Roman" w:cs="Times New Roman"/>
                <w:color w:val="auto"/>
                <w:sz w:val="24"/>
                <w:szCs w:val="24"/>
                <w:u w:val="single"/>
                <w:lang w:val="en-US" w:eastAsia="zh-CN"/>
              </w:rPr>
              <w:t>直接</w:t>
            </w:r>
            <w:r>
              <w:rPr>
                <w:rFonts w:hint="eastAsia" w:ascii="Times New Roman" w:hAnsi="Times New Roman" w:eastAsia="宋体" w:cs="Times New Roman"/>
                <w:color w:val="auto"/>
                <w:sz w:val="24"/>
                <w:szCs w:val="24"/>
                <w:u w:val="single"/>
                <w:lang w:val="en-US" w:eastAsia="zh-CN"/>
              </w:rPr>
              <w:t>用于老矿区复垦，</w:t>
            </w:r>
            <w:r>
              <w:rPr>
                <w:rFonts w:hint="eastAsia" w:ascii="Times New Roman" w:hAnsi="Times New Roman" w:cs="Times New Roman"/>
                <w:color w:val="auto"/>
                <w:sz w:val="24"/>
                <w:szCs w:val="24"/>
                <w:u w:val="single"/>
                <w:lang w:val="en-US" w:eastAsia="zh-CN"/>
              </w:rPr>
              <w:t>不进入排土场，后期再堆放于</w:t>
            </w:r>
            <w:r>
              <w:rPr>
                <w:rFonts w:hint="eastAsia" w:ascii="Times New Roman" w:hAnsi="Times New Roman" w:eastAsia="宋体" w:cs="Times New Roman"/>
                <w:color w:val="auto"/>
                <w:sz w:val="24"/>
                <w:szCs w:val="24"/>
                <w:u w:val="single"/>
                <w:lang w:val="en-US" w:eastAsia="zh-CN"/>
              </w:rPr>
              <w:t>排土场，</w:t>
            </w:r>
            <w:r>
              <w:rPr>
                <w:rFonts w:hint="eastAsia" w:ascii="Times New Roman" w:hAnsi="Times New Roman" w:cs="Times New Roman"/>
                <w:color w:val="auto"/>
                <w:sz w:val="24"/>
                <w:szCs w:val="24"/>
                <w:u w:val="single"/>
                <w:lang w:val="en-US" w:eastAsia="zh-CN"/>
              </w:rPr>
              <w:t>本次环评要求排土场需</w:t>
            </w:r>
            <w:r>
              <w:rPr>
                <w:rFonts w:hint="eastAsia" w:ascii="Times New Roman" w:hAnsi="Times New Roman" w:eastAsia="宋体" w:cs="Times New Roman"/>
                <w:color w:val="auto"/>
                <w:sz w:val="24"/>
                <w:szCs w:val="24"/>
                <w:u w:val="single"/>
                <w:lang w:val="en-US" w:eastAsia="zh-CN"/>
              </w:rPr>
              <w:t>办理</w:t>
            </w:r>
            <w:r>
              <w:rPr>
                <w:rFonts w:hint="eastAsia" w:ascii="Times New Roman" w:hAnsi="Times New Roman" w:cs="Times New Roman"/>
                <w:color w:val="auto"/>
                <w:sz w:val="24"/>
                <w:szCs w:val="24"/>
                <w:u w:val="single"/>
                <w:lang w:val="en-US" w:eastAsia="zh-CN"/>
              </w:rPr>
              <w:t>用地</w:t>
            </w:r>
            <w:r>
              <w:rPr>
                <w:rFonts w:hint="eastAsia" w:ascii="Times New Roman" w:hAnsi="Times New Roman" w:eastAsia="宋体" w:cs="Times New Roman"/>
                <w:color w:val="auto"/>
                <w:sz w:val="24"/>
                <w:szCs w:val="24"/>
                <w:u w:val="single"/>
                <w:lang w:val="en-US" w:eastAsia="zh-CN"/>
              </w:rPr>
              <w:t>手续</w:t>
            </w:r>
            <w:r>
              <w:rPr>
                <w:rFonts w:hint="eastAsia" w:ascii="Times New Roman" w:hAnsi="Times New Roman" w:cs="Times New Roman"/>
                <w:color w:val="auto"/>
                <w:sz w:val="24"/>
                <w:szCs w:val="24"/>
                <w:u w:val="single"/>
                <w:lang w:val="en-US" w:eastAsia="zh-CN"/>
              </w:rPr>
              <w:t>方可使用。</w:t>
            </w:r>
          </w:p>
        </w:tc>
      </w:tr>
    </w:tbl>
    <w:p w14:paraId="205017C4">
      <w:pPr>
        <w:pStyle w:val="2"/>
        <w:jc w:val="center"/>
        <w:rPr>
          <w:rFonts w:hint="default" w:ascii="Times New Roman" w:hAnsi="Times New Roman" w:eastAsia="黑体" w:cs="Times New Roman"/>
          <w:b w:val="0"/>
          <w:bCs w:val="0"/>
          <w:color w:val="auto"/>
          <w:sz w:val="30"/>
          <w:szCs w:val="30"/>
          <w:highlight w:val="none"/>
        </w:rPr>
        <w:sectPr>
          <w:pgSz w:w="11906" w:h="16838"/>
          <w:pgMar w:top="1701" w:right="1531" w:bottom="1701" w:left="1531" w:header="851" w:footer="992" w:gutter="0"/>
          <w:pgBorders>
            <w:top w:val="none" w:sz="0" w:space="0"/>
            <w:left w:val="none" w:sz="0" w:space="0"/>
            <w:bottom w:val="none" w:sz="0" w:space="0"/>
            <w:right w:val="none" w:sz="0" w:space="0"/>
          </w:pgBorders>
          <w:pgNumType w:fmt="numberInDash"/>
          <w:cols w:space="425" w:num="1"/>
          <w:docGrid w:type="lines" w:linePitch="312" w:charSpace="0"/>
        </w:sectPr>
      </w:pPr>
      <w:bookmarkStart w:id="6" w:name="_Toc30293"/>
    </w:p>
    <w:p w14:paraId="66CAAE8C">
      <w:pPr>
        <w:pStyle w:val="2"/>
        <w:jc w:val="center"/>
        <w:rPr>
          <w:rFonts w:hint="default" w:ascii="Times New Roman" w:hAnsi="Times New Roman" w:eastAsia="黑体" w:cs="Times New Roman"/>
          <w:b w:val="0"/>
          <w:bCs w:val="0"/>
          <w:color w:val="auto"/>
          <w:sz w:val="30"/>
          <w:szCs w:val="30"/>
          <w:highlight w:val="none"/>
        </w:rPr>
      </w:pPr>
      <w:r>
        <w:rPr>
          <w:rFonts w:hint="default" w:ascii="Times New Roman" w:hAnsi="Times New Roman" w:eastAsia="黑体" w:cs="Times New Roman"/>
          <w:b w:val="0"/>
          <w:bCs w:val="0"/>
          <w:color w:val="auto"/>
          <w:sz w:val="30"/>
          <w:szCs w:val="30"/>
          <w:highlight w:val="none"/>
        </w:rPr>
        <w:t>五、主要生态环境保护措施</w:t>
      </w:r>
      <w:bookmarkEnd w:id="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101"/>
      </w:tblGrid>
      <w:tr w14:paraId="7815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B7D28D3">
            <w:pPr>
              <w:pStyle w:val="17"/>
              <w:spacing w:before="0" w:beforeAutospacing="0" w:after="0" w:afterAutospacing="0" w:line="276" w:lineRule="auto"/>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施工期生态环</w:t>
            </w:r>
          </w:p>
          <w:p w14:paraId="2C86879A">
            <w:pPr>
              <w:pStyle w:val="17"/>
              <w:spacing w:before="0" w:beforeAutospacing="0" w:after="0" w:afterAutospacing="0" w:line="276" w:lineRule="auto"/>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境保护措施</w:t>
            </w:r>
          </w:p>
        </w:tc>
        <w:tc>
          <w:tcPr>
            <w:tcW w:w="8101" w:type="dxa"/>
          </w:tcPr>
          <w:p w14:paraId="16C7D34A">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1、生态环境保护措施</w:t>
            </w:r>
          </w:p>
          <w:p w14:paraId="1A3223D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间不可避免改变地形地貌，破坏植被、扰动原有土体，使土壤松散、地表裸露，容易产生水土流失。项目施工改变局部土地利用格局，地表植被破坏影响自然景观视觉。为降低生态环境影响，防止水土流失，项目施工期应采取如下生态环境措施。</w:t>
            </w:r>
          </w:p>
          <w:p w14:paraId="2EA3E0B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①合理规划施工布局，精心组织施工管理，将施工场地全部布置在矿区范围内，不压占矿区外</w:t>
            </w:r>
            <w:r>
              <w:rPr>
                <w:rFonts w:hint="eastAsia" w:cs="Times New Roman"/>
                <w:color w:val="auto"/>
                <w:highlight w:val="none"/>
                <w:lang w:val="en-US" w:eastAsia="zh-CN"/>
              </w:rPr>
              <w:t>土地</w:t>
            </w:r>
            <w:r>
              <w:rPr>
                <w:rFonts w:hint="default" w:ascii="Times New Roman" w:hAnsi="Times New Roman" w:cs="Times New Roman"/>
                <w:color w:val="auto"/>
                <w:highlight w:val="none"/>
              </w:rPr>
              <w:t>。</w:t>
            </w:r>
          </w:p>
          <w:p w14:paraId="334DF6D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②项目建（构）筑物尽可能与矿区周边环境相协调，根据周边自然景观进行装饰，降低景观视觉冲击。</w:t>
            </w:r>
          </w:p>
          <w:p w14:paraId="649BC7E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③严禁随意破坏植被，矿区外植被按照</w:t>
            </w:r>
            <w:r>
              <w:rPr>
                <w:rFonts w:hint="eastAsia" w:cs="Times New Roman"/>
                <w:color w:val="auto"/>
                <w:highlight w:val="none"/>
                <w:lang w:eastAsia="zh-CN"/>
              </w:rPr>
              <w:t>“</w:t>
            </w:r>
            <w:r>
              <w:rPr>
                <w:rFonts w:hint="default" w:ascii="Times New Roman" w:hAnsi="Times New Roman" w:cs="Times New Roman"/>
                <w:color w:val="auto"/>
                <w:highlight w:val="none"/>
              </w:rPr>
              <w:t>破坏多少、恢复多少</w:t>
            </w:r>
            <w:r>
              <w:rPr>
                <w:rFonts w:hint="eastAsia" w:cs="Times New Roman"/>
                <w:color w:val="auto"/>
                <w:highlight w:val="none"/>
                <w:lang w:eastAsia="zh-CN"/>
              </w:rPr>
              <w:t>”</w:t>
            </w:r>
            <w:r>
              <w:rPr>
                <w:rFonts w:hint="default" w:ascii="Times New Roman" w:hAnsi="Times New Roman" w:cs="Times New Roman"/>
                <w:color w:val="auto"/>
                <w:highlight w:val="none"/>
              </w:rPr>
              <w:t>原则进行生态补偿，同样尽量减少矿区内植被破坏，防止水土流失。</w:t>
            </w:r>
          </w:p>
          <w:p w14:paraId="0EC084C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④做好现场施工人员宣传、教育、管理工作，禁止捕抓野生动物，禁止破坏矿区周边生态，影响野生动物迁移生境。</w:t>
            </w:r>
          </w:p>
          <w:p w14:paraId="2A76519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⑤采取临时防护措施，设置临时排洪沟，及时护理坡面；建设挡土墙、护墙、泵砌片石等辅助工程稳定边坡，减少水土流失量。</w:t>
            </w:r>
          </w:p>
          <w:p w14:paraId="220F795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⑥加强施工现场管理，废土、废渣及时运送指定场所，不得随意堆放，防止出现废土、废渣处置不当导致水土流失。</w:t>
            </w:r>
          </w:p>
          <w:p w14:paraId="0435BE2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2、环境污染防治措施</w:t>
            </w:r>
          </w:p>
          <w:p w14:paraId="7EC6C4C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（1）大气污染防治措施</w:t>
            </w:r>
          </w:p>
          <w:p w14:paraId="7DC1151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施工期大气污染主要包括施工扬尘和施工燃油机械尾气，施工扬尘来源于地表开挖、土地平整、基础施工等，施工燃油机械尾气属于分散源和移动源。施工期大气污染防治措施如下：</w:t>
            </w:r>
          </w:p>
          <w:p w14:paraId="6012FB1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①定期在施工现场地面和道路上洒水，以减少施工扬尘的产生；裸露地表采用防尘网覆盖，防止风吹引起扬尘。</w:t>
            </w:r>
          </w:p>
          <w:p w14:paraId="553A6E3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②采用尾气排放符合国家规定标准的车辆和施工机械，确保其运行时尾气达标排放，减少对环境空气的污染；禁止尾气排放不达标的车辆和施工机械运行作业。</w:t>
            </w:r>
          </w:p>
          <w:p w14:paraId="715C63A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（2）水污染防治措施</w:t>
            </w:r>
          </w:p>
          <w:p w14:paraId="666440A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项目施工期产生废水包括地表径流雨水、施工设备清洗废水等施工废水以及施工人员生活污水。</w:t>
            </w:r>
          </w:p>
          <w:p w14:paraId="2D03D3D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①提前修建排水沟及沉淀池，收集地表径流雨水及施工设备清洗废水，采取沉淀处理措施后回用于抑尘洒水。</w:t>
            </w:r>
          </w:p>
          <w:p w14:paraId="3927F80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②依托现有</w:t>
            </w:r>
            <w:r>
              <w:rPr>
                <w:rFonts w:hint="eastAsia" w:cs="Times New Roman"/>
                <w:color w:val="auto"/>
                <w:highlight w:val="none"/>
                <w:lang w:val="en-US" w:eastAsia="zh-CN"/>
              </w:rPr>
              <w:t>工程工业场地内</w:t>
            </w:r>
            <w:r>
              <w:rPr>
                <w:rFonts w:hint="default" w:ascii="Times New Roman" w:hAnsi="Times New Roman" w:cs="Times New Roman"/>
                <w:color w:val="auto"/>
                <w:highlight w:val="none"/>
              </w:rPr>
              <w:t>生活区厕所，施工人员生活污水经现有化粪池处理后用于周边</w:t>
            </w:r>
            <w:r>
              <w:rPr>
                <w:rFonts w:hint="eastAsia" w:cs="Times New Roman"/>
                <w:color w:val="auto"/>
                <w:highlight w:val="none"/>
                <w:lang w:val="en-US" w:eastAsia="zh-CN"/>
              </w:rPr>
              <w:t>农肥灌溉</w:t>
            </w:r>
            <w:r>
              <w:rPr>
                <w:rFonts w:hint="default" w:ascii="Times New Roman" w:hAnsi="Times New Roman" w:cs="Times New Roman"/>
                <w:color w:val="auto"/>
                <w:highlight w:val="none"/>
              </w:rPr>
              <w:t>。</w:t>
            </w:r>
          </w:p>
          <w:p w14:paraId="5AA1596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（3）噪声污染防治措施</w:t>
            </w:r>
          </w:p>
          <w:p w14:paraId="171DC69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施工期噪声包括施工机械噪声、施工作业噪声和施工车辆噪声，具有噪声强、突发性等特点。施工时必须采取有效措施，确保施工期噪声达标排放，减轻影响。</w:t>
            </w:r>
          </w:p>
          <w:p w14:paraId="4E37F67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 合理安排施工作业，尽量避免多台强噪声施工机械在同一时段、同一施工场地作业。</w:t>
            </w:r>
          </w:p>
          <w:p w14:paraId="624B580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 尽量选用噪声强度较低的施工机械，少使用或不使用强噪声设备，合理安排施工作业时间，严禁夜晚施工。</w:t>
            </w:r>
          </w:p>
          <w:p w14:paraId="2626B56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（4）固体废物防治措施</w:t>
            </w:r>
          </w:p>
          <w:p w14:paraId="6D82077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施工期固体废物有废砖、钢板、木材等建筑垃圾及施工人员生活垃圾。建筑垃圾分类收集后资源化或无害化处置，施工人员生活垃圾集中收集后交由环卫部门清运。</w:t>
            </w:r>
          </w:p>
        </w:tc>
      </w:tr>
      <w:tr w14:paraId="305F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trPr>
        <w:tc>
          <w:tcPr>
            <w:tcW w:w="959" w:type="dxa"/>
            <w:vAlign w:val="center"/>
          </w:tcPr>
          <w:p w14:paraId="7B92FE6E">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bCs/>
                <w:color w:val="auto"/>
                <w:szCs w:val="24"/>
                <w:highlight w:val="none"/>
              </w:rPr>
              <w:t>运营期生态环境保护措施</w:t>
            </w:r>
          </w:p>
        </w:tc>
        <w:tc>
          <w:tcPr>
            <w:tcW w:w="8101" w:type="dxa"/>
          </w:tcPr>
          <w:p w14:paraId="2C0665F3">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1、生态环境保护措施</w:t>
            </w:r>
          </w:p>
          <w:p w14:paraId="2DC205F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项目运营期生态环境影响主要体现在土地占用、陆生植物、陆生动物、区域生物多样性等方面，项目须采取切实有效的生态环境保护措施，降低生态环境影响。</w:t>
            </w:r>
          </w:p>
          <w:p w14:paraId="10C491D5">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（1）土地资源保护措施</w:t>
            </w:r>
          </w:p>
          <w:p w14:paraId="5392963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w:t>
            </w:r>
            <w:r>
              <w:rPr>
                <w:rFonts w:hint="eastAsia" w:cs="Times New Roman"/>
                <w:color w:val="auto"/>
                <w:highlight w:val="none"/>
                <w:u w:val="none"/>
                <w:lang w:eastAsia="zh-CN"/>
              </w:rPr>
              <w:t>湖南省澧县屠夫垭矿区建筑石料用灰岩矿</w:t>
            </w:r>
            <w:r>
              <w:rPr>
                <w:rFonts w:hint="default" w:ascii="Times New Roman" w:hAnsi="Times New Roman" w:cs="Times New Roman"/>
                <w:color w:val="auto"/>
                <w:highlight w:val="none"/>
                <w:u w:val="none"/>
              </w:rPr>
              <w:t>矿</w:t>
            </w:r>
            <w:r>
              <w:rPr>
                <w:rFonts w:hint="eastAsia" w:cs="Times New Roman"/>
                <w:color w:val="auto"/>
                <w:highlight w:val="none"/>
                <w:u w:val="none"/>
                <w:lang w:val="en-US" w:eastAsia="zh-CN"/>
              </w:rPr>
              <w:t>区</w:t>
            </w:r>
            <w:r>
              <w:rPr>
                <w:rFonts w:hint="default" w:ascii="Times New Roman" w:hAnsi="Times New Roman" w:cs="Times New Roman"/>
                <w:color w:val="auto"/>
                <w:highlight w:val="none"/>
                <w:u w:val="none"/>
              </w:rPr>
              <w:t>生态保护修复方案》，做好生态环保措施。按照“ 边开采、边修复” 的原则，综合矿山所在地的生态功能区划定位、《国土空间规划》中的土地用途管制、区域产业经济发展战略布局、特色产业经济及周边群众对矿山生态修复的诉求等多方面因素，以不破坏局部生态系统的生态功能为前提，按照宜耕则耕、宜建则建</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宜水则水、宜林则林的原则，做好矿山生态保护：①对于未来矿山地形地面景观破坏及土地资源占损问题，矿山应边开采边修复，对矿山开采形成的永久性边坡和台阶进行复垦，因地制宜实现土地可持续利用，闭坑后露采场底盘修复成旱地及配套工程排水沟；</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及地面建设区闭采后拆除平整场地复垦林草地，矿部保留，其它地块覆土复垦为林草地，并对植被恢复区进行生态管护和监测等。②对于未来矿山水资源水生态问题，矿山应在矿山开采前期在矿界</w:t>
            </w:r>
            <w:r>
              <w:rPr>
                <w:rFonts w:hint="eastAsia" w:cs="Times New Roman"/>
                <w:color w:val="auto"/>
                <w:highlight w:val="none"/>
                <w:u w:val="none"/>
                <w:lang w:val="en-US" w:eastAsia="zh-CN"/>
              </w:rPr>
              <w:t>坡脚</w:t>
            </w:r>
            <w:r>
              <w:rPr>
                <w:rFonts w:hint="default" w:ascii="Times New Roman" w:hAnsi="Times New Roman" w:cs="Times New Roman"/>
                <w:color w:val="auto"/>
                <w:highlight w:val="none"/>
                <w:u w:val="none"/>
              </w:rPr>
              <w:t>修建截排水沟，修建采场至加工区的截排水沟及沉淀池， 修建排土场下方排水沟及沉淀池，并设置相应的水质、土壤的监测点</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防治水环境污染的发生。③对于未来矿山灾害问题，矿山所在区域地形坡度一般为20～45°，局部陡峭，矿山应做好截排水工作，保持排水畅通，减轻矿山露天采场形成的边坡水土流失程度，矿山永久边坡和台阶生态修复后，加强植被后期管护工作；排土场外围截排水沟工程；开采过程中对危岩进行清理， 加强边坡防护，在境界外设置围栏及警示牌；设置地质灾害监测点，以预防地质灾害。④对于未来矿山生物多样性问题，矿山在全</w:t>
            </w:r>
            <w:r>
              <w:rPr>
                <w:rFonts w:hint="eastAsia" w:cs="Times New Roman"/>
                <w:color w:val="auto"/>
                <w:highlight w:val="none"/>
                <w:u w:val="none"/>
                <w:lang w:val="en-US" w:eastAsia="zh-CN"/>
              </w:rPr>
              <w:t>运行</w:t>
            </w:r>
            <w:r>
              <w:rPr>
                <w:rFonts w:hint="default" w:ascii="Times New Roman" w:hAnsi="Times New Roman" w:cs="Times New Roman"/>
                <w:color w:val="auto"/>
                <w:highlight w:val="none"/>
                <w:u w:val="none"/>
              </w:rPr>
              <w:t>周期，应加强当地生物监测，并设置必要的宣传牌和警示牌。并同时做好以下保护措施：</w:t>
            </w:r>
          </w:p>
          <w:p w14:paraId="62F2AB8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①做好露采剥离废土的合理堆放；对日常生活垃圾应集中堆放、及时交环卫部门处置。</w:t>
            </w:r>
          </w:p>
          <w:p w14:paraId="258699E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②按照矿山生态保护修复方案，及时对损毁的土地进行修复，结合当地的土壤特点，栽植当地树种，优化生态环境，减少对地形地貌景观破坏程度。</w:t>
            </w:r>
          </w:p>
          <w:p w14:paraId="3443D87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③生产建设中，通过现场实地巡查和量测对地形地貌景观破坏面积、植被破坏面积和类型进行监测。</w:t>
            </w:r>
          </w:p>
          <w:p w14:paraId="2B3B48AA">
            <w:pPr>
              <w:ind w:firstLine="48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eastAsia="zh-CN"/>
              </w:rPr>
              <w:t>（</w:t>
            </w:r>
            <w:r>
              <w:rPr>
                <w:rFonts w:hint="eastAsia" w:cs="Times New Roman"/>
                <w:color w:val="auto"/>
                <w:highlight w:val="none"/>
                <w:u w:val="none"/>
                <w:lang w:val="en-US" w:eastAsia="zh-CN"/>
              </w:rPr>
              <w:t>2）水土流失保护措施</w:t>
            </w:r>
          </w:p>
          <w:p w14:paraId="20BF1E07">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项目水土流失主要集中在开采区和排土场内。水土流失是采石行业对环境影响的最重要方面，是因为水土流失是不可恢复的，另外，水土流失还可导致河道、水库的淤积，生态环境也将遭破坏，直接影响人类的生存环境，因此必须引起重视。 </w:t>
            </w:r>
          </w:p>
          <w:p w14:paraId="66E3B97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本次环评建议应采取如下防治水土流失措施： </w:t>
            </w:r>
          </w:p>
          <w:p w14:paraId="0CF0307A">
            <w:pPr>
              <w:keepNext w:val="0"/>
              <w:keepLines w:val="0"/>
              <w:widowControl/>
              <w:suppressLineNumbers w:val="0"/>
              <w:jc w:val="left"/>
              <w:rPr>
                <w:color w:val="auto"/>
                <w:highlight w:val="none"/>
              </w:rPr>
            </w:pPr>
            <w:r>
              <w:rPr>
                <w:rFonts w:ascii="Cambria Math" w:hAnsi="Cambria Math" w:eastAsia="Cambria Math" w:cs="Cambria Math"/>
                <w:color w:val="auto"/>
                <w:kern w:val="0"/>
                <w:sz w:val="24"/>
                <w:szCs w:val="24"/>
                <w:highlight w:val="none"/>
                <w:lang w:val="en-US" w:eastAsia="zh-CN" w:bidi="ar"/>
              </w:rPr>
              <w:t>①</w:t>
            </w:r>
            <w:r>
              <w:rPr>
                <w:rFonts w:hint="eastAsia" w:ascii="宋体" w:hAnsi="宋体" w:eastAsia="宋体" w:cs="宋体"/>
                <w:color w:val="auto"/>
                <w:kern w:val="0"/>
                <w:sz w:val="24"/>
                <w:szCs w:val="24"/>
                <w:highlight w:val="none"/>
                <w:lang w:val="en-US" w:eastAsia="zh-CN" w:bidi="ar"/>
              </w:rPr>
              <w:t xml:space="preserve">建立完善的截（排）水沟，防止坡（地）面水漫坡（地）流动，侵蚀土壤，造成水土流失；上山道路内坡脚，沿路设临时路边排水沟，防止泥石路面水土流失； </w:t>
            </w:r>
          </w:p>
          <w:p w14:paraId="1D51E675">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②</w:t>
            </w:r>
            <w:r>
              <w:rPr>
                <w:rFonts w:hint="eastAsia" w:ascii="宋体" w:hAnsi="宋体" w:eastAsia="宋体" w:cs="宋体"/>
                <w:color w:val="auto"/>
                <w:kern w:val="0"/>
                <w:sz w:val="24"/>
                <w:szCs w:val="24"/>
                <w:highlight w:val="none"/>
                <w:lang w:val="en-US" w:eastAsia="zh-CN" w:bidi="ar"/>
              </w:rPr>
              <w:t xml:space="preserve">截（排）水沟水流经沉沙池处理，沉淀池的设计需按给排水规范设计。 </w:t>
            </w:r>
          </w:p>
          <w:p w14:paraId="7F677508">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③</w:t>
            </w:r>
            <w:r>
              <w:rPr>
                <w:rFonts w:hint="eastAsia" w:ascii="宋体" w:hAnsi="宋体" w:eastAsia="宋体" w:cs="宋体"/>
                <w:color w:val="auto"/>
                <w:kern w:val="0"/>
                <w:sz w:val="24"/>
                <w:szCs w:val="24"/>
                <w:highlight w:val="none"/>
                <w:lang w:val="en-US" w:eastAsia="zh-CN" w:bidi="ar"/>
              </w:rPr>
              <w:t xml:space="preserve">严格控制目的性不强的地表剥离，落实边开采边恢复措施。 </w:t>
            </w:r>
          </w:p>
          <w:p w14:paraId="28F381E0">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④</w:t>
            </w:r>
            <w:r>
              <w:rPr>
                <w:rFonts w:hint="eastAsia" w:ascii="宋体" w:hAnsi="宋体" w:eastAsia="宋体" w:cs="宋体"/>
                <w:color w:val="auto"/>
                <w:kern w:val="0"/>
                <w:sz w:val="24"/>
                <w:szCs w:val="24"/>
                <w:highlight w:val="none"/>
                <w:lang w:val="en-US" w:eastAsia="zh-CN" w:bidi="ar"/>
              </w:rPr>
              <w:t xml:space="preserve">堆场周边也应设置排水沟，避免大雨时的水土流失； </w:t>
            </w:r>
          </w:p>
          <w:p w14:paraId="1ACFEC12">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⑤</w:t>
            </w:r>
            <w:r>
              <w:rPr>
                <w:rFonts w:hint="eastAsia" w:ascii="宋体" w:hAnsi="宋体" w:eastAsia="宋体" w:cs="宋体"/>
                <w:color w:val="auto"/>
                <w:kern w:val="0"/>
                <w:sz w:val="24"/>
                <w:szCs w:val="24"/>
                <w:highlight w:val="none"/>
                <w:lang w:val="en-US" w:eastAsia="zh-CN" w:bidi="ar"/>
              </w:rPr>
              <w:t xml:space="preserve">采石与生态恢复要紧密衔接，表土应单独剥离妥善保存； </w:t>
            </w:r>
          </w:p>
          <w:p w14:paraId="7B193ED6">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⑥</w:t>
            </w:r>
            <w:r>
              <w:rPr>
                <w:rFonts w:hint="eastAsia" w:ascii="宋体" w:hAnsi="宋体" w:eastAsia="宋体" w:cs="宋体"/>
                <w:color w:val="auto"/>
                <w:kern w:val="0"/>
                <w:sz w:val="24"/>
                <w:szCs w:val="24"/>
                <w:highlight w:val="none"/>
                <w:lang w:val="en-US" w:eastAsia="zh-CN" w:bidi="ar"/>
              </w:rPr>
              <w:t xml:space="preserve">在边坡及平台植树、种草，增加土壤抗侵蚀能力； </w:t>
            </w:r>
          </w:p>
          <w:p w14:paraId="1A96ACFB">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⑦</w:t>
            </w:r>
            <w:r>
              <w:rPr>
                <w:rFonts w:hint="eastAsia" w:ascii="宋体" w:hAnsi="宋体" w:eastAsia="宋体" w:cs="宋体"/>
                <w:color w:val="auto"/>
                <w:kern w:val="0"/>
                <w:sz w:val="24"/>
                <w:szCs w:val="24"/>
                <w:highlight w:val="none"/>
                <w:lang w:val="en-US" w:eastAsia="zh-CN" w:bidi="ar"/>
              </w:rPr>
              <w:t xml:space="preserve">避开在中、大雨时进行采剥； </w:t>
            </w:r>
          </w:p>
          <w:p w14:paraId="73A6CC65">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⑧</w:t>
            </w:r>
            <w:r>
              <w:rPr>
                <w:rFonts w:hint="eastAsia" w:ascii="宋体" w:hAnsi="宋体" w:eastAsia="宋体" w:cs="宋体"/>
                <w:color w:val="auto"/>
                <w:kern w:val="0"/>
                <w:sz w:val="24"/>
                <w:szCs w:val="24"/>
                <w:highlight w:val="none"/>
                <w:lang w:val="en-US" w:eastAsia="zh-CN" w:bidi="ar"/>
              </w:rPr>
              <w:t>开展生态环境监测。建立一定数量的监测点，监测矿区土地、植被资源的占用和破坏情况，监测矿区水土流失状况。</w:t>
            </w:r>
          </w:p>
          <w:p w14:paraId="0576F880">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⑨</w:t>
            </w:r>
            <w:r>
              <w:rPr>
                <w:rFonts w:hint="eastAsia" w:ascii="宋体" w:hAnsi="宋体" w:eastAsia="宋体" w:cs="宋体"/>
                <w:color w:val="auto"/>
                <w:kern w:val="0"/>
                <w:sz w:val="24"/>
                <w:szCs w:val="24"/>
                <w:highlight w:val="none"/>
                <w:lang w:val="en-US" w:eastAsia="zh-CN" w:bidi="ar"/>
              </w:rPr>
              <w:t xml:space="preserve"> 排土场水土保持措施 </w:t>
            </w:r>
          </w:p>
          <w:p w14:paraId="5F4315CC">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）清除原始植被层，底板铺垫大块废石垫层厚</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1.5m</w:t>
            </w:r>
            <w:r>
              <w:rPr>
                <w:rFonts w:hint="eastAsia" w:ascii="宋体" w:hAnsi="宋体" w:eastAsia="宋体" w:cs="宋体"/>
                <w:color w:val="auto"/>
                <w:kern w:val="0"/>
                <w:sz w:val="24"/>
                <w:szCs w:val="24"/>
                <w:highlight w:val="none"/>
                <w:lang w:val="en-US" w:eastAsia="zh-CN" w:bidi="ar"/>
              </w:rPr>
              <w:t xml:space="preserve">，以利于渗水和预防泥石流； </w:t>
            </w:r>
          </w:p>
          <w:p w14:paraId="537FBFD3">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）坡底修筑挡土墙，防止泥砂外溢； </w:t>
            </w:r>
          </w:p>
          <w:p w14:paraId="78E68334">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）排土场上游修筑截水沟，防止外部山坡径流侵袭排土场； </w:t>
            </w:r>
          </w:p>
          <w:p w14:paraId="25BDF530">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 xml:space="preserve">）最终边坡的平台，均要设置排水沟，与境界外截排水沟贯通，防止形成边坡径流； </w:t>
            </w:r>
          </w:p>
          <w:p w14:paraId="6CB900F4">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）排土场下游修筑透水拦截坝，高</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5m</w:t>
            </w:r>
            <w:r>
              <w:rPr>
                <w:rFonts w:hint="eastAsia" w:ascii="宋体" w:hAnsi="宋体" w:eastAsia="宋体" w:cs="宋体"/>
                <w:color w:val="auto"/>
                <w:kern w:val="0"/>
                <w:sz w:val="24"/>
                <w:szCs w:val="24"/>
                <w:highlight w:val="none"/>
                <w:lang w:val="en-US" w:eastAsia="zh-CN" w:bidi="ar"/>
              </w:rPr>
              <w:t xml:space="preserve">； </w:t>
            </w:r>
          </w:p>
          <w:p w14:paraId="5D643B73">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）下部设沉淀池，排土场土场渗水经沉淀达标后方能外排。</w:t>
            </w:r>
          </w:p>
          <w:p w14:paraId="1DC9001C">
            <w:pPr>
              <w:keepNext w:val="0"/>
              <w:keepLines w:val="0"/>
              <w:widowControl/>
              <w:suppressLineNumbers w:val="0"/>
              <w:jc w:val="left"/>
              <w:rPr>
                <w:rFonts w:hint="default" w:ascii="Times New Roman" w:hAnsi="Times New Roman" w:cs="Times New Roman"/>
                <w:color w:val="auto"/>
                <w:highlight w:val="none"/>
                <w:u w:val="none"/>
              </w:rPr>
            </w:pPr>
            <w:r>
              <w:rPr>
                <w:rFonts w:hint="eastAsia" w:ascii="宋体" w:hAnsi="宋体" w:eastAsia="宋体" w:cs="宋体"/>
                <w:color w:val="auto"/>
                <w:kern w:val="0"/>
                <w:sz w:val="24"/>
                <w:szCs w:val="24"/>
                <w:highlight w:val="none"/>
                <w:lang w:val="en-US" w:eastAsia="zh-CN" w:bidi="ar"/>
              </w:rPr>
              <w:t>采取上述措施后，水土流失现象将会受到抑制。</w:t>
            </w:r>
          </w:p>
          <w:p w14:paraId="7603EB4B">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3</w:t>
            </w:r>
            <w:r>
              <w:rPr>
                <w:rFonts w:hint="default" w:ascii="Times New Roman" w:hAnsi="Times New Roman" w:cs="Times New Roman"/>
                <w:color w:val="auto"/>
                <w:highlight w:val="none"/>
                <w:u w:val="none"/>
              </w:rPr>
              <w:t>）陆生</w:t>
            </w:r>
            <w:r>
              <w:rPr>
                <w:rFonts w:hint="eastAsia" w:cs="Times New Roman"/>
                <w:color w:val="auto"/>
                <w:highlight w:val="none"/>
                <w:u w:val="none"/>
                <w:lang w:val="en-US" w:eastAsia="zh-CN"/>
              </w:rPr>
              <w:t>动、</w:t>
            </w:r>
            <w:r>
              <w:rPr>
                <w:rFonts w:hint="default" w:ascii="Times New Roman" w:hAnsi="Times New Roman" w:cs="Times New Roman"/>
                <w:color w:val="auto"/>
                <w:highlight w:val="none"/>
                <w:u w:val="none"/>
              </w:rPr>
              <w:t>植物保护措施</w:t>
            </w:r>
          </w:p>
          <w:p w14:paraId="6AF8BA0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矿山开采方式为露天开采，矿区的露天开采在矿山开采结束后将进行土地复垦，可使矿区被破坏的地表植被部分得到恢复。项目矿区内无高大乔木、林木及珍稀名贵树种，植被以灌木、灌草类植物为主。项目运营期需保护好非规划用地植被，减少生态环境破坏；不得随意开挖、填埋、毁坏矿区及周边区域原有灌木林地。禁止在非规划用地毁林开荒、放火烧山，不得随意砍伐矿区周边现有树木。通过“边开采、边复垦” 方式及时植树绿化、恢复植被，尽快清理滑落到山坡植被上的土方，恢复植被原有生长状态。</w:t>
            </w:r>
          </w:p>
          <w:p w14:paraId="40F8B188">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项目矿山开采破坏野生动物栖息地和觅食地，导致野生动物向远离矿区方向迁移。因此项目运营期间禁止破坏矿区外环境，保护矿区周边野生动物生境，确保矿区周边野生动物生境与矿区内动物生境类似。控制项目劳动定员，减少人类活动范围，加强员工教育管理。提高员工野生动物保护意识，加强法纪观念，禁止乱捕滥杀，禁止捕食野生动物。</w:t>
            </w:r>
          </w:p>
          <w:p w14:paraId="44773929">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矿山应在采矿权范围及其周围，进行生物监测、监视，采取以下有效措施保护动植物：</w:t>
            </w:r>
          </w:p>
          <w:p w14:paraId="5954D40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①矿山应与林业部门配合在矿区内张贴项目区野生保护动植物宣传画及材料，提高职工和当地村民的动植物保护意识，宣传保护生物多样性的重要性，不乱砍滥伐林木，不破坏使用林地范围以外的森林植被，不乱捕滥猎野生动物。</w:t>
            </w:r>
          </w:p>
          <w:p w14:paraId="0F27A6F4">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②矿山在开采施工过程中如发现有珍稀野生植物要立即报地方林业主管部门，采取移植等保护措施。</w:t>
            </w:r>
          </w:p>
          <w:p w14:paraId="14128BE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③野生鸟类和兽类大多在清晨、黄昏或许多夜间外出觅食，正午是休息时间。矿山生产建设活动期间，要采取一定的降噪措施，减少施工噪音和频繁的人为活动，保护鸟类免受惊吓和干扰。</w:t>
            </w:r>
          </w:p>
          <w:p w14:paraId="32E20264">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④矿山在矿业开发活动中如发现有珍稀野生植物，需在林业部门的技术人员指导下，制订保护树种移植工程实施方案，进行精心策划和准确掌握保护植物移栽的配套技术以及加强移栽后的精心管理，确保保护植物的移栽成功。</w:t>
            </w:r>
          </w:p>
          <w:p w14:paraId="7AF0C3C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⑤森林防火措施。在矿山建设和生产期间，应在施工区周围竖立防火警示牌，划出禁火区域，严格护林防火制度，巡回检查，预防和杜绝森林火灾发生。</w:t>
            </w:r>
          </w:p>
          <w:p w14:paraId="5EB37DB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4</w:t>
            </w:r>
            <w:r>
              <w:rPr>
                <w:rFonts w:hint="default" w:ascii="Times New Roman" w:hAnsi="Times New Roman" w:cs="Times New Roman"/>
                <w:color w:val="auto"/>
                <w:highlight w:val="none"/>
                <w:u w:val="none"/>
              </w:rPr>
              <w:t>）区域生物多样性保护措施</w:t>
            </w:r>
          </w:p>
          <w:p w14:paraId="50372F9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项目区域生物多样性一般，矿区内及周边植被以灌木、灌草类植物为主，灌草类植物主要有毛竹、狗尾草、高羊茅、小蓬草、苍耳草等；动物仅有鼠、蛙、蛇、鸟类常见野生动物和鸡、鸭、牛、羊等家禽。项目运营期通过控制矿山开采影响范围，坚决不破坏矿区外周边生态，即可有效保护区域</w:t>
            </w:r>
            <w:r>
              <w:rPr>
                <w:rFonts w:hint="eastAsia" w:cs="Times New Roman"/>
                <w:color w:val="auto"/>
                <w:highlight w:val="none"/>
                <w:u w:val="none"/>
                <w:lang w:val="en-US" w:eastAsia="zh-CN"/>
              </w:rPr>
              <w:t>生物</w:t>
            </w:r>
            <w:r>
              <w:rPr>
                <w:rFonts w:hint="default" w:ascii="Times New Roman" w:hAnsi="Times New Roman" w:cs="Times New Roman"/>
                <w:color w:val="auto"/>
                <w:highlight w:val="none"/>
                <w:u w:val="none"/>
              </w:rPr>
              <w:t>多样性。</w:t>
            </w:r>
          </w:p>
          <w:p w14:paraId="417407C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w:t>
            </w:r>
            <w:r>
              <w:rPr>
                <w:rFonts w:hint="eastAsia" w:cs="Times New Roman"/>
                <w:color w:val="auto"/>
                <w:highlight w:val="none"/>
                <w:u w:val="single"/>
                <w:lang w:val="en-US" w:eastAsia="zh-CN"/>
              </w:rPr>
              <w:t>5</w:t>
            </w:r>
            <w:r>
              <w:rPr>
                <w:rFonts w:hint="default" w:ascii="Times New Roman" w:hAnsi="Times New Roman" w:cs="Times New Roman"/>
                <w:color w:val="auto"/>
                <w:highlight w:val="none"/>
                <w:u w:val="single"/>
              </w:rPr>
              <w:t>）绿色矿山建设要求</w:t>
            </w:r>
          </w:p>
          <w:p w14:paraId="7615CFF2">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依据《关于加快建设绿色矿山的实施意见》（国土资规〔2017〕4号）和湖南省自然资源厅、湖南省财政厅、湖南省生态环境厅、湖南省市场监督管理局“关于印发《湖南省绿色矿山管理办法》 的通知”（湘自然资规〔2019〕</w:t>
            </w:r>
          </w:p>
          <w:p w14:paraId="24D987A5">
            <w:pPr>
              <w:ind w:left="0" w:lef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4号）的要求，明确拟设矿山未来开展绿色矿山建设的主要方向，合理分配规划任务和开展工程部署，科学设置建设目标和相关规划及重点工程，设计科学合理的实施方案，使矿山建设最终通过绿色矿山的审核。</w:t>
            </w:r>
          </w:p>
          <w:p w14:paraId="2A2DD766">
            <w:pPr>
              <w:ind w:firstLine="480"/>
              <w:rPr>
                <w:rFonts w:hint="eastAsia"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rPr>
              <w:t>1）矿区环境：矿区总体布置按照采矿、骨料加工、排废及矿山生活办公区等功能区布局，整体布局合理，运行有序，管理制度齐全，管理规范，废土运输采用专用矿山道路，运输道路和厂区配备有洒水车，配备有效防尘降尘、防撒落等措施，矿区环境卫生整洁。矿山生活办公区、骨料加工场地及废水处理区按 15﹪ 绿地率设计，厂区主干道两侧均应布置绿化隔离带，边坡须采用植草护坡，矿区绿化覆盖率应达100</w:t>
            </w:r>
            <w:r>
              <w:rPr>
                <w:rFonts w:hint="eastAsia" w:cs="Times New Roman"/>
                <w:color w:val="auto"/>
                <w:highlight w:val="none"/>
                <w:u w:val="single"/>
                <w:lang w:val="en-US" w:eastAsia="zh-CN"/>
              </w:rPr>
              <w:t>%。</w:t>
            </w:r>
          </w:p>
          <w:p w14:paraId="05F5E3D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2）资源开发</w:t>
            </w:r>
          </w:p>
          <w:p w14:paraId="76A1A9C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绿色开采：①矿山应建立完善的组织管理机构，配备采矿专业技术管理人员。②严格按照矿山开发利用方案进行规划开采，并编制年度开采计划书。 合理布置工作面，并保持台阶合理的超前关系，使采场工作面推进均衡有序。 ③矿山应贯彻“采剥并举、剥离先行” 的方针，回采率应满足本方案设计要求（98</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rPr>
              <w:t>）。④排土场应通过勘测选择地址条件稳定的场所，做好防护措施， 保证堆放安全，避免压占可采矿量，并方便未来进行环境恢复治理、土地复垦时取用。</w:t>
            </w:r>
          </w:p>
          <w:p w14:paraId="63BEE98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绿色运输：①矿石的运输方式应结合地形条件、岩石特性、开采方案、</w:t>
            </w:r>
          </w:p>
          <w:p w14:paraId="613BC0D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运输强度等因素， 按《机制砂石生产技术规程》（JC/T 2299）选择运输方案。②产品短途汽车运输应符合相关环保、交通等法律规定。中长途转运时，应配置规模适宜、环保、安全措施的中转料场。③矿山道路设计符合《厂矿道路设计规范》（GBJ 22）的有关规定，主要运矿道路应采用硬化路面。车辆驶离矿区前应冲洗，做到车辆不带泥上路、途中物料不撒落。</w:t>
            </w:r>
          </w:p>
          <w:p w14:paraId="0C56EDF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3）资源综合利用</w:t>
            </w:r>
          </w:p>
          <w:p w14:paraId="0356869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矿山加强废石（土）等固体废弃物综合利用，将露天开采矿山剥离物用于土地复垦、坡面复绿，提高资源综合利用率，减少固废的排放等；矿山应配备规范完善的生产废水处理设施，采用洁净化、资源化技术和工艺处置， 实现选矿或加工生产废水100</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rPr>
              <w:t>循环使用，在提高资源综合利用的同时</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也达到节能减排的效果；另外，生活垃圾处理委托第三方转运至政府指定位置进行无害化处理。</w:t>
            </w:r>
          </w:p>
          <w:p w14:paraId="63E0F55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4）节能减排</w:t>
            </w:r>
          </w:p>
          <w:p w14:paraId="65A9C72A">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生产工艺的清洁环保：在开采、运输、加工中，增设除尘设施、设备，洒水减少扬尘，保持矿山环境清洁。优化生产设备，降低污染物的排放（汽车、开采及加工设备尾气、生产生活污水废水）；设置水处理池，污水、废水经过处理后通过管道至蓄水池。</w:t>
            </w:r>
          </w:p>
          <w:p w14:paraId="44451FC9">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矿山废弃物的综合治理：集中设置废弃物回收站，禁止生产生活中的废弃物乱丢乱放，并定期由专人运至附近垃圾场填埋。</w:t>
            </w:r>
          </w:p>
          <w:p w14:paraId="45E6C3C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切实做好水土保持工作：未来矿山开采中弃土弃碴运到指定场地堆放，弃土弃碴堆放整齐，边坡稳定平整，做好排水设施，防止泥水冲刷淤积周围农田和场地，搞好排水系统。</w:t>
            </w:r>
          </w:p>
          <w:p w14:paraId="708A1CE0">
            <w:pPr>
              <w:ind w:firstLine="480"/>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5</w:t>
            </w:r>
            <w:r>
              <w:rPr>
                <w:rFonts w:hint="default" w:ascii="Times New Roman" w:hAnsi="Times New Roman" w:cs="Times New Roman"/>
                <w:color w:val="auto"/>
                <w:highlight w:val="none"/>
                <w:u w:val="single"/>
              </w:rPr>
              <w:t>）保障措施</w:t>
            </w:r>
          </w:p>
          <w:p w14:paraId="75B42CC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①遵照国家环境保护政策和当地政府环保部门对本工程环境保护的要求，制订本矿山的《环境保护计划》，并贯彻到整个施工生产活动中，严格执行国家环保的各项规定。</w:t>
            </w:r>
          </w:p>
          <w:p w14:paraId="15B3C08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②实施前对全体员工进行环境保护法规教育和学习，成立领导小组专人负责环境计划的落实。</w:t>
            </w:r>
          </w:p>
          <w:p w14:paraId="6B17A3AD">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③划分责任区，指定负责人明确责任区的管理责任。</w:t>
            </w:r>
          </w:p>
          <w:p w14:paraId="2CCEC87A">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④开采中降低噪音、减少扰民。</w:t>
            </w:r>
          </w:p>
          <w:p w14:paraId="17BF469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⑤建立矿山与地方职能部门的沟通对话机制。矿山定期向地方职能部门汇报矿山的发展战略、目标，及产业的发展政策，听取职能部门对矿山发展的意见或建议，并申请职能部门协调解决矿山发展中的重大问题。</w:t>
            </w:r>
          </w:p>
          <w:p w14:paraId="2DB98CF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⑥建立矿山与周边群众的沟通对话机制。矿山认真听取周边群众反映矿山生产经营过程对其生产生活造成的影响，并积极解决存在的问题。</w:t>
            </w:r>
          </w:p>
          <w:p w14:paraId="59719360">
            <w:pPr>
              <w:ind w:firstLine="480"/>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生态修复</w:t>
            </w:r>
            <w:r>
              <w:rPr>
                <w:rFonts w:hint="default" w:ascii="Times New Roman" w:hAnsi="Times New Roman" w:cs="Times New Roman"/>
                <w:color w:val="auto"/>
                <w:highlight w:val="none"/>
                <w:u w:val="single"/>
              </w:rPr>
              <w:t>措施的可行性分析：</w:t>
            </w:r>
          </w:p>
          <w:p w14:paraId="083197A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（1）经济合理性分析</w:t>
            </w:r>
          </w:p>
          <w:p w14:paraId="3B9DD6C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w:t>
            </w:r>
            <w:r>
              <w:rPr>
                <w:rFonts w:hint="eastAsia" w:cs="Times New Roman"/>
                <w:color w:val="auto"/>
                <w:highlight w:val="none"/>
                <w:u w:val="single"/>
                <w:lang w:eastAsia="zh-CN"/>
              </w:rPr>
              <w:t>湖南省澧县屠夫垭矿区建筑石料用灰岩矿</w:t>
            </w:r>
            <w:r>
              <w:rPr>
                <w:rFonts w:hint="default" w:ascii="Times New Roman" w:hAnsi="Times New Roman" w:cs="Times New Roman"/>
                <w:color w:val="auto"/>
                <w:highlight w:val="none"/>
                <w:u w:val="single"/>
              </w:rPr>
              <w:t>矿山生态保护修复方案》，矿山在未来开采达产经营中，若达设计生产能力，则每年将为国家增收各种税费</w:t>
            </w:r>
            <w:r>
              <w:rPr>
                <w:rFonts w:hint="eastAsia" w:cs="Times New Roman"/>
                <w:color w:val="auto"/>
                <w:highlight w:val="none"/>
                <w:u w:val="single"/>
                <w:lang w:val="en-US" w:eastAsia="zh-CN"/>
              </w:rPr>
              <w:t>363.6</w:t>
            </w:r>
            <w:r>
              <w:rPr>
                <w:rFonts w:hint="default" w:ascii="Times New Roman" w:hAnsi="Times New Roman" w:cs="Times New Roman"/>
                <w:color w:val="auto"/>
                <w:highlight w:val="none"/>
                <w:u w:val="single"/>
              </w:rPr>
              <w:t>万元，企业也将获得</w:t>
            </w:r>
            <w:r>
              <w:rPr>
                <w:rFonts w:hint="eastAsia" w:cs="Times New Roman"/>
                <w:color w:val="auto"/>
                <w:highlight w:val="none"/>
                <w:u w:val="single"/>
                <w:lang w:val="en-US" w:eastAsia="zh-CN"/>
              </w:rPr>
              <w:t>1109.14</w:t>
            </w:r>
            <w:r>
              <w:rPr>
                <w:rFonts w:hint="default" w:ascii="Times New Roman" w:hAnsi="Times New Roman" w:cs="Times New Roman"/>
                <w:color w:val="auto"/>
                <w:highlight w:val="none"/>
                <w:u w:val="single"/>
              </w:rPr>
              <w:t>万元的净利润。按照矿山的服务年限计算，总利润约</w:t>
            </w:r>
            <w:r>
              <w:rPr>
                <w:rFonts w:hint="eastAsia" w:cs="Times New Roman"/>
                <w:color w:val="auto"/>
                <w:highlight w:val="none"/>
                <w:u w:val="single"/>
                <w:lang w:val="en-US" w:eastAsia="zh-CN"/>
              </w:rPr>
              <w:t>19853.61万</w:t>
            </w:r>
            <w:r>
              <w:rPr>
                <w:rFonts w:hint="default" w:ascii="Times New Roman" w:hAnsi="Times New Roman" w:cs="Times New Roman"/>
                <w:color w:val="auto"/>
                <w:highlight w:val="none"/>
                <w:u w:val="single"/>
              </w:rPr>
              <w:t>元，扣除</w:t>
            </w:r>
            <w:r>
              <w:rPr>
                <w:rFonts w:hint="eastAsia" w:cs="Times New Roman"/>
                <w:color w:val="auto"/>
                <w:highlight w:val="none"/>
                <w:u w:val="single"/>
                <w:lang w:val="en-US" w:eastAsia="zh-CN"/>
              </w:rPr>
              <w:t>15450.7万元</w:t>
            </w:r>
            <w:r>
              <w:rPr>
                <w:rFonts w:hint="default" w:ascii="Times New Roman" w:hAnsi="Times New Roman" w:cs="Times New Roman"/>
                <w:color w:val="auto"/>
                <w:highlight w:val="none"/>
                <w:u w:val="single"/>
              </w:rPr>
              <w:t>的投资和</w:t>
            </w:r>
            <w:r>
              <w:rPr>
                <w:rFonts w:hint="eastAsia" w:cs="Times New Roman"/>
                <w:color w:val="auto"/>
                <w:highlight w:val="none"/>
                <w:u w:val="single"/>
                <w:lang w:val="en-US" w:eastAsia="zh-CN"/>
              </w:rPr>
              <w:t>899.32</w:t>
            </w:r>
            <w:r>
              <w:rPr>
                <w:rFonts w:hint="default" w:ascii="Times New Roman" w:hAnsi="Times New Roman" w:cs="Times New Roman"/>
                <w:color w:val="auto"/>
                <w:highlight w:val="none"/>
                <w:u w:val="single"/>
              </w:rPr>
              <w:t>万元的矿山生态修复工程费用，矿山开发具有一定的经济效益和社会效益，同时可增加当地的就业岗位，带动地方运输、商业服务等行业的发展，有利于促进社会稳定和地方经济的发展。但矿山开采会对环境造成一定破坏，政策的不确定性和矿产品价格的波动也会给投资者带来一定风险。</w:t>
            </w:r>
          </w:p>
          <w:p w14:paraId="397ED4A3">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（2）技术可行性分析</w:t>
            </w:r>
          </w:p>
          <w:p w14:paraId="301F5C0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生态保护修复方案设计的生态修复工程主要为监测和闭坑后对场地复垦等，矿山建设、生产期间和闭坑后设置的生态修复工程工艺简单，难度小，场区土地复垦较适宜；按上述工程实施后，矿区环境会得到及时治理和恢复。矿区生态修复技术上可行。</w:t>
            </w:r>
          </w:p>
          <w:p w14:paraId="7B37315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（3）运行稳定性、生态保护和修复效果可达性分析</w:t>
            </w:r>
          </w:p>
          <w:p w14:paraId="03067EA9">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期矿山按照生态修复方案及本次环评提出的措施实施生态保护，各场地安全稳定，对人类和动植物无威胁；对周边环境不产生污染；复垦方向与周边自然环境和景观相协调；恢复了土地基本功能，因地制宜地实现土地可持续利用。通过矿山生态修复形成了绿色经济产业链，持续带动地方经济发展，还给群众另一座绿水青山、金山银山。</w:t>
            </w:r>
          </w:p>
          <w:p w14:paraId="304DA88C">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2、废气污染防治措施</w:t>
            </w:r>
          </w:p>
          <w:p w14:paraId="23B52B3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（1）露天采场</w:t>
            </w:r>
          </w:p>
          <w:p w14:paraId="29F7054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w:t>
            </w:r>
            <w:r>
              <w:rPr>
                <w:rFonts w:hint="eastAsia" w:cs="Times New Roman"/>
                <w:color w:val="auto"/>
                <w:highlight w:val="none"/>
                <w:u w:val="single"/>
                <w:lang w:val="en-US" w:eastAsia="zh-CN"/>
              </w:rPr>
              <w:t>开采</w:t>
            </w:r>
            <w:r>
              <w:rPr>
                <w:rFonts w:hint="default" w:ascii="Times New Roman" w:hAnsi="Times New Roman" w:cs="Times New Roman"/>
                <w:color w:val="auto"/>
                <w:highlight w:val="none"/>
                <w:u w:val="single"/>
              </w:rPr>
              <w:t>粉尘防治措施</w:t>
            </w:r>
          </w:p>
          <w:p w14:paraId="76B14BB8">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露天矿山采场扬尘的防治经验，一般采用洒水抑尘和严格管理作业方法进行采场扬尘污染控制，本项目主要采用以下措施：凿岩钻孔过程中要求钻头采用自带喷淋装置；在凿岩钻孔作业前，首先对矿体进行充分湿润，并使用洒水车洒水降尘，在晴朗天气时增加洒水频率，减少扬尘。</w:t>
            </w:r>
          </w:p>
          <w:p w14:paraId="489C750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w:t>
            </w:r>
            <w:r>
              <w:rPr>
                <w:rFonts w:hint="eastAsia" w:cs="Times New Roman"/>
                <w:color w:val="auto"/>
                <w:highlight w:val="none"/>
                <w:u w:val="single"/>
                <w:lang w:val="en-US" w:eastAsia="zh-CN"/>
              </w:rPr>
              <w:t>破碎锤</w:t>
            </w:r>
            <w:r>
              <w:rPr>
                <w:rFonts w:hint="default" w:ascii="Times New Roman" w:hAnsi="Times New Roman" w:cs="Times New Roman"/>
                <w:color w:val="auto"/>
                <w:highlight w:val="none"/>
                <w:u w:val="single"/>
              </w:rPr>
              <w:t>破碎粉尘防治措施</w:t>
            </w:r>
          </w:p>
          <w:p w14:paraId="0CFC6C2D">
            <w:pPr>
              <w:ind w:firstLine="480"/>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破碎锤</w:t>
            </w:r>
            <w:r>
              <w:rPr>
                <w:rFonts w:hint="default" w:ascii="Times New Roman" w:hAnsi="Times New Roman" w:cs="Times New Roman"/>
                <w:color w:val="auto"/>
                <w:highlight w:val="none"/>
                <w:u w:val="single"/>
              </w:rPr>
              <w:t>破碎作业前，对矿体进行充分湿润，并使用洒水车洒水降尘，在晴朗天气时增加洒水频率，减少扬尘。</w:t>
            </w:r>
          </w:p>
          <w:p w14:paraId="3240532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（2）矿区道路扬尘</w:t>
            </w:r>
          </w:p>
          <w:p w14:paraId="58766E0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①严禁超高运输，降低装载高度，保证装料高度不超过车厢边沿，并在装矿完毕后洒水增湿料面，最后加盖篷布，避免运输过程中产生大的扬尘；</w:t>
            </w:r>
          </w:p>
          <w:p w14:paraId="2EAD4FA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②矿区内道路硬化，洒水车对矿区道路进行洒水，使矿区道路的路面保持湿润，确保运输车辆通过时基本不产生可视的扬尘。</w:t>
            </w:r>
          </w:p>
          <w:p w14:paraId="06100E5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③行驶过程中控制汽车行驶车速，降低车轮产生的交通扬尘。</w:t>
            </w:r>
          </w:p>
          <w:p w14:paraId="29574777">
            <w:pPr>
              <w:ind w:firstLine="480"/>
              <w:rPr>
                <w:rFonts w:hint="eastAsia"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rPr>
              <w:fldChar w:fldCharType="begin"/>
            </w:r>
            <w:r>
              <w:rPr>
                <w:rFonts w:hint="default" w:ascii="Times New Roman" w:hAnsi="Times New Roman" w:cs="Times New Roman"/>
                <w:color w:val="auto"/>
                <w:highlight w:val="none"/>
                <w:u w:val="single"/>
              </w:rPr>
              <w:instrText xml:space="preserve"> = 4 \* GB3 \* MERGEFORMAT </w:instrText>
            </w:r>
            <w:r>
              <w:rPr>
                <w:rFonts w:hint="default" w:ascii="Times New Roman" w:hAnsi="Times New Roman" w:cs="Times New Roman"/>
                <w:color w:val="auto"/>
                <w:highlight w:val="none"/>
                <w:u w:val="single"/>
              </w:rPr>
              <w:fldChar w:fldCharType="separate"/>
            </w:r>
            <w:r>
              <w:rPr>
                <w:color w:val="auto"/>
                <w:highlight w:val="none"/>
                <w:u w:val="single"/>
              </w:rPr>
              <w:t>④</w:t>
            </w:r>
            <w:r>
              <w:rPr>
                <w:rFonts w:hint="default" w:ascii="Times New Roman" w:hAnsi="Times New Roman" w:cs="Times New Roman"/>
                <w:color w:val="auto"/>
                <w:highlight w:val="none"/>
                <w:u w:val="single"/>
              </w:rPr>
              <w:fldChar w:fldCharType="end"/>
            </w:r>
            <w:r>
              <w:rPr>
                <w:rFonts w:hint="default" w:ascii="Times New Roman" w:hAnsi="Times New Roman" w:cs="Times New Roman"/>
                <w:color w:val="auto"/>
                <w:highlight w:val="none"/>
                <w:u w:val="single"/>
              </w:rPr>
              <w:t>在遇干燥和大风天气，安排专人对路面进行洒水降尘，减小扬尘污染</w:t>
            </w:r>
            <w:r>
              <w:rPr>
                <w:rFonts w:hint="eastAsia" w:cs="Times New Roman"/>
                <w:color w:val="auto"/>
                <w:highlight w:val="none"/>
                <w:u w:val="single"/>
                <w:lang w:eastAsia="zh-CN"/>
              </w:rPr>
              <w:t>。</w:t>
            </w:r>
          </w:p>
          <w:p w14:paraId="54E0B3E5">
            <w:pPr>
              <w:ind w:firstLine="480"/>
              <w:rPr>
                <w:rFonts w:hint="eastAsia"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rPr>
              <w:t>（3）</w:t>
            </w:r>
            <w:r>
              <w:rPr>
                <w:rFonts w:hint="eastAsia" w:cs="Times New Roman"/>
                <w:color w:val="auto"/>
                <w:highlight w:val="none"/>
                <w:u w:val="single"/>
                <w:lang w:eastAsia="zh-CN"/>
              </w:rPr>
              <w:t>排土场</w:t>
            </w:r>
          </w:p>
          <w:p w14:paraId="47A97729">
            <w:pPr>
              <w:ind w:firstLine="480"/>
              <w:rPr>
                <w:rFonts w:hint="default" w:ascii="Times New Roman" w:hAnsi="Times New Roman" w:cs="Times New Roman"/>
                <w:color w:val="auto"/>
                <w:highlight w:val="none"/>
                <w:u w:val="single"/>
              </w:rPr>
            </w:pP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通过定时人工洒水降尘，晴天干燥时每天洒水4次，雨季不需要洒水，可有效降低粉尘的产生量，措施可行。</w:t>
            </w:r>
          </w:p>
          <w:p w14:paraId="0A680565">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4</w:t>
            </w:r>
            <w:r>
              <w:rPr>
                <w:rFonts w:hint="eastAsia" w:ascii="Times New Roman" w:hAnsi="Times New Roman" w:cs="Times New Roman"/>
                <w:color w:val="auto"/>
                <w:highlight w:val="none"/>
                <w:u w:val="single"/>
                <w:lang w:eastAsia="zh-CN"/>
              </w:rPr>
              <w:t>）机械燃油废气</w:t>
            </w:r>
          </w:p>
          <w:p w14:paraId="78FE7715">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项目矿山采用露天开采，开采机械挖掘机、装载机等运行时产生燃油废气，主要污染物包括CO、NO</w:t>
            </w:r>
            <w:r>
              <w:rPr>
                <w:rFonts w:hint="eastAsia" w:ascii="Times New Roman" w:hAnsi="Times New Roman" w:cs="Times New Roman"/>
                <w:color w:val="auto"/>
                <w:highlight w:val="none"/>
                <w:u w:val="single"/>
                <w:vertAlign w:val="subscript"/>
                <w:lang w:eastAsia="zh-CN"/>
              </w:rPr>
              <w:t>X</w:t>
            </w:r>
            <w:r>
              <w:rPr>
                <w:rFonts w:hint="eastAsia" w:ascii="Times New Roman" w:hAnsi="Times New Roman" w:cs="Times New Roman"/>
                <w:color w:val="auto"/>
                <w:highlight w:val="none"/>
                <w:u w:val="single"/>
                <w:lang w:eastAsia="zh-CN"/>
              </w:rPr>
              <w:t>、THC。矿石开采机械无固定位置，作业范围较大，无法进行有效收集处理排放。项目矿山地域空旷，废气扩散条件好， 燃油废气经自然扩散后对周边环境空气影响较小。</w:t>
            </w:r>
          </w:p>
          <w:p w14:paraId="7694AC46">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w:t>
            </w:r>
            <w:r>
              <w:rPr>
                <w:rFonts w:hint="eastAsia" w:cs="Times New Roman"/>
                <w:color w:val="auto"/>
                <w:highlight w:val="none"/>
                <w:u w:val="single"/>
                <w:lang w:val="en-US" w:eastAsia="zh-CN"/>
              </w:rPr>
              <w:t>5</w:t>
            </w:r>
            <w:r>
              <w:rPr>
                <w:rFonts w:hint="eastAsia" w:ascii="Times New Roman" w:hAnsi="Times New Roman" w:cs="Times New Roman"/>
                <w:color w:val="auto"/>
                <w:highlight w:val="none"/>
                <w:u w:val="single"/>
                <w:lang w:eastAsia="zh-CN"/>
              </w:rPr>
              <w:t>）</w:t>
            </w:r>
            <w:r>
              <w:rPr>
                <w:rFonts w:hint="eastAsia" w:cs="Times New Roman"/>
                <w:color w:val="auto"/>
                <w:highlight w:val="none"/>
                <w:u w:val="single"/>
                <w:lang w:val="en-US" w:eastAsia="zh-CN"/>
              </w:rPr>
              <w:t>碎石工业场地</w:t>
            </w:r>
            <w:r>
              <w:rPr>
                <w:rFonts w:hint="eastAsia" w:ascii="Times New Roman" w:hAnsi="Times New Roman" w:cs="Times New Roman"/>
                <w:color w:val="auto"/>
                <w:highlight w:val="none"/>
                <w:u w:val="single"/>
                <w:lang w:eastAsia="zh-CN"/>
              </w:rPr>
              <w:t>粉尘</w:t>
            </w:r>
          </w:p>
          <w:p w14:paraId="6464240A">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①破碎、</w:t>
            </w:r>
            <w:r>
              <w:rPr>
                <w:rFonts w:hint="eastAsia" w:cs="Times New Roman"/>
                <w:color w:val="auto"/>
                <w:highlight w:val="none"/>
                <w:u w:val="single"/>
                <w:lang w:val="en-US" w:eastAsia="zh-CN"/>
              </w:rPr>
              <w:t>筛分</w:t>
            </w:r>
            <w:r>
              <w:rPr>
                <w:rFonts w:hint="eastAsia" w:ascii="Times New Roman" w:hAnsi="Times New Roman" w:cs="Times New Roman"/>
                <w:color w:val="auto"/>
                <w:highlight w:val="none"/>
                <w:u w:val="single"/>
                <w:lang w:eastAsia="zh-CN"/>
              </w:rPr>
              <w:t>粉尘</w:t>
            </w:r>
          </w:p>
          <w:p w14:paraId="042B4521">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 xml:space="preserve">项目生产线生产过程中会产生大量粉尘，主要产生节点为破碎、筛分， </w:t>
            </w:r>
            <w:r>
              <w:rPr>
                <w:rFonts w:hint="eastAsia" w:cs="Times New Roman"/>
                <w:color w:val="auto"/>
                <w:highlight w:val="none"/>
                <w:u w:val="single"/>
                <w:lang w:val="en-US" w:eastAsia="zh-CN"/>
              </w:rPr>
              <w:t>碎石加工车间采取整体封闭措施，本次环评要求建设单位增加</w:t>
            </w:r>
            <w:r>
              <w:rPr>
                <w:rFonts w:hint="eastAsia" w:ascii="Times New Roman" w:hAnsi="Times New Roman" w:cs="Times New Roman"/>
                <w:color w:val="auto"/>
                <w:highlight w:val="none"/>
                <w:u w:val="single"/>
                <w:lang w:eastAsia="zh-CN"/>
              </w:rPr>
              <w:t>负压收集装置对粉尘进行收集</w:t>
            </w:r>
            <w:r>
              <w:rPr>
                <w:rFonts w:hint="eastAsia" w:cs="Times New Roman"/>
                <w:color w:val="auto"/>
                <w:highlight w:val="none"/>
                <w:u w:val="single"/>
                <w:lang w:val="en-US" w:eastAsia="zh-CN"/>
              </w:rPr>
              <w:t>处理</w:t>
            </w:r>
            <w:r>
              <w:rPr>
                <w:rFonts w:hint="eastAsia" w:ascii="Times New Roman" w:hAnsi="Times New Roman" w:cs="Times New Roman"/>
                <w:color w:val="auto"/>
                <w:highlight w:val="none"/>
                <w:u w:val="single"/>
                <w:lang w:eastAsia="zh-CN"/>
              </w:rPr>
              <w:t>，</w:t>
            </w:r>
            <w:r>
              <w:rPr>
                <w:rFonts w:hint="eastAsia" w:cs="Times New Roman"/>
                <w:color w:val="auto"/>
                <w:highlight w:val="none"/>
                <w:u w:val="single"/>
                <w:lang w:val="en-US" w:eastAsia="zh-CN"/>
              </w:rPr>
              <w:t>配置</w:t>
            </w:r>
            <w:r>
              <w:rPr>
                <w:rFonts w:hint="eastAsia" w:ascii="Times New Roman" w:hAnsi="Times New Roman" w:cs="Times New Roman"/>
                <w:color w:val="auto"/>
                <w:highlight w:val="none"/>
                <w:u w:val="single"/>
                <w:lang w:eastAsia="zh-CN"/>
              </w:rPr>
              <w:t>一套除尘设施，处理效率为99%；项目破碎筛分产生的粉尘经负压收集后使用除尘器除尘最后在中部的排气筒（15m高，直径50cm）有组织排放，该排气筒位于</w:t>
            </w:r>
            <w:r>
              <w:rPr>
                <w:rFonts w:hint="eastAsia" w:cs="Times New Roman"/>
                <w:color w:val="auto"/>
                <w:highlight w:val="none"/>
                <w:u w:val="single"/>
                <w:lang w:val="en-US" w:eastAsia="zh-CN"/>
              </w:rPr>
              <w:t>碎石加工车间与矿山山体之间，</w:t>
            </w:r>
            <w:r>
              <w:rPr>
                <w:rFonts w:hint="eastAsia" w:ascii="Times New Roman" w:hAnsi="Times New Roman" w:cs="Times New Roman"/>
                <w:color w:val="auto"/>
                <w:highlight w:val="none"/>
                <w:u w:val="single"/>
                <w:lang w:eastAsia="zh-CN"/>
              </w:rPr>
              <w:t>可减少粉尘的扩散，达到除尘器处理完后立马排放的效果，排气筒的高度及直径也满足粉尘的排放，达到厂界时颗粒物的浓度＜120mg/m</w:t>
            </w:r>
            <w:r>
              <w:rPr>
                <w:rFonts w:hint="eastAsia" w:ascii="Times New Roman" w:hAnsi="Times New Roman" w:cs="Times New Roman"/>
                <w:color w:val="auto"/>
                <w:highlight w:val="none"/>
                <w:u w:val="single"/>
                <w:vertAlign w:val="superscript"/>
                <w:lang w:eastAsia="zh-CN"/>
              </w:rPr>
              <w:t>3</w:t>
            </w:r>
            <w:r>
              <w:rPr>
                <w:rFonts w:hint="eastAsia" w:ascii="Times New Roman" w:hAnsi="Times New Roman" w:cs="Times New Roman"/>
                <w:color w:val="auto"/>
                <w:highlight w:val="none"/>
                <w:u w:val="single"/>
                <w:lang w:eastAsia="zh-CN"/>
              </w:rPr>
              <w:t>，厂界粉尘可达到《大气污染物综合排放标准》）（GB16297-1996）表2中二级排放标准， 可实现达标排放，通过上述措施，可有效减小碎石传送过程产生的粉尘对大气的影响。</w:t>
            </w:r>
          </w:p>
          <w:p w14:paraId="0D421E05">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②传送过程</w:t>
            </w:r>
          </w:p>
          <w:p w14:paraId="02A4D2A5">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传送带在进行碎石转移过程中，会产生少量粉尘，产尘点是在碎石下落的部位，特别是在天气干燥和有风的情况粉尘排放会增加，为减轻石料输送中粉尘的产生量，环评要求项目方将皮带输送机密闭，制造一个密闭的输送环境，出料端进去小型喷水此处可保持湿法作业状态，此部分粉尘对环境的影响也将得到大大降低，可满足《大气污染物综合排放标准》 （GB16297-1996）表2中</w:t>
            </w:r>
            <w:r>
              <w:rPr>
                <w:rFonts w:hint="eastAsia" w:cs="Times New Roman"/>
                <w:color w:val="auto"/>
                <w:highlight w:val="none"/>
                <w:u w:val="single"/>
                <w:lang w:val="en-US" w:eastAsia="zh-CN"/>
              </w:rPr>
              <w:t>无组织</w:t>
            </w:r>
            <w:r>
              <w:rPr>
                <w:rFonts w:hint="eastAsia" w:ascii="Times New Roman" w:hAnsi="Times New Roman" w:cs="Times New Roman"/>
                <w:color w:val="auto"/>
                <w:highlight w:val="none"/>
                <w:u w:val="single"/>
                <w:lang w:eastAsia="zh-CN"/>
              </w:rPr>
              <w:t>排放标准要求，可实现达标排放，通过上述措施，可有效减小碎石传送过程产生的粉尘对大气的影响。</w:t>
            </w:r>
          </w:p>
          <w:p w14:paraId="53B8BC10">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③产品堆场粉尘</w:t>
            </w:r>
          </w:p>
          <w:p w14:paraId="3E71D1E0">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为降低产品堆场粉尘对大气环境的影响，本项目通过</w:t>
            </w:r>
            <w:r>
              <w:rPr>
                <w:rFonts w:hint="eastAsia" w:cs="Times New Roman"/>
                <w:color w:val="auto"/>
                <w:highlight w:val="none"/>
                <w:u w:val="single"/>
                <w:lang w:val="en-US" w:eastAsia="zh-CN"/>
              </w:rPr>
              <w:t>在产品堆场封闭并在周边设置喷雾装置</w:t>
            </w:r>
            <w:r>
              <w:rPr>
                <w:rFonts w:hint="eastAsia" w:ascii="Times New Roman" w:hAnsi="Times New Roman" w:cs="Times New Roman"/>
                <w:color w:val="auto"/>
                <w:highlight w:val="none"/>
                <w:u w:val="single"/>
                <w:lang w:eastAsia="zh-CN"/>
              </w:rPr>
              <w:t>等方式进行抑尘，通过上述措施可有效减小产品堆场粉尘对大气环境的影响。</w:t>
            </w:r>
          </w:p>
          <w:p w14:paraId="19C1EA55">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w:t>
            </w:r>
            <w:r>
              <w:rPr>
                <w:rFonts w:hint="eastAsia" w:cs="Times New Roman"/>
                <w:color w:val="auto"/>
                <w:highlight w:val="none"/>
                <w:u w:val="single"/>
                <w:lang w:val="en-US" w:eastAsia="zh-CN"/>
              </w:rPr>
              <w:t>6</w:t>
            </w:r>
            <w:r>
              <w:rPr>
                <w:rFonts w:hint="eastAsia" w:ascii="Times New Roman" w:hAnsi="Times New Roman" w:cs="Times New Roman"/>
                <w:color w:val="auto"/>
                <w:highlight w:val="none"/>
                <w:u w:val="single"/>
                <w:lang w:eastAsia="zh-CN"/>
              </w:rPr>
              <w:t>）废气自行监测计划</w:t>
            </w:r>
          </w:p>
          <w:p w14:paraId="71A2EAFD">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根据《排污许可证申请与核发技术规范</w:t>
            </w:r>
            <w:r>
              <w:rPr>
                <w:rFonts w:hint="eastAsia" w:cs="Times New Roman"/>
                <w:color w:val="auto"/>
                <w:highlight w:val="none"/>
                <w:u w:val="single"/>
                <w:lang w:val="en-US" w:eastAsia="zh-CN"/>
              </w:rPr>
              <w:t xml:space="preserve"> </w:t>
            </w:r>
            <w:r>
              <w:rPr>
                <w:rFonts w:hint="eastAsia" w:ascii="Times New Roman" w:hAnsi="Times New Roman" w:cs="Times New Roman"/>
                <w:color w:val="auto"/>
                <w:highlight w:val="none"/>
                <w:u w:val="single"/>
                <w:lang w:eastAsia="zh-CN"/>
              </w:rPr>
              <w:t>陶瓷砖瓦工业》（HJ</w:t>
            </w:r>
            <w:r>
              <w:rPr>
                <w:rFonts w:hint="eastAsia" w:cs="Times New Roman"/>
                <w:color w:val="auto"/>
                <w:highlight w:val="none"/>
                <w:u w:val="single"/>
                <w:lang w:val="en-US" w:eastAsia="zh-CN"/>
              </w:rPr>
              <w:t>954</w:t>
            </w:r>
            <w:r>
              <w:rPr>
                <w:rFonts w:hint="eastAsia" w:ascii="Times New Roman" w:hAnsi="Times New Roman" w:cs="Times New Roman"/>
                <w:color w:val="auto"/>
                <w:highlight w:val="none"/>
                <w:u w:val="single"/>
                <w:lang w:eastAsia="zh-CN"/>
              </w:rPr>
              <w:t>-201</w:t>
            </w:r>
            <w:r>
              <w:rPr>
                <w:rFonts w:hint="eastAsia" w:cs="Times New Roman"/>
                <w:color w:val="auto"/>
                <w:highlight w:val="none"/>
                <w:u w:val="single"/>
                <w:lang w:val="en-US" w:eastAsia="zh-CN"/>
              </w:rPr>
              <w:t>8</w:t>
            </w:r>
            <w:r>
              <w:rPr>
                <w:rFonts w:hint="eastAsia" w:ascii="Times New Roman" w:hAnsi="Times New Roman" w:cs="Times New Roman"/>
                <w:color w:val="auto"/>
                <w:highlight w:val="none"/>
                <w:u w:val="single"/>
                <w:lang w:eastAsia="zh-CN"/>
              </w:rPr>
              <w:t>），项目运营期应委托第三方检测机构定期对项目大气污染源进行监测。</w:t>
            </w:r>
          </w:p>
          <w:p w14:paraId="365AAB72">
            <w:pPr>
              <w:ind w:firstLine="0" w:firstLineChars="0"/>
              <w:jc w:val="center"/>
              <w:rPr>
                <w:rFonts w:hint="eastAsia" w:cs="Times New Roman"/>
                <w:b/>
                <w:bCs/>
                <w:color w:val="auto"/>
                <w:sz w:val="21"/>
                <w:szCs w:val="21"/>
                <w:highlight w:val="none"/>
                <w:u w:val="single"/>
                <w:vertAlign w:val="baseline"/>
                <w:lang w:val="en-US" w:eastAsia="zh-CN"/>
              </w:rPr>
            </w:pPr>
            <w:r>
              <w:rPr>
                <w:rFonts w:hint="eastAsia" w:cs="Times New Roman"/>
                <w:b/>
                <w:bCs/>
                <w:color w:val="auto"/>
                <w:sz w:val="21"/>
                <w:szCs w:val="21"/>
                <w:highlight w:val="none"/>
                <w:u w:val="single"/>
                <w:lang w:val="en-US" w:eastAsia="zh-CN"/>
              </w:rPr>
              <w:t>表5-1  大气污染源监测计划表</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229"/>
              <w:gridCol w:w="1328"/>
              <w:gridCol w:w="3677"/>
            </w:tblGrid>
            <w:tr w14:paraId="60E9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Align w:val="center"/>
                </w:tcPr>
                <w:p w14:paraId="1093DB0A">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监测位置</w:t>
                  </w:r>
                </w:p>
              </w:tc>
              <w:tc>
                <w:tcPr>
                  <w:tcW w:w="1229" w:type="dxa"/>
                  <w:vAlign w:val="center"/>
                </w:tcPr>
                <w:p w14:paraId="2330FB7C">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监测指标</w:t>
                  </w:r>
                </w:p>
              </w:tc>
              <w:tc>
                <w:tcPr>
                  <w:tcW w:w="1328" w:type="dxa"/>
                  <w:vAlign w:val="center"/>
                </w:tcPr>
                <w:p w14:paraId="635BC761">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监测频次</w:t>
                  </w:r>
                </w:p>
              </w:tc>
              <w:tc>
                <w:tcPr>
                  <w:tcW w:w="3677" w:type="dxa"/>
                  <w:vAlign w:val="center"/>
                </w:tcPr>
                <w:p w14:paraId="4EDB47DF">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执行标准</w:t>
                  </w:r>
                </w:p>
              </w:tc>
            </w:tr>
            <w:tr w14:paraId="24D6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Align w:val="center"/>
                </w:tcPr>
                <w:p w14:paraId="140DCE70">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厂界下风向</w:t>
                  </w:r>
                </w:p>
              </w:tc>
              <w:tc>
                <w:tcPr>
                  <w:tcW w:w="1229" w:type="dxa"/>
                  <w:vAlign w:val="center"/>
                </w:tcPr>
                <w:p w14:paraId="460D5DC5">
                  <w:pPr>
                    <w:spacing w:line="320" w:lineRule="exact"/>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颗粒物</w:t>
                  </w:r>
                </w:p>
              </w:tc>
              <w:tc>
                <w:tcPr>
                  <w:tcW w:w="1328" w:type="dxa"/>
                  <w:vAlign w:val="center"/>
                </w:tcPr>
                <w:p w14:paraId="0960D0F7">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1次/</w:t>
                  </w:r>
                  <w:r>
                    <w:rPr>
                      <w:rFonts w:hint="eastAsia" w:cs="Times New Roman"/>
                      <w:color w:val="auto"/>
                      <w:sz w:val="21"/>
                      <w:szCs w:val="21"/>
                      <w:highlight w:val="none"/>
                      <w:u w:val="single"/>
                      <w:lang w:val="en-US" w:eastAsia="zh-CN"/>
                    </w:rPr>
                    <w:t>年</w:t>
                  </w:r>
                </w:p>
              </w:tc>
              <w:tc>
                <w:tcPr>
                  <w:tcW w:w="3677" w:type="dxa"/>
                  <w:vAlign w:val="center"/>
                </w:tcPr>
                <w:p w14:paraId="6E6067E9">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《大气污染物综合排放标准》（GB16297-1996）表2中无组织排放监控浓度限值标准</w:t>
                  </w:r>
                </w:p>
              </w:tc>
            </w:tr>
            <w:tr w14:paraId="79A0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Align w:val="center"/>
                </w:tcPr>
                <w:p w14:paraId="063AB9DF">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r>
                    <w:rPr>
                      <w:rFonts w:hint="eastAsia" w:ascii="Times New Roman" w:hAnsi="Times New Roman" w:eastAsia="宋体" w:cs="Times New Roman"/>
                      <w:color w:val="auto"/>
                      <w:sz w:val="21"/>
                      <w:szCs w:val="21"/>
                      <w:highlight w:val="none"/>
                      <w:u w:val="single"/>
                      <w:lang w:val="en-US" w:eastAsia="zh-CN"/>
                    </w:rPr>
                    <w:t>排气筒DA001</w:t>
                  </w:r>
                </w:p>
              </w:tc>
              <w:tc>
                <w:tcPr>
                  <w:tcW w:w="1229" w:type="dxa"/>
                  <w:vAlign w:val="center"/>
                </w:tcPr>
                <w:p w14:paraId="3CC9DF96">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颗粒物</w:t>
                  </w:r>
                </w:p>
              </w:tc>
              <w:tc>
                <w:tcPr>
                  <w:tcW w:w="1328" w:type="dxa"/>
                  <w:vAlign w:val="center"/>
                </w:tcPr>
                <w:p w14:paraId="4703D3FE">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1次/年</w:t>
                  </w:r>
                </w:p>
              </w:tc>
              <w:tc>
                <w:tcPr>
                  <w:tcW w:w="3677" w:type="dxa"/>
                  <w:vAlign w:val="center"/>
                </w:tcPr>
                <w:p w14:paraId="77FB947E">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《大气污染物综合排放标准》（GB16297-1996）表2中二级标准</w:t>
                  </w:r>
                </w:p>
              </w:tc>
            </w:tr>
          </w:tbl>
          <w:p w14:paraId="248040B5">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3、废水污染防治措施</w:t>
            </w:r>
          </w:p>
          <w:p w14:paraId="7AC8F00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项目废水主要为</w:t>
            </w:r>
            <w:r>
              <w:rPr>
                <w:rFonts w:hint="eastAsia" w:cs="Times New Roman"/>
                <w:color w:val="auto"/>
                <w:highlight w:val="none"/>
                <w:lang w:val="en-US" w:eastAsia="zh-CN"/>
              </w:rPr>
              <w:t>地表径流雨水</w:t>
            </w:r>
            <w:r>
              <w:rPr>
                <w:rFonts w:hint="default" w:ascii="Times New Roman" w:hAnsi="Times New Roman" w:cs="Times New Roman"/>
                <w:color w:val="auto"/>
                <w:highlight w:val="none"/>
              </w:rPr>
              <w:t>、</w:t>
            </w:r>
            <w:r>
              <w:rPr>
                <w:rFonts w:hint="eastAsia" w:cs="Times New Roman"/>
                <w:color w:val="auto"/>
                <w:highlight w:val="none"/>
                <w:lang w:val="en-US" w:eastAsia="zh-CN"/>
              </w:rPr>
              <w:t>车辆冲洗废水及</w:t>
            </w:r>
            <w:r>
              <w:rPr>
                <w:rFonts w:hint="default" w:ascii="Times New Roman" w:hAnsi="Times New Roman" w:cs="Times New Roman"/>
                <w:color w:val="auto"/>
                <w:highlight w:val="none"/>
              </w:rPr>
              <w:t>生活污水</w:t>
            </w:r>
            <w:r>
              <w:rPr>
                <w:rFonts w:hint="eastAsia" w:cs="Times New Roman"/>
                <w:color w:val="auto"/>
                <w:highlight w:val="none"/>
                <w:lang w:eastAsia="zh-CN"/>
              </w:rPr>
              <w:t>。</w:t>
            </w:r>
            <w:r>
              <w:rPr>
                <w:rFonts w:hint="eastAsia" w:cs="Times New Roman"/>
                <w:color w:val="auto"/>
                <w:highlight w:val="none"/>
                <w:lang w:val="en-US" w:eastAsia="zh-CN"/>
              </w:rPr>
              <w:t>工业场地</w:t>
            </w:r>
            <w:r>
              <w:rPr>
                <w:rFonts w:hint="default" w:ascii="Times New Roman" w:hAnsi="Times New Roman" w:cs="Times New Roman"/>
                <w:color w:val="auto"/>
                <w:highlight w:val="none"/>
              </w:rPr>
              <w:t>以及露天采场通过在周围设置挡土板，导流沟，可自流排水不会形成积水，矿区雨水流至</w:t>
            </w:r>
            <w:r>
              <w:rPr>
                <w:rFonts w:hint="eastAsia" w:cs="Times New Roman"/>
                <w:color w:val="auto"/>
                <w:highlight w:val="none"/>
                <w:lang w:val="en-US" w:eastAsia="zh-CN"/>
              </w:rPr>
              <w:t>矿区矿坑内沉淀池</w:t>
            </w:r>
            <w:r>
              <w:rPr>
                <w:rFonts w:hint="default" w:ascii="Times New Roman" w:hAnsi="Times New Roman" w:cs="Times New Roman"/>
                <w:color w:val="auto"/>
                <w:highlight w:val="none"/>
              </w:rPr>
              <w:t>进行沉淀后回用，</w:t>
            </w:r>
            <w:r>
              <w:rPr>
                <w:rFonts w:hint="eastAsia" w:cs="Times New Roman"/>
                <w:color w:val="auto"/>
                <w:highlight w:val="none"/>
                <w:lang w:val="en-US" w:eastAsia="zh-CN"/>
              </w:rPr>
              <w:t>工业场地</w:t>
            </w:r>
            <w:r>
              <w:rPr>
                <w:rFonts w:hint="default" w:ascii="Times New Roman" w:hAnsi="Times New Roman" w:cs="Times New Roman"/>
                <w:color w:val="auto"/>
                <w:highlight w:val="none"/>
              </w:rPr>
              <w:t>雨水通过导流沟汇入沉淀池进行沉淀回用，生活污水经化粪池处理</w:t>
            </w:r>
            <w:r>
              <w:rPr>
                <w:rFonts w:hint="eastAsia" w:cs="Times New Roman"/>
                <w:color w:val="auto"/>
                <w:highlight w:val="none"/>
                <w:lang w:val="en-US" w:eastAsia="zh-CN"/>
              </w:rPr>
              <w:t>后</w:t>
            </w:r>
            <w:r>
              <w:rPr>
                <w:rFonts w:hint="default" w:ascii="Times New Roman" w:hAnsi="Times New Roman" w:cs="Times New Roman"/>
                <w:color w:val="auto"/>
                <w:highlight w:val="none"/>
              </w:rPr>
              <w:t>用于周边农田灌溉，不外排，抑尘用水全部蒸发损耗无废水产生，因此对水环境影响不大。</w:t>
            </w:r>
          </w:p>
          <w:p w14:paraId="70E46C1D">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4</w:t>
            </w:r>
            <w:r>
              <w:rPr>
                <w:rFonts w:hint="default" w:ascii="Times New Roman" w:hAnsi="Times New Roman" w:cs="Times New Roman"/>
                <w:b/>
                <w:bCs/>
                <w:color w:val="auto"/>
                <w:highlight w:val="none"/>
              </w:rPr>
              <w:t>、噪声污染控制措施</w:t>
            </w:r>
          </w:p>
          <w:p w14:paraId="09C62094">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项目运营期噪声包括矿山开采噪声、生产设备机械噪声以及车辆运输噪声，矿山开采噪声声压级高、传播距离远、时间短，生产设备机械噪声来自潜孔钻、挖掘机、装载机、破碎锤</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破碎机、振动筛、</w:t>
            </w:r>
            <w:r>
              <w:rPr>
                <w:rFonts w:hint="eastAsia" w:cs="Times New Roman"/>
                <w:color w:val="auto"/>
                <w:highlight w:val="none"/>
                <w:u w:val="single"/>
                <w:lang w:val="en-US" w:eastAsia="zh-CN"/>
              </w:rPr>
              <w:t>空压机</w:t>
            </w:r>
            <w:r>
              <w:rPr>
                <w:rFonts w:hint="default" w:ascii="Times New Roman" w:hAnsi="Times New Roman" w:cs="Times New Roman"/>
                <w:color w:val="auto"/>
                <w:highlight w:val="none"/>
                <w:u w:val="single"/>
              </w:rPr>
              <w:t>等生产设备， 车辆运输噪声来自碎石运输。</w:t>
            </w:r>
          </w:p>
          <w:p w14:paraId="1D4AA8C5">
            <w:pPr>
              <w:ind w:firstLine="480"/>
              <w:rPr>
                <w:rFonts w:hint="default" w:eastAsia="宋体"/>
                <w:color w:val="auto"/>
                <w:u w:val="single"/>
                <w:lang w:val="en-US" w:eastAsia="zh-CN"/>
              </w:rPr>
            </w:pPr>
            <w:r>
              <w:rPr>
                <w:rFonts w:hint="eastAsia"/>
                <w:color w:val="auto"/>
                <w:u w:val="single"/>
                <w:lang w:eastAsia="zh-CN"/>
              </w:rPr>
              <w:t>（</w:t>
            </w:r>
            <w:r>
              <w:rPr>
                <w:rFonts w:hint="eastAsia"/>
                <w:color w:val="auto"/>
                <w:u w:val="single"/>
                <w:lang w:val="en-US" w:eastAsia="zh-CN"/>
              </w:rPr>
              <w:t>1</w:t>
            </w:r>
            <w:r>
              <w:rPr>
                <w:rFonts w:hint="eastAsia"/>
                <w:color w:val="auto"/>
                <w:u w:val="single"/>
                <w:lang w:eastAsia="zh-CN"/>
              </w:rPr>
              <w:t>）</w:t>
            </w:r>
            <w:r>
              <w:rPr>
                <w:rFonts w:hint="eastAsia"/>
                <w:color w:val="auto"/>
                <w:u w:val="single"/>
                <w:lang w:val="en-US" w:eastAsia="zh-CN"/>
              </w:rPr>
              <w:t>爆破振动噪声</w:t>
            </w:r>
          </w:p>
          <w:p w14:paraId="5FF0DF11">
            <w:pPr>
              <w:ind w:firstLine="480"/>
              <w:rPr>
                <w:rFonts w:hint="default" w:ascii="Times New Roman" w:hAnsi="Times New Roman" w:cs="Times New Roman"/>
                <w:color w:val="auto"/>
                <w:highlight w:val="none"/>
              </w:rPr>
            </w:pPr>
            <w:r>
              <w:rPr>
                <w:color w:val="auto"/>
                <w:u w:val="single"/>
              </w:rPr>
              <w:t>采用延时起爆，同排炮孔采用孔间延时起爆，控制一次齐爆的总装药量；严格控制起爆时间，避免夜间和12：00</w:t>
            </w:r>
            <w:r>
              <w:rPr>
                <w:rFonts w:hint="eastAsia"/>
                <w:color w:val="auto"/>
                <w:u w:val="single"/>
              </w:rPr>
              <w:t>~</w:t>
            </w:r>
            <w:r>
              <w:rPr>
                <w:color w:val="auto"/>
                <w:u w:val="single"/>
              </w:rPr>
              <w:t>14：00起爆；</w:t>
            </w:r>
            <w:r>
              <w:rPr>
                <w:rStyle w:val="44"/>
                <w:rFonts w:hint="default" w:ascii="Times New Roman" w:hAnsi="Times New Roman"/>
                <w:color w:val="auto"/>
                <w:sz w:val="24"/>
                <w:szCs w:val="24"/>
                <w:u w:val="single"/>
              </w:rPr>
              <w:t>设置减震沟减轻本项目爆破振动对敏感目标产生的影响。</w:t>
            </w:r>
          </w:p>
          <w:p w14:paraId="69C1A57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w:t>
            </w:r>
            <w:r>
              <w:rPr>
                <w:rFonts w:hint="eastAsia" w:cs="Times New Roman"/>
                <w:color w:val="auto"/>
                <w:highlight w:val="none"/>
                <w:u w:val="single"/>
                <w:lang w:val="en-US" w:eastAsia="zh-CN"/>
              </w:rPr>
              <w:t>2</w:t>
            </w:r>
            <w:r>
              <w:rPr>
                <w:rFonts w:hint="default" w:ascii="Times New Roman" w:hAnsi="Times New Roman" w:cs="Times New Roman"/>
                <w:color w:val="auto"/>
                <w:highlight w:val="none"/>
                <w:u w:val="single"/>
              </w:rPr>
              <w:t>）生产设备机械噪声</w:t>
            </w:r>
          </w:p>
          <w:p w14:paraId="28441244">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项目生产设备潜孔钻、挖掘机、装载机、破碎锤、破碎机、振动筛、</w:t>
            </w:r>
            <w:r>
              <w:rPr>
                <w:rFonts w:hint="eastAsia" w:cs="Times New Roman"/>
                <w:color w:val="auto"/>
                <w:highlight w:val="none"/>
                <w:u w:val="single"/>
                <w:lang w:val="en-US" w:eastAsia="zh-CN"/>
              </w:rPr>
              <w:t>空压机</w:t>
            </w:r>
            <w:r>
              <w:rPr>
                <w:rFonts w:hint="default" w:ascii="Times New Roman" w:hAnsi="Times New Roman" w:cs="Times New Roman"/>
                <w:color w:val="auto"/>
                <w:highlight w:val="none"/>
                <w:u w:val="single"/>
              </w:rPr>
              <w:t>等均产生不同强度的噪声，噪声源强在7</w:t>
            </w:r>
            <w:r>
              <w:rPr>
                <w:rFonts w:hint="eastAsia" w:cs="Times New Roman"/>
                <w:color w:val="auto"/>
                <w:highlight w:val="none"/>
                <w:u w:val="single"/>
                <w:lang w:val="en-US" w:eastAsia="zh-CN"/>
              </w:rPr>
              <w:t>5</w:t>
            </w:r>
            <w:r>
              <w:rPr>
                <w:rFonts w:hint="default" w:ascii="Times New Roman" w:hAnsi="Times New Roman" w:cs="Times New Roman"/>
                <w:color w:val="auto"/>
                <w:highlight w:val="none"/>
                <w:u w:val="single"/>
              </w:rPr>
              <w:t>~</w:t>
            </w:r>
            <w:r>
              <w:rPr>
                <w:rFonts w:hint="eastAsia" w:cs="Times New Roman"/>
                <w:color w:val="auto"/>
                <w:highlight w:val="none"/>
                <w:u w:val="single"/>
                <w:lang w:val="en-US" w:eastAsia="zh-CN"/>
              </w:rPr>
              <w:t>120</w:t>
            </w:r>
            <w:r>
              <w:rPr>
                <w:rFonts w:hint="default" w:ascii="Times New Roman" w:hAnsi="Times New Roman" w:cs="Times New Roman"/>
                <w:color w:val="auto"/>
                <w:highlight w:val="none"/>
                <w:u w:val="single"/>
              </w:rPr>
              <w:t>dB（A）之间。项目通过合理安排生产时间，夜间不进行生产；选用低噪声设备，加强设备维修保养降低噪声对周边环境的影响。</w:t>
            </w:r>
          </w:p>
          <w:p w14:paraId="27E2DC33">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w:t>
            </w:r>
            <w:r>
              <w:rPr>
                <w:rFonts w:hint="eastAsia" w:cs="Times New Roman"/>
                <w:color w:val="auto"/>
                <w:highlight w:val="none"/>
                <w:u w:val="single"/>
                <w:lang w:val="en-US" w:eastAsia="zh-CN"/>
              </w:rPr>
              <w:t>3</w:t>
            </w:r>
            <w:r>
              <w:rPr>
                <w:rFonts w:hint="default" w:ascii="Times New Roman" w:hAnsi="Times New Roman" w:cs="Times New Roman"/>
                <w:color w:val="auto"/>
                <w:highlight w:val="none"/>
                <w:u w:val="single"/>
              </w:rPr>
              <w:t>）车辆运输噪声</w:t>
            </w:r>
          </w:p>
          <w:p w14:paraId="56252B4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项目车辆对外运输均安排在昼间，车辆运输碎石需行驶经过乡村道路，车辆运输过程对道路两侧产生交通噪声影响。将运输车辆行驶速度限速至10km/h，噪声源强约70~80dB（A）。项目通过合理安排运输时间， 限制运输车辆车速，禁止鸣笛等措施，可将车辆运输噪声影响控制在可接受范围内。</w:t>
            </w:r>
          </w:p>
          <w:p w14:paraId="778EF1D5">
            <w:pPr>
              <w:ind w:firstLine="480"/>
              <w:rPr>
                <w:rFonts w:hint="default" w:cs="Times New Roman"/>
                <w:color w:val="auto"/>
                <w:highlight w:val="none"/>
                <w:lang w:val="en-US" w:eastAsia="zh-CN"/>
              </w:rPr>
            </w:pPr>
            <w:r>
              <w:rPr>
                <w:rFonts w:hint="default" w:cs="Times New Roman"/>
                <w:color w:val="auto"/>
                <w:highlight w:val="none"/>
                <w:lang w:val="en-US" w:eastAsia="zh-CN"/>
              </w:rPr>
              <w:t>（</w:t>
            </w:r>
            <w:r>
              <w:rPr>
                <w:rFonts w:hint="eastAsia" w:cs="Times New Roman"/>
                <w:color w:val="auto"/>
                <w:highlight w:val="none"/>
                <w:lang w:val="en-US" w:eastAsia="zh-CN"/>
              </w:rPr>
              <w:t>3</w:t>
            </w:r>
            <w:r>
              <w:rPr>
                <w:rFonts w:hint="default" w:cs="Times New Roman"/>
                <w:color w:val="auto"/>
                <w:highlight w:val="none"/>
                <w:lang w:val="en-US" w:eastAsia="zh-CN"/>
              </w:rPr>
              <w:t>）噪声自行监测计划</w:t>
            </w:r>
          </w:p>
          <w:p w14:paraId="4F1DA13F">
            <w:pPr>
              <w:ind w:firstLine="480"/>
              <w:rPr>
                <w:rFonts w:hint="default" w:cs="Times New Roman"/>
                <w:color w:val="auto"/>
                <w:highlight w:val="none"/>
                <w:lang w:val="en-US" w:eastAsia="zh-CN"/>
              </w:rPr>
            </w:pPr>
            <w:r>
              <w:rPr>
                <w:rFonts w:hint="default" w:cs="Times New Roman"/>
                <w:color w:val="auto"/>
                <w:highlight w:val="none"/>
                <w:lang w:val="en-US" w:eastAsia="zh-CN"/>
              </w:rPr>
              <w:t>根据《排污单位自行监测技术指南 总则》（HJ819-2017），项目运营期应委托第三方检测机构定期对项目厂界噪声进行监测。</w:t>
            </w:r>
          </w:p>
          <w:p w14:paraId="24C35733">
            <w:pPr>
              <w:ind w:firstLine="0" w:firstLineChars="0"/>
              <w:jc w:val="center"/>
              <w:rPr>
                <w:rFonts w:hint="default" w:cs="Times New Roman"/>
                <w:b/>
                <w:bCs/>
                <w:color w:val="auto"/>
                <w:sz w:val="21"/>
                <w:szCs w:val="21"/>
                <w:highlight w:val="none"/>
                <w:u w:val="single"/>
                <w:lang w:val="en-US" w:eastAsia="zh-CN"/>
              </w:rPr>
            </w:pPr>
            <w:r>
              <w:rPr>
                <w:rFonts w:hint="default" w:cs="Times New Roman"/>
                <w:b/>
                <w:bCs/>
                <w:color w:val="auto"/>
                <w:sz w:val="21"/>
                <w:szCs w:val="21"/>
                <w:highlight w:val="none"/>
                <w:u w:val="single"/>
                <w:lang w:val="en-US" w:eastAsia="zh-CN"/>
              </w:rPr>
              <w:t>表5-</w:t>
            </w:r>
            <w:r>
              <w:rPr>
                <w:rFonts w:hint="eastAsia" w:cs="Times New Roman"/>
                <w:b/>
                <w:bCs/>
                <w:color w:val="auto"/>
                <w:sz w:val="21"/>
                <w:szCs w:val="21"/>
                <w:highlight w:val="none"/>
                <w:u w:val="single"/>
                <w:lang w:val="en-US" w:eastAsia="zh-CN"/>
              </w:rPr>
              <w:t xml:space="preserve">2  </w:t>
            </w:r>
            <w:r>
              <w:rPr>
                <w:rFonts w:hint="default" w:cs="Times New Roman"/>
                <w:b/>
                <w:bCs/>
                <w:color w:val="auto"/>
                <w:sz w:val="21"/>
                <w:szCs w:val="21"/>
                <w:highlight w:val="none"/>
                <w:u w:val="single"/>
                <w:lang w:val="en-US" w:eastAsia="zh-CN"/>
              </w:rPr>
              <w:t>噪声自行监测计划表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1363"/>
              <w:gridCol w:w="1191"/>
              <w:gridCol w:w="3672"/>
            </w:tblGrid>
            <w:tr w14:paraId="42EA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dxa"/>
                  <w:vAlign w:val="center"/>
                </w:tcPr>
                <w:p w14:paraId="47CB87B8">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监测位置</w:t>
                  </w:r>
                </w:p>
              </w:tc>
              <w:tc>
                <w:tcPr>
                  <w:tcW w:w="1365" w:type="dxa"/>
                  <w:vAlign w:val="center"/>
                </w:tcPr>
                <w:p w14:paraId="7C50EBD5">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监测指标</w:t>
                  </w:r>
                </w:p>
              </w:tc>
              <w:tc>
                <w:tcPr>
                  <w:tcW w:w="1192" w:type="dxa"/>
                  <w:vAlign w:val="center"/>
                </w:tcPr>
                <w:p w14:paraId="77A98346">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监测频次</w:t>
                  </w:r>
                </w:p>
              </w:tc>
              <w:tc>
                <w:tcPr>
                  <w:tcW w:w="3677" w:type="dxa"/>
                  <w:vAlign w:val="center"/>
                </w:tcPr>
                <w:p w14:paraId="1C0DB04B">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执行标准</w:t>
                  </w:r>
                </w:p>
              </w:tc>
            </w:tr>
            <w:tr w14:paraId="318A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dxa"/>
                  <w:vAlign w:val="center"/>
                </w:tcPr>
                <w:p w14:paraId="1C3E2FFE">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项目厂界外1m处</w:t>
                  </w:r>
                </w:p>
              </w:tc>
              <w:tc>
                <w:tcPr>
                  <w:tcW w:w="1365" w:type="dxa"/>
                  <w:vAlign w:val="center"/>
                </w:tcPr>
                <w:p w14:paraId="51151B11">
                  <w:pPr>
                    <w:spacing w:line="320" w:lineRule="exact"/>
                    <w:ind w:firstLine="0" w:firstLineChars="0"/>
                    <w:jc w:val="center"/>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Leq（昼） 、</w:t>
                  </w:r>
                </w:p>
                <w:p w14:paraId="3F108253">
                  <w:pPr>
                    <w:spacing w:line="320" w:lineRule="exact"/>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Leq（夜）</w:t>
                  </w:r>
                </w:p>
              </w:tc>
              <w:tc>
                <w:tcPr>
                  <w:tcW w:w="1192" w:type="dxa"/>
                  <w:vAlign w:val="center"/>
                </w:tcPr>
                <w:p w14:paraId="3F5C7CC5">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1次/季度</w:t>
                  </w:r>
                </w:p>
              </w:tc>
              <w:tc>
                <w:tcPr>
                  <w:tcW w:w="3677" w:type="dxa"/>
                  <w:vAlign w:val="center"/>
                </w:tcPr>
                <w:p w14:paraId="7F7E040C">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《工业企业厂界环境噪声排放标</w:t>
                  </w:r>
                </w:p>
                <w:p w14:paraId="2672461A">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准》（GB12348-2008）2类标准</w:t>
                  </w:r>
                </w:p>
              </w:tc>
            </w:tr>
          </w:tbl>
          <w:p w14:paraId="1CB6E181">
            <w:pPr>
              <w:spacing w:line="240" w:lineRule="auto"/>
              <w:ind w:firstLine="0" w:firstLineChars="0"/>
              <w:rPr>
                <w:rFonts w:hint="default" w:ascii="Times New Roman" w:hAnsi="Times New Roman" w:cs="Times New Roman"/>
                <w:b/>
                <w:bCs/>
                <w:color w:val="auto"/>
                <w:highlight w:val="none"/>
              </w:rPr>
            </w:pPr>
          </w:p>
          <w:p w14:paraId="60C156BE">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5</w:t>
            </w:r>
            <w:r>
              <w:rPr>
                <w:rFonts w:hint="default" w:ascii="Times New Roman" w:hAnsi="Times New Roman" w:cs="Times New Roman"/>
                <w:b/>
                <w:bCs/>
                <w:color w:val="auto"/>
                <w:highlight w:val="none"/>
              </w:rPr>
              <w:t>、固体废物污染控制措施</w:t>
            </w:r>
          </w:p>
          <w:p w14:paraId="23B55BD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（1）表土</w:t>
            </w:r>
          </w:p>
          <w:p w14:paraId="0FECEAC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剥离表土临时堆放于</w:t>
            </w:r>
            <w:r>
              <w:rPr>
                <w:rFonts w:hint="eastAsia" w:cs="Times New Roman"/>
                <w:color w:val="auto"/>
                <w:highlight w:val="none"/>
                <w:lang w:eastAsia="zh-CN"/>
              </w:rPr>
              <w:t>排土场</w:t>
            </w:r>
            <w:r>
              <w:rPr>
                <w:rFonts w:hint="default" w:ascii="Times New Roman" w:hAnsi="Times New Roman" w:cs="Times New Roman"/>
                <w:color w:val="auto"/>
                <w:highlight w:val="none"/>
              </w:rPr>
              <w:t>内，并及时将其用于矿区或其他损毁地的覆土复垦绿化。排土场在运行过程中及闭坑后为防止崩塌、滑坡等地质灾害，应在排土场四周设警示牌，防止人、畜误入造成安全事故。</w:t>
            </w:r>
          </w:p>
          <w:p w14:paraId="3680DC5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（2）沉淀池污泥</w:t>
            </w:r>
          </w:p>
          <w:p w14:paraId="3D396A3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沉淀池污泥定期清掏堆放至</w:t>
            </w:r>
            <w:r>
              <w:rPr>
                <w:rFonts w:hint="eastAsia" w:cs="Times New Roman"/>
                <w:color w:val="auto"/>
                <w:highlight w:val="none"/>
                <w:lang w:eastAsia="zh-CN"/>
              </w:rPr>
              <w:t>排土场</w:t>
            </w:r>
            <w:r>
              <w:rPr>
                <w:rFonts w:hint="default" w:ascii="Times New Roman" w:hAnsi="Times New Roman" w:cs="Times New Roman"/>
                <w:color w:val="auto"/>
                <w:highlight w:val="none"/>
              </w:rPr>
              <w:t>内，用作复垦绿化覆土。</w:t>
            </w:r>
          </w:p>
          <w:p w14:paraId="3F1C8BD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（3）废含油抹布手套和产生的少量废机油</w:t>
            </w:r>
          </w:p>
          <w:p w14:paraId="4AA62F8A">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危废</w:t>
            </w:r>
            <w:r>
              <w:rPr>
                <w:rFonts w:hint="default" w:ascii="Times New Roman" w:hAnsi="Times New Roman" w:cs="Times New Roman"/>
                <w:color w:val="auto"/>
                <w:highlight w:val="none"/>
              </w:rPr>
              <w:t>暂存间分类收集上述各类危险废物，危废暂存场所应满足防风、防雨、防晒的要求，危废暂存间地面应采用耐腐蚀混凝土硬化地面，地面基础必须防渗，危废暂存间设置危废标识牌及危险废物相关管理制度，危废暂存间加门锁防护，严格管理，危废收集到一定量后定期委托有资质的单位进行处理，避免危险固废对外界造成影响。</w:t>
            </w:r>
          </w:p>
          <w:p w14:paraId="5D522E4E">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本次评价要求一般固体废物贮存、处置执行《一般工业固体废物贮存和填埋污染控制标准》（</w:t>
            </w:r>
            <w:r>
              <w:rPr>
                <w:rFonts w:hint="default" w:ascii="Times New Roman" w:hAnsi="Times New Roman" w:eastAsia="宋体" w:cs="Times New Roman"/>
                <w:color w:val="auto"/>
                <w:kern w:val="0"/>
                <w:sz w:val="24"/>
                <w:szCs w:val="24"/>
                <w:highlight w:val="none"/>
                <w:lang w:val="en-US" w:eastAsia="zh-CN" w:bidi="ar"/>
              </w:rPr>
              <w:t>GB18599-2020</w:t>
            </w:r>
            <w:r>
              <w:rPr>
                <w:rFonts w:hint="eastAsia" w:ascii="宋体" w:hAnsi="宋体" w:eastAsia="宋体" w:cs="宋体"/>
                <w:color w:val="auto"/>
                <w:kern w:val="0"/>
                <w:sz w:val="24"/>
                <w:szCs w:val="24"/>
                <w:highlight w:val="none"/>
                <w:lang w:val="en-US" w:eastAsia="zh-CN" w:bidi="ar"/>
              </w:rPr>
              <w:t>），危险废物须按照《危险废物贮存污染控制标准》（</w:t>
            </w:r>
            <w:r>
              <w:rPr>
                <w:rFonts w:hint="default" w:ascii="Times New Roman" w:hAnsi="Times New Roman" w:eastAsia="宋体" w:cs="Times New Roman"/>
                <w:color w:val="auto"/>
                <w:kern w:val="0"/>
                <w:sz w:val="24"/>
                <w:szCs w:val="24"/>
                <w:highlight w:val="none"/>
                <w:lang w:val="en-US" w:eastAsia="zh-CN" w:bidi="ar"/>
              </w:rPr>
              <w:t>GB18597—2023</w:t>
            </w:r>
            <w:r>
              <w:rPr>
                <w:rFonts w:hint="eastAsia" w:ascii="宋体" w:hAnsi="宋体" w:eastAsia="宋体" w:cs="宋体"/>
                <w:color w:val="auto"/>
                <w:kern w:val="0"/>
                <w:sz w:val="24"/>
                <w:szCs w:val="24"/>
                <w:highlight w:val="none"/>
                <w:lang w:val="en-US" w:eastAsia="zh-CN" w:bidi="ar"/>
              </w:rPr>
              <w:t>）中的相关规定储存，建立危险废物管理台账，如实记录相关信息并及时向所在地环境保护主管部门报告。危废暂存容器的材质和衬里要与危废物不相容（不相互反应），在生产过程中制定严格的危废存储、运输和使用等规章制度。暂存间应严格按照《危险废物贮存污染控制标准》（</w:t>
            </w:r>
            <w:r>
              <w:rPr>
                <w:rFonts w:hint="default" w:ascii="Times New Roman" w:hAnsi="Times New Roman" w:eastAsia="宋体" w:cs="Times New Roman"/>
                <w:color w:val="auto"/>
                <w:kern w:val="0"/>
                <w:sz w:val="24"/>
                <w:szCs w:val="24"/>
                <w:highlight w:val="none"/>
                <w:lang w:val="en-US" w:eastAsia="zh-CN" w:bidi="ar"/>
              </w:rPr>
              <w:t>GB 18597—2023</w:t>
            </w:r>
            <w:r>
              <w:rPr>
                <w:rFonts w:hint="eastAsia" w:ascii="宋体" w:hAnsi="宋体" w:eastAsia="宋体" w:cs="宋体"/>
                <w:color w:val="auto"/>
                <w:kern w:val="0"/>
                <w:sz w:val="24"/>
                <w:szCs w:val="24"/>
                <w:highlight w:val="none"/>
                <w:lang w:val="en-US" w:eastAsia="zh-CN" w:bidi="ar"/>
              </w:rPr>
              <w:t>）建造危废暂存间，对危废暂存间应建设基础防渗设施，并配备照明设施，危废暂存间为重点防渗区，要求地面防渗系数</w:t>
            </w:r>
            <w:r>
              <w:rPr>
                <w:rFonts w:hint="default"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cm/s</w:t>
            </w:r>
            <w:r>
              <w:rPr>
                <w:rFonts w:hint="eastAsia" w:ascii="宋体" w:hAnsi="宋体" w:eastAsia="宋体" w:cs="宋体"/>
                <w:color w:val="auto"/>
                <w:kern w:val="0"/>
                <w:sz w:val="24"/>
                <w:szCs w:val="24"/>
                <w:highlight w:val="none"/>
                <w:lang w:val="en-US" w:eastAsia="zh-CN" w:bidi="ar"/>
              </w:rPr>
              <w:t>。并按《危险废物识别标志设置技术规范》（</w:t>
            </w:r>
            <w:r>
              <w:rPr>
                <w:rFonts w:hint="default" w:ascii="Times New Roman" w:hAnsi="Times New Roman" w:eastAsia="宋体" w:cs="Times New Roman"/>
                <w:color w:val="auto"/>
                <w:kern w:val="0"/>
                <w:sz w:val="24"/>
                <w:szCs w:val="24"/>
                <w:highlight w:val="none"/>
                <w:lang w:val="en-US" w:eastAsia="zh-CN" w:bidi="ar"/>
              </w:rPr>
              <w:t>HJ 1276-2022</w:t>
            </w:r>
            <w:r>
              <w:rPr>
                <w:rFonts w:hint="eastAsia" w:ascii="宋体" w:hAnsi="宋体" w:eastAsia="宋体" w:cs="宋体"/>
                <w:color w:val="auto"/>
                <w:kern w:val="0"/>
                <w:sz w:val="24"/>
                <w:szCs w:val="24"/>
                <w:highlight w:val="none"/>
                <w:lang w:val="en-US" w:eastAsia="zh-CN" w:bidi="ar"/>
              </w:rPr>
              <w:t xml:space="preserve">）要求设置危险废物标识。将危险废物转入专用容器，并粘贴危险废物标签，并做好相应的纪录。贮存危险废物必须采取符合国家环境保护标准的防护措施，并不得超过一年；确需延长期限的，必须报备环境保护行政主管部门批准。禁止将危险废物混入非危险废物中贮存。 将危废收集后，严格按照 </w:t>
            </w:r>
            <w:r>
              <w:rPr>
                <w:rFonts w:hint="default" w:ascii="Times New Roman" w:hAnsi="Times New Roman" w:eastAsia="宋体" w:cs="Times New Roman"/>
                <w:color w:val="auto"/>
                <w:kern w:val="0"/>
                <w:sz w:val="24"/>
                <w:szCs w:val="24"/>
                <w:highlight w:val="none"/>
                <w:lang w:val="en-US" w:eastAsia="zh-CN" w:bidi="ar"/>
              </w:rPr>
              <w:t xml:space="preserve">2021 </w:t>
            </w:r>
            <w:r>
              <w:rPr>
                <w:rFonts w:hint="eastAsia" w:ascii="宋体" w:hAnsi="宋体" w:eastAsia="宋体" w:cs="宋体"/>
                <w:color w:val="auto"/>
                <w:kern w:val="0"/>
                <w:sz w:val="24"/>
                <w:szCs w:val="24"/>
                <w:highlight w:val="none"/>
                <w:lang w:val="en-US" w:eastAsia="zh-CN" w:bidi="ar"/>
              </w:rPr>
              <w:t xml:space="preserve">年 </w:t>
            </w:r>
            <w:r>
              <w:rPr>
                <w:rFonts w:hint="default" w:ascii="Times New Roman" w:hAnsi="Times New Roman" w:eastAsia="宋体" w:cs="Times New Roman"/>
                <w:color w:val="auto"/>
                <w:kern w:val="0"/>
                <w:sz w:val="24"/>
                <w:szCs w:val="24"/>
                <w:highlight w:val="none"/>
                <w:lang w:val="en-US" w:eastAsia="zh-CN" w:bidi="ar"/>
              </w:rPr>
              <w:t xml:space="preserve">11 </w:t>
            </w:r>
            <w:r>
              <w:rPr>
                <w:rFonts w:hint="eastAsia" w:ascii="宋体" w:hAnsi="宋体" w:eastAsia="宋体" w:cs="宋体"/>
                <w:color w:val="auto"/>
                <w:kern w:val="0"/>
                <w:sz w:val="24"/>
                <w:szCs w:val="24"/>
                <w:highlight w:val="none"/>
                <w:lang w:val="en-US" w:eastAsia="zh-CN" w:bidi="ar"/>
              </w:rPr>
              <w:t xml:space="preserve">月 </w:t>
            </w:r>
            <w:r>
              <w:rPr>
                <w:rFonts w:hint="default" w:ascii="Times New Roman" w:hAnsi="Times New Roman" w:eastAsia="宋体" w:cs="Times New Roman"/>
                <w:color w:val="auto"/>
                <w:kern w:val="0"/>
                <w:sz w:val="24"/>
                <w:szCs w:val="24"/>
                <w:highlight w:val="none"/>
                <w:lang w:val="en-US" w:eastAsia="zh-CN" w:bidi="ar"/>
              </w:rPr>
              <w:t xml:space="preserve">30 </w:t>
            </w:r>
            <w:r>
              <w:rPr>
                <w:rFonts w:hint="eastAsia" w:ascii="宋体" w:hAnsi="宋体" w:eastAsia="宋体" w:cs="宋体"/>
                <w:color w:val="auto"/>
                <w:kern w:val="0"/>
                <w:sz w:val="24"/>
                <w:szCs w:val="24"/>
                <w:highlight w:val="none"/>
                <w:lang w:val="en-US" w:eastAsia="zh-CN" w:bidi="ar"/>
              </w:rPr>
              <w:t xml:space="preserve">日生态环境部、公安部、交通运输部令第 </w:t>
            </w:r>
            <w:r>
              <w:rPr>
                <w:rFonts w:hint="default" w:ascii="Times New Roman" w:hAnsi="Times New Roman" w:eastAsia="宋体" w:cs="Times New Roman"/>
                <w:color w:val="auto"/>
                <w:kern w:val="0"/>
                <w:sz w:val="24"/>
                <w:szCs w:val="24"/>
                <w:highlight w:val="none"/>
                <w:lang w:val="en-US" w:eastAsia="zh-CN" w:bidi="ar"/>
              </w:rPr>
              <w:t xml:space="preserve">23 </w:t>
            </w:r>
            <w:r>
              <w:rPr>
                <w:rFonts w:hint="eastAsia" w:ascii="宋体" w:hAnsi="宋体" w:eastAsia="宋体" w:cs="宋体"/>
                <w:color w:val="auto"/>
                <w:kern w:val="0"/>
                <w:sz w:val="24"/>
                <w:szCs w:val="24"/>
                <w:highlight w:val="none"/>
                <w:lang w:val="en-US" w:eastAsia="zh-CN" w:bidi="ar"/>
              </w:rPr>
              <w:t xml:space="preserve">号公布的《危险废物转移管理办法》定期交由具有资质的单位统一处置。 </w:t>
            </w:r>
          </w:p>
          <w:p w14:paraId="397EF27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（4）生活垃圾</w:t>
            </w:r>
          </w:p>
          <w:p w14:paraId="32BD8C9E">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生产人员</w:t>
            </w:r>
            <w:r>
              <w:rPr>
                <w:rFonts w:hint="default" w:ascii="Times New Roman" w:hAnsi="Times New Roman" w:cs="Times New Roman"/>
                <w:color w:val="auto"/>
                <w:highlight w:val="none"/>
              </w:rPr>
              <w:t>生活统一收集就近送到当地垃圾收集点，由环卫部门统一清运处理。</w:t>
            </w:r>
          </w:p>
        </w:tc>
      </w:tr>
      <w:tr w14:paraId="13EE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E8612A4">
            <w:pPr>
              <w:spacing w:line="276" w:lineRule="auto"/>
              <w:ind w:firstLine="0" w:firstLineChars="0"/>
              <w:jc w:val="center"/>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其他</w:t>
            </w:r>
          </w:p>
        </w:tc>
        <w:tc>
          <w:tcPr>
            <w:tcW w:w="8101" w:type="dxa"/>
          </w:tcPr>
          <w:p w14:paraId="5E9F7833">
            <w:pPr>
              <w:ind w:firstLine="0" w:firstLineChars="0"/>
              <w:rPr>
                <w:rFonts w:hint="default" w:ascii="Times New Roman" w:hAnsi="Times New Roman" w:cs="Times New Roman"/>
                <w:b/>
                <w:bCs/>
                <w:color w:val="auto"/>
                <w:highlight w:val="none"/>
                <w:u w:val="none"/>
              </w:rPr>
            </w:pPr>
            <w:r>
              <w:rPr>
                <w:rFonts w:hint="eastAsia" w:cs="Times New Roman"/>
                <w:b/>
                <w:bCs/>
                <w:color w:val="auto"/>
                <w:highlight w:val="none"/>
                <w:u w:val="none"/>
                <w:lang w:val="en-US" w:eastAsia="zh-CN"/>
              </w:rPr>
              <w:t>一、</w:t>
            </w:r>
            <w:r>
              <w:rPr>
                <w:rFonts w:hint="default" w:ascii="Times New Roman" w:hAnsi="Times New Roman" w:cs="Times New Roman"/>
                <w:b/>
                <w:bCs/>
                <w:color w:val="auto"/>
                <w:highlight w:val="none"/>
                <w:u w:val="none"/>
              </w:rPr>
              <w:t>修复方案</w:t>
            </w:r>
          </w:p>
          <w:p w14:paraId="24138D0F">
            <w:pPr>
              <w:ind w:firstLine="480"/>
              <w:rPr>
                <w:rFonts w:hint="default" w:ascii="Times New Roman" w:hAnsi="Times New Roman" w:cs="Times New Roman"/>
                <w:color w:val="auto"/>
                <w:szCs w:val="24"/>
                <w:highlight w:val="none"/>
                <w:u w:val="none"/>
              </w:rPr>
            </w:pPr>
            <w:r>
              <w:rPr>
                <w:rFonts w:hint="default" w:ascii="Times New Roman" w:hAnsi="Times New Roman" w:cs="Times New Roman"/>
                <w:color w:val="auto"/>
                <w:highlight w:val="none"/>
                <w:u w:val="none"/>
              </w:rPr>
              <w:t>项目矿山服务期满后，建设单位需对矿山场地进行封场、平整、压实、绿化等，开展生态修复。</w:t>
            </w:r>
            <w:r>
              <w:rPr>
                <w:rFonts w:hint="eastAsia" w:cs="Times New Roman"/>
                <w:color w:val="auto"/>
                <w:szCs w:val="24"/>
                <w:highlight w:val="none"/>
                <w:u w:val="none"/>
                <w:lang w:eastAsia="zh-CN"/>
              </w:rPr>
              <w:t>澧县锦锋砂石有限公司</w:t>
            </w:r>
            <w:r>
              <w:rPr>
                <w:rFonts w:hint="eastAsia" w:cs="Times New Roman"/>
                <w:color w:val="auto"/>
                <w:szCs w:val="24"/>
                <w:highlight w:val="none"/>
                <w:u w:val="none"/>
                <w:lang w:val="en-US" w:eastAsia="zh-CN"/>
              </w:rPr>
              <w:t>已</w:t>
            </w:r>
            <w:r>
              <w:rPr>
                <w:rFonts w:hint="default" w:ascii="Times New Roman" w:hAnsi="Times New Roman" w:cs="Times New Roman"/>
                <w:color w:val="auto"/>
                <w:szCs w:val="24"/>
                <w:highlight w:val="none"/>
                <w:u w:val="none"/>
              </w:rPr>
              <w:t>编制矿山生态保护修复方案，</w:t>
            </w:r>
            <w:r>
              <w:rPr>
                <w:rFonts w:hint="eastAsia" w:cs="Times New Roman"/>
                <w:color w:val="auto"/>
                <w:szCs w:val="24"/>
                <w:highlight w:val="none"/>
                <w:u w:val="none"/>
                <w:lang w:val="en-US" w:eastAsia="zh-CN"/>
              </w:rPr>
              <w:t>本次环评参照生态修复方案</w:t>
            </w:r>
            <w:r>
              <w:rPr>
                <w:rFonts w:hint="default" w:ascii="Times New Roman" w:hAnsi="Times New Roman" w:cs="Times New Roman"/>
                <w:color w:val="auto"/>
                <w:szCs w:val="24"/>
                <w:highlight w:val="none"/>
                <w:u w:val="none"/>
              </w:rPr>
              <w:t>措施如下。</w:t>
            </w:r>
          </w:p>
          <w:p w14:paraId="6F24CD3F">
            <w:pPr>
              <w:ind w:firstLine="480"/>
              <w:rPr>
                <w:rFonts w:hint="eastAsia" w:cs="Times New Roman"/>
                <w:color w:val="auto"/>
                <w:highlight w:val="none"/>
                <w:u w:val="none"/>
                <w:lang w:eastAsia="zh-CN"/>
              </w:rPr>
            </w:pPr>
            <w:r>
              <w:rPr>
                <w:rFonts w:hint="eastAsia" w:cs="Times New Roman"/>
                <w:color w:val="auto"/>
                <w:highlight w:val="none"/>
                <w:u w:val="none"/>
                <w:lang w:eastAsia="zh-CN"/>
              </w:rPr>
              <w:t>保护修复措施主要有保护保育、自然恢复、人工辅助修复等。本矿山只有办公生活区、工业场地、排土场、露采场造成了土地资源的占损，以上区域无法采用保护保育、自然恢复的方式修复。本次设计采取人工辅助修复的方式进行，未来矿山闭坑后参考“澧县火连坡镇土地利用总体规划”对该区域修复为林草地。</w:t>
            </w:r>
          </w:p>
          <w:p w14:paraId="54775111">
            <w:pPr>
              <w:ind w:firstLine="480"/>
              <w:rPr>
                <w:rFonts w:hint="eastAsia" w:cs="Times New Roman"/>
                <w:color w:val="auto"/>
                <w:highlight w:val="none"/>
                <w:u w:val="none"/>
                <w:lang w:eastAsia="zh-CN"/>
              </w:rPr>
            </w:pPr>
            <w:r>
              <w:rPr>
                <w:rFonts w:hint="eastAsia" w:cs="Times New Roman"/>
                <w:color w:val="auto"/>
                <w:highlight w:val="none"/>
                <w:u w:val="none"/>
                <w:lang w:eastAsia="zh-CN"/>
              </w:rPr>
              <w:t>（一）生态保护修复工程</w:t>
            </w:r>
          </w:p>
          <w:p w14:paraId="0548655C">
            <w:pPr>
              <w:ind w:firstLine="480"/>
              <w:rPr>
                <w:rFonts w:hint="eastAsia" w:cs="Times New Roman"/>
                <w:color w:val="auto"/>
                <w:highlight w:val="none"/>
                <w:u w:val="none"/>
                <w:lang w:eastAsia="zh-CN"/>
              </w:rPr>
            </w:pPr>
            <w:r>
              <w:rPr>
                <w:rFonts w:hint="eastAsia" w:cs="Times New Roman"/>
                <w:color w:val="auto"/>
                <w:highlight w:val="none"/>
                <w:u w:val="none"/>
                <w:lang w:val="en-US" w:eastAsia="zh-CN"/>
              </w:rPr>
              <w:t>1</w:t>
            </w:r>
            <w:r>
              <w:rPr>
                <w:rFonts w:hint="eastAsia" w:cs="Times New Roman"/>
                <w:color w:val="auto"/>
                <w:highlight w:val="none"/>
                <w:u w:val="none"/>
                <w:lang w:eastAsia="zh-CN"/>
              </w:rPr>
              <w:t>、生态保护保育工程</w:t>
            </w:r>
          </w:p>
          <w:p w14:paraId="74473376">
            <w:pPr>
              <w:ind w:firstLine="480"/>
              <w:rPr>
                <w:rFonts w:hint="eastAsia" w:cs="Times New Roman"/>
                <w:color w:val="auto"/>
                <w:highlight w:val="none"/>
                <w:u w:val="none"/>
                <w:lang w:eastAsia="zh-CN"/>
              </w:rPr>
            </w:pPr>
            <w:r>
              <w:rPr>
                <w:rFonts w:hint="eastAsia" w:cs="Times New Roman"/>
                <w:color w:val="auto"/>
                <w:highlight w:val="none"/>
                <w:u w:val="none"/>
                <w:lang w:eastAsia="zh-CN"/>
              </w:rPr>
              <w:t>通过查询后出具的“澧县屠夫垭矿区建筑石料用灰岩矿采矿权分析简报”结果与自然资源等主管部门核实，诊断区范围内无重要交通要道和建筑设施；无自然保护区、水源涵养区、生态公益林、旅游景区及地质遗迹分布；无野生动物及珍稀植物群落。因此，本方案不设计保护保育措施。</w:t>
            </w:r>
          </w:p>
          <w:p w14:paraId="77691388">
            <w:pPr>
              <w:ind w:firstLine="480"/>
              <w:rPr>
                <w:rFonts w:hint="eastAsia" w:cs="Times New Roman"/>
                <w:color w:val="auto"/>
                <w:highlight w:val="none"/>
                <w:u w:val="none"/>
                <w:lang w:eastAsia="zh-CN"/>
              </w:rPr>
            </w:pPr>
            <w:r>
              <w:rPr>
                <w:rFonts w:hint="eastAsia" w:cs="Times New Roman"/>
                <w:color w:val="auto"/>
                <w:highlight w:val="none"/>
                <w:u w:val="none"/>
                <w:lang w:val="en-US" w:eastAsia="zh-CN"/>
              </w:rPr>
              <w:t>2</w:t>
            </w:r>
            <w:r>
              <w:rPr>
                <w:rFonts w:hint="eastAsia" w:cs="Times New Roman"/>
                <w:color w:val="auto"/>
                <w:highlight w:val="none"/>
                <w:u w:val="none"/>
                <w:lang w:eastAsia="zh-CN"/>
              </w:rPr>
              <w:t>、生态修复工程</w:t>
            </w:r>
          </w:p>
          <w:p w14:paraId="0C66CF65">
            <w:pPr>
              <w:ind w:firstLine="480"/>
              <w:rPr>
                <w:rFonts w:hint="eastAsia" w:cs="Times New Roman"/>
                <w:color w:val="auto"/>
                <w:highlight w:val="none"/>
                <w:u w:val="none"/>
                <w:lang w:eastAsia="zh-CN"/>
              </w:rPr>
            </w:pPr>
            <w:r>
              <w:rPr>
                <w:rFonts w:hint="eastAsia" w:cs="Times New Roman"/>
                <w:color w:val="auto"/>
                <w:highlight w:val="none"/>
                <w:u w:val="none"/>
                <w:lang w:eastAsia="zh-CN"/>
              </w:rPr>
              <w:t>生态修复工程类型有景观修复（含矿部办公区、工广场场及主要道路两侧的绿化)、土地复垦与生物多样性修复工程（占用、损毁土地的修复）、水资源水生态修复工程（含雨污分流，截排水）、地质灾害隐患消除工程（含崩滑流灾害治理、挡土墙、安全围栏及警示牌）等五大类。综合考虑采石场生态环境现状及发展趋势，各类工程部署如下：</w:t>
            </w:r>
          </w:p>
          <w:p w14:paraId="0780EBA0">
            <w:pPr>
              <w:ind w:firstLine="480"/>
              <w:rPr>
                <w:rFonts w:hint="eastAsia" w:cs="Times New Roman"/>
                <w:color w:val="auto"/>
                <w:highlight w:val="none"/>
                <w:u w:val="none"/>
                <w:lang w:eastAsia="zh-CN"/>
              </w:rPr>
            </w:pPr>
            <w:r>
              <w:rPr>
                <w:rFonts w:hint="eastAsia" w:cs="Times New Roman"/>
                <w:color w:val="auto"/>
                <w:highlight w:val="none"/>
                <w:u w:val="none"/>
                <w:lang w:eastAsia="zh-CN"/>
              </w:rPr>
              <w:t>（</w:t>
            </w:r>
            <w:r>
              <w:rPr>
                <w:rFonts w:hint="eastAsia" w:cs="Times New Roman"/>
                <w:color w:val="auto"/>
                <w:highlight w:val="none"/>
                <w:u w:val="none"/>
                <w:lang w:val="en-US" w:eastAsia="zh-CN"/>
              </w:rPr>
              <w:t>1</w:t>
            </w:r>
            <w:r>
              <w:rPr>
                <w:rFonts w:hint="eastAsia" w:cs="Times New Roman"/>
                <w:color w:val="auto"/>
                <w:highlight w:val="none"/>
                <w:u w:val="none"/>
                <w:lang w:eastAsia="zh-CN"/>
              </w:rPr>
              <w:t>）景观修复工程</w:t>
            </w:r>
          </w:p>
          <w:p w14:paraId="0C17D085">
            <w:pPr>
              <w:ind w:firstLine="480"/>
              <w:rPr>
                <w:rFonts w:hint="eastAsia" w:cs="Times New Roman"/>
                <w:color w:val="auto"/>
                <w:highlight w:val="none"/>
                <w:u w:val="none"/>
                <w:lang w:eastAsia="zh-CN"/>
              </w:rPr>
            </w:pPr>
            <w:r>
              <w:rPr>
                <w:rFonts w:hint="eastAsia" w:cs="Times New Roman"/>
                <w:color w:val="auto"/>
                <w:highlight w:val="none"/>
                <w:u w:val="none"/>
                <w:lang w:eastAsia="zh-CN"/>
              </w:rPr>
              <w:t>未来矿山闭坑后全面恢复植被，因此本次不再设计景观修复工程。矿山在建设过程中应严格按照绿色矿山标准进行建设，加强绿化，尤其是办公生活区的美化工作。同时，由于该矿山产品方案为原矿石，采下的矿石经过工业场地内（产品加工区）进行多级粉碎后直接装车外销，矿山开采和车辆出行引起的扬尘对周边景观影响较大，矿方需采用及时酒水除尘、修缮道路等方式降低矿山开采对景观和居民区的影响，该项工作归属矿山日常管理内容，本方案不进行实质性设计。</w:t>
            </w:r>
          </w:p>
          <w:p w14:paraId="42722F2D">
            <w:pPr>
              <w:ind w:firstLine="480"/>
              <w:rPr>
                <w:rFonts w:hint="eastAsia" w:cs="Times New Roman"/>
                <w:color w:val="auto"/>
                <w:highlight w:val="none"/>
                <w:u w:val="none"/>
                <w:lang w:eastAsia="zh-CN"/>
              </w:rPr>
            </w:pPr>
            <w:r>
              <w:rPr>
                <w:rFonts w:hint="eastAsia" w:cs="Times New Roman"/>
                <w:color w:val="auto"/>
                <w:highlight w:val="none"/>
                <w:u w:val="none"/>
                <w:lang w:eastAsia="zh-CN"/>
              </w:rPr>
              <w:t>（</w:t>
            </w:r>
            <w:r>
              <w:rPr>
                <w:rFonts w:hint="eastAsia" w:cs="Times New Roman"/>
                <w:color w:val="auto"/>
                <w:highlight w:val="none"/>
                <w:u w:val="none"/>
                <w:lang w:val="en-US" w:eastAsia="zh-CN"/>
              </w:rPr>
              <w:t>2</w:t>
            </w:r>
            <w:r>
              <w:rPr>
                <w:rFonts w:hint="eastAsia" w:cs="Times New Roman"/>
                <w:color w:val="auto"/>
                <w:highlight w:val="none"/>
                <w:u w:val="none"/>
                <w:lang w:eastAsia="zh-CN"/>
              </w:rPr>
              <w:t>）土地复垦与生物多样性修复工程</w:t>
            </w:r>
          </w:p>
          <w:p w14:paraId="645017A9">
            <w:pPr>
              <w:ind w:firstLine="480"/>
              <w:rPr>
                <w:rFonts w:hint="eastAsia" w:cs="Times New Roman"/>
                <w:color w:val="auto"/>
                <w:highlight w:val="none"/>
                <w:u w:val="none"/>
                <w:lang w:eastAsia="zh-CN"/>
              </w:rPr>
            </w:pPr>
            <w:r>
              <w:rPr>
                <w:rFonts w:hint="eastAsia" w:cs="Times New Roman"/>
                <w:color w:val="auto"/>
                <w:highlight w:val="none"/>
                <w:u w:val="none"/>
                <w:lang w:eastAsia="zh-CN"/>
              </w:rPr>
              <w:t>矿山的地面建设对当地的生物多样性不造成影响，考虑到矿区及附近为林地和采矿用地。因此，恢复植被或自然景观是未来土地复垦与生物多样性修复的主要目的。</w:t>
            </w:r>
          </w:p>
          <w:p w14:paraId="7C257281">
            <w:pPr>
              <w:ind w:firstLine="480"/>
              <w:rPr>
                <w:rFonts w:hint="eastAsia" w:cs="Times New Roman"/>
                <w:color w:val="auto"/>
                <w:highlight w:val="none"/>
                <w:u w:val="none"/>
                <w:lang w:eastAsia="zh-CN"/>
              </w:rPr>
            </w:pPr>
            <w:r>
              <w:rPr>
                <w:rFonts w:hint="eastAsia" w:cs="Times New Roman"/>
                <w:color w:val="auto"/>
                <w:highlight w:val="none"/>
                <w:u w:val="none"/>
                <w:lang w:eastAsia="zh-CN"/>
              </w:rPr>
              <w:t>1）土地复垦单元划分</w:t>
            </w:r>
          </w:p>
          <w:p w14:paraId="59BF0F05">
            <w:pPr>
              <w:ind w:firstLine="480"/>
              <w:rPr>
                <w:rFonts w:hint="eastAsia" w:cs="Times New Roman"/>
                <w:color w:val="auto"/>
                <w:highlight w:val="none"/>
                <w:u w:val="none"/>
                <w:lang w:eastAsia="zh-CN"/>
              </w:rPr>
            </w:pPr>
            <w:r>
              <w:rPr>
                <w:rFonts w:hint="eastAsia" w:cs="Times New Roman"/>
                <w:color w:val="auto"/>
                <w:highlight w:val="none"/>
                <w:u w:val="none"/>
                <w:lang w:eastAsia="zh-CN"/>
              </w:rPr>
              <w:t>依据矿山生态问题识别和诊断结果，矿山土地复垦单元划分为：矿部办公生活区、工业场地、排土场、堆土区、露采场（含各级台阶边坡）共5个单元。</w:t>
            </w:r>
          </w:p>
          <w:p w14:paraId="5F60699B">
            <w:pPr>
              <w:ind w:firstLine="480"/>
              <w:rPr>
                <w:rFonts w:hint="eastAsia" w:cs="Times New Roman"/>
                <w:color w:val="auto"/>
                <w:highlight w:val="none"/>
                <w:u w:val="none"/>
                <w:lang w:eastAsia="zh-CN"/>
              </w:rPr>
            </w:pPr>
            <w:r>
              <w:rPr>
                <w:rFonts w:hint="eastAsia" w:cs="Times New Roman"/>
                <w:color w:val="auto"/>
                <w:highlight w:val="none"/>
                <w:u w:val="none"/>
                <w:lang w:eastAsia="zh-CN"/>
              </w:rPr>
              <w:t>2）复垦方向的选择</w:t>
            </w:r>
          </w:p>
          <w:p w14:paraId="404D0BD9">
            <w:pPr>
              <w:ind w:firstLine="480"/>
              <w:rPr>
                <w:rFonts w:hint="eastAsia" w:cs="Times New Roman"/>
                <w:color w:val="auto"/>
                <w:highlight w:val="none"/>
                <w:u w:val="none"/>
                <w:lang w:eastAsia="zh-CN"/>
              </w:rPr>
            </w:pPr>
            <w:r>
              <w:rPr>
                <w:rFonts w:hint="eastAsia" w:cs="Times New Roman"/>
                <w:color w:val="auto"/>
                <w:highlight w:val="none"/>
                <w:u w:val="none"/>
                <w:lang w:eastAsia="zh-CN"/>
              </w:rPr>
              <w:t>本矿山未来主要以生态保护和涵养为主。同时，结合澧县火连坡镇土地利用总体规划、地质环境条件类型和当地居民意愿，土地复垦总体定位以恢复植被生态为主。此外，根据矿山的区位条件，该区气候温暖湿润，主要植被类型是灌木落叶林，少量常绿针叶林、阔叶林。原地类多属灌木林。因此，未来的生态修复工作以适应当地原生态保护和涵养为主，未来的复垦方向应与自然条件一致。</w:t>
            </w:r>
          </w:p>
          <w:p w14:paraId="696D13F2">
            <w:pPr>
              <w:ind w:firstLine="480"/>
              <w:rPr>
                <w:rFonts w:hint="eastAsia" w:cs="Times New Roman"/>
                <w:color w:val="auto"/>
                <w:highlight w:val="none"/>
                <w:u w:val="none"/>
                <w:lang w:eastAsia="zh-CN"/>
              </w:rPr>
            </w:pPr>
            <w:r>
              <w:rPr>
                <w:rFonts w:hint="eastAsia" w:cs="Times New Roman"/>
                <w:color w:val="auto"/>
                <w:highlight w:val="none"/>
                <w:u w:val="none"/>
                <w:lang w:eastAsia="zh-CN"/>
              </w:rPr>
              <w:t>根据澧县火连坡镇土地利用总体规划与当地公众的意见，矿山占用的土地地类以林地、采矿用地为主，因此未来的复绿方向应以恢复至原地类灌木林地为主。</w:t>
            </w:r>
          </w:p>
          <w:p w14:paraId="11FBC7BD">
            <w:pPr>
              <w:ind w:firstLine="480"/>
              <w:rPr>
                <w:rFonts w:hint="eastAsia" w:cs="Times New Roman"/>
                <w:color w:val="auto"/>
                <w:highlight w:val="none"/>
                <w:u w:val="none"/>
                <w:lang w:eastAsia="zh-CN"/>
              </w:rPr>
            </w:pPr>
            <w:r>
              <w:rPr>
                <w:rFonts w:hint="eastAsia" w:cs="Times New Roman"/>
                <w:color w:val="auto"/>
                <w:highlight w:val="none"/>
                <w:u w:val="none"/>
                <w:lang w:eastAsia="zh-CN"/>
              </w:rPr>
              <w:t>矿部办公生活区、工业场地、排土场、堆土区、露采场的各级台阶复垦为林草地，坡面采用爬藤植被绿化；矿山公路属利用的农村道路任然留作乡村道路，不复垦。</w:t>
            </w:r>
          </w:p>
          <w:p w14:paraId="4311C79F">
            <w:pPr>
              <w:ind w:firstLine="480"/>
              <w:rPr>
                <w:rFonts w:hint="eastAsia" w:ascii="Times New Roman" w:hAnsi="Times New Roman" w:eastAsia="宋体" w:cs="Times New Roman"/>
                <w:color w:val="auto"/>
                <w:highlight w:val="none"/>
                <w:u w:val="none"/>
                <w:lang w:eastAsia="zh-CN"/>
              </w:rPr>
            </w:pPr>
            <w:r>
              <w:rPr>
                <w:rFonts w:hint="eastAsia" w:cs="Times New Roman"/>
                <w:color w:val="auto"/>
                <w:highlight w:val="none"/>
                <w:u w:val="none"/>
                <w:lang w:eastAsia="zh-CN"/>
              </w:rPr>
              <w:t>矿山开采过程中及开采完毕后，根据土地复垦适宜性评价（表</w:t>
            </w:r>
            <w:r>
              <w:rPr>
                <w:rFonts w:hint="eastAsia" w:cs="Times New Roman"/>
                <w:color w:val="auto"/>
                <w:highlight w:val="none"/>
                <w:u w:val="none"/>
                <w:lang w:val="en-US" w:eastAsia="zh-CN"/>
              </w:rPr>
              <w:t>5</w:t>
            </w:r>
            <w:r>
              <w:rPr>
                <w:rFonts w:hint="eastAsia" w:cs="Times New Roman"/>
                <w:color w:val="auto"/>
                <w:highlight w:val="none"/>
                <w:u w:val="none"/>
                <w:lang w:eastAsia="zh-CN"/>
              </w:rPr>
              <w:t>-</w:t>
            </w:r>
            <w:r>
              <w:rPr>
                <w:rFonts w:hint="eastAsia" w:cs="Times New Roman"/>
                <w:color w:val="auto"/>
                <w:highlight w:val="none"/>
                <w:u w:val="none"/>
                <w:lang w:val="en-US" w:eastAsia="zh-CN"/>
              </w:rPr>
              <w:t>3</w:t>
            </w:r>
            <w:r>
              <w:rPr>
                <w:rFonts w:hint="eastAsia" w:cs="Times New Roman"/>
                <w:color w:val="auto"/>
                <w:highlight w:val="none"/>
                <w:u w:val="none"/>
                <w:lang w:eastAsia="zh-CN"/>
              </w:rPr>
              <w:t>），结合澧县国土空间规划三调成果、地质环境条件类型和开采规模，并按照走访调查当地居民及村委会意愿，初步确定矿山闭坑后破坏的区域均适合复垦为林地。</w:t>
            </w:r>
          </w:p>
          <w:p w14:paraId="00537687">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5-3</w:t>
            </w:r>
            <w:r>
              <w:rPr>
                <w:rFonts w:hint="default"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lang w:val="en-US" w:eastAsia="zh-CN"/>
              </w:rPr>
              <w:t xml:space="preserve"> </w:t>
            </w:r>
            <w:r>
              <w:rPr>
                <w:rFonts w:hint="default" w:cs="Times New Roman"/>
                <w:b/>
                <w:bCs/>
                <w:color w:val="auto"/>
                <w:sz w:val="21"/>
                <w:szCs w:val="21"/>
                <w:highlight w:val="none"/>
                <w:u w:val="none"/>
                <w:lang w:val="en-US" w:eastAsia="zh-CN"/>
              </w:rPr>
              <w:t>各复垦单元复垦方向说明表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2"/>
              <w:gridCol w:w="3943"/>
            </w:tblGrid>
            <w:tr w14:paraId="16E0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1B2CD7A5">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名称</w:t>
                  </w:r>
                </w:p>
              </w:tc>
              <w:tc>
                <w:tcPr>
                  <w:tcW w:w="3943" w:type="dxa"/>
                  <w:vAlign w:val="center"/>
                </w:tcPr>
                <w:p w14:paraId="3957C3BB">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复垦方向</w:t>
                  </w:r>
                </w:p>
              </w:tc>
            </w:tr>
            <w:tr w14:paraId="79B1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068CEE73">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排土场</w:t>
                  </w:r>
                </w:p>
              </w:tc>
              <w:tc>
                <w:tcPr>
                  <w:tcW w:w="3943" w:type="dxa"/>
                  <w:vAlign w:val="center"/>
                </w:tcPr>
                <w:p w14:paraId="235494A6">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林地</w:t>
                  </w:r>
                </w:p>
              </w:tc>
            </w:tr>
            <w:tr w14:paraId="2267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5AD37BC6">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堆土区</w:t>
                  </w:r>
                </w:p>
              </w:tc>
              <w:tc>
                <w:tcPr>
                  <w:tcW w:w="3943" w:type="dxa"/>
                  <w:vAlign w:val="center"/>
                </w:tcPr>
                <w:p w14:paraId="6BBEA960">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林地</w:t>
                  </w:r>
                </w:p>
              </w:tc>
            </w:tr>
            <w:tr w14:paraId="751F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6DB72F05">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矿部办公区</w:t>
                  </w:r>
                </w:p>
              </w:tc>
              <w:tc>
                <w:tcPr>
                  <w:tcW w:w="3943" w:type="dxa"/>
                  <w:vAlign w:val="center"/>
                </w:tcPr>
                <w:p w14:paraId="65D34C95">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林地</w:t>
                  </w:r>
                </w:p>
              </w:tc>
            </w:tr>
            <w:tr w14:paraId="7D4D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28728F07">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工业场地</w:t>
                  </w:r>
                </w:p>
              </w:tc>
              <w:tc>
                <w:tcPr>
                  <w:tcW w:w="3943" w:type="dxa"/>
                  <w:vAlign w:val="center"/>
                </w:tcPr>
                <w:p w14:paraId="62214B31">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林地</w:t>
                  </w:r>
                </w:p>
              </w:tc>
            </w:tr>
            <w:tr w14:paraId="736D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0A8EE60D">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露天采场</w:t>
                  </w:r>
                </w:p>
              </w:tc>
              <w:tc>
                <w:tcPr>
                  <w:tcW w:w="3943" w:type="dxa"/>
                  <w:vAlign w:val="center"/>
                </w:tcPr>
                <w:p w14:paraId="06AB66A6">
                  <w:pPr>
                    <w:spacing w:line="320" w:lineRule="exact"/>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林地</w:t>
                  </w:r>
                </w:p>
              </w:tc>
            </w:tr>
          </w:tbl>
          <w:p w14:paraId="4B5AD65E">
            <w:pPr>
              <w:ind w:firstLine="480"/>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3）</w:t>
            </w:r>
            <w:r>
              <w:rPr>
                <w:rFonts w:hint="default" w:ascii="Times New Roman" w:hAnsi="Times New Roman" w:cs="Times New Roman"/>
                <w:color w:val="auto"/>
                <w:highlight w:val="none"/>
                <w:u w:val="none"/>
              </w:rPr>
              <w:t>土地复垦的质量要求和标准</w:t>
            </w:r>
          </w:p>
          <w:p w14:paraId="7E936A6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①土地复垦的总体质量要求依据《土地复垦质量控制标准（TD/T1036-2013）》，结合矿区的现状，依据土地复垦适宜性评价结果，确定本项目的土地复垦质量要求如下：</w:t>
            </w:r>
          </w:p>
          <w:p w14:paraId="12DB2AC9">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A、复垦利用类型应当与当地地形、地貌和周围环境相协调；</w:t>
            </w:r>
          </w:p>
          <w:p w14:paraId="488B0C8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B、复垦场地的稳定性和安全性应有可靠保证；</w:t>
            </w:r>
          </w:p>
          <w:p w14:paraId="6802D6A8">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C、不同的破坏类型标准应不一样；</w:t>
            </w:r>
          </w:p>
          <w:p w14:paraId="064EDCB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D、保存原有地表表层土壤。单独剥离，单独贮存，应充分利用原有表土为顶部覆盖层，覆盖后的表层应规范、平整，覆盖层的容重应满足复垦利用要求；</w:t>
            </w:r>
          </w:p>
          <w:p w14:paraId="28751183">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E、复垦场地要有满足要求的排水设施，防洪标准符合当地要求；</w:t>
            </w:r>
          </w:p>
          <w:p w14:paraId="0C81529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F、复垦场地有控制水土流失的措施；</w:t>
            </w:r>
          </w:p>
          <w:p w14:paraId="4FF915E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G、复垦场地有控制污染的措施，包括空气、地表水和地下水等；</w:t>
            </w:r>
          </w:p>
          <w:p w14:paraId="0984A40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H、复垦场地的道路、交通干线布置合理；</w:t>
            </w:r>
          </w:p>
          <w:p w14:paraId="27F229C2">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F、用于覆盖的材料应当无毒无害。材料如含有有害成分应事先进行处理，必要时应设置隔离层后再复垦。</w:t>
            </w:r>
          </w:p>
          <w:p w14:paraId="44A3598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②土地的复垦标准</w:t>
            </w:r>
          </w:p>
          <w:p w14:paraId="49CCF02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根据《土地复垦质量控制标准（TD/T1036-2013）》，本矿山位于低山丘陵区，复垦标准归纳如下：</w:t>
            </w:r>
          </w:p>
          <w:p w14:paraId="4D0FB149">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5</w:t>
            </w:r>
            <w:r>
              <w:rPr>
                <w:rFonts w:hint="default" w:cs="Times New Roman"/>
                <w:b/>
                <w:bCs/>
                <w:color w:val="auto"/>
                <w:sz w:val="21"/>
                <w:szCs w:val="21"/>
                <w:highlight w:val="none"/>
                <w:u w:val="none"/>
                <w:lang w:val="en-US" w:eastAsia="zh-CN"/>
              </w:rPr>
              <w:t xml:space="preserve">-4 </w:t>
            </w:r>
            <w:r>
              <w:rPr>
                <w:rFonts w:hint="eastAsia" w:cs="Times New Roman"/>
                <w:b/>
                <w:bCs/>
                <w:color w:val="auto"/>
                <w:sz w:val="21"/>
                <w:szCs w:val="21"/>
                <w:highlight w:val="none"/>
                <w:u w:val="none"/>
                <w:lang w:val="en-US" w:eastAsia="zh-CN"/>
              </w:rPr>
              <w:t xml:space="preserve"> </w:t>
            </w:r>
            <w:r>
              <w:rPr>
                <w:rFonts w:hint="default" w:cs="Times New Roman"/>
                <w:b/>
                <w:bCs/>
                <w:color w:val="auto"/>
                <w:sz w:val="21"/>
                <w:szCs w:val="21"/>
                <w:highlight w:val="none"/>
                <w:u w:val="none"/>
                <w:lang w:val="en-US" w:eastAsia="zh-CN"/>
              </w:rPr>
              <w:t>丘陵区土地复垦质量控制标准</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467"/>
              <w:gridCol w:w="2208"/>
              <w:gridCol w:w="2977"/>
            </w:tblGrid>
            <w:tr w14:paraId="0358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3" w:type="dxa"/>
                  <w:vAlign w:val="center"/>
                </w:tcPr>
                <w:p w14:paraId="0B3EC87F">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复垦方向</w:t>
                  </w:r>
                </w:p>
              </w:tc>
              <w:tc>
                <w:tcPr>
                  <w:tcW w:w="1467" w:type="dxa"/>
                  <w:vAlign w:val="center"/>
                </w:tcPr>
                <w:p w14:paraId="4150D1CB">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指标类型</w:t>
                  </w:r>
                </w:p>
              </w:tc>
              <w:tc>
                <w:tcPr>
                  <w:tcW w:w="2208" w:type="dxa"/>
                  <w:vAlign w:val="center"/>
                </w:tcPr>
                <w:p w14:paraId="7B7BDCC4">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基本指标</w:t>
                  </w:r>
                </w:p>
              </w:tc>
              <w:tc>
                <w:tcPr>
                  <w:tcW w:w="2977" w:type="dxa"/>
                  <w:vAlign w:val="center"/>
                </w:tcPr>
                <w:p w14:paraId="41385148">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控制标准</w:t>
                  </w:r>
                </w:p>
              </w:tc>
            </w:tr>
            <w:tr w14:paraId="635C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14:paraId="2A379856">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草地</w:t>
                  </w:r>
                </w:p>
              </w:tc>
              <w:tc>
                <w:tcPr>
                  <w:tcW w:w="1467" w:type="dxa"/>
                  <w:vMerge w:val="restart"/>
                  <w:vAlign w:val="center"/>
                </w:tcPr>
                <w:p w14:paraId="074EC0DC">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土壤质量</w:t>
                  </w:r>
                </w:p>
              </w:tc>
              <w:tc>
                <w:tcPr>
                  <w:tcW w:w="2208" w:type="dxa"/>
                  <w:vAlign w:val="center"/>
                </w:tcPr>
                <w:p w14:paraId="09D60FA9">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有效土层厚度/cm</w:t>
                  </w:r>
                </w:p>
              </w:tc>
              <w:tc>
                <w:tcPr>
                  <w:tcW w:w="2977" w:type="dxa"/>
                  <w:vAlign w:val="center"/>
                </w:tcPr>
                <w:p w14:paraId="2B2B270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≥30</w:t>
                  </w:r>
                </w:p>
              </w:tc>
            </w:tr>
            <w:tr w14:paraId="413C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065FDD66">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053CF61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58D2C70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土壤容重/(g/cm³)</w:t>
                  </w:r>
                </w:p>
              </w:tc>
              <w:tc>
                <w:tcPr>
                  <w:tcW w:w="2977" w:type="dxa"/>
                  <w:vAlign w:val="center"/>
                </w:tcPr>
                <w:p w14:paraId="7301A4BE">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≤1.45</w:t>
                  </w:r>
                </w:p>
              </w:tc>
            </w:tr>
            <w:tr w14:paraId="42B6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79284CC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5EC2261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79317041">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土壤质地</w:t>
                  </w:r>
                </w:p>
              </w:tc>
              <w:tc>
                <w:tcPr>
                  <w:tcW w:w="2977" w:type="dxa"/>
                  <w:vAlign w:val="center"/>
                </w:tcPr>
                <w:p w14:paraId="460355E8">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砂土至壤粘土</w:t>
                  </w:r>
                </w:p>
              </w:tc>
            </w:tr>
            <w:tr w14:paraId="14BB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4DD80F55">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1A92067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589A1E70">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砾石含量/%</w:t>
                  </w:r>
                </w:p>
              </w:tc>
              <w:tc>
                <w:tcPr>
                  <w:tcW w:w="2977" w:type="dxa"/>
                  <w:vAlign w:val="center"/>
                </w:tcPr>
                <w:p w14:paraId="069787B2">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≤20</w:t>
                  </w:r>
                </w:p>
              </w:tc>
            </w:tr>
            <w:tr w14:paraId="1AB3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78B07DAE">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1C10D7EA">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55E43774">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pH值</w:t>
                  </w:r>
                </w:p>
              </w:tc>
              <w:tc>
                <w:tcPr>
                  <w:tcW w:w="2977" w:type="dxa"/>
                  <w:vAlign w:val="center"/>
                </w:tcPr>
                <w:p w14:paraId="790D57B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6.0～8.5</w:t>
                  </w:r>
                </w:p>
              </w:tc>
            </w:tr>
            <w:tr w14:paraId="74A8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473C3468">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52AD2938">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678AE965">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有机质/%</w:t>
                  </w:r>
                </w:p>
              </w:tc>
              <w:tc>
                <w:tcPr>
                  <w:tcW w:w="2977" w:type="dxa"/>
                  <w:vAlign w:val="center"/>
                </w:tcPr>
                <w:p w14:paraId="0C8E9F16">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w:t>
                  </w:r>
                </w:p>
              </w:tc>
            </w:tr>
            <w:tr w14:paraId="41C4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2D42744F">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restart"/>
                  <w:vAlign w:val="center"/>
                </w:tcPr>
                <w:p w14:paraId="377F6DE3">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配套设施</w:t>
                  </w:r>
                </w:p>
              </w:tc>
              <w:tc>
                <w:tcPr>
                  <w:tcW w:w="2208" w:type="dxa"/>
                  <w:vAlign w:val="center"/>
                </w:tcPr>
                <w:p w14:paraId="1450740C">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灌溉</w:t>
                  </w:r>
                </w:p>
              </w:tc>
              <w:tc>
                <w:tcPr>
                  <w:tcW w:w="2977" w:type="dxa"/>
                  <w:vMerge w:val="restart"/>
                  <w:vAlign w:val="center"/>
                </w:tcPr>
                <w:p w14:paraId="5C256B21">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达到当地各行业工程建设标准要求</w:t>
                  </w:r>
                </w:p>
              </w:tc>
            </w:tr>
            <w:tr w14:paraId="4A10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414D1700">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70DB152F">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2A39CBA3">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道路</w:t>
                  </w:r>
                </w:p>
              </w:tc>
              <w:tc>
                <w:tcPr>
                  <w:tcW w:w="2977" w:type="dxa"/>
                  <w:vMerge w:val="continue"/>
                  <w:vAlign w:val="center"/>
                </w:tcPr>
                <w:p w14:paraId="57AD2449">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r>
            <w:tr w14:paraId="7923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0B6BC8F8">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restart"/>
                  <w:vAlign w:val="center"/>
                </w:tcPr>
                <w:p w14:paraId="4B649A83">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生产力水平</w:t>
                  </w:r>
                </w:p>
              </w:tc>
              <w:tc>
                <w:tcPr>
                  <w:tcW w:w="2208" w:type="dxa"/>
                  <w:vAlign w:val="center"/>
                </w:tcPr>
                <w:p w14:paraId="636B0D7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覆盖度/%</w:t>
                  </w:r>
                </w:p>
              </w:tc>
              <w:tc>
                <w:tcPr>
                  <w:tcW w:w="2977" w:type="dxa"/>
                  <w:vAlign w:val="center"/>
                </w:tcPr>
                <w:p w14:paraId="2705EA74">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≥40</w:t>
                  </w:r>
                </w:p>
              </w:tc>
            </w:tr>
            <w:tr w14:paraId="09E6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554823D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68138C6B">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20883E23">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产量/（kg/hm</w:t>
                  </w:r>
                  <w:r>
                    <w:rPr>
                      <w:rFonts w:hint="default" w:ascii="Times New Roman" w:hAnsi="Times New Roman" w:cs="Times New Roman"/>
                      <w:color w:val="auto"/>
                      <w:sz w:val="21"/>
                      <w:szCs w:val="21"/>
                      <w:highlight w:val="none"/>
                      <w:u w:val="none"/>
                      <w:vertAlign w:val="superscript"/>
                      <w:lang w:val="en-US" w:eastAsia="zh-CN"/>
                    </w:rPr>
                    <w:t>2</w:t>
                  </w:r>
                  <w:r>
                    <w:rPr>
                      <w:rFonts w:hint="default" w:ascii="Times New Roman" w:hAnsi="Times New Roman" w:cs="Times New Roman"/>
                      <w:color w:val="auto"/>
                      <w:sz w:val="21"/>
                      <w:szCs w:val="21"/>
                      <w:highlight w:val="none"/>
                      <w:u w:val="none"/>
                      <w:lang w:val="en-US" w:eastAsia="zh-CN"/>
                    </w:rPr>
                    <w:t>）</w:t>
                  </w:r>
                </w:p>
              </w:tc>
              <w:tc>
                <w:tcPr>
                  <w:tcW w:w="2977" w:type="dxa"/>
                  <w:vAlign w:val="center"/>
                </w:tcPr>
                <w:p w14:paraId="665ACCBB">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四年后达到周边地区同等土地利用类型水平</w:t>
                  </w:r>
                </w:p>
              </w:tc>
            </w:tr>
          </w:tbl>
          <w:p w14:paraId="2B1A698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③复垦技术工程措施</w:t>
            </w:r>
          </w:p>
          <w:p w14:paraId="174A1BC8">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常用复垦措施主要有：硬化物拆除及外运、覆土与平整、土壤培肥、植树与种草等。</w:t>
            </w:r>
          </w:p>
          <w:p w14:paraId="46F687C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A、硬化物拆除及外运</w:t>
            </w:r>
          </w:p>
          <w:p w14:paraId="77C32954">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对</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内搭建的产品加工区、临时建筑物等进行拆除，剥离硬化层等，自建地面建筑为浆砌砖结构房屋1~2层，房屋建筑方量200~500m²，平均约350m²/栋。地面硬化物厚0.2~0.4m，平均厚0.3m。建筑垃圾外运是指将拆除的硬化物运至露采场底盘回填，运距按照500m计算。</w:t>
            </w:r>
          </w:p>
          <w:p w14:paraId="7E96A71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B、覆土与平整</w:t>
            </w:r>
          </w:p>
          <w:p w14:paraId="62B6D4A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对复垦区进行覆土厚度≥0.5m，并平整，确保无明显坑洼。</w:t>
            </w:r>
          </w:p>
          <w:p w14:paraId="3FDDC082">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C、土壤培肥</w:t>
            </w:r>
          </w:p>
          <w:p w14:paraId="54416F89">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当对复垦土源有要求时，如复垦为耕地时，若复垦土源有机养分不足，则需要适当施肥（主要包括商用有机肥、堆肥、饼肥等有机肥料），改良土壤。</w:t>
            </w:r>
          </w:p>
          <w:p w14:paraId="1D6D337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D、植树与种草</w:t>
            </w:r>
          </w:p>
          <w:p w14:paraId="6F51341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林地树种选用标准：优选当地树种红叶石楠、刺槐、桦树等，行距根据具体树种确定，一般可取2.0~3.0m；乔木中间穿插种灌木，间距也是2.0~3.0m。树间还可撒播适合当地生长的狗尾草、艾蒿、针茅混合种籽（20~50kg/hm²）复绿，这样可保持林地生态平衡。栽植季节为春季或秋冬季。每公顷范围内种植苗木数量可根据下列公式计算。</w:t>
            </w:r>
          </w:p>
          <w:p w14:paraId="143AD2D9">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K=nS/ab</w:t>
            </w:r>
          </w:p>
          <w:p w14:paraId="4C991C54">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式中：K—苗木数量（株)；</w:t>
            </w:r>
          </w:p>
          <w:p w14:paraId="1674F48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n—平台面或边坡面积占总面积比例；</w:t>
            </w:r>
          </w:p>
          <w:p w14:paraId="50149AC4">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S——总面积（m²)；</w:t>
            </w:r>
          </w:p>
          <w:p w14:paraId="1BBDAD7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a—株距（m);</w:t>
            </w:r>
          </w:p>
          <w:p w14:paraId="363A0F3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b—行距（m)。</w:t>
            </w:r>
          </w:p>
          <w:p w14:paraId="2904D2E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④管护措施</w:t>
            </w:r>
          </w:p>
          <w:p w14:paraId="5C3556CB">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A、水分管理：按期灌溉，以保护林带苗木的成活率。</w:t>
            </w:r>
          </w:p>
          <w:p w14:paraId="02304CC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B、养分管理：以防旱施肥为主。</w:t>
            </w:r>
          </w:p>
          <w:p w14:paraId="7B9E97F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C、林木修枝</w:t>
            </w:r>
          </w:p>
          <w:p w14:paraId="22A11FA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林带刚进入郁闭阶段时，由于灌木或辅佐树种生长茂盛产生压迫主要树种的情况，要采取部分灌木（1/2左右）平茬或辅佐树种修建，以解除主要树种的被压状态，促进主要树种的生长并使其在林带中占优势地位。通过修枝（包括主要树种和辅佐树种的修枝），在保证树木树冠有足够营养空间的条件下，可提高树木的干材质量和促进树木生长。关于修枝技术，群众有丰富的经验，如“宁高勿低，次多量少，先上后下，茬短口尖”以及修枝高度不超过树木全高的1/3~1/2等（即林冠枝下高，不超过全高的1/3或1/2)。</w:t>
            </w:r>
          </w:p>
          <w:p w14:paraId="6572443B">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D、树木密度调控</w:t>
            </w:r>
          </w:p>
          <w:p w14:paraId="64A46E63">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林带郁闭后，抚育工作的主要任务是通过人为干涉，调节树种间的关系，调节林带的结构，保证主要树种的健康生长。同时，通过这一阶段的抚育修枝间伐，为当地提供相当的经济效益。林带的树种组成与密度基本处于稳定状态，但是仍应隔一定时间（3年左右）对林带进行调节，及时伐掉枯稍木和病腐木等。</w:t>
            </w:r>
          </w:p>
          <w:p w14:paraId="444E64A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E、林木病虫害防治</w:t>
            </w:r>
          </w:p>
          <w:p w14:paraId="0376657A">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对于林带中出现各类树木的病、虫、害等要及时地进行管护。对于病株要及时砍伐防治扩散，对于虫害要及时地施用药品等控制灾害的发生。</w:t>
            </w:r>
          </w:p>
          <w:p w14:paraId="36688EC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4）土源供需平衡分析</w:t>
            </w:r>
          </w:p>
          <w:p w14:paraId="1D04C4E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矿山的排土场堆放的原本为从露采场区剥离的表土，其土壤适合本地植被生长，符合矿山未来矿山复垦需求，其可以直接用于复垦。未来仅需通过种植藤蔓类植物恢复植被，因此实际覆土面积要小于露采场的实际面积。本次设计林草地的覆土厚度为0.5m，需土方量计算如下表。</w:t>
            </w:r>
          </w:p>
          <w:p w14:paraId="1E1D1DE2">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5-5</w:t>
            </w:r>
            <w:r>
              <w:rPr>
                <w:rFonts w:hint="default"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lang w:val="en-US" w:eastAsia="zh-CN"/>
              </w:rPr>
              <w:t xml:space="preserve"> 表土需求量</w:t>
            </w:r>
            <w:r>
              <w:rPr>
                <w:rFonts w:hint="default" w:cs="Times New Roman"/>
                <w:b/>
                <w:bCs/>
                <w:color w:val="auto"/>
                <w:sz w:val="21"/>
                <w:szCs w:val="21"/>
                <w:highlight w:val="none"/>
                <w:u w:val="none"/>
                <w:lang w:val="en-US" w:eastAsia="zh-CN"/>
              </w:rPr>
              <w:t>表</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1980"/>
              <w:gridCol w:w="1654"/>
              <w:gridCol w:w="1654"/>
              <w:gridCol w:w="1136"/>
            </w:tblGrid>
            <w:tr w14:paraId="1F76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15E18E9D">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名称</w:t>
                  </w:r>
                </w:p>
              </w:tc>
              <w:tc>
                <w:tcPr>
                  <w:tcW w:w="1980" w:type="dxa"/>
                  <w:vAlign w:val="center"/>
                </w:tcPr>
                <w:p w14:paraId="286B2B37">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占地面积（hm</w:t>
                  </w:r>
                  <w:r>
                    <w:rPr>
                      <w:rFonts w:hint="eastAsia" w:ascii="Times New Roman" w:hAnsi="Times New Roman" w:eastAsia="宋体" w:cs="Times New Roman"/>
                      <w:b/>
                      <w:bCs/>
                      <w:color w:val="auto"/>
                      <w:sz w:val="21"/>
                      <w:szCs w:val="21"/>
                      <w:highlight w:val="none"/>
                      <w:u w:val="none"/>
                      <w:vertAlign w:val="superscript"/>
                      <w:lang w:val="en-US" w:eastAsia="zh-CN"/>
                    </w:rPr>
                    <w:t>2</w:t>
                  </w:r>
                  <w:r>
                    <w:rPr>
                      <w:rFonts w:hint="eastAsia" w:ascii="Times New Roman" w:hAnsi="Times New Roman" w:eastAsia="宋体" w:cs="Times New Roman"/>
                      <w:b/>
                      <w:bCs/>
                      <w:color w:val="auto"/>
                      <w:sz w:val="21"/>
                      <w:szCs w:val="21"/>
                      <w:highlight w:val="none"/>
                      <w:u w:val="none"/>
                      <w:lang w:val="en-US" w:eastAsia="zh-CN"/>
                    </w:rPr>
                    <w:t>）</w:t>
                  </w:r>
                </w:p>
              </w:tc>
              <w:tc>
                <w:tcPr>
                  <w:tcW w:w="1654" w:type="dxa"/>
                  <w:vAlign w:val="center"/>
                </w:tcPr>
                <w:p w14:paraId="1175FE69">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覆土面积（hm</w:t>
                  </w:r>
                  <w:r>
                    <w:rPr>
                      <w:rFonts w:hint="eastAsia" w:ascii="Times New Roman" w:hAnsi="Times New Roman" w:eastAsia="宋体" w:cs="Times New Roman"/>
                      <w:b/>
                      <w:bCs/>
                      <w:color w:val="auto"/>
                      <w:sz w:val="21"/>
                      <w:szCs w:val="21"/>
                      <w:highlight w:val="none"/>
                      <w:u w:val="none"/>
                      <w:vertAlign w:val="superscript"/>
                      <w:lang w:val="en-US" w:eastAsia="zh-CN"/>
                    </w:rPr>
                    <w:t>2</w:t>
                  </w:r>
                  <w:r>
                    <w:rPr>
                      <w:rFonts w:hint="eastAsia" w:ascii="Times New Roman" w:hAnsi="Times New Roman" w:eastAsia="宋体" w:cs="Times New Roman"/>
                      <w:b/>
                      <w:bCs/>
                      <w:color w:val="auto"/>
                      <w:sz w:val="21"/>
                      <w:szCs w:val="21"/>
                      <w:highlight w:val="none"/>
                      <w:u w:val="none"/>
                      <w:lang w:val="en-US" w:eastAsia="zh-CN"/>
                    </w:rPr>
                    <w:t>）</w:t>
                  </w:r>
                </w:p>
              </w:tc>
              <w:tc>
                <w:tcPr>
                  <w:tcW w:w="1654" w:type="dxa"/>
                  <w:vAlign w:val="center"/>
                </w:tcPr>
                <w:p w14:paraId="3D3AFF39">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需土量（万m</w:t>
                  </w:r>
                  <w:r>
                    <w:rPr>
                      <w:rFonts w:hint="eastAsia" w:ascii="Times New Roman" w:hAnsi="Times New Roman" w:eastAsia="宋体" w:cs="Times New Roman"/>
                      <w:b/>
                      <w:bCs/>
                      <w:color w:val="auto"/>
                      <w:sz w:val="21"/>
                      <w:szCs w:val="21"/>
                      <w:highlight w:val="none"/>
                      <w:u w:val="none"/>
                      <w:vertAlign w:val="superscript"/>
                      <w:lang w:val="en-US" w:eastAsia="zh-CN"/>
                    </w:rPr>
                    <w:t>3</w:t>
                  </w:r>
                  <w:r>
                    <w:rPr>
                      <w:rFonts w:hint="eastAsia" w:ascii="Times New Roman" w:hAnsi="Times New Roman" w:eastAsia="宋体" w:cs="Times New Roman"/>
                      <w:b/>
                      <w:bCs/>
                      <w:color w:val="auto"/>
                      <w:sz w:val="21"/>
                      <w:szCs w:val="21"/>
                      <w:highlight w:val="none"/>
                      <w:u w:val="none"/>
                      <w:lang w:val="en-US" w:eastAsia="zh-CN"/>
                    </w:rPr>
                    <w:t>）</w:t>
                  </w:r>
                </w:p>
              </w:tc>
              <w:tc>
                <w:tcPr>
                  <w:tcW w:w="1136" w:type="dxa"/>
                  <w:vAlign w:val="center"/>
                </w:tcPr>
                <w:p w14:paraId="3C25379A">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备注</w:t>
                  </w:r>
                </w:p>
              </w:tc>
            </w:tr>
            <w:tr w14:paraId="728F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59B066FB">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排土场</w:t>
                  </w:r>
                </w:p>
              </w:tc>
              <w:tc>
                <w:tcPr>
                  <w:tcW w:w="1980" w:type="dxa"/>
                  <w:vAlign w:val="center"/>
                </w:tcPr>
                <w:p w14:paraId="5622C305">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2.3766</w:t>
                  </w:r>
                </w:p>
              </w:tc>
              <w:tc>
                <w:tcPr>
                  <w:tcW w:w="1654" w:type="dxa"/>
                  <w:vAlign w:val="center"/>
                </w:tcPr>
                <w:p w14:paraId="4268F048">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w:t>
                  </w:r>
                </w:p>
              </w:tc>
              <w:tc>
                <w:tcPr>
                  <w:tcW w:w="1654" w:type="dxa"/>
                  <w:vAlign w:val="center"/>
                </w:tcPr>
                <w:p w14:paraId="3DA4679B">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w:t>
                  </w:r>
                </w:p>
              </w:tc>
              <w:tc>
                <w:tcPr>
                  <w:tcW w:w="1136" w:type="dxa"/>
                  <w:vAlign w:val="center"/>
                </w:tcPr>
                <w:p w14:paraId="0A2F3E53">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不用覆土</w:t>
                  </w:r>
                </w:p>
              </w:tc>
            </w:tr>
            <w:tr w14:paraId="1F28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7A23D677">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堆土区</w:t>
                  </w:r>
                </w:p>
              </w:tc>
              <w:tc>
                <w:tcPr>
                  <w:tcW w:w="1980" w:type="dxa"/>
                  <w:vAlign w:val="center"/>
                </w:tcPr>
                <w:p w14:paraId="659E5916">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1.8147</w:t>
                  </w:r>
                </w:p>
              </w:tc>
              <w:tc>
                <w:tcPr>
                  <w:tcW w:w="1654" w:type="dxa"/>
                  <w:vAlign w:val="center"/>
                </w:tcPr>
                <w:p w14:paraId="0A966347">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w:t>
                  </w:r>
                </w:p>
              </w:tc>
              <w:tc>
                <w:tcPr>
                  <w:tcW w:w="1654" w:type="dxa"/>
                  <w:vAlign w:val="center"/>
                </w:tcPr>
                <w:p w14:paraId="1382DB3D">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w:t>
                  </w:r>
                </w:p>
              </w:tc>
              <w:tc>
                <w:tcPr>
                  <w:tcW w:w="1136" w:type="dxa"/>
                  <w:vAlign w:val="center"/>
                </w:tcPr>
                <w:p w14:paraId="59467683">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不用覆土</w:t>
                  </w:r>
                </w:p>
              </w:tc>
            </w:tr>
            <w:tr w14:paraId="7B4B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3AA1853F">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矿部办公区</w:t>
                  </w:r>
                </w:p>
              </w:tc>
              <w:tc>
                <w:tcPr>
                  <w:tcW w:w="1980" w:type="dxa"/>
                  <w:vAlign w:val="center"/>
                </w:tcPr>
                <w:p w14:paraId="64B74D29">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0.075</w:t>
                  </w:r>
                </w:p>
              </w:tc>
              <w:tc>
                <w:tcPr>
                  <w:tcW w:w="1654" w:type="dxa"/>
                  <w:vAlign w:val="center"/>
                </w:tcPr>
                <w:p w14:paraId="3F1B585A">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0.075</w:t>
                  </w:r>
                </w:p>
              </w:tc>
              <w:tc>
                <w:tcPr>
                  <w:tcW w:w="1654" w:type="dxa"/>
                  <w:vAlign w:val="center"/>
                </w:tcPr>
                <w:p w14:paraId="0D2FCBEA">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0.0375</w:t>
                  </w:r>
                </w:p>
              </w:tc>
              <w:tc>
                <w:tcPr>
                  <w:tcW w:w="1136" w:type="dxa"/>
                  <w:vAlign w:val="center"/>
                </w:tcPr>
                <w:p w14:paraId="3AF5FD29">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p>
              </w:tc>
            </w:tr>
            <w:tr w14:paraId="15DF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75551721">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工业场地</w:t>
                  </w:r>
                </w:p>
              </w:tc>
              <w:tc>
                <w:tcPr>
                  <w:tcW w:w="1980" w:type="dxa"/>
                  <w:vAlign w:val="center"/>
                </w:tcPr>
                <w:p w14:paraId="5AD0F6FF">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0.8006</w:t>
                  </w:r>
                </w:p>
              </w:tc>
              <w:tc>
                <w:tcPr>
                  <w:tcW w:w="1654" w:type="dxa"/>
                  <w:vAlign w:val="center"/>
                </w:tcPr>
                <w:p w14:paraId="1D0BB27C">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0.8006</w:t>
                  </w:r>
                </w:p>
              </w:tc>
              <w:tc>
                <w:tcPr>
                  <w:tcW w:w="1654" w:type="dxa"/>
                  <w:vAlign w:val="center"/>
                </w:tcPr>
                <w:p w14:paraId="590A8C94">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0.4003</w:t>
                  </w:r>
                </w:p>
              </w:tc>
              <w:tc>
                <w:tcPr>
                  <w:tcW w:w="1136" w:type="dxa"/>
                  <w:vAlign w:val="center"/>
                </w:tcPr>
                <w:p w14:paraId="7FBED7FE">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p>
              </w:tc>
            </w:tr>
            <w:tr w14:paraId="5E0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21344C32">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露天采场</w:t>
                  </w:r>
                </w:p>
              </w:tc>
              <w:tc>
                <w:tcPr>
                  <w:tcW w:w="1980" w:type="dxa"/>
                  <w:vAlign w:val="center"/>
                </w:tcPr>
                <w:p w14:paraId="530A21EF">
                  <w:pPr>
                    <w:spacing w:line="320" w:lineRule="exact"/>
                    <w:ind w:firstLine="0" w:firstLineChars="0"/>
                    <w:jc w:val="center"/>
                    <w:rPr>
                      <w:rFonts w:hint="eastAsia"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25.7801</w:t>
                  </w:r>
                </w:p>
              </w:tc>
              <w:tc>
                <w:tcPr>
                  <w:tcW w:w="1654" w:type="dxa"/>
                  <w:vAlign w:val="center"/>
                </w:tcPr>
                <w:p w14:paraId="1161F180">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13.691</w:t>
                  </w:r>
                </w:p>
              </w:tc>
              <w:tc>
                <w:tcPr>
                  <w:tcW w:w="1654" w:type="dxa"/>
                  <w:vAlign w:val="center"/>
                </w:tcPr>
                <w:p w14:paraId="3541A057">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6.85</w:t>
                  </w:r>
                </w:p>
              </w:tc>
              <w:tc>
                <w:tcPr>
                  <w:tcW w:w="1136" w:type="dxa"/>
                  <w:vAlign w:val="center"/>
                </w:tcPr>
                <w:p w14:paraId="084B3420">
                  <w:pPr>
                    <w:spacing w:line="320" w:lineRule="exact"/>
                    <w:ind w:firstLine="0" w:firstLineChars="0"/>
                    <w:jc w:val="center"/>
                    <w:rPr>
                      <w:rFonts w:hint="eastAsia" w:cs="Times New Roman"/>
                      <w:color w:val="auto"/>
                      <w:sz w:val="21"/>
                      <w:szCs w:val="21"/>
                      <w:highlight w:val="none"/>
                      <w:u w:val="none"/>
                      <w:lang w:val="en-US" w:eastAsia="zh-CN"/>
                    </w:rPr>
                  </w:pPr>
                </w:p>
              </w:tc>
            </w:tr>
            <w:tr w14:paraId="7D5D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31F23CE3">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小计</w:t>
                  </w:r>
                </w:p>
              </w:tc>
              <w:tc>
                <w:tcPr>
                  <w:tcW w:w="1980" w:type="dxa"/>
                  <w:vAlign w:val="center"/>
                </w:tcPr>
                <w:p w14:paraId="7218CC49">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30.847</w:t>
                  </w:r>
                </w:p>
              </w:tc>
              <w:tc>
                <w:tcPr>
                  <w:tcW w:w="1654" w:type="dxa"/>
                  <w:vAlign w:val="center"/>
                </w:tcPr>
                <w:p w14:paraId="7009DED3">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14.5666</w:t>
                  </w:r>
                </w:p>
              </w:tc>
              <w:tc>
                <w:tcPr>
                  <w:tcW w:w="1654" w:type="dxa"/>
                  <w:vAlign w:val="center"/>
                </w:tcPr>
                <w:p w14:paraId="6B65F7D9">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7.2878</w:t>
                  </w:r>
                </w:p>
              </w:tc>
              <w:tc>
                <w:tcPr>
                  <w:tcW w:w="1136" w:type="dxa"/>
                  <w:vAlign w:val="center"/>
                </w:tcPr>
                <w:p w14:paraId="10C06A97">
                  <w:pPr>
                    <w:spacing w:line="320" w:lineRule="exact"/>
                    <w:ind w:firstLine="0" w:firstLineChars="0"/>
                    <w:jc w:val="center"/>
                    <w:rPr>
                      <w:rFonts w:hint="eastAsia" w:cs="Times New Roman"/>
                      <w:color w:val="auto"/>
                      <w:sz w:val="21"/>
                      <w:szCs w:val="21"/>
                      <w:highlight w:val="none"/>
                      <w:u w:val="none"/>
                      <w:lang w:val="en-US" w:eastAsia="zh-CN"/>
                    </w:rPr>
                  </w:pPr>
                </w:p>
              </w:tc>
            </w:tr>
          </w:tbl>
          <w:p w14:paraId="6F4169E5">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可知，未来复垦工程需土方量为7.2878</w:t>
            </w:r>
            <w:r>
              <w:rPr>
                <w:rFonts w:hint="eastAsia" w:cs="Times New Roman"/>
                <w:color w:val="auto"/>
                <w:highlight w:val="none"/>
                <w:u w:val="none"/>
                <w:lang w:val="en-US" w:eastAsia="zh-CN"/>
              </w:rPr>
              <w:t>m</w:t>
            </w:r>
            <w:r>
              <w:rPr>
                <w:rFonts w:hint="eastAsia" w:cs="Times New Roman"/>
                <w:color w:val="auto"/>
                <w:highlight w:val="none"/>
                <w:u w:val="none"/>
                <w:vertAlign w:val="superscript"/>
                <w:lang w:val="en-US" w:eastAsia="zh-CN"/>
              </w:rPr>
              <w:t>3</w:t>
            </w:r>
            <w:r>
              <w:rPr>
                <w:rFonts w:hint="default" w:ascii="Times New Roman" w:hAnsi="Times New Roman" w:cs="Times New Roman"/>
                <w:color w:val="auto"/>
                <w:highlight w:val="none"/>
                <w:u w:val="none"/>
              </w:rPr>
              <w:t>。矿山的排土场堆放了大量剥离的表土。根据开发利用方案介绍，露天境界圈定后计算境界内需剥离表土量为21.1万</w:t>
            </w:r>
            <w:r>
              <w:rPr>
                <w:rFonts w:hint="eastAsia" w:cs="Times New Roman"/>
                <w:color w:val="auto"/>
                <w:highlight w:val="none"/>
                <w:u w:val="none"/>
                <w:lang w:val="en-US" w:eastAsia="zh-CN"/>
              </w:rPr>
              <w:t>m</w:t>
            </w:r>
            <w:r>
              <w:rPr>
                <w:rFonts w:hint="eastAsia" w:cs="Times New Roman"/>
                <w:color w:val="auto"/>
                <w:highlight w:val="none"/>
                <w:u w:val="none"/>
                <w:vertAlign w:val="superscript"/>
                <w:lang w:val="en-US" w:eastAsia="zh-CN"/>
              </w:rPr>
              <w:t>3</w:t>
            </w:r>
            <w:r>
              <w:rPr>
                <w:rFonts w:hint="default" w:ascii="Times New Roman" w:hAnsi="Times New Roman" w:cs="Times New Roman"/>
                <w:color w:val="auto"/>
                <w:highlight w:val="none"/>
                <w:u w:val="none"/>
              </w:rPr>
              <w:t>，未来矿山年度生态保护修复需土量均来自新设矿区开采过程中剥离表士。其剥离总量完全可满足未来的复垦需求，因此不需外购表土。</w:t>
            </w:r>
          </w:p>
          <w:p w14:paraId="0190B0EA">
            <w:pPr>
              <w:ind w:firstLine="480"/>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5）</w:t>
            </w:r>
            <w:r>
              <w:rPr>
                <w:rFonts w:hint="default" w:ascii="Times New Roman" w:hAnsi="Times New Roman" w:cs="Times New Roman"/>
                <w:color w:val="auto"/>
                <w:highlight w:val="none"/>
                <w:u w:val="none"/>
              </w:rPr>
              <w:t>复垦植被的选择</w:t>
            </w:r>
          </w:p>
          <w:p w14:paraId="638077A2">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矿区优势植被的分布情况、以往经验及当地村民意见，设计选用观赏灌木类红叶石楠、刺槐或桦树、爬藤、草种等植物。红叶石楠树种苗高0.1-1.0m，栽种间距规格为2.0~3.0mX2.0~3.0m，栽植时挖坑坑径≥0.5m，坑深≥0.5m；台阶坡脚栽种爬山虎（间距为每根/0.25m）；各台阶边坡选取观赏灌木间播撒狗尾草、艾蒿、针茅草籽草种等。</w:t>
            </w:r>
          </w:p>
          <w:p w14:paraId="3FB4665A">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5</w:t>
            </w:r>
            <w:r>
              <w:rPr>
                <w:rFonts w:hint="default" w:cs="Times New Roman"/>
                <w:b/>
                <w:bCs/>
                <w:color w:val="auto"/>
                <w:sz w:val="21"/>
                <w:szCs w:val="21"/>
                <w:highlight w:val="none"/>
                <w:u w:val="none"/>
                <w:lang w:val="en-US" w:eastAsia="zh-CN"/>
              </w:rPr>
              <w:t>-</w:t>
            </w:r>
            <w:r>
              <w:rPr>
                <w:rFonts w:hint="eastAsia" w:cs="Times New Roman"/>
                <w:b/>
                <w:bCs/>
                <w:color w:val="auto"/>
                <w:sz w:val="21"/>
                <w:szCs w:val="21"/>
                <w:highlight w:val="none"/>
                <w:u w:val="none"/>
                <w:lang w:val="en-US" w:eastAsia="zh-CN"/>
              </w:rPr>
              <w:t xml:space="preserve">6 </w:t>
            </w:r>
            <w:r>
              <w:rPr>
                <w:rFonts w:hint="default" w:cs="Times New Roman"/>
                <w:b/>
                <w:bCs/>
                <w:color w:val="auto"/>
                <w:sz w:val="21"/>
                <w:szCs w:val="21"/>
                <w:highlight w:val="none"/>
                <w:u w:val="none"/>
                <w:lang w:val="en-US" w:eastAsia="zh-CN"/>
              </w:rPr>
              <w:t xml:space="preserve"> 选种植物的生物特性</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6210"/>
            </w:tblGrid>
            <w:tr w14:paraId="0F71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0C471ABF">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树（草）种名称</w:t>
                  </w:r>
                </w:p>
              </w:tc>
              <w:tc>
                <w:tcPr>
                  <w:tcW w:w="6210" w:type="dxa"/>
                  <w:vAlign w:val="center"/>
                </w:tcPr>
                <w:p w14:paraId="05E81CF6">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选种植物的生物学特性</w:t>
                  </w:r>
                </w:p>
              </w:tc>
            </w:tr>
            <w:tr w14:paraId="70C7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0C144011">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红叶石楠</w:t>
                  </w:r>
                </w:p>
              </w:tc>
              <w:tc>
                <w:tcPr>
                  <w:tcW w:w="6210" w:type="dxa"/>
                  <w:vAlign w:val="center"/>
                </w:tcPr>
                <w:p w14:paraId="41F4C6C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常见观赏植物、常绿，较喜光。喜温暖湿润，耐严寒、耐旱，不耐涝。适应年温度40℃~0℃，极端最低温度-15℃，是中国华南地区优良的灌木树种。一般种植网度2.5mx2.5m。</w:t>
                  </w:r>
                </w:p>
              </w:tc>
            </w:tr>
            <w:tr w14:paraId="299A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229BF9E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刺槐</w:t>
                  </w:r>
                </w:p>
              </w:tc>
              <w:tc>
                <w:tcPr>
                  <w:tcW w:w="6210" w:type="dxa"/>
                  <w:vAlign w:val="center"/>
                </w:tcPr>
                <w:p w14:paraId="404A431F">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落叶灌木。喜温暖湿润，耐严寒、耐旱，不耐涝。适应年温度40℃~0</w:t>
                  </w:r>
                </w:p>
                <w:p w14:paraId="210911E0">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C，极端最低温度-10℃，是华南地区人工、野生灌木树种。一般种植网度2.5mx2.5m。花、叶可入药</w:t>
                  </w:r>
                  <w:r>
                    <w:rPr>
                      <w:rFonts w:hint="eastAsia" w:ascii="Times New Roman" w:hAnsi="Times New Roman" w:cs="Times New Roman"/>
                      <w:color w:val="auto"/>
                      <w:sz w:val="21"/>
                      <w:szCs w:val="21"/>
                      <w:highlight w:val="none"/>
                      <w:u w:val="none"/>
                      <w:lang w:val="en-US" w:eastAsia="zh-CN"/>
                    </w:rPr>
                    <w:t>。</w:t>
                  </w:r>
                </w:p>
              </w:tc>
            </w:tr>
            <w:tr w14:paraId="64AA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36378FD1">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桦树</w:t>
                  </w:r>
                </w:p>
              </w:tc>
              <w:tc>
                <w:tcPr>
                  <w:tcW w:w="6210" w:type="dxa"/>
                  <w:vAlign w:val="center"/>
                </w:tcPr>
                <w:p w14:paraId="3139F169">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属桦木科落叶灌木，常绿，较喜光。喜温暖湿润，耐严寒、耐旱，不耐涝。适应年温度40℃~0℃，极端最低温度-15℃，是中国华南地区优良的灌木树种。一般种植网度2.5m×2.5m。可人工栽种，也可野生。</w:t>
                  </w:r>
                </w:p>
              </w:tc>
            </w:tr>
            <w:tr w14:paraId="772B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08882DE9">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狗尾草</w:t>
                  </w:r>
                </w:p>
              </w:tc>
              <w:tc>
                <w:tcPr>
                  <w:tcW w:w="6210" w:type="dxa"/>
                  <w:vAlign w:val="center"/>
                </w:tcPr>
                <w:p w14:paraId="7AEA9961">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别名狗尾草，属禾本科、狗尾草属一年生草本植物。适生性强，耐旱耐贫瘠，酸性或碱性土壤均可生长。生于海拔4000米以下的荒野、道旁，为早地作物常见的一种杂草。一般撒播量为50kg/hm</w:t>
                  </w:r>
                  <w:r>
                    <w:rPr>
                      <w:rFonts w:hint="eastAsia" w:ascii="Times New Roman" w:hAnsi="Times New Roman" w:cs="Times New Roman"/>
                      <w:color w:val="auto"/>
                      <w:sz w:val="21"/>
                      <w:szCs w:val="21"/>
                      <w:highlight w:val="none"/>
                      <w:u w:val="none"/>
                      <w:vertAlign w:val="superscript"/>
                      <w:lang w:val="en-US" w:eastAsia="zh-CN"/>
                    </w:rPr>
                    <w:t>2</w:t>
                  </w:r>
                  <w:r>
                    <w:rPr>
                      <w:rFonts w:hint="default" w:ascii="Times New Roman" w:hAnsi="Times New Roman" w:cs="Times New Roman"/>
                      <w:color w:val="auto"/>
                      <w:sz w:val="21"/>
                      <w:szCs w:val="21"/>
                      <w:highlight w:val="none"/>
                      <w:u w:val="none"/>
                      <w:lang w:val="en-US" w:eastAsia="zh-CN"/>
                    </w:rPr>
                    <w:t>。</w:t>
                  </w:r>
                </w:p>
              </w:tc>
            </w:tr>
            <w:tr w14:paraId="7A52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580373A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艾蒿</w:t>
                  </w:r>
                </w:p>
              </w:tc>
              <w:tc>
                <w:tcPr>
                  <w:tcW w:w="6210" w:type="dxa"/>
                  <w:vAlign w:val="center"/>
                </w:tcPr>
                <w:p w14:paraId="7ADD5505">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别名艾草，多年生草本植物。适生性强，耐旱耐贫瘠，酸性或碱性土壤均可生长。生于荒野、道旁，为早地作物常见的一种杂草。</w:t>
                  </w:r>
                </w:p>
              </w:tc>
            </w:tr>
            <w:tr w14:paraId="1D6E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61C05B1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针茅</w:t>
                  </w:r>
                </w:p>
              </w:tc>
              <w:tc>
                <w:tcPr>
                  <w:tcW w:w="6210" w:type="dxa"/>
                  <w:vAlign w:val="center"/>
                </w:tcPr>
                <w:p w14:paraId="1528573F">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别名芭茅草，多年生深根性杂草适生性强，耐旱耐贫瘠，酸性或碱性土壤均可生长。生于荒野、道旁，为早地作物常见的一种杂草。</w:t>
                  </w:r>
                </w:p>
              </w:tc>
            </w:tr>
          </w:tbl>
          <w:p w14:paraId="5FE6F2E5">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6）土地复垦修复工程</w:t>
            </w:r>
          </w:p>
          <w:p w14:paraId="6C4905A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依据矿山生态问题识别和诊断结果，对土地造成损毁的主要为矿部、</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的占用和露采场、排土场、堆土区的压占。对于矿部、</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，未来可拆除清理硬化物后进行复垦，对于露采场未来可覆土后再开展复垦工作。矿山复垦可划分为矿部办公生活区、</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、排土场、堆土区和露采场（含台阶、边坡）5个单元。</w:t>
            </w:r>
          </w:p>
          <w:p w14:paraId="2294ED4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矿部办公生活区整地措施：闭坑后将地面建设区硬化层剥离，回填至采场底盘，对地面建设区域进行覆土回填，覆土厚度0.5m，回填后进行土地平整，再复垦复绿。</w:t>
            </w:r>
          </w:p>
          <w:p w14:paraId="4E5B27D8">
            <w:pPr>
              <w:ind w:firstLine="480"/>
              <w:rPr>
                <w:rFonts w:hint="default" w:ascii="Times New Roman" w:hAnsi="Times New Roman" w:cs="Times New Roman"/>
                <w:color w:val="auto"/>
                <w:highlight w:val="none"/>
                <w:u w:val="none"/>
              </w:rPr>
            </w:pP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整地措施：闭坑后将地面建设区硬化层剥离，回填至采场底盘，对地面建设区域进行覆土回填，覆土厚度0.5m，回填后进行土地平整，再复垦复绿。</w:t>
            </w:r>
          </w:p>
          <w:p w14:paraId="5BBA695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排土场整地措施：排土场堆放土为露采场区剥离的表土（耕植土），一般平整后，可以直接复垦复绿。</w:t>
            </w:r>
          </w:p>
          <w:p w14:paraId="3B578908">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堆土区整地措施：堆土区已形成，属早期露采场区剥离的表土（耕植土），一般平整后，可以直接复垦复绿。</w:t>
            </w:r>
          </w:p>
          <w:p w14:paraId="4BB65755">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露采场整地措施：闭坑后将露天采坑边坡上危岩体、不稳定岩体、松散石块等予以清除，回填至底盘内，消除安全隐患；采场台阶、底盘覆土，厚度0.5m，回填后进行土地平整，再复垦复绿。</w:t>
            </w:r>
          </w:p>
          <w:p w14:paraId="302E1C65">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①矿部办公生活区生态修复设计（闭坑后）</w:t>
            </w:r>
          </w:p>
          <w:p w14:paraId="6034E588">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该区地类规划为农村宅基地、采矿用地，依据取得矿权的业主方沟通，原矿部新设矿山继续使用。本次设计矿部复垦为林草地，复垦工程包括：硬化物拆除及垃圾外运→覆土→植树种草。</w:t>
            </w:r>
          </w:p>
          <w:p w14:paraId="49EFB702">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②</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生态修复设计（闭坑后）</w:t>
            </w:r>
          </w:p>
          <w:p w14:paraId="1ED3216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本次设计</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复垦为林草地，复垦工程包括：硬化物拆除及垃圾外运一覆土→植树种草。工业场地区的地面建筑全部为轻质钢结构房屋，未来拆除时不会产生大量硬化物，本次不计算拆除房屋的工程量。轻质钢拆除后由废品或二手公司回收不计算清运费。覆土来源采用矿山早期剥离表土。</w:t>
            </w:r>
          </w:p>
          <w:p w14:paraId="20114573">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③排土场场生态修复设计（闭坑后）</w:t>
            </w:r>
          </w:p>
          <w:p w14:paraId="5C2B4B7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本次设计排土场复垦为林草地，排土场堆放土为露采场区剥离的表土（耕植土），一般平整后，可以直接植树种草。</w:t>
            </w:r>
          </w:p>
          <w:p w14:paraId="3B2350D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④堆土区生态修复设计</w:t>
            </w:r>
          </w:p>
          <w:p w14:paraId="42967BA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堆土区该区位于新设矿区9~10号拐点内外两侧，外侧约7300m</w:t>
            </w:r>
            <w:r>
              <w:rPr>
                <w:rFonts w:hint="eastAsia" w:cs="Times New Roman"/>
                <w:color w:val="auto"/>
                <w:highlight w:val="none"/>
                <w:u w:val="none"/>
                <w:vertAlign w:val="superscript"/>
                <w:lang w:val="en-US" w:eastAsia="zh-CN"/>
              </w:rPr>
              <w:t>3</w:t>
            </w:r>
            <w:r>
              <w:rPr>
                <w:rFonts w:hint="default" w:ascii="Times New Roman" w:hAnsi="Times New Roman" w:cs="Times New Roman"/>
                <w:color w:val="auto"/>
                <w:highlight w:val="none"/>
                <w:u w:val="none"/>
              </w:rPr>
              <w:t>土堆已通过2024年原“澧县芦桥采石场”闭坑生态保护修复验收，该区已进入3年管护期。内侧堆土压覆有部分资源，新设矿权后期将继续开采，已纳入矿山北西面顺层坡生态保护修复中。</w:t>
            </w:r>
          </w:p>
          <w:p w14:paraId="16E6AA7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 5 \* GB3 \* MERGEFORMAT </w:instrText>
            </w:r>
            <w:r>
              <w:rPr>
                <w:rFonts w:hint="default" w:ascii="Times New Roman" w:hAnsi="Times New Roman" w:cs="Times New Roman"/>
                <w:color w:val="auto"/>
                <w:highlight w:val="none"/>
                <w:u w:val="none"/>
              </w:rPr>
              <w:fldChar w:fldCharType="separate"/>
            </w:r>
            <w:r>
              <w:rPr>
                <w:color w:val="auto"/>
                <w:highlight w:val="none"/>
              </w:rPr>
              <w:t>⑤</w:t>
            </w:r>
            <w:r>
              <w:rPr>
                <w:rFonts w:hint="default" w:ascii="Times New Roman" w:hAnsi="Times New Roman" w:cs="Times New Roman"/>
                <w:color w:val="auto"/>
                <w:highlight w:val="none"/>
                <w:u w:val="none"/>
              </w:rPr>
              <w:fldChar w:fldCharType="end"/>
            </w:r>
            <w:r>
              <w:rPr>
                <w:rFonts w:hint="default" w:ascii="Times New Roman" w:hAnsi="Times New Roman" w:cs="Times New Roman"/>
                <w:color w:val="auto"/>
                <w:highlight w:val="none"/>
                <w:u w:val="none"/>
              </w:rPr>
              <w:t>露采场（含台阶、边坡、底盘）生态修复设计</w:t>
            </w:r>
          </w:p>
          <w:p w14:paraId="0EB4BA0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露采场台阶面复垦为林地、边坡脚及外台阶边种植爬藤类（如爬山虎）、陡坡面撒播草籽复垦为草地。施工流程：边坡危岩、危石清理（不计工程量及费用）→覆土（台阶及底盘）→植树→种藤→撒草籽。</w:t>
            </w:r>
          </w:p>
          <w:p w14:paraId="453E82A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工程技术措施：露采场各台阶结束后，进行覆土（厚度50-60cm）、整平，台阶内侧可修建生态沟，台阶外边缘砌建生态袋墙。台阶内、外边种植上爬下垂的爬藤类草（如爬山虎），距离坡脚20cm及生态挡墙内侧种植，每米种植8株，采用内外侧交错种植（内坡脚5株、外台阶边3株）。同时，在边坡斜面铺设2.0m高的三维网，再进行客土喷播，加强边坡斜面的复绿效果。</w:t>
            </w:r>
          </w:p>
          <w:p w14:paraId="5E7A7178">
            <w:pPr>
              <w:ind w:left="0" w:leftChars="0" w:firstLine="0" w:firstLineChars="0"/>
              <w:jc w:val="center"/>
              <w:rPr>
                <w:rFonts w:hint="default" w:ascii="Times New Roman" w:hAnsi="Times New Roman" w:cs="Times New Roman"/>
                <w:color w:val="auto"/>
                <w:highlight w:val="none"/>
                <w:u w:val="none"/>
              </w:rPr>
            </w:pPr>
            <w:r>
              <w:rPr>
                <w:color w:val="auto"/>
                <w:highlight w:val="none"/>
              </w:rPr>
              <w:drawing>
                <wp:inline distT="0" distB="0" distL="114300" distR="114300">
                  <wp:extent cx="4701540" cy="2209800"/>
                  <wp:effectExtent l="0" t="0" r="762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1"/>
                          <a:stretch>
                            <a:fillRect/>
                          </a:stretch>
                        </pic:blipFill>
                        <pic:spPr>
                          <a:xfrm>
                            <a:off x="0" y="0"/>
                            <a:ext cx="4701540" cy="2209800"/>
                          </a:xfrm>
                          <a:prstGeom prst="rect">
                            <a:avLst/>
                          </a:prstGeom>
                          <a:noFill/>
                          <a:ln>
                            <a:noFill/>
                          </a:ln>
                        </pic:spPr>
                      </pic:pic>
                    </a:graphicData>
                  </a:graphic>
                </wp:inline>
              </w:drawing>
            </w:r>
          </w:p>
          <w:p w14:paraId="719941F3">
            <w:pPr>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图</w:t>
            </w:r>
            <w:r>
              <w:rPr>
                <w:rFonts w:hint="eastAsia" w:cs="Times New Roman"/>
                <w:b/>
                <w:bCs/>
                <w:color w:val="auto"/>
                <w:sz w:val="21"/>
                <w:szCs w:val="21"/>
                <w:highlight w:val="none"/>
                <w:u w:val="none"/>
                <w:lang w:val="en-US" w:eastAsia="zh-CN"/>
              </w:rPr>
              <w:t>5-1</w:t>
            </w:r>
            <w:r>
              <w:rPr>
                <w:rFonts w:hint="default"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lang w:val="en-US" w:eastAsia="zh-CN"/>
              </w:rPr>
              <w:t xml:space="preserve"> </w:t>
            </w:r>
            <w:r>
              <w:rPr>
                <w:rFonts w:hint="eastAsia" w:ascii="Times New Roman" w:hAnsi="Times New Roman" w:eastAsia="宋体" w:cs="Times New Roman"/>
                <w:b/>
                <w:bCs/>
                <w:color w:val="auto"/>
                <w:sz w:val="21"/>
                <w:szCs w:val="21"/>
                <w:highlight w:val="none"/>
                <w:u w:val="none"/>
                <w:lang w:val="en-US" w:eastAsia="zh-CN"/>
              </w:rPr>
              <w:t>露采场台阶面及台阶内侧斜坡面复绿断面示意图</w:t>
            </w:r>
          </w:p>
          <w:p w14:paraId="201133BF">
            <w:pPr>
              <w:ind w:firstLine="480" w:firstLineChars="200"/>
              <w:jc w:val="left"/>
              <w:rPr>
                <w:color w:val="auto"/>
                <w:highlight w:val="none"/>
                <w:u w:val="none"/>
              </w:rPr>
            </w:pPr>
            <w:r>
              <w:rPr>
                <w:rFonts w:hint="eastAsia"/>
                <w:color w:val="auto"/>
                <w:highlight w:val="none"/>
                <w:u w:val="none"/>
              </w:rPr>
              <w:t>生态沟：为土质沟，由开挖成型。梯形截面，底宽300mm，顶宽480mm，深300mm两侧坡比1：0.3。原土务实后，铺设植生毯，两侧外延长度为200mm，采用U型钉固定，梅花桩型布置，间距1m，U型钉长度200mm，采用Ф6HPB300钢筋加工。</w:t>
            </w:r>
          </w:p>
          <w:p w14:paraId="6AEE0B61">
            <w:pPr>
              <w:ind w:firstLine="0" w:firstLineChars="0"/>
              <w:jc w:val="center"/>
              <w:rPr>
                <w:rFonts w:hint="default" w:cs="Times New Roman"/>
                <w:b/>
                <w:bCs/>
                <w:color w:val="auto"/>
                <w:sz w:val="21"/>
                <w:szCs w:val="21"/>
                <w:highlight w:val="none"/>
                <w:u w:val="none"/>
                <w:lang w:val="en-US" w:eastAsia="zh-CN"/>
              </w:rPr>
            </w:pPr>
            <w:r>
              <w:rPr>
                <w:color w:val="auto"/>
                <w:highlight w:val="none"/>
              </w:rPr>
              <w:drawing>
                <wp:inline distT="0" distB="0" distL="114300" distR="114300">
                  <wp:extent cx="5006975" cy="3581400"/>
                  <wp:effectExtent l="0" t="0" r="6985"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2"/>
                          <a:stretch>
                            <a:fillRect/>
                          </a:stretch>
                        </pic:blipFill>
                        <pic:spPr>
                          <a:xfrm>
                            <a:off x="0" y="0"/>
                            <a:ext cx="5006975" cy="3581400"/>
                          </a:xfrm>
                          <a:prstGeom prst="rect">
                            <a:avLst/>
                          </a:prstGeom>
                          <a:noFill/>
                          <a:ln>
                            <a:noFill/>
                          </a:ln>
                        </pic:spPr>
                      </pic:pic>
                    </a:graphicData>
                  </a:graphic>
                </wp:inline>
              </w:drawing>
            </w:r>
          </w:p>
          <w:p w14:paraId="226B45BE">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图</w:t>
            </w:r>
            <w:r>
              <w:rPr>
                <w:rFonts w:hint="eastAsia" w:cs="Times New Roman"/>
                <w:b/>
                <w:bCs/>
                <w:color w:val="auto"/>
                <w:sz w:val="21"/>
                <w:szCs w:val="21"/>
                <w:highlight w:val="none"/>
                <w:u w:val="none"/>
                <w:lang w:val="en-US" w:eastAsia="zh-CN"/>
              </w:rPr>
              <w:t>5-2</w:t>
            </w:r>
            <w:r>
              <w:rPr>
                <w:rFonts w:hint="default"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lang w:val="en-US" w:eastAsia="zh-CN"/>
              </w:rPr>
              <w:t xml:space="preserve"> 生态沟</w:t>
            </w:r>
            <w:r>
              <w:rPr>
                <w:rFonts w:hint="default" w:cs="Times New Roman"/>
                <w:b/>
                <w:bCs/>
                <w:color w:val="auto"/>
                <w:sz w:val="21"/>
                <w:szCs w:val="21"/>
                <w:highlight w:val="none"/>
                <w:u w:val="none"/>
                <w:lang w:val="en-US" w:eastAsia="zh-CN"/>
              </w:rPr>
              <w:t>示意图</w:t>
            </w:r>
          </w:p>
          <w:p w14:paraId="29097EB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各台阶外侧生态袋垒砌挡土墙：据市场调查，市面生态袋（规格0.30mX0.30mX0.45m）。价格1.65元/个；按砌垒高度0.6m计，每米挡土墙约需5个生态袋垒砌挡土墙（施工时，生态袋层间采用标准扣互锁，防止滑落）、垒砌方量约0.20m</w:t>
            </w:r>
            <w:r>
              <w:rPr>
                <w:rFonts w:hint="eastAsia" w:cs="Times New Roman"/>
                <w:color w:val="auto"/>
                <w:highlight w:val="none"/>
                <w:u w:val="none"/>
                <w:vertAlign w:val="superscript"/>
                <w:lang w:val="en-US" w:eastAsia="zh-CN"/>
              </w:rPr>
              <w:t>3</w:t>
            </w:r>
            <w:r>
              <w:rPr>
                <w:rFonts w:hint="default" w:ascii="Times New Roman" w:hAnsi="Times New Roman" w:cs="Times New Roman"/>
                <w:color w:val="auto"/>
                <w:highlight w:val="none"/>
                <w:u w:val="none"/>
              </w:rPr>
              <w:t>/m。</w:t>
            </w:r>
          </w:p>
          <w:p w14:paraId="4765B72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各级台阶的生态修护工程需在下一级台阶剥采完工前修护到位。</w:t>
            </w:r>
          </w:p>
          <w:p w14:paraId="6C2D981B">
            <w:pPr>
              <w:ind w:left="0" w:leftChars="0" w:firstLine="0" w:firstLineChars="0"/>
              <w:rPr>
                <w:rFonts w:hint="default" w:ascii="Times New Roman" w:hAnsi="Times New Roman" w:cs="Times New Roman"/>
                <w:color w:val="auto"/>
                <w:highlight w:val="none"/>
                <w:u w:val="none"/>
              </w:rPr>
            </w:pPr>
            <w:r>
              <w:rPr>
                <w:color w:val="auto"/>
                <w:highlight w:val="none"/>
                <w:u w:val="none"/>
              </w:rPr>
              <w:drawing>
                <wp:inline distT="0" distB="0" distL="114300" distR="114300">
                  <wp:extent cx="5004435" cy="1764030"/>
                  <wp:effectExtent l="0" t="0" r="5715" b="762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3"/>
                          <a:stretch>
                            <a:fillRect/>
                          </a:stretch>
                        </pic:blipFill>
                        <pic:spPr>
                          <a:xfrm>
                            <a:off x="0" y="0"/>
                            <a:ext cx="5004435" cy="1764030"/>
                          </a:xfrm>
                          <a:prstGeom prst="rect">
                            <a:avLst/>
                          </a:prstGeom>
                          <a:noFill/>
                          <a:ln>
                            <a:noFill/>
                          </a:ln>
                        </pic:spPr>
                      </pic:pic>
                    </a:graphicData>
                  </a:graphic>
                </wp:inline>
              </w:drawing>
            </w:r>
          </w:p>
          <w:p w14:paraId="29C67729">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图</w:t>
            </w:r>
            <w:r>
              <w:rPr>
                <w:rFonts w:hint="eastAsia" w:cs="Times New Roman"/>
                <w:b/>
                <w:bCs/>
                <w:color w:val="auto"/>
                <w:sz w:val="21"/>
                <w:szCs w:val="21"/>
                <w:highlight w:val="none"/>
                <w:u w:val="none"/>
                <w:lang w:val="en-US" w:eastAsia="zh-CN"/>
              </w:rPr>
              <w:t xml:space="preserve">5-3  </w:t>
            </w:r>
            <w:r>
              <w:rPr>
                <w:rFonts w:hint="default" w:cs="Times New Roman"/>
                <w:b/>
                <w:bCs/>
                <w:color w:val="auto"/>
                <w:sz w:val="21"/>
                <w:szCs w:val="21"/>
                <w:highlight w:val="none"/>
                <w:u w:val="none"/>
                <w:lang w:val="en-US" w:eastAsia="zh-CN"/>
              </w:rPr>
              <w:t>生态袋垒砌挡土墙横断面示意图</w:t>
            </w:r>
          </w:p>
          <w:p w14:paraId="4C7A8D9B">
            <w:pPr>
              <w:ind w:firstLine="48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露采场+110m底盘复垦为林地、南侧边坡脚种植爬藤类（如爬山虎）、陡坡面撒播草籽复垦为草地。施工流程：边坡危岩、危石清理（不计工程量及费用）→覆土（台阶及底盘）→植树→套种农作物（或撒播草种）。覆土（厚度50-60cm）、整平，南侧边坡脚种植上爬下垂的爬藤类草（如爬山虎），同时，在边坡斜面铺设2.</w:t>
            </w:r>
            <w:r>
              <w:rPr>
                <w:rFonts w:hint="eastAsia" w:ascii="Times New Roman" w:hAnsi="Times New Roman" w:eastAsia="宋体" w:cs="Times New Roman"/>
                <w:color w:val="auto"/>
                <w:highlight w:val="none"/>
                <w:u w:val="none"/>
                <w:lang w:val="en-US" w:eastAsia="zh-CN"/>
              </w:rPr>
              <w:t>0</w:t>
            </w:r>
            <w:r>
              <w:rPr>
                <w:rFonts w:hint="default" w:ascii="Times New Roman" w:hAnsi="Times New Roman" w:eastAsia="宋体" w:cs="Times New Roman"/>
                <w:color w:val="auto"/>
                <w:highlight w:val="none"/>
                <w:u w:val="none"/>
                <w:lang w:val="en-US" w:eastAsia="zh-CN"/>
              </w:rPr>
              <w:t>m高的三维网，再进行客土喷播。矿山底盘中利用开采过在中部与底盘东侧留设0.5X0.5规格排水沟，不用估算费用。</w:t>
            </w:r>
          </w:p>
          <w:p w14:paraId="224D1008">
            <w:pPr>
              <w:ind w:firstLine="48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矿山北西面（矿山拐点6~10号），因属顺层坡，依据《方案》中设计要求，坡面角度与岩层产状一致，留设坡面角一般4°~18。，平均约11°。因此北西侧采场边坡未留设台阶，仅需覆土后栽种刺槐或红叶石楠苗。</w:t>
            </w:r>
          </w:p>
          <w:p w14:paraId="0A62AA6C">
            <w:pPr>
              <w:ind w:firstLine="48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因湖南省遥感地质调查监测所2023年12月编制的《湖南省澧县屠夫垭矿区建筑石料用灰岩矿资源开发利用方案》中对+110m矿权底盘积水设计人工抽排排水。未设计自然排水口。造成该《方案》不符合《湖南省澧县屠夫垭矿区建筑石料用灰岩矿采矿权申请范围核查报告》中不能形成负地形开采的要求。本项目将在生态修复工程中新设矿权底盘积水疏通导流隧洞。其断面规格为2.0X2.</w:t>
            </w:r>
            <w:r>
              <w:rPr>
                <w:rFonts w:hint="eastAsia" w:ascii="Times New Roman" w:hAnsi="Times New Roman" w:eastAsia="宋体" w:cs="Times New Roman"/>
                <w:color w:val="auto"/>
                <w:highlight w:val="none"/>
                <w:u w:val="none"/>
                <w:lang w:val="en-US" w:eastAsia="zh-CN"/>
              </w:rPr>
              <w:t>0</w:t>
            </w:r>
            <w:r>
              <w:rPr>
                <w:rFonts w:hint="default" w:ascii="Times New Roman" w:hAnsi="Times New Roman" w:eastAsia="宋体" w:cs="Times New Roman"/>
                <w:color w:val="auto"/>
                <w:highlight w:val="none"/>
                <w:u w:val="none"/>
                <w:lang w:val="en-US" w:eastAsia="zh-CN"/>
              </w:rPr>
              <w:t>m。</w:t>
            </w:r>
          </w:p>
          <w:p w14:paraId="1294EB04">
            <w:pPr>
              <w:ind w:firstLine="0" w:firstLineChars="0"/>
              <w:jc w:val="center"/>
              <w:rPr>
                <w:rFonts w:hint="default" w:cs="Times New Roman"/>
                <w:b/>
                <w:bCs/>
                <w:color w:val="auto"/>
                <w:sz w:val="21"/>
                <w:szCs w:val="21"/>
                <w:highlight w:val="none"/>
                <w:u w:val="none"/>
                <w:lang w:val="en-US" w:eastAsia="zh-CN"/>
              </w:rPr>
            </w:pPr>
            <w:r>
              <w:rPr>
                <w:color w:val="auto"/>
                <w:highlight w:val="none"/>
              </w:rPr>
              <w:drawing>
                <wp:inline distT="0" distB="0" distL="114300" distR="114300">
                  <wp:extent cx="5003165" cy="2367280"/>
                  <wp:effectExtent l="0" t="0" r="10795" b="1016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4"/>
                          <a:stretch>
                            <a:fillRect/>
                          </a:stretch>
                        </pic:blipFill>
                        <pic:spPr>
                          <a:xfrm>
                            <a:off x="0" y="0"/>
                            <a:ext cx="5003165" cy="2367280"/>
                          </a:xfrm>
                          <a:prstGeom prst="rect">
                            <a:avLst/>
                          </a:prstGeom>
                          <a:noFill/>
                          <a:ln>
                            <a:noFill/>
                          </a:ln>
                        </pic:spPr>
                      </pic:pic>
                    </a:graphicData>
                  </a:graphic>
                </wp:inline>
              </w:drawing>
            </w:r>
          </w:p>
          <w:p w14:paraId="38A7DF00">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图</w:t>
            </w:r>
            <w:r>
              <w:rPr>
                <w:rFonts w:hint="eastAsia" w:cs="Times New Roman"/>
                <w:b/>
                <w:bCs/>
                <w:color w:val="auto"/>
                <w:sz w:val="21"/>
                <w:szCs w:val="21"/>
                <w:highlight w:val="none"/>
                <w:u w:val="none"/>
                <w:lang w:val="en-US" w:eastAsia="zh-CN"/>
              </w:rPr>
              <w:t xml:space="preserve">5-4  </w:t>
            </w:r>
            <w:r>
              <w:rPr>
                <w:rFonts w:hint="default" w:cs="Times New Roman"/>
                <w:b/>
                <w:bCs/>
                <w:color w:val="auto"/>
                <w:sz w:val="21"/>
                <w:szCs w:val="21"/>
                <w:highlight w:val="none"/>
                <w:u w:val="none"/>
                <w:lang w:val="en-US" w:eastAsia="zh-CN"/>
              </w:rPr>
              <w:t>北西侧平缓地段边坡复绿剖面示意图</w:t>
            </w:r>
          </w:p>
          <w:p w14:paraId="6869F556">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5</w:t>
            </w:r>
            <w:r>
              <w:rPr>
                <w:rFonts w:hint="default" w:cs="Times New Roman"/>
                <w:b/>
                <w:bCs/>
                <w:color w:val="auto"/>
                <w:sz w:val="21"/>
                <w:szCs w:val="21"/>
                <w:highlight w:val="none"/>
                <w:u w:val="none"/>
                <w:lang w:val="en-US" w:eastAsia="zh-CN"/>
              </w:rPr>
              <w:t xml:space="preserve">-7 </w:t>
            </w:r>
            <w:r>
              <w:rPr>
                <w:rFonts w:hint="eastAsia" w:cs="Times New Roman"/>
                <w:b/>
                <w:bCs/>
                <w:color w:val="auto"/>
                <w:sz w:val="21"/>
                <w:szCs w:val="21"/>
                <w:highlight w:val="none"/>
                <w:u w:val="none"/>
                <w:lang w:val="en-US" w:eastAsia="zh-CN"/>
              </w:rPr>
              <w:t xml:space="preserve"> </w:t>
            </w:r>
            <w:r>
              <w:rPr>
                <w:rFonts w:hint="default" w:cs="Times New Roman"/>
                <w:b/>
                <w:bCs/>
                <w:color w:val="auto"/>
                <w:sz w:val="21"/>
                <w:szCs w:val="21"/>
                <w:highlight w:val="none"/>
                <w:u w:val="none"/>
                <w:lang w:val="en-US" w:eastAsia="zh-CN"/>
              </w:rPr>
              <w:t>露天采场</w:t>
            </w:r>
            <w:r>
              <w:rPr>
                <w:rFonts w:hint="eastAsia" w:cs="Times New Roman"/>
                <w:b/>
                <w:bCs/>
                <w:color w:val="auto"/>
                <w:sz w:val="21"/>
                <w:szCs w:val="21"/>
                <w:highlight w:val="none"/>
                <w:u w:val="none"/>
                <w:lang w:val="en-US" w:eastAsia="zh-CN"/>
              </w:rPr>
              <w:t>生态修复</w:t>
            </w:r>
            <w:r>
              <w:rPr>
                <w:rFonts w:hint="default" w:cs="Times New Roman"/>
                <w:b/>
                <w:bCs/>
                <w:color w:val="auto"/>
                <w:sz w:val="21"/>
                <w:szCs w:val="21"/>
                <w:highlight w:val="none"/>
                <w:u w:val="none"/>
                <w:lang w:val="en-US" w:eastAsia="zh-CN"/>
              </w:rPr>
              <w:t>工程量统计表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783"/>
              <w:gridCol w:w="1014"/>
              <w:gridCol w:w="1114"/>
              <w:gridCol w:w="1846"/>
            </w:tblGrid>
            <w:tr w14:paraId="5B9C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Align w:val="center"/>
                </w:tcPr>
                <w:p w14:paraId="41F0C1C5">
                  <w:pPr>
                    <w:spacing w:line="240" w:lineRule="auto"/>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复垦区域</w:t>
                  </w:r>
                </w:p>
                <w:p w14:paraId="2E0842B0">
                  <w:pPr>
                    <w:spacing w:line="240" w:lineRule="auto"/>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名称</w:t>
                  </w:r>
                </w:p>
              </w:tc>
              <w:tc>
                <w:tcPr>
                  <w:tcW w:w="2783" w:type="dxa"/>
                  <w:vAlign w:val="center"/>
                </w:tcPr>
                <w:p w14:paraId="3CFE77D4">
                  <w:pPr>
                    <w:spacing w:line="240" w:lineRule="auto"/>
                    <w:ind w:firstLine="0" w:firstLineChars="0"/>
                    <w:jc w:val="center"/>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分项工程</w:t>
                  </w:r>
                </w:p>
              </w:tc>
              <w:tc>
                <w:tcPr>
                  <w:tcW w:w="1014" w:type="dxa"/>
                  <w:vAlign w:val="center"/>
                </w:tcPr>
                <w:p w14:paraId="610E81BB">
                  <w:pPr>
                    <w:spacing w:line="240" w:lineRule="auto"/>
                    <w:ind w:firstLine="0" w:firstLineChars="0"/>
                    <w:jc w:val="center"/>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单位</w:t>
                  </w:r>
                </w:p>
              </w:tc>
              <w:tc>
                <w:tcPr>
                  <w:tcW w:w="1114" w:type="dxa"/>
                  <w:vAlign w:val="center"/>
                </w:tcPr>
                <w:p w14:paraId="18FBE6D9">
                  <w:pPr>
                    <w:spacing w:line="240" w:lineRule="auto"/>
                    <w:ind w:firstLine="0" w:firstLineChars="0"/>
                    <w:jc w:val="center"/>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工程量</w:t>
                  </w:r>
                </w:p>
              </w:tc>
              <w:tc>
                <w:tcPr>
                  <w:tcW w:w="1846" w:type="dxa"/>
                  <w:vAlign w:val="center"/>
                </w:tcPr>
                <w:p w14:paraId="415D04EE">
                  <w:pPr>
                    <w:spacing w:line="240" w:lineRule="auto"/>
                    <w:ind w:firstLine="0" w:firstLineChars="0"/>
                    <w:jc w:val="center"/>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备注</w:t>
                  </w:r>
                </w:p>
              </w:tc>
            </w:tr>
            <w:tr w14:paraId="5890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restart"/>
                  <w:vAlign w:val="center"/>
                </w:tcPr>
                <w:p w14:paraId="559C5633">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露天</w:t>
                  </w:r>
                </w:p>
                <w:p w14:paraId="3947AA9F">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采场</w:t>
                  </w:r>
                </w:p>
              </w:tc>
              <w:tc>
                <w:tcPr>
                  <w:tcW w:w="2783" w:type="dxa"/>
                  <w:vAlign w:val="center"/>
                </w:tcPr>
                <w:p w14:paraId="7F8983C7">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覆土</w:t>
                  </w:r>
                </w:p>
              </w:tc>
              <w:tc>
                <w:tcPr>
                  <w:tcW w:w="1014" w:type="dxa"/>
                  <w:vAlign w:val="center"/>
                </w:tcPr>
                <w:p w14:paraId="2FEA066F">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m</w:t>
                  </w:r>
                  <w:r>
                    <w:rPr>
                      <w:rFonts w:hint="eastAsia" w:cs="Times New Roman"/>
                      <w:color w:val="auto"/>
                      <w:sz w:val="21"/>
                      <w:szCs w:val="21"/>
                      <w:highlight w:val="none"/>
                      <w:u w:val="none"/>
                      <w:vertAlign w:val="superscript"/>
                      <w:lang w:val="en-US" w:eastAsia="zh-CN"/>
                    </w:rPr>
                    <w:t>3</w:t>
                  </w:r>
                </w:p>
              </w:tc>
              <w:tc>
                <w:tcPr>
                  <w:tcW w:w="1114" w:type="dxa"/>
                  <w:vAlign w:val="center"/>
                </w:tcPr>
                <w:p w14:paraId="1CAA4ED7">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66542</w:t>
                  </w:r>
                </w:p>
              </w:tc>
              <w:tc>
                <w:tcPr>
                  <w:tcW w:w="1846" w:type="dxa"/>
                  <w:vAlign w:val="center"/>
                </w:tcPr>
                <w:p w14:paraId="54897107">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采场</w:t>
                  </w:r>
                </w:p>
              </w:tc>
            </w:tr>
            <w:tr w14:paraId="17D0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424B771B">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44B68876">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栽植苗木</w:t>
                  </w:r>
                </w:p>
              </w:tc>
              <w:tc>
                <w:tcPr>
                  <w:tcW w:w="1014" w:type="dxa"/>
                  <w:vAlign w:val="center"/>
                </w:tcPr>
                <w:p w14:paraId="1040AD01">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14CF2D98">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19484</w:t>
                  </w:r>
                </w:p>
              </w:tc>
              <w:tc>
                <w:tcPr>
                  <w:tcW w:w="1846" w:type="dxa"/>
                  <w:vAlign w:val="center"/>
                </w:tcPr>
                <w:p w14:paraId="6F2532BC">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北西平缓边坡红叶石楠</w:t>
                  </w:r>
                </w:p>
              </w:tc>
            </w:tr>
            <w:tr w14:paraId="139A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6E1548F4">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18AD5192">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+170m台阶栽植苗木</w:t>
                  </w:r>
                </w:p>
              </w:tc>
              <w:tc>
                <w:tcPr>
                  <w:tcW w:w="1014" w:type="dxa"/>
                  <w:vAlign w:val="center"/>
                </w:tcPr>
                <w:p w14:paraId="68596D12">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7B97276A">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172</w:t>
                  </w:r>
                </w:p>
              </w:tc>
              <w:tc>
                <w:tcPr>
                  <w:tcW w:w="1846" w:type="dxa"/>
                  <w:vAlign w:val="center"/>
                </w:tcPr>
                <w:p w14:paraId="2841C24C">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6E53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7908C0B1">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6C12DA2C">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+158m台阶栽植苗木</w:t>
                  </w:r>
                </w:p>
              </w:tc>
              <w:tc>
                <w:tcPr>
                  <w:tcW w:w="1014" w:type="dxa"/>
                  <w:vAlign w:val="center"/>
                </w:tcPr>
                <w:p w14:paraId="391F5084">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6C6E83CB">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560</w:t>
                  </w:r>
                </w:p>
              </w:tc>
              <w:tc>
                <w:tcPr>
                  <w:tcW w:w="1846" w:type="dxa"/>
                  <w:vAlign w:val="center"/>
                </w:tcPr>
                <w:p w14:paraId="723E108D">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3B05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1510A5BB">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6813EC55">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+146m台阶栽植苗木</w:t>
                  </w:r>
                </w:p>
              </w:tc>
              <w:tc>
                <w:tcPr>
                  <w:tcW w:w="1014" w:type="dxa"/>
                  <w:vAlign w:val="center"/>
                </w:tcPr>
                <w:p w14:paraId="0F837249">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434CE32C">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1168</w:t>
                  </w:r>
                </w:p>
              </w:tc>
              <w:tc>
                <w:tcPr>
                  <w:tcW w:w="1846" w:type="dxa"/>
                  <w:vAlign w:val="center"/>
                </w:tcPr>
                <w:p w14:paraId="30C3C009">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0E5A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71CE30F5">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5BA2D5CC">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+134m台阶栽植苗木</w:t>
                  </w:r>
                </w:p>
              </w:tc>
              <w:tc>
                <w:tcPr>
                  <w:tcW w:w="1014" w:type="dxa"/>
                  <w:vAlign w:val="center"/>
                </w:tcPr>
                <w:p w14:paraId="25BF0C9E">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07037C72">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634</w:t>
                  </w:r>
                </w:p>
              </w:tc>
              <w:tc>
                <w:tcPr>
                  <w:tcW w:w="1846" w:type="dxa"/>
                  <w:vAlign w:val="center"/>
                </w:tcPr>
                <w:p w14:paraId="62FDC1FB">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4085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69BD02C5">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713876A8">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+122m台阶栽植苗木</w:t>
                  </w:r>
                </w:p>
              </w:tc>
              <w:tc>
                <w:tcPr>
                  <w:tcW w:w="1014" w:type="dxa"/>
                  <w:vAlign w:val="center"/>
                </w:tcPr>
                <w:p w14:paraId="18CACBBF">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313F0906">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516</w:t>
                  </w:r>
                </w:p>
              </w:tc>
              <w:tc>
                <w:tcPr>
                  <w:tcW w:w="1846" w:type="dxa"/>
                  <w:vAlign w:val="center"/>
                </w:tcPr>
                <w:p w14:paraId="2E60DE6F">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04F4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6C8F33F2">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31D4FEC4">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+110m台阶栽植苗木</w:t>
                  </w:r>
                </w:p>
              </w:tc>
              <w:tc>
                <w:tcPr>
                  <w:tcW w:w="1014" w:type="dxa"/>
                  <w:vAlign w:val="center"/>
                </w:tcPr>
                <w:p w14:paraId="343DB643">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113F166E">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9016</w:t>
                  </w:r>
                </w:p>
              </w:tc>
              <w:tc>
                <w:tcPr>
                  <w:tcW w:w="1846" w:type="dxa"/>
                  <w:vAlign w:val="center"/>
                </w:tcPr>
                <w:p w14:paraId="516F39D3">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713C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504AA332">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45ACEBA0">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栽种爬藤</w:t>
                  </w:r>
                </w:p>
              </w:tc>
              <w:tc>
                <w:tcPr>
                  <w:tcW w:w="1014" w:type="dxa"/>
                  <w:vAlign w:val="center"/>
                </w:tcPr>
                <w:p w14:paraId="750C1DD3">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2A3494B3">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336</w:t>
                  </w:r>
                </w:p>
              </w:tc>
              <w:tc>
                <w:tcPr>
                  <w:tcW w:w="1846" w:type="dxa"/>
                  <w:vAlign w:val="center"/>
                </w:tcPr>
                <w:p w14:paraId="2CE7B5A0">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台阶爬山虎</w:t>
                  </w:r>
                </w:p>
              </w:tc>
            </w:tr>
            <w:tr w14:paraId="3A0F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restart"/>
                  <w:vAlign w:val="center"/>
                </w:tcPr>
                <w:p w14:paraId="08AA01F2">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配套</w:t>
                  </w:r>
                </w:p>
              </w:tc>
              <w:tc>
                <w:tcPr>
                  <w:tcW w:w="2783" w:type="dxa"/>
                  <w:vAlign w:val="center"/>
                </w:tcPr>
                <w:p w14:paraId="7EF3EFA6">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生态沟</w:t>
                  </w:r>
                </w:p>
              </w:tc>
              <w:tc>
                <w:tcPr>
                  <w:tcW w:w="1014" w:type="dxa"/>
                  <w:vAlign w:val="center"/>
                </w:tcPr>
                <w:p w14:paraId="00DC4779">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m</w:t>
                  </w:r>
                </w:p>
              </w:tc>
              <w:tc>
                <w:tcPr>
                  <w:tcW w:w="1114" w:type="dxa"/>
                  <w:vAlign w:val="center"/>
                </w:tcPr>
                <w:p w14:paraId="47E504FF">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2695</w:t>
                  </w:r>
                </w:p>
              </w:tc>
              <w:tc>
                <w:tcPr>
                  <w:tcW w:w="1846" w:type="dxa"/>
                  <w:vAlign w:val="center"/>
                </w:tcPr>
                <w:p w14:paraId="22C6A435">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台阶内侧</w:t>
                  </w:r>
                </w:p>
              </w:tc>
            </w:tr>
            <w:tr w14:paraId="7268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2E673CE5">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0B2A5EC9">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生态袋</w:t>
                  </w:r>
                </w:p>
              </w:tc>
              <w:tc>
                <w:tcPr>
                  <w:tcW w:w="1014" w:type="dxa"/>
                  <w:vAlign w:val="center"/>
                </w:tcPr>
                <w:p w14:paraId="1C420BA5">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个</w:t>
                  </w:r>
                </w:p>
              </w:tc>
              <w:tc>
                <w:tcPr>
                  <w:tcW w:w="1114" w:type="dxa"/>
                  <w:vAlign w:val="center"/>
                </w:tcPr>
                <w:p w14:paraId="45BAECFF">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13850</w:t>
                  </w:r>
                </w:p>
              </w:tc>
              <w:tc>
                <w:tcPr>
                  <w:tcW w:w="1846" w:type="dxa"/>
                  <w:vAlign w:val="center"/>
                </w:tcPr>
                <w:p w14:paraId="0951166B">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台阶外侧</w:t>
                  </w:r>
                </w:p>
              </w:tc>
            </w:tr>
            <w:tr w14:paraId="7FA0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696E28DE">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7C3E1DDB">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生态墙</w:t>
                  </w:r>
                </w:p>
              </w:tc>
              <w:tc>
                <w:tcPr>
                  <w:tcW w:w="1014" w:type="dxa"/>
                  <w:vAlign w:val="center"/>
                </w:tcPr>
                <w:p w14:paraId="3390DEDB">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m</w:t>
                  </w:r>
                  <w:r>
                    <w:rPr>
                      <w:rFonts w:hint="eastAsia" w:cs="Times New Roman"/>
                      <w:color w:val="auto"/>
                      <w:sz w:val="21"/>
                      <w:szCs w:val="21"/>
                      <w:highlight w:val="none"/>
                      <w:u w:val="none"/>
                      <w:vertAlign w:val="superscript"/>
                      <w:lang w:val="en-US" w:eastAsia="zh-CN"/>
                    </w:rPr>
                    <w:t>3</w:t>
                  </w:r>
                </w:p>
              </w:tc>
              <w:tc>
                <w:tcPr>
                  <w:tcW w:w="1114" w:type="dxa"/>
                  <w:vAlign w:val="center"/>
                </w:tcPr>
                <w:p w14:paraId="139A2777">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2770</w:t>
                  </w:r>
                </w:p>
              </w:tc>
              <w:tc>
                <w:tcPr>
                  <w:tcW w:w="1846" w:type="dxa"/>
                  <w:vAlign w:val="center"/>
                </w:tcPr>
                <w:p w14:paraId="07357EEC">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台阶外侧</w:t>
                  </w:r>
                </w:p>
              </w:tc>
            </w:tr>
            <w:tr w14:paraId="5F84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25D2589D">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113F6CB3">
                  <w:pPr>
                    <w:spacing w:line="240" w:lineRule="auto"/>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各级台阶内侧边坡挂网</w:t>
                  </w:r>
                </w:p>
              </w:tc>
              <w:tc>
                <w:tcPr>
                  <w:tcW w:w="1014" w:type="dxa"/>
                  <w:vAlign w:val="center"/>
                </w:tcPr>
                <w:p w14:paraId="316CDBFE">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m</w:t>
                  </w:r>
                  <w:r>
                    <w:rPr>
                      <w:rFonts w:hint="eastAsia" w:cs="Times New Roman"/>
                      <w:color w:val="auto"/>
                      <w:sz w:val="21"/>
                      <w:szCs w:val="21"/>
                      <w:highlight w:val="none"/>
                      <w:u w:val="none"/>
                      <w:vertAlign w:val="superscript"/>
                      <w:lang w:val="en-US" w:eastAsia="zh-CN"/>
                    </w:rPr>
                    <w:t>2</w:t>
                  </w:r>
                </w:p>
              </w:tc>
              <w:tc>
                <w:tcPr>
                  <w:tcW w:w="1114" w:type="dxa"/>
                  <w:vAlign w:val="center"/>
                </w:tcPr>
                <w:p w14:paraId="5846EECD">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5390</w:t>
                  </w:r>
                </w:p>
              </w:tc>
              <w:tc>
                <w:tcPr>
                  <w:tcW w:w="1846" w:type="dxa"/>
                  <w:vAlign w:val="center"/>
                </w:tcPr>
                <w:p w14:paraId="6AE95AA4">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台阶坡斜面积</w:t>
                  </w:r>
                </w:p>
              </w:tc>
            </w:tr>
            <w:tr w14:paraId="049C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33B206FC">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291CD274">
                  <w:pPr>
                    <w:spacing w:line="240" w:lineRule="auto"/>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各级台阶内侧边坡客土喷播</w:t>
                  </w:r>
                </w:p>
              </w:tc>
              <w:tc>
                <w:tcPr>
                  <w:tcW w:w="1014" w:type="dxa"/>
                  <w:vAlign w:val="center"/>
                </w:tcPr>
                <w:p w14:paraId="29F19983">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m</w:t>
                  </w:r>
                  <w:r>
                    <w:rPr>
                      <w:rFonts w:hint="eastAsia" w:cs="Times New Roman"/>
                      <w:color w:val="auto"/>
                      <w:sz w:val="21"/>
                      <w:szCs w:val="21"/>
                      <w:highlight w:val="none"/>
                      <w:u w:val="none"/>
                      <w:vertAlign w:val="superscript"/>
                      <w:lang w:val="en-US" w:eastAsia="zh-CN"/>
                    </w:rPr>
                    <w:t>2</w:t>
                  </w:r>
                </w:p>
              </w:tc>
              <w:tc>
                <w:tcPr>
                  <w:tcW w:w="1114" w:type="dxa"/>
                  <w:vAlign w:val="center"/>
                </w:tcPr>
                <w:p w14:paraId="58502BCB">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5390</w:t>
                  </w:r>
                </w:p>
              </w:tc>
              <w:tc>
                <w:tcPr>
                  <w:tcW w:w="1846" w:type="dxa"/>
                  <w:vAlign w:val="center"/>
                </w:tcPr>
                <w:p w14:paraId="2220CA58">
                  <w:pPr>
                    <w:spacing w:line="240" w:lineRule="auto"/>
                    <w:ind w:firstLine="0" w:firstLineChars="0"/>
                    <w:jc w:val="center"/>
                    <w:rPr>
                      <w:rFonts w:hint="default" w:cs="Times New Roman"/>
                      <w:color w:val="auto"/>
                      <w:sz w:val="21"/>
                      <w:szCs w:val="21"/>
                      <w:highlight w:val="none"/>
                      <w:u w:val="none"/>
                      <w:lang w:val="en-US" w:eastAsia="zh-CN"/>
                    </w:rPr>
                  </w:pPr>
                </w:p>
              </w:tc>
            </w:tr>
          </w:tbl>
          <w:p w14:paraId="49F2B590">
            <w:pPr>
              <w:spacing w:before="156" w:beforeLines="50"/>
              <w:ind w:firstLine="0" w:firstLineChars="0"/>
              <w:rPr>
                <w:rFonts w:hint="default" w:ascii="Times New Roman" w:hAnsi="Times New Roman" w:cs="Times New Roman"/>
                <w:b/>
                <w:bCs/>
                <w:color w:val="auto"/>
                <w:highlight w:val="none"/>
                <w:u w:val="none"/>
              </w:rPr>
            </w:pPr>
            <w:r>
              <w:rPr>
                <w:rFonts w:hint="eastAsia" w:cs="Times New Roman"/>
                <w:b/>
                <w:bCs/>
                <w:color w:val="auto"/>
                <w:highlight w:val="none"/>
                <w:u w:val="none"/>
                <w:lang w:val="en-US" w:eastAsia="zh-CN"/>
              </w:rPr>
              <w:t>二</w:t>
            </w:r>
            <w:r>
              <w:rPr>
                <w:rFonts w:hint="default" w:ascii="Times New Roman" w:hAnsi="Times New Roman" w:cs="Times New Roman"/>
                <w:b/>
                <w:bCs/>
                <w:color w:val="auto"/>
                <w:highlight w:val="none"/>
                <w:u w:val="none"/>
              </w:rPr>
              <w:t>、排污许可管理</w:t>
            </w:r>
          </w:p>
          <w:p w14:paraId="73E3785E">
            <w:pPr>
              <w:ind w:firstLine="480"/>
              <w:jc w:val="left"/>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本项目矿区开采部分</w:t>
            </w:r>
            <w:r>
              <w:rPr>
                <w:rFonts w:hint="eastAsia" w:cs="Times New Roman"/>
                <w:color w:val="auto"/>
                <w:highlight w:val="none"/>
                <w:u w:val="none"/>
                <w:lang w:val="en-US" w:eastAsia="zh-CN"/>
              </w:rPr>
              <w:t>属于排污许可登记管理</w:t>
            </w:r>
            <w:r>
              <w:rPr>
                <w:rFonts w:hint="default" w:ascii="Times New Roman" w:hAnsi="Times New Roman" w:cs="Times New Roman"/>
                <w:color w:val="auto"/>
                <w:highlight w:val="none"/>
                <w:u w:val="none"/>
              </w:rPr>
              <w:t>、碎石加工部分</w:t>
            </w:r>
            <w:r>
              <w:rPr>
                <w:rFonts w:hint="eastAsia" w:cs="Times New Roman"/>
                <w:color w:val="auto"/>
                <w:highlight w:val="none"/>
                <w:u w:val="none"/>
                <w:lang w:val="en-US" w:eastAsia="zh-CN"/>
              </w:rPr>
              <w:t>属于</w:t>
            </w:r>
            <w:r>
              <w:rPr>
                <w:rFonts w:hint="default" w:ascii="Times New Roman" w:hAnsi="Times New Roman" w:cs="Times New Roman"/>
                <w:color w:val="auto"/>
                <w:highlight w:val="none"/>
                <w:u w:val="none"/>
              </w:rPr>
              <w:t>排污</w:t>
            </w:r>
            <w:r>
              <w:rPr>
                <w:rFonts w:hint="eastAsia" w:cs="Times New Roman"/>
                <w:color w:val="auto"/>
                <w:highlight w:val="none"/>
                <w:u w:val="none"/>
                <w:lang w:val="en-US" w:eastAsia="zh-CN"/>
              </w:rPr>
              <w:t>许可登记管理</w:t>
            </w:r>
            <w:r>
              <w:rPr>
                <w:rFonts w:hint="default" w:ascii="Times New Roman" w:hAnsi="Times New Roman" w:cs="Times New Roman"/>
                <w:color w:val="auto"/>
                <w:highlight w:val="none"/>
                <w:u w:val="none"/>
              </w:rPr>
              <w:t>，应当在全国排污许可证管理信息平台填报排污</w:t>
            </w:r>
            <w:r>
              <w:rPr>
                <w:rFonts w:hint="eastAsia" w:cs="Times New Roman"/>
                <w:color w:val="auto"/>
                <w:highlight w:val="none"/>
                <w:u w:val="none"/>
                <w:lang w:val="en-US" w:eastAsia="zh-CN"/>
              </w:rPr>
              <w:t>登记</w:t>
            </w:r>
            <w:r>
              <w:rPr>
                <w:rFonts w:hint="default" w:ascii="Times New Roman" w:hAnsi="Times New Roman" w:cs="Times New Roman"/>
                <w:color w:val="auto"/>
                <w:highlight w:val="none"/>
                <w:u w:val="none"/>
              </w:rPr>
              <w:t>。</w:t>
            </w:r>
          </w:p>
          <w:p w14:paraId="6F120C3E">
            <w:pPr>
              <w:ind w:firstLine="48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表5-</w:t>
            </w:r>
            <w:r>
              <w:rPr>
                <w:rFonts w:hint="eastAsia" w:cs="Times New Roman"/>
                <w:b/>
                <w:bCs/>
                <w:color w:val="auto"/>
                <w:sz w:val="21"/>
                <w:szCs w:val="21"/>
                <w:highlight w:val="none"/>
                <w:u w:val="none"/>
                <w:lang w:val="en-US" w:eastAsia="zh-CN"/>
              </w:rPr>
              <w:t>9</w:t>
            </w:r>
            <w:r>
              <w:rPr>
                <w:rFonts w:hint="default" w:ascii="Times New Roman" w:hAnsi="Times New Roman" w:cs="Times New Roman"/>
                <w:b/>
                <w:bCs/>
                <w:color w:val="auto"/>
                <w:sz w:val="21"/>
                <w:szCs w:val="21"/>
                <w:highlight w:val="none"/>
                <w:u w:val="none"/>
              </w:rPr>
              <w:t xml:space="preserve"> 建设单位排污许可管理类别识别表</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864"/>
              <w:gridCol w:w="722"/>
              <w:gridCol w:w="1650"/>
              <w:gridCol w:w="2593"/>
              <w:gridCol w:w="635"/>
              <w:gridCol w:w="934"/>
            </w:tblGrid>
            <w:tr w14:paraId="7186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dxa"/>
                  <w:vMerge w:val="restart"/>
                  <w:vAlign w:val="center"/>
                </w:tcPr>
                <w:p w14:paraId="7AF98705">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序号</w:t>
                  </w:r>
                </w:p>
              </w:tc>
              <w:tc>
                <w:tcPr>
                  <w:tcW w:w="864" w:type="dxa"/>
                  <w:vMerge w:val="restart"/>
                  <w:vAlign w:val="center"/>
                </w:tcPr>
                <w:p w14:paraId="647B1365">
                  <w:pPr>
                    <w:spacing w:line="240" w:lineRule="auto"/>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生产线名称</w:t>
                  </w:r>
                </w:p>
              </w:tc>
              <w:tc>
                <w:tcPr>
                  <w:tcW w:w="722" w:type="dxa"/>
                  <w:vMerge w:val="restart"/>
                  <w:vAlign w:val="center"/>
                </w:tcPr>
                <w:p w14:paraId="5B9275EB">
                  <w:pPr>
                    <w:spacing w:line="240" w:lineRule="auto"/>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产品名称</w:t>
                  </w:r>
                </w:p>
              </w:tc>
              <w:tc>
                <w:tcPr>
                  <w:tcW w:w="1650" w:type="dxa"/>
                  <w:vMerge w:val="restart"/>
                  <w:vAlign w:val="center"/>
                </w:tcPr>
                <w:p w14:paraId="2FD84038">
                  <w:pPr>
                    <w:spacing w:line="240" w:lineRule="auto"/>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国民经济行业分类</w:t>
                  </w:r>
                </w:p>
              </w:tc>
              <w:tc>
                <w:tcPr>
                  <w:tcW w:w="2593" w:type="dxa"/>
                  <w:vMerge w:val="restart"/>
                  <w:vAlign w:val="center"/>
                </w:tcPr>
                <w:p w14:paraId="6B965DD7">
                  <w:pPr>
                    <w:spacing w:line="240" w:lineRule="auto"/>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排污许可证行业类别</w:t>
                  </w:r>
                </w:p>
              </w:tc>
              <w:tc>
                <w:tcPr>
                  <w:tcW w:w="1569" w:type="dxa"/>
                  <w:gridSpan w:val="2"/>
                  <w:vAlign w:val="center"/>
                </w:tcPr>
                <w:p w14:paraId="5473ED3C">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eastAsia" w:cs="Times New Roman"/>
                      <w:b/>
                      <w:bCs/>
                      <w:color w:val="auto"/>
                      <w:sz w:val="21"/>
                      <w:szCs w:val="21"/>
                      <w:highlight w:val="none"/>
                      <w:u w:val="none"/>
                      <w:lang w:val="en-US" w:eastAsia="zh-CN"/>
                    </w:rPr>
                    <w:t>管理类别</w:t>
                  </w:r>
                </w:p>
              </w:tc>
            </w:tr>
            <w:tr w14:paraId="7204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dxa"/>
                  <w:vMerge w:val="continue"/>
                  <w:vAlign w:val="center"/>
                </w:tcPr>
                <w:p w14:paraId="57EDBAA3">
                  <w:pPr>
                    <w:spacing w:line="240" w:lineRule="auto"/>
                    <w:ind w:firstLine="0" w:firstLineChars="0"/>
                    <w:jc w:val="center"/>
                    <w:rPr>
                      <w:rFonts w:hint="default" w:ascii="Times New Roman" w:hAnsi="Times New Roman" w:cs="Times New Roman"/>
                      <w:b/>
                      <w:bCs/>
                      <w:color w:val="auto"/>
                      <w:sz w:val="21"/>
                      <w:szCs w:val="21"/>
                      <w:highlight w:val="none"/>
                      <w:u w:val="none"/>
                    </w:rPr>
                  </w:pPr>
                </w:p>
              </w:tc>
              <w:tc>
                <w:tcPr>
                  <w:tcW w:w="864" w:type="dxa"/>
                  <w:vMerge w:val="continue"/>
                  <w:vAlign w:val="center"/>
                </w:tcPr>
                <w:p w14:paraId="7A356019">
                  <w:pPr>
                    <w:spacing w:line="240" w:lineRule="auto"/>
                    <w:ind w:firstLine="0" w:firstLineChars="0"/>
                    <w:jc w:val="center"/>
                    <w:rPr>
                      <w:rFonts w:hint="default" w:ascii="Times New Roman" w:hAnsi="Times New Roman" w:cs="Times New Roman"/>
                      <w:b/>
                      <w:bCs/>
                      <w:color w:val="auto"/>
                      <w:sz w:val="21"/>
                      <w:szCs w:val="21"/>
                      <w:highlight w:val="none"/>
                      <w:u w:val="none"/>
                    </w:rPr>
                  </w:pPr>
                </w:p>
              </w:tc>
              <w:tc>
                <w:tcPr>
                  <w:tcW w:w="722" w:type="dxa"/>
                  <w:vMerge w:val="continue"/>
                  <w:vAlign w:val="center"/>
                </w:tcPr>
                <w:p w14:paraId="772695A3">
                  <w:pPr>
                    <w:spacing w:line="240" w:lineRule="auto"/>
                    <w:ind w:firstLine="0" w:firstLineChars="0"/>
                    <w:jc w:val="center"/>
                    <w:rPr>
                      <w:rFonts w:hint="default" w:ascii="Times New Roman" w:hAnsi="Times New Roman" w:cs="Times New Roman"/>
                      <w:b/>
                      <w:bCs/>
                      <w:color w:val="auto"/>
                      <w:sz w:val="21"/>
                      <w:szCs w:val="21"/>
                      <w:highlight w:val="none"/>
                      <w:u w:val="none"/>
                    </w:rPr>
                  </w:pPr>
                </w:p>
              </w:tc>
              <w:tc>
                <w:tcPr>
                  <w:tcW w:w="1650" w:type="dxa"/>
                  <w:vMerge w:val="continue"/>
                  <w:vAlign w:val="center"/>
                </w:tcPr>
                <w:p w14:paraId="2C9B9C20">
                  <w:pPr>
                    <w:spacing w:line="240" w:lineRule="auto"/>
                    <w:ind w:firstLine="0" w:firstLineChars="0"/>
                    <w:jc w:val="center"/>
                    <w:rPr>
                      <w:rFonts w:hint="default" w:ascii="Times New Roman" w:hAnsi="Times New Roman" w:cs="Times New Roman"/>
                      <w:b/>
                      <w:bCs/>
                      <w:color w:val="auto"/>
                      <w:sz w:val="21"/>
                      <w:szCs w:val="21"/>
                      <w:highlight w:val="none"/>
                      <w:u w:val="none"/>
                    </w:rPr>
                  </w:pPr>
                </w:p>
              </w:tc>
              <w:tc>
                <w:tcPr>
                  <w:tcW w:w="2593" w:type="dxa"/>
                  <w:vMerge w:val="continue"/>
                  <w:vAlign w:val="center"/>
                </w:tcPr>
                <w:p w14:paraId="18E478D0">
                  <w:pPr>
                    <w:spacing w:line="240" w:lineRule="auto"/>
                    <w:ind w:firstLine="0" w:firstLineChars="0"/>
                    <w:jc w:val="center"/>
                    <w:rPr>
                      <w:rFonts w:hint="default" w:ascii="Times New Roman" w:hAnsi="Times New Roman" w:cs="Times New Roman"/>
                      <w:b/>
                      <w:bCs/>
                      <w:color w:val="auto"/>
                      <w:sz w:val="21"/>
                      <w:szCs w:val="21"/>
                      <w:highlight w:val="none"/>
                      <w:u w:val="none"/>
                    </w:rPr>
                  </w:pPr>
                </w:p>
              </w:tc>
              <w:tc>
                <w:tcPr>
                  <w:tcW w:w="635" w:type="dxa"/>
                  <w:vAlign w:val="center"/>
                </w:tcPr>
                <w:p w14:paraId="7E694C6A">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现有</w:t>
                  </w:r>
                </w:p>
              </w:tc>
              <w:tc>
                <w:tcPr>
                  <w:tcW w:w="934" w:type="dxa"/>
                  <w:vAlign w:val="center"/>
                </w:tcPr>
                <w:p w14:paraId="63DE1DB0">
                  <w:pPr>
                    <w:spacing w:line="240" w:lineRule="auto"/>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本项目建成后</w:t>
                  </w:r>
                </w:p>
              </w:tc>
            </w:tr>
            <w:tr w14:paraId="6102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dxa"/>
                  <w:vAlign w:val="center"/>
                </w:tcPr>
                <w:p w14:paraId="56A625FF">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w:t>
                  </w:r>
                </w:p>
              </w:tc>
              <w:tc>
                <w:tcPr>
                  <w:tcW w:w="864" w:type="dxa"/>
                  <w:vAlign w:val="center"/>
                </w:tcPr>
                <w:p w14:paraId="3F74FBDA">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石料开采</w:t>
                  </w:r>
                </w:p>
              </w:tc>
              <w:tc>
                <w:tcPr>
                  <w:tcW w:w="722" w:type="dxa"/>
                  <w:vAlign w:val="center"/>
                </w:tcPr>
                <w:p w14:paraId="01071FC9">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灰岩</w:t>
                  </w:r>
                </w:p>
              </w:tc>
              <w:tc>
                <w:tcPr>
                  <w:tcW w:w="1650" w:type="dxa"/>
                  <w:vAlign w:val="center"/>
                </w:tcPr>
                <w:p w14:paraId="612FA2A5">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B1019粘土及其他土砂石开采</w:t>
                  </w:r>
                </w:p>
              </w:tc>
              <w:tc>
                <w:tcPr>
                  <w:tcW w:w="2593" w:type="dxa"/>
                  <w:vAlign w:val="center"/>
                </w:tcPr>
                <w:p w14:paraId="72EF6D75">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六、非金属矿采选业</w:t>
                  </w:r>
                </w:p>
                <w:p w14:paraId="7765F9B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—101土砂石，其他</w:t>
                  </w:r>
                </w:p>
              </w:tc>
              <w:tc>
                <w:tcPr>
                  <w:tcW w:w="635" w:type="dxa"/>
                  <w:vAlign w:val="center"/>
                </w:tcPr>
                <w:p w14:paraId="1E677BFE">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934" w:type="dxa"/>
                  <w:vAlign w:val="center"/>
                </w:tcPr>
                <w:p w14:paraId="6DD00F7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登记管理</w:t>
                  </w:r>
                </w:p>
              </w:tc>
            </w:tr>
            <w:tr w14:paraId="1564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dxa"/>
                  <w:vAlign w:val="center"/>
                </w:tcPr>
                <w:p w14:paraId="04FD5410">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w:t>
                  </w:r>
                </w:p>
              </w:tc>
              <w:tc>
                <w:tcPr>
                  <w:tcW w:w="864" w:type="dxa"/>
                  <w:vAlign w:val="center"/>
                </w:tcPr>
                <w:p w14:paraId="14047303">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碎石加工</w:t>
                  </w:r>
                </w:p>
              </w:tc>
              <w:tc>
                <w:tcPr>
                  <w:tcW w:w="722" w:type="dxa"/>
                  <w:vAlign w:val="center"/>
                </w:tcPr>
                <w:p w14:paraId="35B3EE46">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建筑用砂石</w:t>
                  </w:r>
                </w:p>
              </w:tc>
              <w:tc>
                <w:tcPr>
                  <w:tcW w:w="1650" w:type="dxa"/>
                  <w:vAlign w:val="center"/>
                </w:tcPr>
                <w:p w14:paraId="6DD63115">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C3099其它非金属矿物制品制造</w:t>
                  </w:r>
                </w:p>
              </w:tc>
              <w:tc>
                <w:tcPr>
                  <w:tcW w:w="2593" w:type="dxa"/>
                  <w:vAlign w:val="center"/>
                </w:tcPr>
                <w:p w14:paraId="59308FF1">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二十五、非金属矿物制品业30—其他非金属矿物制品制造 3099</w:t>
                  </w:r>
                </w:p>
              </w:tc>
              <w:tc>
                <w:tcPr>
                  <w:tcW w:w="635" w:type="dxa"/>
                  <w:vAlign w:val="center"/>
                </w:tcPr>
                <w:p w14:paraId="5EB6D48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w:t>
                  </w:r>
                </w:p>
              </w:tc>
              <w:tc>
                <w:tcPr>
                  <w:tcW w:w="934" w:type="dxa"/>
                  <w:vAlign w:val="center"/>
                </w:tcPr>
                <w:p w14:paraId="192374AF">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登记管理</w:t>
                  </w:r>
                </w:p>
              </w:tc>
            </w:tr>
          </w:tbl>
          <w:p w14:paraId="01A305C7">
            <w:pPr>
              <w:spacing w:before="156" w:beforeLines="50"/>
              <w:ind w:firstLine="0" w:firstLineChars="0"/>
              <w:rPr>
                <w:rFonts w:hint="default" w:cs="Times New Roman"/>
                <w:b/>
                <w:bCs/>
                <w:color w:val="auto"/>
                <w:highlight w:val="none"/>
                <w:u w:val="none"/>
                <w:lang w:val="en-US" w:eastAsia="zh-CN"/>
              </w:rPr>
            </w:pPr>
            <w:r>
              <w:rPr>
                <w:rFonts w:hint="default" w:cs="Times New Roman"/>
                <w:b/>
                <w:bCs/>
                <w:color w:val="auto"/>
                <w:highlight w:val="none"/>
                <w:u w:val="none"/>
                <w:lang w:val="en-US" w:eastAsia="zh-CN"/>
              </w:rPr>
              <w:t>三、 验收监测计划</w:t>
            </w:r>
          </w:p>
          <w:p w14:paraId="7615587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环境监测计划一览表如下表5-</w:t>
            </w:r>
            <w:r>
              <w:rPr>
                <w:rFonts w:hint="eastAsia" w:cs="Times New Roman"/>
                <w:color w:val="auto"/>
                <w:highlight w:val="none"/>
                <w:u w:val="single"/>
                <w:lang w:val="en-US" w:eastAsia="zh-CN"/>
              </w:rPr>
              <w:t>10</w:t>
            </w:r>
            <w:r>
              <w:rPr>
                <w:rFonts w:hint="default" w:ascii="Times New Roman" w:hAnsi="Times New Roman" w:cs="Times New Roman"/>
                <w:color w:val="auto"/>
                <w:highlight w:val="none"/>
                <w:u w:val="single"/>
              </w:rPr>
              <w:t>。</w:t>
            </w:r>
          </w:p>
          <w:p w14:paraId="08E7495F">
            <w:pPr>
              <w:ind w:firstLine="48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 5-</w:t>
            </w:r>
            <w:r>
              <w:rPr>
                <w:rFonts w:hint="eastAsia" w:cs="Times New Roman"/>
                <w:b/>
                <w:bCs/>
                <w:color w:val="auto"/>
                <w:sz w:val="21"/>
                <w:szCs w:val="21"/>
                <w:highlight w:val="none"/>
                <w:u w:val="single"/>
                <w:lang w:val="en-US" w:eastAsia="zh-CN"/>
              </w:rPr>
              <w:t>10</w:t>
            </w:r>
            <w:r>
              <w:rPr>
                <w:rFonts w:hint="default" w:ascii="Times New Roman" w:hAnsi="Times New Roman" w:cs="Times New Roman"/>
                <w:b/>
                <w:bCs/>
                <w:color w:val="auto"/>
                <w:sz w:val="21"/>
                <w:szCs w:val="21"/>
                <w:highlight w:val="none"/>
                <w:u w:val="single"/>
              </w:rPr>
              <w:t xml:space="preserve"> </w:t>
            </w:r>
            <w:r>
              <w:rPr>
                <w:rFonts w:hint="eastAsia" w:cs="Times New Roman"/>
                <w:b/>
                <w:bCs/>
                <w:color w:val="auto"/>
                <w:sz w:val="21"/>
                <w:szCs w:val="21"/>
                <w:highlight w:val="none"/>
                <w:u w:val="single"/>
                <w:lang w:val="en-US" w:eastAsia="zh-CN"/>
              </w:rPr>
              <w:t xml:space="preserve"> </w:t>
            </w:r>
            <w:r>
              <w:rPr>
                <w:rFonts w:hint="default" w:ascii="Times New Roman" w:hAnsi="Times New Roman" w:cs="Times New Roman"/>
                <w:b/>
                <w:bCs/>
                <w:color w:val="auto"/>
                <w:sz w:val="21"/>
                <w:szCs w:val="21"/>
                <w:highlight w:val="none"/>
                <w:u w:val="single"/>
              </w:rPr>
              <w:t>验收监测计划一览表</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371"/>
              <w:gridCol w:w="1322"/>
              <w:gridCol w:w="3462"/>
            </w:tblGrid>
            <w:tr w14:paraId="609F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14:paraId="64D068BE">
                  <w:pPr>
                    <w:spacing w:line="240" w:lineRule="auto"/>
                    <w:ind w:firstLine="0" w:firstLineChars="0"/>
                    <w:jc w:val="center"/>
                    <w:rPr>
                      <w:rFonts w:hint="eastAsia"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类别</w:t>
                  </w:r>
                </w:p>
              </w:tc>
              <w:tc>
                <w:tcPr>
                  <w:tcW w:w="2371" w:type="dxa"/>
                  <w:vAlign w:val="center"/>
                </w:tcPr>
                <w:p w14:paraId="3AE6CC32">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监测点位置</w:t>
                  </w:r>
                </w:p>
              </w:tc>
              <w:tc>
                <w:tcPr>
                  <w:tcW w:w="1322" w:type="dxa"/>
                  <w:vAlign w:val="center"/>
                </w:tcPr>
                <w:p w14:paraId="77D4ED82">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监测项目</w:t>
                  </w:r>
                </w:p>
              </w:tc>
              <w:tc>
                <w:tcPr>
                  <w:tcW w:w="3462" w:type="dxa"/>
                  <w:vAlign w:val="center"/>
                </w:tcPr>
                <w:p w14:paraId="69529FC0">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执行标准</w:t>
                  </w:r>
                </w:p>
              </w:tc>
            </w:tr>
            <w:tr w14:paraId="64EF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4340B609">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废气</w:t>
                  </w:r>
                </w:p>
              </w:tc>
              <w:tc>
                <w:tcPr>
                  <w:tcW w:w="2371" w:type="dxa"/>
                  <w:vAlign w:val="center"/>
                </w:tcPr>
                <w:p w14:paraId="0825457C">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厂界下风向</w:t>
                  </w:r>
                </w:p>
              </w:tc>
              <w:tc>
                <w:tcPr>
                  <w:tcW w:w="1322" w:type="dxa"/>
                  <w:vAlign w:val="center"/>
                </w:tcPr>
                <w:p w14:paraId="0A34FD08">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TSP</w:t>
                  </w:r>
                </w:p>
              </w:tc>
              <w:tc>
                <w:tcPr>
                  <w:tcW w:w="3462" w:type="dxa"/>
                  <w:vAlign w:val="center"/>
                </w:tcPr>
                <w:p w14:paraId="6F253D6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《大气污染物综合排放标准》（GB16297-1996）表2中无组织排放监控浓度限值标准</w:t>
                  </w:r>
                </w:p>
              </w:tc>
            </w:tr>
            <w:tr w14:paraId="573D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6D501253">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废气</w:t>
                  </w:r>
                </w:p>
              </w:tc>
              <w:tc>
                <w:tcPr>
                  <w:tcW w:w="2371" w:type="dxa"/>
                  <w:vAlign w:val="center"/>
                </w:tcPr>
                <w:p w14:paraId="2B3D0320">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工业场地排气筒DA001</w:t>
                  </w:r>
                </w:p>
              </w:tc>
              <w:tc>
                <w:tcPr>
                  <w:tcW w:w="1322" w:type="dxa"/>
                  <w:vAlign w:val="center"/>
                </w:tcPr>
                <w:p w14:paraId="7D15BFA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TSP</w:t>
                  </w:r>
                </w:p>
              </w:tc>
              <w:tc>
                <w:tcPr>
                  <w:tcW w:w="3462" w:type="dxa"/>
                  <w:vAlign w:val="center"/>
                </w:tcPr>
                <w:p w14:paraId="1BFC38C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《大气污染物综合排放标准》</w:t>
                  </w:r>
                </w:p>
                <w:p w14:paraId="59A45D0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（GB16297-1996）表2中二级标准</w:t>
                  </w:r>
                </w:p>
              </w:tc>
            </w:tr>
            <w:tr w14:paraId="51DC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626EC85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噪声</w:t>
                  </w:r>
                </w:p>
              </w:tc>
              <w:tc>
                <w:tcPr>
                  <w:tcW w:w="2371" w:type="dxa"/>
                  <w:vAlign w:val="center"/>
                </w:tcPr>
                <w:p w14:paraId="55D86F9A">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厂界外1m，厂界东、南、西、北侧各一个点</w:t>
                  </w:r>
                  <w:r>
                    <w:rPr>
                      <w:rFonts w:hint="eastAsia" w:cs="Times New Roman"/>
                      <w:color w:val="auto"/>
                      <w:sz w:val="21"/>
                      <w:szCs w:val="21"/>
                      <w:highlight w:val="none"/>
                      <w:u w:val="single"/>
                      <w:lang w:eastAsia="zh-CN"/>
                    </w:rPr>
                    <w:t>，</w:t>
                  </w:r>
                </w:p>
              </w:tc>
              <w:tc>
                <w:tcPr>
                  <w:tcW w:w="1322" w:type="dxa"/>
                  <w:vAlign w:val="center"/>
                </w:tcPr>
                <w:p w14:paraId="5095300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等效连续 A 声级</w:t>
                  </w:r>
                </w:p>
              </w:tc>
              <w:tc>
                <w:tcPr>
                  <w:tcW w:w="3462" w:type="dxa"/>
                  <w:vAlign w:val="center"/>
                </w:tcPr>
                <w:p w14:paraId="64855E6E">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rPr>
                    <w:t>《工业企业厂界环境噪声排放标准》（GB12348-2008）2类标准</w:t>
                  </w:r>
                  <w:r>
                    <w:rPr>
                      <w:rFonts w:hint="eastAsia" w:cs="Times New Roman"/>
                      <w:color w:val="auto"/>
                      <w:sz w:val="21"/>
                      <w:szCs w:val="21"/>
                      <w:highlight w:val="none"/>
                      <w:u w:val="single"/>
                      <w:lang w:eastAsia="zh-CN"/>
                    </w:rPr>
                    <w:t>、</w:t>
                  </w:r>
                </w:p>
              </w:tc>
            </w:tr>
            <w:tr w14:paraId="7D02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21E2FEC4">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生态</w:t>
                  </w:r>
                </w:p>
              </w:tc>
              <w:tc>
                <w:tcPr>
                  <w:tcW w:w="2371" w:type="dxa"/>
                  <w:vAlign w:val="center"/>
                </w:tcPr>
                <w:p w14:paraId="2B08D16F">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1322" w:type="dxa"/>
                  <w:vAlign w:val="center"/>
                </w:tcPr>
                <w:p w14:paraId="0FD11A55">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3462" w:type="dxa"/>
                  <w:vAlign w:val="center"/>
                </w:tcPr>
                <w:p w14:paraId="3FC07AE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满足生态修复方案要求</w:t>
                  </w:r>
                </w:p>
              </w:tc>
            </w:tr>
          </w:tbl>
          <w:p w14:paraId="079E8A75">
            <w:pPr>
              <w:ind w:firstLine="480"/>
              <w:jc w:val="center"/>
              <w:rPr>
                <w:rFonts w:hint="default" w:ascii="Times New Roman" w:hAnsi="Times New Roman" w:cs="Times New Roman"/>
                <w:color w:val="auto"/>
                <w:highlight w:val="none"/>
                <w:u w:val="none"/>
              </w:rPr>
            </w:pPr>
          </w:p>
        </w:tc>
      </w:tr>
      <w:tr w14:paraId="2790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FEE27C2">
            <w:pPr>
              <w:spacing w:line="276" w:lineRule="auto"/>
              <w:ind w:firstLine="0" w:firstLineChars="0"/>
              <w:jc w:val="center"/>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环保</w:t>
            </w:r>
          </w:p>
          <w:p w14:paraId="34C5AF23">
            <w:pPr>
              <w:spacing w:line="276" w:lineRule="auto"/>
              <w:ind w:firstLine="0" w:firstLineChars="0"/>
              <w:jc w:val="center"/>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投资</w:t>
            </w:r>
          </w:p>
        </w:tc>
        <w:tc>
          <w:tcPr>
            <w:tcW w:w="8101" w:type="dxa"/>
          </w:tcPr>
          <w:p w14:paraId="17B3FEAB">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本项目总投资</w:t>
            </w:r>
            <w:r>
              <w:rPr>
                <w:rFonts w:hint="eastAsia" w:cs="Times New Roman"/>
                <w:color w:val="auto"/>
                <w:highlight w:val="none"/>
                <w:u w:val="none"/>
                <w:lang w:val="en-US" w:eastAsia="zh-CN"/>
              </w:rPr>
              <w:t>15450.7</w:t>
            </w:r>
            <w:r>
              <w:rPr>
                <w:rFonts w:hint="default" w:ascii="Times New Roman" w:hAnsi="Times New Roman" w:cs="Times New Roman"/>
                <w:color w:val="auto"/>
                <w:highlight w:val="none"/>
                <w:u w:val="none"/>
              </w:rPr>
              <w:t>万元，环保投资</w:t>
            </w:r>
            <w:r>
              <w:rPr>
                <w:rFonts w:hint="eastAsia" w:cs="Times New Roman"/>
                <w:color w:val="auto"/>
                <w:highlight w:val="none"/>
                <w:u w:val="none"/>
                <w:lang w:val="en-US" w:eastAsia="zh-CN"/>
              </w:rPr>
              <w:t>986.32</w:t>
            </w:r>
            <w:r>
              <w:rPr>
                <w:rFonts w:hint="default" w:ascii="Times New Roman" w:hAnsi="Times New Roman" w:cs="Times New Roman"/>
                <w:color w:val="auto"/>
                <w:highlight w:val="none"/>
                <w:u w:val="none"/>
              </w:rPr>
              <w:t>万元，占项目总投资的</w:t>
            </w:r>
            <w:r>
              <w:rPr>
                <w:rFonts w:hint="eastAsia" w:cs="Times New Roman"/>
                <w:color w:val="auto"/>
                <w:highlight w:val="none"/>
                <w:u w:val="none"/>
                <w:lang w:val="en-US" w:eastAsia="zh-CN"/>
              </w:rPr>
              <w:t>6.38</w:t>
            </w:r>
            <w:r>
              <w:rPr>
                <w:rFonts w:hint="default" w:ascii="Times New Roman" w:hAnsi="Times New Roman" w:cs="Times New Roman"/>
                <w:color w:val="auto"/>
                <w:highlight w:val="none"/>
                <w:u w:val="none"/>
              </w:rPr>
              <w:t>%，环保投资估算见下表。</w:t>
            </w:r>
          </w:p>
          <w:p w14:paraId="46A54E49">
            <w:pPr>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表5-</w:t>
            </w:r>
            <w:r>
              <w:rPr>
                <w:rFonts w:hint="eastAsia" w:cs="Times New Roman"/>
                <w:b/>
                <w:bCs/>
                <w:color w:val="auto"/>
                <w:sz w:val="21"/>
                <w:szCs w:val="21"/>
                <w:highlight w:val="none"/>
                <w:u w:val="none"/>
                <w:lang w:val="en-US" w:eastAsia="zh-CN"/>
              </w:rPr>
              <w:t>11</w:t>
            </w:r>
            <w:r>
              <w:rPr>
                <w:rFonts w:hint="default" w:ascii="Times New Roman" w:hAnsi="Times New Roman" w:cs="Times New Roman"/>
                <w:b/>
                <w:bCs/>
                <w:color w:val="auto"/>
                <w:sz w:val="21"/>
                <w:szCs w:val="21"/>
                <w:highlight w:val="none"/>
                <w:u w:val="none"/>
              </w:rPr>
              <w:t xml:space="preserve">  环保投资一览表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944"/>
              <w:gridCol w:w="3584"/>
              <w:gridCol w:w="1463"/>
            </w:tblGrid>
            <w:tr w14:paraId="3BEC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Align w:val="center"/>
                </w:tcPr>
                <w:p w14:paraId="4D48D955">
                  <w:pPr>
                    <w:spacing w:line="276"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类别</w:t>
                  </w:r>
                </w:p>
              </w:tc>
              <w:tc>
                <w:tcPr>
                  <w:tcW w:w="1944" w:type="dxa"/>
                  <w:vAlign w:val="center"/>
                </w:tcPr>
                <w:p w14:paraId="443C8454">
                  <w:pPr>
                    <w:spacing w:line="276"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污染源</w:t>
                  </w:r>
                </w:p>
              </w:tc>
              <w:tc>
                <w:tcPr>
                  <w:tcW w:w="3584" w:type="dxa"/>
                  <w:vAlign w:val="center"/>
                </w:tcPr>
                <w:p w14:paraId="72E75D3D">
                  <w:pPr>
                    <w:spacing w:line="276"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环保措施</w:t>
                  </w:r>
                </w:p>
              </w:tc>
              <w:tc>
                <w:tcPr>
                  <w:tcW w:w="1463" w:type="dxa"/>
                  <w:vAlign w:val="center"/>
                </w:tcPr>
                <w:p w14:paraId="2A5A0651">
                  <w:pPr>
                    <w:spacing w:line="276"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费用（万元）</w:t>
                  </w:r>
                </w:p>
              </w:tc>
            </w:tr>
            <w:tr w14:paraId="19F9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restart"/>
                  <w:vAlign w:val="center"/>
                </w:tcPr>
                <w:p w14:paraId="02396ED3">
                  <w:pPr>
                    <w:spacing w:line="276"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废气</w:t>
                  </w:r>
                </w:p>
              </w:tc>
              <w:tc>
                <w:tcPr>
                  <w:tcW w:w="1944" w:type="dxa"/>
                  <w:vAlign w:val="center"/>
                </w:tcPr>
                <w:p w14:paraId="07107CB5">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采区</w:t>
                  </w:r>
                </w:p>
              </w:tc>
              <w:tc>
                <w:tcPr>
                  <w:tcW w:w="3584" w:type="dxa"/>
                  <w:vAlign w:val="center"/>
                </w:tcPr>
                <w:p w14:paraId="184D0744">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洒水降尘</w:t>
                  </w:r>
                </w:p>
              </w:tc>
              <w:tc>
                <w:tcPr>
                  <w:tcW w:w="1463" w:type="dxa"/>
                  <w:vAlign w:val="center"/>
                </w:tcPr>
                <w:p w14:paraId="1C526266">
                  <w:pPr>
                    <w:spacing w:line="320" w:lineRule="exact"/>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2</w:t>
                  </w:r>
                </w:p>
              </w:tc>
            </w:tr>
            <w:tr w14:paraId="0BAA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757ED934">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3E3AE2B5">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运输道路</w:t>
                  </w:r>
                </w:p>
              </w:tc>
              <w:tc>
                <w:tcPr>
                  <w:tcW w:w="3584" w:type="dxa"/>
                  <w:vAlign w:val="center"/>
                </w:tcPr>
                <w:p w14:paraId="2C981FA2">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限速、洒水降尘</w:t>
                  </w:r>
                </w:p>
              </w:tc>
              <w:tc>
                <w:tcPr>
                  <w:tcW w:w="1463" w:type="dxa"/>
                  <w:vAlign w:val="center"/>
                </w:tcPr>
                <w:p w14:paraId="2EC1399C">
                  <w:pPr>
                    <w:spacing w:line="320" w:lineRule="exact"/>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2</w:t>
                  </w:r>
                </w:p>
              </w:tc>
            </w:tr>
            <w:tr w14:paraId="2E91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557E5299">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2E8C5F87">
                  <w:pPr>
                    <w:spacing w:line="320" w:lineRule="exact"/>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排土场</w:t>
                  </w:r>
                </w:p>
              </w:tc>
              <w:tc>
                <w:tcPr>
                  <w:tcW w:w="3584" w:type="dxa"/>
                  <w:vAlign w:val="center"/>
                </w:tcPr>
                <w:p w14:paraId="5F4ED843">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覆盖防尘布，设置挡土墙，洒水降尘</w:t>
                  </w:r>
                </w:p>
              </w:tc>
              <w:tc>
                <w:tcPr>
                  <w:tcW w:w="1463" w:type="dxa"/>
                  <w:vAlign w:val="center"/>
                </w:tcPr>
                <w:p w14:paraId="1211B136">
                  <w:pPr>
                    <w:spacing w:line="320" w:lineRule="exact"/>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2</w:t>
                  </w:r>
                </w:p>
              </w:tc>
            </w:tr>
            <w:tr w14:paraId="394C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25A8884B">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6823CE61">
                  <w:pPr>
                    <w:spacing w:line="320" w:lineRule="exact"/>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工业场地</w:t>
                  </w:r>
                </w:p>
              </w:tc>
              <w:tc>
                <w:tcPr>
                  <w:tcW w:w="3584" w:type="dxa"/>
                  <w:vAlign w:val="center"/>
                </w:tcPr>
                <w:p w14:paraId="119C9161">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密闭车间、雾炮洒水降尘、集气罩+</w:t>
                  </w:r>
                  <w:r>
                    <w:rPr>
                      <w:rFonts w:hint="default" w:ascii="Times New Roman" w:hAnsi="Times New Roman" w:cs="Times New Roman"/>
                      <w:color w:val="auto"/>
                      <w:sz w:val="21"/>
                      <w:szCs w:val="21"/>
                      <w:highlight w:val="none"/>
                      <w:u w:val="none"/>
                    </w:rPr>
                    <w:t>布袋除尘</w:t>
                  </w:r>
                  <w:r>
                    <w:rPr>
                      <w:rFonts w:hint="eastAsia" w:cs="Times New Roman"/>
                      <w:color w:val="auto"/>
                      <w:sz w:val="21"/>
                      <w:szCs w:val="21"/>
                      <w:highlight w:val="none"/>
                      <w:u w:val="none"/>
                      <w:lang w:val="en-US" w:eastAsia="zh-CN"/>
                    </w:rPr>
                    <w:t>器+</w:t>
                  </w:r>
                  <w:r>
                    <w:rPr>
                      <w:rFonts w:hint="default" w:ascii="Times New Roman" w:hAnsi="Times New Roman" w:cs="Times New Roman"/>
                      <w:color w:val="auto"/>
                      <w:sz w:val="21"/>
                      <w:szCs w:val="21"/>
                      <w:highlight w:val="none"/>
                      <w:u w:val="none"/>
                    </w:rPr>
                    <w:t>15m高的排气筒</w:t>
                  </w:r>
                </w:p>
              </w:tc>
              <w:tc>
                <w:tcPr>
                  <w:tcW w:w="1463" w:type="dxa"/>
                  <w:vAlign w:val="center"/>
                </w:tcPr>
                <w:p w14:paraId="5889F971">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40</w:t>
                  </w:r>
                </w:p>
              </w:tc>
            </w:tr>
            <w:tr w14:paraId="36DA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restart"/>
                  <w:vAlign w:val="center"/>
                </w:tcPr>
                <w:p w14:paraId="322CA0DE">
                  <w:pPr>
                    <w:spacing w:line="276"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废水</w:t>
                  </w:r>
                </w:p>
              </w:tc>
              <w:tc>
                <w:tcPr>
                  <w:tcW w:w="1944" w:type="dxa"/>
                  <w:vAlign w:val="center"/>
                </w:tcPr>
                <w:p w14:paraId="694A5243">
                  <w:pPr>
                    <w:spacing w:line="320" w:lineRule="exact"/>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矿区</w:t>
                  </w:r>
                  <w:r>
                    <w:rPr>
                      <w:rFonts w:hint="default" w:ascii="Times New Roman" w:hAnsi="Times New Roman" w:cs="Times New Roman"/>
                      <w:color w:val="auto"/>
                      <w:sz w:val="21"/>
                      <w:szCs w:val="21"/>
                      <w:highlight w:val="none"/>
                      <w:u w:val="none"/>
                    </w:rPr>
                    <w:t>雨水</w:t>
                  </w:r>
                </w:p>
              </w:tc>
              <w:tc>
                <w:tcPr>
                  <w:tcW w:w="3584" w:type="dxa"/>
                  <w:vAlign w:val="center"/>
                </w:tcPr>
                <w:p w14:paraId="71CF78F4">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采区设置截排水沟</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沉淀池</w:t>
                  </w:r>
                </w:p>
              </w:tc>
              <w:tc>
                <w:tcPr>
                  <w:tcW w:w="1463" w:type="dxa"/>
                  <w:vAlign w:val="center"/>
                </w:tcPr>
                <w:p w14:paraId="16648F25">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25</w:t>
                  </w:r>
                </w:p>
              </w:tc>
            </w:tr>
            <w:tr w14:paraId="6DA1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68A47A95">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76D02D70">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工业场地雨水</w:t>
                  </w:r>
                </w:p>
              </w:tc>
              <w:tc>
                <w:tcPr>
                  <w:tcW w:w="3584" w:type="dxa"/>
                  <w:vAlign w:val="center"/>
                </w:tcPr>
                <w:p w14:paraId="3EA803D4">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沉淀池</w:t>
                  </w:r>
                </w:p>
              </w:tc>
              <w:tc>
                <w:tcPr>
                  <w:tcW w:w="1463" w:type="dxa"/>
                  <w:vAlign w:val="center"/>
                </w:tcPr>
                <w:p w14:paraId="349233D8">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w:t>
                  </w:r>
                </w:p>
              </w:tc>
            </w:tr>
            <w:tr w14:paraId="7516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782D6A84">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577CB911">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车辆冲洗废水</w:t>
                  </w:r>
                </w:p>
              </w:tc>
              <w:tc>
                <w:tcPr>
                  <w:tcW w:w="3584" w:type="dxa"/>
                  <w:vAlign w:val="center"/>
                </w:tcPr>
                <w:p w14:paraId="42443F5C">
                  <w:pPr>
                    <w:spacing w:line="320" w:lineRule="exact"/>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沉淀池</w:t>
                  </w:r>
                </w:p>
              </w:tc>
              <w:tc>
                <w:tcPr>
                  <w:tcW w:w="1463" w:type="dxa"/>
                  <w:vAlign w:val="center"/>
                </w:tcPr>
                <w:p w14:paraId="54E3B45A">
                  <w:pPr>
                    <w:spacing w:line="320" w:lineRule="exact"/>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w:t>
                  </w:r>
                </w:p>
              </w:tc>
            </w:tr>
            <w:tr w14:paraId="550E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3A9B626A">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209B2749">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生活废水</w:t>
                  </w:r>
                </w:p>
              </w:tc>
              <w:tc>
                <w:tcPr>
                  <w:tcW w:w="3584" w:type="dxa"/>
                  <w:vAlign w:val="center"/>
                </w:tcPr>
                <w:p w14:paraId="58FB0579">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化粪池</w:t>
                  </w:r>
                </w:p>
              </w:tc>
              <w:tc>
                <w:tcPr>
                  <w:tcW w:w="1463" w:type="dxa"/>
                  <w:vAlign w:val="center"/>
                </w:tcPr>
                <w:p w14:paraId="1A838057">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依托现有</w:t>
                  </w:r>
                </w:p>
              </w:tc>
            </w:tr>
            <w:tr w14:paraId="5140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Align w:val="center"/>
                </w:tcPr>
                <w:p w14:paraId="18CBF261">
                  <w:pPr>
                    <w:spacing w:line="276"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噪声</w:t>
                  </w:r>
                </w:p>
              </w:tc>
              <w:tc>
                <w:tcPr>
                  <w:tcW w:w="1944" w:type="dxa"/>
                  <w:vAlign w:val="center"/>
                </w:tcPr>
                <w:p w14:paraId="006B8AF0">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机械、运输</w:t>
                  </w:r>
                </w:p>
              </w:tc>
              <w:tc>
                <w:tcPr>
                  <w:tcW w:w="3584" w:type="dxa"/>
                  <w:vAlign w:val="center"/>
                </w:tcPr>
                <w:p w14:paraId="6B175526">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选用低噪声设备，定期保养</w:t>
                  </w:r>
                </w:p>
              </w:tc>
              <w:tc>
                <w:tcPr>
                  <w:tcW w:w="1463" w:type="dxa"/>
                  <w:vAlign w:val="center"/>
                </w:tcPr>
                <w:p w14:paraId="7118D220">
                  <w:pPr>
                    <w:spacing w:line="320" w:lineRule="exact"/>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5</w:t>
                  </w:r>
                </w:p>
              </w:tc>
            </w:tr>
            <w:tr w14:paraId="5DDA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79" w:type="dxa"/>
                  <w:vAlign w:val="center"/>
                </w:tcPr>
                <w:p w14:paraId="13072684">
                  <w:pPr>
                    <w:spacing w:line="276"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固废</w:t>
                  </w:r>
                </w:p>
              </w:tc>
              <w:tc>
                <w:tcPr>
                  <w:tcW w:w="1944" w:type="dxa"/>
                  <w:vAlign w:val="center"/>
                </w:tcPr>
                <w:p w14:paraId="409E5D9C">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废机油</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含油废抹布手套</w:t>
                  </w:r>
                </w:p>
              </w:tc>
              <w:tc>
                <w:tcPr>
                  <w:tcW w:w="3584" w:type="dxa"/>
                  <w:vAlign w:val="center"/>
                </w:tcPr>
                <w:p w14:paraId="14FF4487">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修建危废暂存间（5m</w:t>
                  </w:r>
                  <w:r>
                    <w:rPr>
                      <w:rFonts w:hint="eastAsia" w:cs="Times New Roman"/>
                      <w:color w:val="auto"/>
                      <w:sz w:val="21"/>
                      <w:szCs w:val="21"/>
                      <w:highlight w:val="none"/>
                      <w:u w:val="none"/>
                      <w:vertAlign w:val="superscript"/>
                      <w:lang w:val="en-US" w:eastAsia="zh-CN"/>
                    </w:rPr>
                    <w:t>2</w:t>
                  </w:r>
                  <w:r>
                    <w:rPr>
                      <w:rFonts w:hint="eastAsia"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u w:val="none"/>
                    </w:rPr>
                    <w:t>，定期委托有资质单位处置</w:t>
                  </w:r>
                </w:p>
              </w:tc>
              <w:tc>
                <w:tcPr>
                  <w:tcW w:w="1463" w:type="dxa"/>
                  <w:vAlign w:val="center"/>
                </w:tcPr>
                <w:p w14:paraId="066FC9C0">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w:t>
                  </w:r>
                </w:p>
              </w:tc>
            </w:tr>
            <w:tr w14:paraId="745D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79" w:type="dxa"/>
                  <w:vAlign w:val="center"/>
                </w:tcPr>
                <w:p w14:paraId="550D5185">
                  <w:pPr>
                    <w:spacing w:line="276"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环境风险</w:t>
                  </w:r>
                </w:p>
              </w:tc>
              <w:tc>
                <w:tcPr>
                  <w:tcW w:w="1944" w:type="dxa"/>
                  <w:vAlign w:val="center"/>
                </w:tcPr>
                <w:p w14:paraId="23F63C5E">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柴油储罐、危废暂存间</w:t>
                  </w:r>
                </w:p>
              </w:tc>
              <w:tc>
                <w:tcPr>
                  <w:tcW w:w="3584" w:type="dxa"/>
                  <w:vAlign w:val="center"/>
                </w:tcPr>
                <w:p w14:paraId="58014568">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应急物资</w:t>
                  </w:r>
                </w:p>
              </w:tc>
              <w:tc>
                <w:tcPr>
                  <w:tcW w:w="1463" w:type="dxa"/>
                  <w:vAlign w:val="center"/>
                </w:tcPr>
                <w:p w14:paraId="07068F63">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w:t>
                  </w:r>
                </w:p>
              </w:tc>
            </w:tr>
            <w:tr w14:paraId="3B32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3" w:type="dxa"/>
                  <w:gridSpan w:val="2"/>
                  <w:vAlign w:val="center"/>
                </w:tcPr>
                <w:p w14:paraId="580BEAAF">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生态</w:t>
                  </w:r>
                </w:p>
              </w:tc>
              <w:tc>
                <w:tcPr>
                  <w:tcW w:w="3584" w:type="dxa"/>
                  <w:vAlign w:val="center"/>
                </w:tcPr>
                <w:p w14:paraId="7EE7E03A">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生态修复</w:t>
                  </w:r>
                </w:p>
              </w:tc>
              <w:tc>
                <w:tcPr>
                  <w:tcW w:w="1463" w:type="dxa"/>
                  <w:vAlign w:val="center"/>
                </w:tcPr>
                <w:p w14:paraId="1184DE1B">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899.32</w:t>
                  </w:r>
                </w:p>
              </w:tc>
            </w:tr>
            <w:tr w14:paraId="2B65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7" w:type="dxa"/>
                  <w:gridSpan w:val="3"/>
                  <w:vAlign w:val="center"/>
                </w:tcPr>
                <w:p w14:paraId="3B411892">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合计</w:t>
                  </w:r>
                </w:p>
              </w:tc>
              <w:tc>
                <w:tcPr>
                  <w:tcW w:w="1463" w:type="dxa"/>
                  <w:vAlign w:val="center"/>
                </w:tcPr>
                <w:p w14:paraId="39D31AD8">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986.32</w:t>
                  </w:r>
                </w:p>
              </w:tc>
            </w:tr>
          </w:tbl>
          <w:p w14:paraId="3220DC1F">
            <w:pPr>
              <w:ind w:left="0" w:leftChars="0" w:firstLine="0" w:firstLineChars="0"/>
              <w:rPr>
                <w:rFonts w:hint="default" w:ascii="Times New Roman" w:hAnsi="Times New Roman" w:cs="Times New Roman"/>
                <w:color w:val="auto"/>
                <w:highlight w:val="none"/>
              </w:rPr>
            </w:pPr>
          </w:p>
        </w:tc>
      </w:tr>
    </w:tbl>
    <w:p w14:paraId="347082CA">
      <w:pPr>
        <w:ind w:firstLine="480"/>
        <w:rPr>
          <w:rFonts w:hint="default" w:ascii="Times New Roman" w:hAnsi="Times New Roman" w:cs="Times New Roman"/>
          <w:color w:val="auto"/>
          <w:highlight w:val="none"/>
        </w:rPr>
        <w:sectPr>
          <w:pgSz w:w="11906" w:h="16838"/>
          <w:pgMar w:top="1701" w:right="1531" w:bottom="1701" w:left="1531"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6EE3D0B6">
      <w:pPr>
        <w:pStyle w:val="2"/>
        <w:jc w:val="center"/>
        <w:rPr>
          <w:rFonts w:hint="eastAsia" w:ascii="Times New Roman" w:hAnsi="Times New Roman" w:eastAsia="黑体" w:cs="Times New Roman"/>
          <w:b w:val="0"/>
          <w:bCs w:val="0"/>
          <w:color w:val="auto"/>
          <w:sz w:val="30"/>
          <w:szCs w:val="30"/>
          <w:highlight w:val="none"/>
          <w:u w:val="none"/>
          <w:lang w:eastAsia="zh-CN"/>
        </w:rPr>
      </w:pPr>
      <w:bookmarkStart w:id="7" w:name="_Toc30663"/>
      <w:r>
        <w:rPr>
          <w:rFonts w:hint="default" w:ascii="Times New Roman" w:hAnsi="Times New Roman" w:eastAsia="黑体" w:cs="Times New Roman"/>
          <w:b w:val="0"/>
          <w:bCs w:val="0"/>
          <w:color w:val="auto"/>
          <w:sz w:val="30"/>
          <w:szCs w:val="30"/>
          <w:highlight w:val="none"/>
          <w:u w:val="none"/>
        </w:rPr>
        <w:t>六、生态环境保护措施监督检查清单</w:t>
      </w:r>
      <w:bookmarkEnd w:id="7"/>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739"/>
        <w:gridCol w:w="1619"/>
        <w:gridCol w:w="1440"/>
        <w:gridCol w:w="2845"/>
        <w:gridCol w:w="1916"/>
      </w:tblGrid>
      <w:tr w14:paraId="3231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40" w:type="dxa"/>
            <w:gridSpan w:val="2"/>
            <w:vMerge w:val="restart"/>
            <w:tcBorders>
              <w:tl2br w:val="single" w:color="auto" w:sz="4" w:space="0"/>
            </w:tcBorders>
          </w:tcPr>
          <w:p w14:paraId="2E5037FC">
            <w:pPr>
              <w:spacing w:line="240" w:lineRule="auto"/>
              <w:ind w:firstLine="0" w:firstLineChars="0"/>
              <w:jc w:val="right"/>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内容</w:t>
            </w:r>
          </w:p>
          <w:p w14:paraId="50A5D8FE">
            <w:pPr>
              <w:spacing w:line="240" w:lineRule="auto"/>
              <w:ind w:firstLine="0" w:firstLineChars="0"/>
              <w:rPr>
                <w:rFonts w:hint="default" w:ascii="Times New Roman" w:hAnsi="Times New Roman" w:cs="Times New Roman"/>
                <w:color w:val="auto"/>
                <w:sz w:val="21"/>
                <w:szCs w:val="21"/>
                <w:highlight w:val="none"/>
                <w:u w:val="single"/>
              </w:rPr>
            </w:pPr>
          </w:p>
          <w:p w14:paraId="3896D564">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要素</w:t>
            </w:r>
          </w:p>
        </w:tc>
        <w:tc>
          <w:tcPr>
            <w:tcW w:w="3059" w:type="dxa"/>
            <w:gridSpan w:val="2"/>
            <w:vAlign w:val="center"/>
          </w:tcPr>
          <w:p w14:paraId="2836B34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施工期</w:t>
            </w:r>
          </w:p>
        </w:tc>
        <w:tc>
          <w:tcPr>
            <w:tcW w:w="4761" w:type="dxa"/>
            <w:gridSpan w:val="2"/>
            <w:vAlign w:val="center"/>
          </w:tcPr>
          <w:p w14:paraId="3D3C977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运营期</w:t>
            </w:r>
          </w:p>
        </w:tc>
      </w:tr>
      <w:tr w14:paraId="5255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40" w:type="dxa"/>
            <w:gridSpan w:val="2"/>
            <w:vMerge w:val="continue"/>
            <w:tcBorders>
              <w:tl2br w:val="single" w:color="auto" w:sz="4" w:space="0"/>
            </w:tcBorders>
          </w:tcPr>
          <w:p w14:paraId="2E903576">
            <w:pPr>
              <w:spacing w:line="240" w:lineRule="auto"/>
              <w:ind w:firstLine="0" w:firstLineChars="0"/>
              <w:jc w:val="right"/>
              <w:rPr>
                <w:rFonts w:hint="default" w:ascii="Times New Roman" w:hAnsi="Times New Roman" w:cs="Times New Roman"/>
                <w:color w:val="auto"/>
                <w:sz w:val="21"/>
                <w:szCs w:val="21"/>
                <w:highlight w:val="none"/>
                <w:u w:val="single"/>
              </w:rPr>
            </w:pPr>
          </w:p>
        </w:tc>
        <w:tc>
          <w:tcPr>
            <w:tcW w:w="1619" w:type="dxa"/>
            <w:vAlign w:val="center"/>
          </w:tcPr>
          <w:p w14:paraId="21ED9D8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环境保护措施</w:t>
            </w:r>
          </w:p>
        </w:tc>
        <w:tc>
          <w:tcPr>
            <w:tcW w:w="1440" w:type="dxa"/>
            <w:vAlign w:val="center"/>
          </w:tcPr>
          <w:p w14:paraId="4428D47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验收要求</w:t>
            </w:r>
          </w:p>
        </w:tc>
        <w:tc>
          <w:tcPr>
            <w:tcW w:w="2845" w:type="dxa"/>
            <w:vAlign w:val="center"/>
          </w:tcPr>
          <w:p w14:paraId="60A5161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环境保护措施</w:t>
            </w:r>
          </w:p>
        </w:tc>
        <w:tc>
          <w:tcPr>
            <w:tcW w:w="1916" w:type="dxa"/>
            <w:vAlign w:val="center"/>
          </w:tcPr>
          <w:p w14:paraId="286FB50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验收要求</w:t>
            </w:r>
          </w:p>
        </w:tc>
      </w:tr>
      <w:tr w14:paraId="29C8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restart"/>
            <w:vAlign w:val="center"/>
          </w:tcPr>
          <w:p w14:paraId="31906EE1">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矿区</w:t>
            </w:r>
          </w:p>
        </w:tc>
        <w:tc>
          <w:tcPr>
            <w:tcW w:w="739" w:type="dxa"/>
            <w:vAlign w:val="center"/>
          </w:tcPr>
          <w:p w14:paraId="4B6EF5C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陆生生态</w:t>
            </w:r>
          </w:p>
        </w:tc>
        <w:tc>
          <w:tcPr>
            <w:tcW w:w="1619" w:type="dxa"/>
            <w:vAlign w:val="center"/>
          </w:tcPr>
          <w:p w14:paraId="73AF11B6">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减少占地；表土剥离妥善保存；严格控制施工范围，合理安排施工进度。</w:t>
            </w:r>
          </w:p>
          <w:p w14:paraId="3905A4C1">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p>
        </w:tc>
        <w:tc>
          <w:tcPr>
            <w:tcW w:w="1440" w:type="dxa"/>
            <w:vAlign w:val="center"/>
          </w:tcPr>
          <w:p w14:paraId="30184DBD">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不得扩大施工范围；有效防止水土流失；满足生态修复方案要求</w:t>
            </w:r>
          </w:p>
        </w:tc>
        <w:tc>
          <w:tcPr>
            <w:tcW w:w="2845" w:type="dxa"/>
            <w:vAlign w:val="center"/>
          </w:tcPr>
          <w:p w14:paraId="1E30E15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制定矿山开采的生态环境保护措施，贯彻“边开采、边保护”的原则；落实水土保持措施，设置警示牌，按采矿区范围采矿，不得越界开采，剥离的土壤应单独堆存用于后期矿山复垦，并做好水土保持工作。</w:t>
            </w:r>
            <w:r>
              <w:rPr>
                <w:rFonts w:hint="eastAsia" w:cs="Times New Roman"/>
                <w:color w:val="auto"/>
                <w:sz w:val="21"/>
                <w:szCs w:val="21"/>
                <w:highlight w:val="none"/>
                <w:u w:val="single"/>
                <w:lang w:eastAsia="zh-CN"/>
              </w:rPr>
              <w:t>排土场</w:t>
            </w:r>
            <w:r>
              <w:rPr>
                <w:rFonts w:hint="default" w:ascii="Times New Roman" w:hAnsi="Times New Roman" w:cs="Times New Roman"/>
                <w:color w:val="auto"/>
                <w:sz w:val="21"/>
                <w:szCs w:val="21"/>
                <w:highlight w:val="none"/>
                <w:u w:val="single"/>
              </w:rPr>
              <w:t>应及时进行生态恢复，</w:t>
            </w:r>
            <w:r>
              <w:rPr>
                <w:rFonts w:hint="eastAsia" w:cs="Times New Roman"/>
                <w:color w:val="auto"/>
                <w:sz w:val="21"/>
                <w:szCs w:val="21"/>
                <w:highlight w:val="none"/>
                <w:u w:val="single"/>
                <w:lang w:eastAsia="zh-CN"/>
              </w:rPr>
              <w:t>排土场</w:t>
            </w:r>
            <w:r>
              <w:rPr>
                <w:rFonts w:hint="default" w:ascii="Times New Roman" w:hAnsi="Times New Roman" w:cs="Times New Roman"/>
                <w:color w:val="auto"/>
                <w:sz w:val="21"/>
                <w:szCs w:val="21"/>
                <w:highlight w:val="none"/>
                <w:u w:val="single"/>
              </w:rPr>
              <w:t>设置挡土墙，四周设置截洪沟</w:t>
            </w:r>
          </w:p>
        </w:tc>
        <w:tc>
          <w:tcPr>
            <w:tcW w:w="1916" w:type="dxa"/>
            <w:vAlign w:val="center"/>
          </w:tcPr>
          <w:p w14:paraId="174121B7">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土地复垦、植被恢复完好</w:t>
            </w:r>
            <w:r>
              <w:rPr>
                <w:rFonts w:hint="eastAsia" w:cs="Times New Roman"/>
                <w:color w:val="auto"/>
                <w:sz w:val="21"/>
                <w:szCs w:val="21"/>
                <w:highlight w:val="none"/>
                <w:u w:val="single"/>
                <w:lang w:eastAsia="zh-CN"/>
              </w:rPr>
              <w:t>，</w:t>
            </w:r>
            <w:r>
              <w:rPr>
                <w:rFonts w:hint="eastAsia" w:cs="Times New Roman"/>
                <w:color w:val="auto"/>
                <w:sz w:val="21"/>
                <w:szCs w:val="21"/>
                <w:highlight w:val="none"/>
                <w:u w:val="single"/>
                <w:lang w:val="en-US" w:eastAsia="zh-CN"/>
              </w:rPr>
              <w:t>满足生态修复方案要求</w:t>
            </w:r>
          </w:p>
        </w:tc>
      </w:tr>
      <w:tr w14:paraId="1AED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01" w:type="dxa"/>
            <w:vMerge w:val="continue"/>
            <w:vAlign w:val="center"/>
          </w:tcPr>
          <w:p w14:paraId="1A133E8F">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6828F4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水生生态</w:t>
            </w:r>
          </w:p>
        </w:tc>
        <w:tc>
          <w:tcPr>
            <w:tcW w:w="1619" w:type="dxa"/>
            <w:vAlign w:val="center"/>
          </w:tcPr>
          <w:p w14:paraId="3AB28E2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43C1055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25A8635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61F27B5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4032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4E23B8B8">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Merge w:val="restart"/>
            <w:vAlign w:val="center"/>
          </w:tcPr>
          <w:p w14:paraId="241A993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地表水环境</w:t>
            </w:r>
          </w:p>
        </w:tc>
        <w:tc>
          <w:tcPr>
            <w:tcW w:w="1619" w:type="dxa"/>
            <w:vMerge w:val="restart"/>
            <w:vAlign w:val="center"/>
          </w:tcPr>
          <w:p w14:paraId="04FB33E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开采区修建排水沟及沉淀池。施工人员生活污水经化粪池处理后用作农灌不外排；施工废水经沉淀池处理后回用抑尘不外排。</w:t>
            </w:r>
          </w:p>
        </w:tc>
        <w:tc>
          <w:tcPr>
            <w:tcW w:w="1440" w:type="dxa"/>
            <w:vMerge w:val="restart"/>
            <w:vAlign w:val="center"/>
          </w:tcPr>
          <w:p w14:paraId="36C3E54F">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kern w:val="0"/>
                <w:sz w:val="21"/>
                <w:szCs w:val="21"/>
                <w:highlight w:val="none"/>
                <w:u w:val="single"/>
              </w:rPr>
              <w:t>施工废水回用</w:t>
            </w:r>
            <w:r>
              <w:rPr>
                <w:rFonts w:hint="eastAsia" w:cs="Times New Roman"/>
                <w:color w:val="auto"/>
                <w:kern w:val="0"/>
                <w:sz w:val="21"/>
                <w:szCs w:val="21"/>
                <w:highlight w:val="none"/>
                <w:u w:val="single"/>
                <w:lang w:eastAsia="zh-CN"/>
              </w:rPr>
              <w:t>，</w:t>
            </w:r>
            <w:r>
              <w:rPr>
                <w:rFonts w:hint="eastAsia" w:cs="Times New Roman"/>
                <w:color w:val="auto"/>
                <w:kern w:val="0"/>
                <w:sz w:val="21"/>
                <w:szCs w:val="21"/>
                <w:highlight w:val="none"/>
                <w:u w:val="single"/>
                <w:lang w:val="en-US" w:eastAsia="zh-CN"/>
              </w:rPr>
              <w:t>生活污水用于农灌，无废水外排</w:t>
            </w:r>
          </w:p>
        </w:tc>
        <w:tc>
          <w:tcPr>
            <w:tcW w:w="2845" w:type="dxa"/>
            <w:vAlign w:val="center"/>
          </w:tcPr>
          <w:p w14:paraId="6C1621F7">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b/>
                <w:bCs/>
                <w:color w:val="auto"/>
                <w:sz w:val="21"/>
                <w:szCs w:val="21"/>
                <w:highlight w:val="none"/>
                <w:u w:val="single"/>
                <w:lang w:val="en-US" w:eastAsia="zh-CN"/>
              </w:rPr>
              <w:t>矿区：</w:t>
            </w:r>
            <w:r>
              <w:rPr>
                <w:rFonts w:hint="default" w:ascii="Times New Roman" w:hAnsi="Times New Roman" w:cs="Times New Roman"/>
                <w:color w:val="auto"/>
                <w:sz w:val="21"/>
                <w:szCs w:val="21"/>
                <w:highlight w:val="none"/>
                <w:u w:val="single"/>
              </w:rPr>
              <w:t>地表径流雨水沉淀后回用</w:t>
            </w:r>
          </w:p>
        </w:tc>
        <w:tc>
          <w:tcPr>
            <w:tcW w:w="1916" w:type="dxa"/>
            <w:vAlign w:val="center"/>
          </w:tcPr>
          <w:p w14:paraId="5F3D90B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无废水外排</w:t>
            </w:r>
          </w:p>
        </w:tc>
      </w:tr>
      <w:tr w14:paraId="5224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4CD8F3F0">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Merge w:val="continue"/>
            <w:vAlign w:val="center"/>
          </w:tcPr>
          <w:p w14:paraId="1EDE46E5">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619" w:type="dxa"/>
            <w:vMerge w:val="continue"/>
            <w:vAlign w:val="center"/>
          </w:tcPr>
          <w:p w14:paraId="58FD83FC">
            <w:pPr>
              <w:spacing w:line="240" w:lineRule="auto"/>
              <w:ind w:firstLine="0" w:firstLineChars="0"/>
              <w:jc w:val="center"/>
              <w:rPr>
                <w:rFonts w:hint="default" w:cs="Times New Roman"/>
                <w:b/>
                <w:bCs/>
                <w:color w:val="auto"/>
                <w:sz w:val="21"/>
                <w:szCs w:val="21"/>
                <w:highlight w:val="none"/>
                <w:u w:val="single"/>
                <w:lang w:val="en-US" w:eastAsia="zh-CN"/>
              </w:rPr>
            </w:pPr>
          </w:p>
        </w:tc>
        <w:tc>
          <w:tcPr>
            <w:tcW w:w="1440" w:type="dxa"/>
            <w:vMerge w:val="continue"/>
            <w:vAlign w:val="center"/>
          </w:tcPr>
          <w:p w14:paraId="605373EE">
            <w:pPr>
              <w:spacing w:line="240" w:lineRule="auto"/>
              <w:ind w:firstLine="0" w:firstLineChars="0"/>
              <w:jc w:val="center"/>
              <w:rPr>
                <w:rFonts w:hint="default" w:ascii="Times New Roman" w:hAnsi="Times New Roman" w:cs="Times New Roman"/>
                <w:color w:val="auto"/>
                <w:kern w:val="0"/>
                <w:sz w:val="21"/>
                <w:szCs w:val="21"/>
                <w:highlight w:val="none"/>
                <w:u w:val="single"/>
              </w:rPr>
            </w:pPr>
          </w:p>
        </w:tc>
        <w:tc>
          <w:tcPr>
            <w:tcW w:w="2845" w:type="dxa"/>
            <w:vAlign w:val="center"/>
          </w:tcPr>
          <w:p w14:paraId="71E07BEB">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b/>
                <w:bCs/>
                <w:color w:val="auto"/>
                <w:sz w:val="21"/>
                <w:szCs w:val="21"/>
                <w:highlight w:val="none"/>
                <w:u w:val="single"/>
                <w:lang w:val="en-US" w:eastAsia="zh-CN"/>
              </w:rPr>
              <w:t>排土场：</w:t>
            </w:r>
            <w:r>
              <w:rPr>
                <w:rFonts w:hint="eastAsia" w:ascii="Times New Roman" w:hAnsi="Times New Roman" w:eastAsia="宋体" w:cs="Times New Roman"/>
                <w:b w:val="0"/>
                <w:bCs w:val="0"/>
                <w:color w:val="auto"/>
                <w:sz w:val="21"/>
                <w:szCs w:val="21"/>
                <w:highlight w:val="none"/>
                <w:u w:val="single"/>
                <w:lang w:val="en-US" w:eastAsia="zh-CN"/>
              </w:rPr>
              <w:t>设置截排水沟和沉淀池回用于排土场洒水降尘，不外排。</w:t>
            </w:r>
          </w:p>
        </w:tc>
        <w:tc>
          <w:tcPr>
            <w:tcW w:w="1916" w:type="dxa"/>
            <w:vAlign w:val="center"/>
          </w:tcPr>
          <w:p w14:paraId="3A5A6B1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无废水外排</w:t>
            </w:r>
          </w:p>
        </w:tc>
      </w:tr>
      <w:tr w14:paraId="7759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5094299F">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4423916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地下水及土壤环境</w:t>
            </w:r>
          </w:p>
        </w:tc>
        <w:tc>
          <w:tcPr>
            <w:tcW w:w="1619" w:type="dxa"/>
            <w:vAlign w:val="center"/>
          </w:tcPr>
          <w:p w14:paraId="1DC51256">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3C4D4ADE">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7E74E1AB">
            <w:pPr>
              <w:pStyle w:val="5"/>
              <w:spacing w:line="240" w:lineRule="auto"/>
              <w:rPr>
                <w:rFonts w:hint="eastAsia"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eastAsia="宋体" w:cs="Times New Roman"/>
                <w:b w:val="0"/>
                <w:bCs w:val="0"/>
                <w:color w:val="auto"/>
                <w:kern w:val="2"/>
                <w:sz w:val="21"/>
                <w:szCs w:val="21"/>
                <w:highlight w:val="none"/>
                <w:u w:val="single"/>
                <w:lang w:val="en-US" w:eastAsia="zh-CN" w:bidi="ar-SA"/>
              </w:rPr>
              <w:t>①</w:t>
            </w:r>
            <w:r>
              <w:rPr>
                <w:rFonts w:hint="eastAsia" w:ascii="Times New Roman" w:hAnsi="Times New Roman" w:eastAsia="宋体" w:cs="Times New Roman"/>
                <w:b w:val="0"/>
                <w:bCs w:val="0"/>
                <w:color w:val="auto"/>
                <w:kern w:val="2"/>
                <w:sz w:val="21"/>
                <w:szCs w:val="21"/>
                <w:highlight w:val="none"/>
                <w:u w:val="single"/>
                <w:lang w:val="en-US" w:eastAsia="zh-CN" w:bidi="ar-SA"/>
              </w:rPr>
              <w:t>强化开采管理，可以将部分含水层的含水量较大的区域水资源进行有效的引流或阻断。采取适宜的采矿工艺，将含水层中的水进行引流，改变其流向，保证西南侧下降泉的水量。</w:t>
            </w:r>
          </w:p>
          <w:p w14:paraId="106FFD64">
            <w:pPr>
              <w:spacing w:line="240" w:lineRule="auto"/>
              <w:ind w:firstLine="0" w:firstLineChars="0"/>
              <w:jc w:val="left"/>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②</w:t>
            </w:r>
            <w:r>
              <w:rPr>
                <w:rFonts w:hint="eastAsia" w:ascii="Times New Roman" w:hAnsi="Times New Roman" w:eastAsia="宋体" w:cs="Times New Roman"/>
                <w:b w:val="0"/>
                <w:bCs w:val="0"/>
                <w:color w:val="auto"/>
                <w:kern w:val="2"/>
                <w:sz w:val="21"/>
                <w:szCs w:val="21"/>
                <w:highlight w:val="none"/>
                <w:u w:val="single"/>
                <w:lang w:val="en-US" w:eastAsia="zh-CN" w:bidi="ar-SA"/>
              </w:rPr>
              <w:t>矿区开采后开展下降泉点W1丰平枯跟踪监测。</w:t>
            </w:r>
          </w:p>
        </w:tc>
        <w:tc>
          <w:tcPr>
            <w:tcW w:w="1916" w:type="dxa"/>
            <w:vAlign w:val="center"/>
          </w:tcPr>
          <w:p w14:paraId="55EB6C0B">
            <w:pPr>
              <w:spacing w:line="240" w:lineRule="auto"/>
              <w:ind w:firstLine="0" w:firstLineChars="0"/>
              <w:jc w:val="center"/>
              <w:rPr>
                <w:rFonts w:hint="default" w:ascii="Times New Roman" w:hAnsi="Times New Roman" w:cs="Times New Roman"/>
                <w:color w:val="auto"/>
                <w:sz w:val="21"/>
                <w:szCs w:val="21"/>
                <w:highlight w:val="none"/>
                <w:u w:val="single"/>
                <w:lang w:val="en-US"/>
              </w:rPr>
            </w:pPr>
            <w:r>
              <w:rPr>
                <w:rFonts w:hint="eastAsia" w:cs="Times New Roman"/>
                <w:b w:val="0"/>
                <w:bCs w:val="0"/>
                <w:color w:val="auto"/>
                <w:kern w:val="2"/>
                <w:sz w:val="21"/>
                <w:szCs w:val="21"/>
                <w:highlight w:val="none"/>
                <w:u w:val="single"/>
                <w:lang w:val="en-US" w:eastAsia="zh-CN" w:bidi="ar-SA"/>
              </w:rPr>
              <w:t>开采前后西南侧</w:t>
            </w:r>
            <w:r>
              <w:rPr>
                <w:rFonts w:hint="eastAsia" w:ascii="Times New Roman" w:hAnsi="Times New Roman" w:eastAsia="宋体" w:cs="Times New Roman"/>
                <w:b w:val="0"/>
                <w:bCs w:val="0"/>
                <w:color w:val="auto"/>
                <w:kern w:val="2"/>
                <w:sz w:val="21"/>
                <w:szCs w:val="21"/>
                <w:highlight w:val="none"/>
                <w:u w:val="single"/>
                <w:lang w:val="en-US" w:eastAsia="zh-CN" w:bidi="ar-SA"/>
              </w:rPr>
              <w:t>下降泉</w:t>
            </w:r>
            <w:r>
              <w:rPr>
                <w:rFonts w:hint="eastAsia" w:cs="Times New Roman"/>
                <w:b w:val="0"/>
                <w:bCs w:val="0"/>
                <w:color w:val="auto"/>
                <w:kern w:val="2"/>
                <w:sz w:val="21"/>
                <w:szCs w:val="21"/>
                <w:highlight w:val="none"/>
                <w:u w:val="single"/>
                <w:lang w:val="en-US" w:eastAsia="zh-CN" w:bidi="ar-SA"/>
              </w:rPr>
              <w:t>水质及水量基本无变化</w:t>
            </w:r>
          </w:p>
        </w:tc>
      </w:tr>
      <w:tr w14:paraId="2E0D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65AC50F9">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1C3221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声环境</w:t>
            </w:r>
          </w:p>
        </w:tc>
        <w:tc>
          <w:tcPr>
            <w:tcW w:w="1619" w:type="dxa"/>
            <w:vAlign w:val="center"/>
          </w:tcPr>
          <w:p w14:paraId="1FF7BED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rPr>
              <w:t>合理安排施工时间，禁止夜间施工。</w:t>
            </w:r>
          </w:p>
        </w:tc>
        <w:tc>
          <w:tcPr>
            <w:tcW w:w="1440" w:type="dxa"/>
            <w:vAlign w:val="center"/>
          </w:tcPr>
          <w:p w14:paraId="44EBC5B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《建筑施工噪声排放标准》（GB12523-20</w:t>
            </w:r>
            <w:r>
              <w:rPr>
                <w:rFonts w:hint="eastAsia" w:cs="Times New Roman"/>
                <w:color w:val="auto"/>
                <w:sz w:val="21"/>
                <w:szCs w:val="21"/>
                <w:highlight w:val="none"/>
                <w:u w:val="single"/>
                <w:lang w:val="en-US" w:eastAsia="zh-CN"/>
              </w:rPr>
              <w:t>25</w:t>
            </w:r>
            <w:r>
              <w:rPr>
                <w:rFonts w:hint="default" w:ascii="Times New Roman" w:hAnsi="Times New Roman" w:cs="Times New Roman"/>
                <w:color w:val="auto"/>
                <w:sz w:val="21"/>
                <w:szCs w:val="21"/>
                <w:highlight w:val="none"/>
                <w:u w:val="single"/>
              </w:rPr>
              <w:t>）</w:t>
            </w:r>
          </w:p>
        </w:tc>
        <w:tc>
          <w:tcPr>
            <w:tcW w:w="2845" w:type="dxa"/>
            <w:vAlign w:val="center"/>
          </w:tcPr>
          <w:p w14:paraId="7AABD24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设置警示、提示标志，定期对设备进行维护保养，加强对运输车辆的管理，限制车速，禁止鸣笛。</w:t>
            </w:r>
          </w:p>
        </w:tc>
        <w:tc>
          <w:tcPr>
            <w:tcW w:w="1916" w:type="dxa"/>
            <w:vAlign w:val="center"/>
          </w:tcPr>
          <w:p w14:paraId="0E6A81A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满足《工业企业厂界环境噪声排放标准》（GB12348-2008）2类要求</w:t>
            </w:r>
          </w:p>
        </w:tc>
      </w:tr>
      <w:tr w14:paraId="2DB8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2CBCA0BA">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p>
        </w:tc>
        <w:tc>
          <w:tcPr>
            <w:tcW w:w="739" w:type="dxa"/>
            <w:vAlign w:val="center"/>
          </w:tcPr>
          <w:p w14:paraId="35135CBC">
            <w:pPr>
              <w:spacing w:line="240" w:lineRule="auto"/>
              <w:ind w:firstLine="0" w:firstLineChars="0"/>
              <w:jc w:val="center"/>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振动</w:t>
            </w:r>
          </w:p>
        </w:tc>
        <w:tc>
          <w:tcPr>
            <w:tcW w:w="1619" w:type="dxa"/>
            <w:vAlign w:val="center"/>
          </w:tcPr>
          <w:p w14:paraId="2D11291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241D9B0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47FF061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做好爆破警示，爆破时，人员撤至300m安全线以外</w:t>
            </w:r>
          </w:p>
        </w:tc>
        <w:tc>
          <w:tcPr>
            <w:tcW w:w="1916" w:type="dxa"/>
            <w:vAlign w:val="center"/>
          </w:tcPr>
          <w:p w14:paraId="65E1550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未造成周边地面塌陷、建构筑物倒塌等。</w:t>
            </w:r>
          </w:p>
        </w:tc>
      </w:tr>
      <w:tr w14:paraId="4A6A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66A2CC61">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99E6906">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大气环境</w:t>
            </w:r>
          </w:p>
        </w:tc>
        <w:tc>
          <w:tcPr>
            <w:tcW w:w="1619" w:type="dxa"/>
            <w:vAlign w:val="center"/>
          </w:tcPr>
          <w:p w14:paraId="4790AA56">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洒水降尘</w:t>
            </w:r>
          </w:p>
        </w:tc>
        <w:tc>
          <w:tcPr>
            <w:tcW w:w="1440" w:type="dxa"/>
            <w:vAlign w:val="center"/>
          </w:tcPr>
          <w:p w14:paraId="408E4D3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《大气污染物综合排放标准》（GB16297-1996）表2中无组织排放监控浓度限值</w:t>
            </w:r>
          </w:p>
        </w:tc>
        <w:tc>
          <w:tcPr>
            <w:tcW w:w="2845" w:type="dxa"/>
            <w:vAlign w:val="center"/>
          </w:tcPr>
          <w:p w14:paraId="31BA215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rPr>
              <w:t>表土剥离粉尘：表土剥离前对表土进行洒水抑尘</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凿岩钻孔</w:t>
            </w:r>
            <w:r>
              <w:rPr>
                <w:rFonts w:hint="default" w:ascii="Times New Roman" w:hAnsi="Times New Roman" w:cs="Times New Roman"/>
                <w:bCs/>
                <w:color w:val="auto"/>
                <w:sz w:val="21"/>
                <w:szCs w:val="21"/>
                <w:highlight w:val="none"/>
                <w:u w:val="single"/>
              </w:rPr>
              <w:t>粉尘：洒水车喷水雾抑尘</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破碎锤破碎粉尘：洒水抑尘；</w:t>
            </w:r>
            <w:r>
              <w:rPr>
                <w:rFonts w:hint="eastAsia" w:cs="Times New Roman"/>
                <w:color w:val="auto"/>
                <w:sz w:val="21"/>
                <w:szCs w:val="21"/>
                <w:highlight w:val="none"/>
                <w:u w:val="single"/>
                <w:lang w:eastAsia="zh-CN"/>
              </w:rPr>
              <w:t>排土场</w:t>
            </w:r>
            <w:r>
              <w:rPr>
                <w:rFonts w:hint="eastAsia" w:cs="Times New Roman"/>
                <w:color w:val="auto"/>
                <w:sz w:val="21"/>
                <w:szCs w:val="21"/>
                <w:highlight w:val="none"/>
                <w:u w:val="single"/>
                <w:lang w:val="en-US" w:eastAsia="zh-CN"/>
              </w:rPr>
              <w:t>扬尘</w:t>
            </w:r>
            <w:r>
              <w:rPr>
                <w:rFonts w:hint="eastAsia"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设置挡土墙，定期洒水降尘，运输道路定期洒水降尘。</w:t>
            </w:r>
          </w:p>
        </w:tc>
        <w:tc>
          <w:tcPr>
            <w:tcW w:w="1916" w:type="dxa"/>
            <w:vAlign w:val="center"/>
          </w:tcPr>
          <w:p w14:paraId="34A041F3">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《大气污染物综合排放标准》（GB16297-1996）表2中无组织排监控浓度限值标准</w:t>
            </w:r>
          </w:p>
        </w:tc>
      </w:tr>
      <w:tr w14:paraId="6D53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3F81F70A">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3610421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固体废物</w:t>
            </w:r>
          </w:p>
        </w:tc>
        <w:tc>
          <w:tcPr>
            <w:tcW w:w="1619" w:type="dxa"/>
            <w:vAlign w:val="center"/>
          </w:tcPr>
          <w:p w14:paraId="38163DD6">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施工垃圾分类集中收集，可利用的直接回收利用，开挖表土暂存</w:t>
            </w:r>
            <w:r>
              <w:rPr>
                <w:rFonts w:hint="eastAsia" w:cs="Times New Roman"/>
                <w:color w:val="auto"/>
                <w:sz w:val="21"/>
                <w:szCs w:val="21"/>
                <w:highlight w:val="none"/>
                <w:u w:val="single"/>
                <w:lang w:val="en-US" w:eastAsia="zh-CN"/>
              </w:rPr>
              <w:t>于排土场</w:t>
            </w:r>
            <w:r>
              <w:rPr>
                <w:rFonts w:hint="default" w:ascii="Times New Roman" w:hAnsi="Times New Roman" w:cs="Times New Roman"/>
                <w:color w:val="auto"/>
                <w:sz w:val="21"/>
                <w:szCs w:val="21"/>
                <w:highlight w:val="none"/>
                <w:u w:val="single"/>
              </w:rPr>
              <w:t>作为矿区复垦用土。</w:t>
            </w:r>
          </w:p>
        </w:tc>
        <w:tc>
          <w:tcPr>
            <w:tcW w:w="1440" w:type="dxa"/>
            <w:vAlign w:val="center"/>
          </w:tcPr>
          <w:p w14:paraId="35A9B1D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一般固体废物储存执行《</w:t>
            </w:r>
            <w:r>
              <w:rPr>
                <w:rFonts w:hint="eastAsia" w:cs="Times New Roman"/>
                <w:color w:val="auto"/>
                <w:sz w:val="21"/>
                <w:szCs w:val="21"/>
                <w:highlight w:val="none"/>
                <w:u w:val="single"/>
                <w:lang w:eastAsia="zh-CN"/>
              </w:rPr>
              <w:t>一般工业固体废物贮存和填埋污染控制标准</w:t>
            </w:r>
            <w:r>
              <w:rPr>
                <w:rFonts w:hint="default" w:ascii="Times New Roman" w:hAnsi="Times New Roman" w:cs="Times New Roman"/>
                <w:color w:val="auto"/>
                <w:sz w:val="21"/>
                <w:szCs w:val="21"/>
                <w:highlight w:val="none"/>
                <w:u w:val="single"/>
              </w:rPr>
              <w:t>》（GB18599-20</w:t>
            </w:r>
            <w:r>
              <w:rPr>
                <w:rFonts w:hint="eastAsia" w:ascii="Times New Roman" w:hAnsi="Times New Roman" w:cs="Times New Roman"/>
                <w:color w:val="auto"/>
                <w:sz w:val="21"/>
                <w:szCs w:val="21"/>
                <w:highlight w:val="none"/>
                <w:u w:val="single"/>
                <w:lang w:val="en-US" w:eastAsia="zh-CN"/>
              </w:rPr>
              <w:t>20</w:t>
            </w:r>
            <w:r>
              <w:rPr>
                <w:rFonts w:hint="default" w:ascii="Times New Roman" w:hAnsi="Times New Roman" w:cs="Times New Roman"/>
                <w:color w:val="auto"/>
                <w:sz w:val="21"/>
                <w:szCs w:val="21"/>
                <w:highlight w:val="none"/>
                <w:u w:val="single"/>
              </w:rPr>
              <w:t>）</w:t>
            </w:r>
          </w:p>
        </w:tc>
        <w:tc>
          <w:tcPr>
            <w:tcW w:w="2845" w:type="dxa"/>
            <w:vAlign w:val="center"/>
          </w:tcPr>
          <w:p w14:paraId="201D66B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剥离表土暂存于</w:t>
            </w:r>
            <w:r>
              <w:rPr>
                <w:rFonts w:hint="eastAsia" w:cs="Times New Roman"/>
                <w:color w:val="auto"/>
                <w:sz w:val="21"/>
                <w:szCs w:val="21"/>
                <w:highlight w:val="none"/>
                <w:u w:val="single"/>
                <w:lang w:eastAsia="zh-CN"/>
              </w:rPr>
              <w:t>排土场</w:t>
            </w:r>
            <w:r>
              <w:rPr>
                <w:rFonts w:hint="default" w:ascii="Times New Roman" w:hAnsi="Times New Roman" w:cs="Times New Roman"/>
                <w:color w:val="auto"/>
                <w:sz w:val="21"/>
                <w:szCs w:val="21"/>
                <w:highlight w:val="none"/>
                <w:u w:val="single"/>
              </w:rPr>
              <w:t>用作复垦绿化覆土</w:t>
            </w:r>
          </w:p>
        </w:tc>
        <w:tc>
          <w:tcPr>
            <w:tcW w:w="1916" w:type="dxa"/>
            <w:vAlign w:val="center"/>
          </w:tcPr>
          <w:p w14:paraId="797A115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一般固体废物储存执行《</w:t>
            </w:r>
            <w:r>
              <w:rPr>
                <w:rFonts w:hint="eastAsia" w:cs="Times New Roman"/>
                <w:color w:val="auto"/>
                <w:sz w:val="21"/>
                <w:szCs w:val="21"/>
                <w:highlight w:val="none"/>
                <w:u w:val="single"/>
                <w:lang w:eastAsia="zh-CN"/>
              </w:rPr>
              <w:t>一般工业固体废物贮存和填埋污染控制标准</w:t>
            </w:r>
            <w:r>
              <w:rPr>
                <w:rFonts w:hint="default" w:ascii="Times New Roman" w:hAnsi="Times New Roman" w:cs="Times New Roman"/>
                <w:color w:val="auto"/>
                <w:sz w:val="21"/>
                <w:szCs w:val="21"/>
                <w:highlight w:val="none"/>
                <w:u w:val="single"/>
              </w:rPr>
              <w:t>》（GB18599-20</w:t>
            </w:r>
            <w:r>
              <w:rPr>
                <w:rFonts w:hint="eastAsia" w:ascii="Times New Roman" w:hAnsi="Times New Roman" w:cs="Times New Roman"/>
                <w:color w:val="auto"/>
                <w:sz w:val="21"/>
                <w:szCs w:val="21"/>
                <w:highlight w:val="none"/>
                <w:u w:val="single"/>
                <w:lang w:val="en-US" w:eastAsia="zh-CN"/>
              </w:rPr>
              <w:t>20</w:t>
            </w:r>
            <w:r>
              <w:rPr>
                <w:rFonts w:hint="default" w:ascii="Times New Roman" w:hAnsi="Times New Roman" w:cs="Times New Roman"/>
                <w:color w:val="auto"/>
                <w:sz w:val="21"/>
                <w:szCs w:val="21"/>
                <w:highlight w:val="none"/>
                <w:u w:val="single"/>
              </w:rPr>
              <w:t>）</w:t>
            </w:r>
          </w:p>
        </w:tc>
      </w:tr>
      <w:tr w14:paraId="534E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33CD5E36">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7AFB776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电磁环境</w:t>
            </w:r>
          </w:p>
        </w:tc>
        <w:tc>
          <w:tcPr>
            <w:tcW w:w="1619" w:type="dxa"/>
            <w:vAlign w:val="center"/>
          </w:tcPr>
          <w:p w14:paraId="293A932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146CE10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17B27CE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5C198F4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7FB4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2B201DCC">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146D64E">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环境风险</w:t>
            </w:r>
          </w:p>
        </w:tc>
        <w:tc>
          <w:tcPr>
            <w:tcW w:w="1619" w:type="dxa"/>
            <w:vAlign w:val="center"/>
          </w:tcPr>
          <w:p w14:paraId="197D0A2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123F0D0C">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4761" w:type="dxa"/>
            <w:gridSpan w:val="2"/>
            <w:vAlign w:val="center"/>
          </w:tcPr>
          <w:p w14:paraId="506DDC74">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①矿山开采做好预防滑坡、坍塌、泥石流等地质环境灾害工作，严格按照开发利用方案执行；</w:t>
            </w:r>
          </w:p>
          <w:p w14:paraId="436CF369">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②加强沉淀池巡查，特别是暴雨天气，杜绝废水排放；</w:t>
            </w:r>
          </w:p>
          <w:p w14:paraId="0455FEC9">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③编制突发环境事件应急预案。</w:t>
            </w:r>
          </w:p>
        </w:tc>
      </w:tr>
      <w:tr w14:paraId="6E53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283CA79E">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667B3A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环境监测</w:t>
            </w:r>
          </w:p>
        </w:tc>
        <w:tc>
          <w:tcPr>
            <w:tcW w:w="1619" w:type="dxa"/>
            <w:vAlign w:val="center"/>
          </w:tcPr>
          <w:p w14:paraId="157C0FA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6AD8615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4761" w:type="dxa"/>
            <w:gridSpan w:val="2"/>
            <w:vAlign w:val="center"/>
          </w:tcPr>
          <w:p w14:paraId="39A0B03E">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按监测计划一览表对矿区废气及噪声进行监测。</w:t>
            </w:r>
          </w:p>
        </w:tc>
      </w:tr>
      <w:tr w14:paraId="7329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restart"/>
            <w:vAlign w:val="center"/>
          </w:tcPr>
          <w:p w14:paraId="5B247946">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p>
        </w:tc>
        <w:tc>
          <w:tcPr>
            <w:tcW w:w="739" w:type="dxa"/>
            <w:vAlign w:val="center"/>
          </w:tcPr>
          <w:p w14:paraId="5F14021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陆生生态</w:t>
            </w:r>
          </w:p>
        </w:tc>
        <w:tc>
          <w:tcPr>
            <w:tcW w:w="1619" w:type="dxa"/>
            <w:vAlign w:val="center"/>
          </w:tcPr>
          <w:p w14:paraId="417023D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2C4A8A8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7B2E2B5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49A3975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0A59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3B8EC640">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F1DE0A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水生生态</w:t>
            </w:r>
          </w:p>
        </w:tc>
        <w:tc>
          <w:tcPr>
            <w:tcW w:w="1619" w:type="dxa"/>
            <w:vAlign w:val="center"/>
          </w:tcPr>
          <w:p w14:paraId="6F83ACC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1B23473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7A38F7C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4CC9C04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6669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4A707FD1">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2C604D86">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地表水环境</w:t>
            </w:r>
          </w:p>
        </w:tc>
        <w:tc>
          <w:tcPr>
            <w:tcW w:w="1619" w:type="dxa"/>
            <w:vAlign w:val="center"/>
          </w:tcPr>
          <w:p w14:paraId="63DC9B28">
            <w:pPr>
              <w:spacing w:line="276"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 xml:space="preserve">施工人员生活污水经化粪池处理后用作农灌不外排；施工废水经沉 </w:t>
            </w:r>
          </w:p>
          <w:p w14:paraId="54F16055">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淀池处理后回用抑尘不外排。</w:t>
            </w:r>
          </w:p>
        </w:tc>
        <w:tc>
          <w:tcPr>
            <w:tcW w:w="1440" w:type="dxa"/>
            <w:vAlign w:val="center"/>
          </w:tcPr>
          <w:p w14:paraId="751116C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kern w:val="0"/>
                <w:sz w:val="21"/>
                <w:szCs w:val="21"/>
                <w:highlight w:val="none"/>
                <w:u w:val="single"/>
              </w:rPr>
              <w:t>施工废水回用</w:t>
            </w:r>
            <w:r>
              <w:rPr>
                <w:rFonts w:hint="eastAsia" w:cs="Times New Roman"/>
                <w:color w:val="auto"/>
                <w:kern w:val="0"/>
                <w:sz w:val="21"/>
                <w:szCs w:val="21"/>
                <w:highlight w:val="none"/>
                <w:u w:val="single"/>
                <w:lang w:eastAsia="zh-CN"/>
              </w:rPr>
              <w:t>，</w:t>
            </w:r>
            <w:r>
              <w:rPr>
                <w:rFonts w:hint="eastAsia" w:cs="Times New Roman"/>
                <w:color w:val="auto"/>
                <w:kern w:val="0"/>
                <w:sz w:val="21"/>
                <w:szCs w:val="21"/>
                <w:highlight w:val="none"/>
                <w:u w:val="single"/>
                <w:lang w:val="en-US" w:eastAsia="zh-CN"/>
              </w:rPr>
              <w:t>生活污水用于农灌，无废水外排</w:t>
            </w:r>
          </w:p>
        </w:tc>
        <w:tc>
          <w:tcPr>
            <w:tcW w:w="2845" w:type="dxa"/>
            <w:vAlign w:val="center"/>
          </w:tcPr>
          <w:p w14:paraId="461C0FAE">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b w:val="0"/>
                <w:bCs w:val="0"/>
                <w:color w:val="auto"/>
                <w:sz w:val="21"/>
                <w:szCs w:val="21"/>
                <w:highlight w:val="none"/>
                <w:u w:val="single"/>
                <w:lang w:val="en-US" w:eastAsia="zh-CN"/>
              </w:rPr>
              <w:t>生产区</w:t>
            </w:r>
            <w:r>
              <w:rPr>
                <w:rFonts w:hint="eastAsia" w:ascii="Times New Roman" w:hAnsi="Times New Roman" w:eastAsia="宋体" w:cs="Times New Roman"/>
                <w:color w:val="auto"/>
                <w:sz w:val="21"/>
                <w:szCs w:val="21"/>
                <w:highlight w:val="none"/>
                <w:u w:val="single"/>
                <w:lang w:val="en-US" w:eastAsia="zh-CN"/>
              </w:rPr>
              <w:t>设置沉淀池回用于洒水降尘，不外排，</w:t>
            </w:r>
            <w:r>
              <w:rPr>
                <w:rFonts w:hint="default" w:ascii="Times New Roman" w:hAnsi="Times New Roman" w:eastAsia="宋体" w:cs="Times New Roman"/>
                <w:color w:val="auto"/>
                <w:sz w:val="21"/>
                <w:szCs w:val="21"/>
                <w:highlight w:val="none"/>
                <w:u w:val="single"/>
              </w:rPr>
              <w:t>生活污水经化粪池处理后用于周边</w:t>
            </w:r>
            <w:r>
              <w:rPr>
                <w:rFonts w:hint="eastAsia" w:ascii="Times New Roman" w:hAnsi="Times New Roman" w:eastAsia="宋体" w:cs="Times New Roman"/>
                <w:color w:val="auto"/>
                <w:sz w:val="21"/>
                <w:szCs w:val="21"/>
                <w:highlight w:val="none"/>
                <w:u w:val="single"/>
                <w:lang w:val="en-US" w:eastAsia="zh-CN"/>
              </w:rPr>
              <w:t>农业灌溉</w:t>
            </w:r>
            <w:r>
              <w:rPr>
                <w:rFonts w:hint="default" w:ascii="Times New Roman" w:hAnsi="Times New Roman" w:eastAsia="宋体" w:cs="Times New Roman"/>
                <w:color w:val="auto"/>
                <w:sz w:val="21"/>
                <w:szCs w:val="21"/>
                <w:highlight w:val="none"/>
                <w:u w:val="single"/>
              </w:rPr>
              <w:t>。洗车废</w:t>
            </w:r>
            <w:r>
              <w:rPr>
                <w:rFonts w:hint="default" w:ascii="Times New Roman" w:hAnsi="Times New Roman" w:cs="Times New Roman"/>
                <w:color w:val="auto"/>
                <w:sz w:val="21"/>
                <w:szCs w:val="21"/>
                <w:highlight w:val="none"/>
                <w:u w:val="single"/>
              </w:rPr>
              <w:t>水</w:t>
            </w:r>
            <w:r>
              <w:rPr>
                <w:rFonts w:hint="eastAsia" w:cs="Times New Roman"/>
                <w:color w:val="auto"/>
                <w:sz w:val="21"/>
                <w:szCs w:val="21"/>
                <w:highlight w:val="none"/>
                <w:u w:val="single"/>
                <w:lang w:val="en-US" w:eastAsia="zh-CN"/>
              </w:rPr>
              <w:t>经</w:t>
            </w:r>
            <w:r>
              <w:rPr>
                <w:rFonts w:hint="default" w:ascii="Times New Roman" w:hAnsi="Times New Roman" w:cs="Times New Roman"/>
                <w:color w:val="auto"/>
                <w:sz w:val="21"/>
                <w:szCs w:val="21"/>
                <w:highlight w:val="none"/>
                <w:u w:val="single"/>
              </w:rPr>
              <w:t>沉淀</w:t>
            </w:r>
            <w:r>
              <w:rPr>
                <w:rFonts w:hint="eastAsia" w:cs="Times New Roman"/>
                <w:color w:val="auto"/>
                <w:sz w:val="21"/>
                <w:szCs w:val="21"/>
                <w:highlight w:val="none"/>
                <w:u w:val="single"/>
                <w:lang w:val="en-US" w:eastAsia="zh-CN"/>
              </w:rPr>
              <w:t>后</w:t>
            </w:r>
            <w:r>
              <w:rPr>
                <w:rFonts w:hint="default" w:ascii="Times New Roman" w:hAnsi="Times New Roman" w:cs="Times New Roman"/>
                <w:color w:val="auto"/>
                <w:sz w:val="21"/>
                <w:szCs w:val="21"/>
                <w:highlight w:val="none"/>
                <w:u w:val="single"/>
              </w:rPr>
              <w:t>回用</w:t>
            </w:r>
            <w:r>
              <w:rPr>
                <w:rFonts w:hint="eastAsia" w:cs="Times New Roman"/>
                <w:color w:val="auto"/>
                <w:sz w:val="21"/>
                <w:szCs w:val="21"/>
                <w:highlight w:val="none"/>
                <w:u w:val="single"/>
                <w:lang w:val="en-US" w:eastAsia="zh-CN"/>
              </w:rPr>
              <w:t>。</w:t>
            </w:r>
          </w:p>
        </w:tc>
        <w:tc>
          <w:tcPr>
            <w:tcW w:w="1916" w:type="dxa"/>
            <w:vAlign w:val="center"/>
          </w:tcPr>
          <w:p w14:paraId="156AC6D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无废水外排</w:t>
            </w:r>
          </w:p>
        </w:tc>
      </w:tr>
      <w:tr w14:paraId="660C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0758A0B2">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13E8F1C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地下水及土壤环境</w:t>
            </w:r>
          </w:p>
        </w:tc>
        <w:tc>
          <w:tcPr>
            <w:tcW w:w="1619" w:type="dxa"/>
            <w:vAlign w:val="center"/>
          </w:tcPr>
          <w:p w14:paraId="7B64BC7D">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21AA87E1">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7AAF8EC5">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5C508F94">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4653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2E862273">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1CFD328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声环境</w:t>
            </w:r>
          </w:p>
        </w:tc>
        <w:tc>
          <w:tcPr>
            <w:tcW w:w="1619" w:type="dxa"/>
            <w:vAlign w:val="center"/>
          </w:tcPr>
          <w:p w14:paraId="256BE2A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合理安排施工时间，禁止夜间施工。</w:t>
            </w:r>
          </w:p>
        </w:tc>
        <w:tc>
          <w:tcPr>
            <w:tcW w:w="1440" w:type="dxa"/>
            <w:vAlign w:val="center"/>
          </w:tcPr>
          <w:p w14:paraId="3A401351">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《建筑施工噪声排放标准》（GB12523-20</w:t>
            </w:r>
            <w:r>
              <w:rPr>
                <w:rFonts w:hint="eastAsia" w:cs="Times New Roman"/>
                <w:color w:val="auto"/>
                <w:sz w:val="21"/>
                <w:szCs w:val="21"/>
                <w:highlight w:val="none"/>
                <w:u w:val="single"/>
                <w:lang w:val="en-US" w:eastAsia="zh-CN"/>
              </w:rPr>
              <w:t>25</w:t>
            </w:r>
            <w:r>
              <w:rPr>
                <w:rFonts w:hint="default" w:ascii="Times New Roman" w:hAnsi="Times New Roman" w:cs="Times New Roman"/>
                <w:color w:val="auto"/>
                <w:sz w:val="21"/>
                <w:szCs w:val="21"/>
                <w:highlight w:val="none"/>
                <w:u w:val="single"/>
              </w:rPr>
              <w:t>）</w:t>
            </w:r>
          </w:p>
        </w:tc>
        <w:tc>
          <w:tcPr>
            <w:tcW w:w="2845" w:type="dxa"/>
            <w:vAlign w:val="center"/>
          </w:tcPr>
          <w:p w14:paraId="72CD3ECF">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设备基础减振、厂房隔声，</w:t>
            </w:r>
            <w:r>
              <w:rPr>
                <w:rFonts w:hint="default" w:ascii="Times New Roman" w:hAnsi="Times New Roman" w:cs="Times New Roman"/>
                <w:color w:val="auto"/>
                <w:sz w:val="21"/>
                <w:szCs w:val="21"/>
                <w:highlight w:val="none"/>
                <w:u w:val="single"/>
              </w:rPr>
              <w:t>定期对设备进行维护保养，加强对运输车辆的管理，限制车速，禁止鸣笛。</w:t>
            </w:r>
          </w:p>
        </w:tc>
        <w:tc>
          <w:tcPr>
            <w:tcW w:w="1916" w:type="dxa"/>
            <w:vAlign w:val="center"/>
          </w:tcPr>
          <w:p w14:paraId="1F27E26C">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满足《工业企业厂界环境噪声排放标准》（GB12348-2008）2类要求</w:t>
            </w:r>
          </w:p>
        </w:tc>
      </w:tr>
      <w:tr w14:paraId="6244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5BB75209">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294D903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振动</w:t>
            </w:r>
          </w:p>
        </w:tc>
        <w:tc>
          <w:tcPr>
            <w:tcW w:w="1619" w:type="dxa"/>
            <w:vAlign w:val="center"/>
          </w:tcPr>
          <w:p w14:paraId="647498F1">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57C19092">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54D56F9F">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2DBC9137">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0525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08FC29AC">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4D2386B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大气环境</w:t>
            </w:r>
          </w:p>
        </w:tc>
        <w:tc>
          <w:tcPr>
            <w:tcW w:w="1619" w:type="dxa"/>
            <w:vAlign w:val="center"/>
          </w:tcPr>
          <w:p w14:paraId="48D4428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洒水降尘</w:t>
            </w:r>
          </w:p>
        </w:tc>
        <w:tc>
          <w:tcPr>
            <w:tcW w:w="1440" w:type="dxa"/>
            <w:vAlign w:val="center"/>
          </w:tcPr>
          <w:p w14:paraId="07C9FB9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《大气污染物综合排放标准》（GB16297-1996）表2中无组织排放监控浓度限值</w:t>
            </w:r>
          </w:p>
        </w:tc>
        <w:tc>
          <w:tcPr>
            <w:tcW w:w="2845" w:type="dxa"/>
            <w:vAlign w:val="center"/>
          </w:tcPr>
          <w:p w14:paraId="3D4390F6">
            <w:pPr>
              <w:spacing w:line="240" w:lineRule="auto"/>
              <w:ind w:firstLine="0" w:firstLineChars="0"/>
              <w:jc w:val="left"/>
              <w:rPr>
                <w:rFonts w:hint="eastAsia" w:cs="Times New Roman"/>
                <w:b w:val="0"/>
                <w:bCs w:val="0"/>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①</w:t>
            </w:r>
            <w:r>
              <w:rPr>
                <w:rFonts w:hint="eastAsia"/>
                <w:color w:val="auto"/>
                <w:sz w:val="21"/>
                <w:szCs w:val="21"/>
                <w:u w:val="single"/>
              </w:rPr>
              <w:t>碎石场建设封闭式钢结构厂房，厂房地面硬化，厂房内各设备处、落料点安装喷雾酒水装置</w:t>
            </w:r>
            <w:r>
              <w:rPr>
                <w:rFonts w:hint="eastAsia"/>
                <w:color w:val="auto"/>
                <w:sz w:val="21"/>
                <w:szCs w:val="21"/>
                <w:u w:val="single"/>
                <w:lang w:eastAsia="zh-CN"/>
              </w:rPr>
              <w:t>，</w:t>
            </w:r>
            <w:r>
              <w:rPr>
                <w:rFonts w:hint="eastAsia"/>
                <w:color w:val="auto"/>
                <w:sz w:val="21"/>
                <w:szCs w:val="21"/>
                <w:u w:val="single"/>
                <w:lang w:val="en-US" w:eastAsia="zh-CN"/>
              </w:rPr>
              <w:t>厂房内顶棚每2m安装雾化洒水装置</w:t>
            </w:r>
            <w:r>
              <w:rPr>
                <w:rFonts w:hint="eastAsia" w:cs="Times New Roman"/>
                <w:b w:val="0"/>
                <w:bCs w:val="0"/>
                <w:color w:val="auto"/>
                <w:sz w:val="21"/>
                <w:szCs w:val="21"/>
                <w:highlight w:val="none"/>
                <w:u w:val="single"/>
                <w:lang w:val="en-US" w:eastAsia="zh-CN"/>
              </w:rPr>
              <w:t>；</w:t>
            </w:r>
          </w:p>
          <w:p w14:paraId="41925227">
            <w:pPr>
              <w:spacing w:line="240" w:lineRule="auto"/>
              <w:ind w:firstLine="0" w:firstLineChars="0"/>
              <w:jc w:val="left"/>
              <w:rPr>
                <w:rFonts w:hint="eastAsia"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rPr>
              <w:t>②</w:t>
            </w:r>
            <w:r>
              <w:rPr>
                <w:rFonts w:hint="eastAsia"/>
                <w:color w:val="auto"/>
                <w:sz w:val="21"/>
                <w:szCs w:val="21"/>
                <w:u w:val="single"/>
              </w:rPr>
              <w:t>给料机设置封闭式车间，安装喷雾酒水装置</w:t>
            </w:r>
            <w:r>
              <w:rPr>
                <w:rFonts w:hint="eastAsia"/>
                <w:color w:val="auto"/>
                <w:sz w:val="21"/>
                <w:szCs w:val="21"/>
                <w:u w:val="single"/>
                <w:lang w:eastAsia="zh-CN"/>
              </w:rPr>
              <w:t>。</w:t>
            </w:r>
          </w:p>
          <w:p w14:paraId="3A1AF1A0">
            <w:pPr>
              <w:spacing w:line="240" w:lineRule="auto"/>
              <w:ind w:firstLine="0" w:firstLineChars="0"/>
              <w:jc w:val="left"/>
              <w:rPr>
                <w:rFonts w:hint="eastAsia" w:cs="Times New Roman"/>
                <w:bCs/>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③</w:t>
            </w:r>
            <w:r>
              <w:rPr>
                <w:rFonts w:hint="eastAsia" w:cs="Times New Roman"/>
                <w:b w:val="0"/>
                <w:bCs w:val="0"/>
                <w:color w:val="auto"/>
                <w:sz w:val="21"/>
                <w:szCs w:val="21"/>
                <w:highlight w:val="none"/>
                <w:u w:val="single"/>
                <w:lang w:val="en-US" w:eastAsia="zh-CN"/>
              </w:rPr>
              <w:t>加工粉尘：</w:t>
            </w:r>
            <w:r>
              <w:rPr>
                <w:rFonts w:hint="eastAsia" w:cs="Times New Roman"/>
                <w:bCs/>
                <w:color w:val="auto"/>
                <w:sz w:val="21"/>
                <w:szCs w:val="21"/>
                <w:highlight w:val="none"/>
                <w:u w:val="single"/>
                <w:lang w:val="en-US" w:eastAsia="zh-CN"/>
              </w:rPr>
              <w:t>破碎机及筛分机出料口安装风机收集后经布袋除尘器+15m排气筒处理；</w:t>
            </w:r>
          </w:p>
          <w:p w14:paraId="48178999">
            <w:pPr>
              <w:spacing w:line="240" w:lineRule="auto"/>
              <w:ind w:firstLine="0" w:firstLineChars="0"/>
              <w:jc w:val="left"/>
              <w:rPr>
                <w:rFonts w:hint="eastAsia" w:cs="Times New Roman"/>
                <w:bCs/>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fldChar w:fldCharType="begin"/>
            </w:r>
            <w:r>
              <w:rPr>
                <w:rFonts w:hint="eastAsia" w:ascii="Times New Roman" w:hAnsi="Times New Roman" w:cs="Times New Roman"/>
                <w:color w:val="auto"/>
                <w:sz w:val="21"/>
                <w:szCs w:val="21"/>
                <w:highlight w:val="none"/>
                <w:u w:val="single"/>
                <w:lang w:val="en-US" w:eastAsia="zh-CN"/>
              </w:rPr>
              <w:instrText xml:space="preserve"> = 4 \* GB3 \* MERGEFORMAT </w:instrText>
            </w:r>
            <w:r>
              <w:rPr>
                <w:rFonts w:hint="eastAsia" w:ascii="Times New Roman" w:hAnsi="Times New Roman" w:cs="Times New Roman"/>
                <w:color w:val="auto"/>
                <w:sz w:val="21"/>
                <w:szCs w:val="21"/>
                <w:highlight w:val="none"/>
                <w:u w:val="single"/>
                <w:lang w:val="en-US" w:eastAsia="zh-CN"/>
              </w:rPr>
              <w:fldChar w:fldCharType="separate"/>
            </w:r>
            <w:r>
              <w:rPr>
                <w:rFonts w:hint="default" w:ascii="Times New Roman" w:hAnsi="Times New Roman" w:cs="Times New Roman"/>
                <w:color w:val="auto"/>
                <w:sz w:val="21"/>
                <w:szCs w:val="21"/>
                <w:highlight w:val="none"/>
                <w:u w:val="single"/>
              </w:rPr>
              <w:t>④</w:t>
            </w:r>
            <w:r>
              <w:rPr>
                <w:rFonts w:hint="eastAsia" w:ascii="Times New Roman" w:hAnsi="Times New Roman" w:cs="Times New Roman"/>
                <w:color w:val="auto"/>
                <w:sz w:val="21"/>
                <w:szCs w:val="21"/>
                <w:highlight w:val="none"/>
                <w:u w:val="single"/>
                <w:lang w:val="en-US" w:eastAsia="zh-CN"/>
              </w:rPr>
              <w:fldChar w:fldCharType="end"/>
            </w:r>
            <w:r>
              <w:rPr>
                <w:rFonts w:hint="eastAsia" w:cs="Times New Roman"/>
                <w:bCs/>
                <w:color w:val="auto"/>
                <w:sz w:val="21"/>
                <w:szCs w:val="21"/>
                <w:highlight w:val="none"/>
                <w:u w:val="single"/>
                <w:lang w:val="en-US" w:eastAsia="zh-CN"/>
              </w:rPr>
              <w:t>传送带采取封闭措施、</w:t>
            </w:r>
            <w:r>
              <w:rPr>
                <w:rFonts w:hint="eastAsia" w:cs="Times New Roman"/>
                <w:color w:val="auto"/>
                <w:sz w:val="21"/>
                <w:szCs w:val="21"/>
                <w:highlight w:val="none"/>
                <w:u w:val="single"/>
                <w:lang w:val="en-US" w:eastAsia="zh-CN"/>
              </w:rPr>
              <w:t>喷水抑尘</w:t>
            </w:r>
            <w:r>
              <w:rPr>
                <w:rFonts w:hint="eastAsia" w:cs="Times New Roman"/>
                <w:bCs/>
                <w:color w:val="auto"/>
                <w:sz w:val="21"/>
                <w:szCs w:val="21"/>
                <w:highlight w:val="none"/>
                <w:u w:val="single"/>
                <w:lang w:val="en-US" w:eastAsia="zh-CN"/>
              </w:rPr>
              <w:t>；</w:t>
            </w:r>
          </w:p>
          <w:p w14:paraId="09CEC106">
            <w:pPr>
              <w:spacing w:line="240" w:lineRule="auto"/>
              <w:ind w:firstLine="0" w:firstLineChars="0"/>
              <w:jc w:val="left"/>
              <w:rPr>
                <w:rFonts w:hint="eastAsia"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fldChar w:fldCharType="begin"/>
            </w:r>
            <w:r>
              <w:rPr>
                <w:rFonts w:hint="default" w:ascii="Times New Roman" w:hAnsi="Times New Roman" w:cs="Times New Roman"/>
                <w:color w:val="auto"/>
                <w:sz w:val="21"/>
                <w:szCs w:val="21"/>
                <w:highlight w:val="none"/>
                <w:u w:val="single"/>
              </w:rPr>
              <w:instrText xml:space="preserve"> = 5 \* GB3 \* MERGEFORMAT </w:instrText>
            </w:r>
            <w:r>
              <w:rPr>
                <w:rFonts w:hint="default" w:ascii="Times New Roman" w:hAnsi="Times New Roman" w:cs="Times New Roman"/>
                <w:color w:val="auto"/>
                <w:sz w:val="21"/>
                <w:szCs w:val="21"/>
                <w:highlight w:val="none"/>
                <w:u w:val="single"/>
              </w:rPr>
              <w:fldChar w:fldCharType="separate"/>
            </w:r>
            <w:r>
              <w:rPr>
                <w:rFonts w:hint="default" w:ascii="Times New Roman" w:hAnsi="Times New Roman" w:cs="Times New Roman"/>
                <w:color w:val="auto"/>
                <w:sz w:val="21"/>
                <w:szCs w:val="21"/>
                <w:highlight w:val="none"/>
                <w:u w:val="single"/>
              </w:rPr>
              <w:t>⑤</w:t>
            </w:r>
            <w:r>
              <w:rPr>
                <w:rFonts w:hint="default" w:ascii="Times New Roman" w:hAnsi="Times New Roman" w:cs="Times New Roman"/>
                <w:color w:val="auto"/>
                <w:sz w:val="21"/>
                <w:szCs w:val="21"/>
                <w:highlight w:val="none"/>
                <w:u w:val="single"/>
              </w:rPr>
              <w:fldChar w:fldCharType="end"/>
            </w:r>
            <w:r>
              <w:rPr>
                <w:rFonts w:hint="eastAsia" w:ascii="Times New Roman" w:hAnsi="Times New Roman" w:cs="Times New Roman"/>
                <w:color w:val="auto"/>
                <w:sz w:val="21"/>
                <w:szCs w:val="21"/>
                <w:highlight w:val="none"/>
                <w:u w:val="single"/>
                <w:lang w:val="en-US" w:eastAsia="zh-CN"/>
              </w:rPr>
              <w:t>堆场粉尘：</w:t>
            </w:r>
            <w:r>
              <w:rPr>
                <w:rFonts w:hint="eastAsia"/>
                <w:color w:val="auto"/>
                <w:sz w:val="21"/>
                <w:szCs w:val="21"/>
                <w:u w:val="single"/>
                <w:lang w:val="en-US" w:eastAsia="zh-CN"/>
              </w:rPr>
              <w:t>堆场</w:t>
            </w:r>
            <w:r>
              <w:rPr>
                <w:rFonts w:hint="eastAsia"/>
                <w:color w:val="auto"/>
                <w:sz w:val="21"/>
                <w:szCs w:val="21"/>
                <w:u w:val="single"/>
              </w:rPr>
              <w:t>建设封闭式钢结构厂房，厂房地面硬化，</w:t>
            </w:r>
            <w:r>
              <w:rPr>
                <w:rFonts w:hint="eastAsia"/>
                <w:color w:val="auto"/>
                <w:sz w:val="21"/>
                <w:szCs w:val="21"/>
                <w:u w:val="single"/>
                <w:lang w:val="en-US" w:eastAsia="zh-CN"/>
              </w:rPr>
              <w:t>洒水抑尘</w:t>
            </w:r>
            <w:r>
              <w:rPr>
                <w:rFonts w:hint="eastAsia" w:ascii="Times New Roman" w:hAnsi="Times New Roman" w:cs="Times New Roman"/>
                <w:color w:val="auto"/>
                <w:sz w:val="21"/>
                <w:szCs w:val="21"/>
                <w:highlight w:val="none"/>
                <w:u w:val="single"/>
                <w:lang w:val="en-US" w:eastAsia="zh-CN"/>
              </w:rPr>
              <w:t>；</w:t>
            </w:r>
          </w:p>
          <w:p w14:paraId="572F2242">
            <w:pPr>
              <w:spacing w:line="240" w:lineRule="auto"/>
              <w:ind w:firstLine="0" w:firstLineChars="0"/>
              <w:jc w:val="left"/>
              <w:rPr>
                <w:rFonts w:hint="default" w:ascii="Times New Roman" w:hAnsi="Times New Roman" w:cs="Times New Roman"/>
                <w:color w:val="auto"/>
                <w:sz w:val="21"/>
                <w:szCs w:val="21"/>
                <w:highlight w:val="none"/>
                <w:u w:val="single"/>
              </w:rPr>
            </w:pPr>
            <w:r>
              <w:rPr>
                <w:rFonts w:hint="default"/>
                <w:color w:val="auto"/>
                <w:sz w:val="21"/>
                <w:szCs w:val="21"/>
                <w:u w:val="single"/>
                <w:lang w:val="en-US" w:eastAsia="zh-CN"/>
              </w:rPr>
              <w:fldChar w:fldCharType="begin"/>
            </w:r>
            <w:r>
              <w:rPr>
                <w:rFonts w:hint="default"/>
                <w:color w:val="auto"/>
                <w:sz w:val="21"/>
                <w:szCs w:val="21"/>
                <w:u w:val="single"/>
                <w:lang w:val="en-US" w:eastAsia="zh-CN"/>
              </w:rPr>
              <w:instrText xml:space="preserve"> = 6 \* GB3 \* MERGEFORMAT </w:instrText>
            </w:r>
            <w:r>
              <w:rPr>
                <w:rFonts w:hint="default"/>
                <w:color w:val="auto"/>
                <w:sz w:val="21"/>
                <w:szCs w:val="21"/>
                <w:u w:val="single"/>
                <w:lang w:val="en-US" w:eastAsia="zh-CN"/>
              </w:rPr>
              <w:fldChar w:fldCharType="separate"/>
            </w:r>
            <w:r>
              <w:rPr>
                <w:rFonts w:hint="eastAsia"/>
                <w:color w:val="auto"/>
                <w:sz w:val="21"/>
                <w:szCs w:val="21"/>
                <w:u w:val="single"/>
                <w:lang w:val="en-US" w:eastAsia="zh-CN"/>
              </w:rPr>
              <w:t>⑥</w:t>
            </w:r>
            <w:r>
              <w:rPr>
                <w:rFonts w:hint="default"/>
                <w:color w:val="auto"/>
                <w:sz w:val="21"/>
                <w:szCs w:val="21"/>
                <w:u w:val="single"/>
                <w:lang w:val="en-US" w:eastAsia="zh-CN"/>
              </w:rPr>
              <w:fldChar w:fldCharType="end"/>
            </w:r>
            <w:r>
              <w:rPr>
                <w:rFonts w:hint="default" w:ascii="Times New Roman" w:hAnsi="Times New Roman" w:cs="Times New Roman"/>
                <w:color w:val="auto"/>
                <w:sz w:val="21"/>
                <w:szCs w:val="21"/>
                <w:highlight w:val="none"/>
                <w:u w:val="single"/>
              </w:rPr>
              <w:t>运输粉尘：</w:t>
            </w:r>
            <w:r>
              <w:rPr>
                <w:rFonts w:hint="eastAsia"/>
                <w:color w:val="auto"/>
                <w:sz w:val="21"/>
                <w:szCs w:val="21"/>
                <w:u w:val="single"/>
              </w:rPr>
              <w:t>道路硬化、绿化，安排专人酒水清扫</w:t>
            </w:r>
            <w:r>
              <w:rPr>
                <w:rFonts w:hint="eastAsia"/>
                <w:color w:val="auto"/>
                <w:sz w:val="21"/>
                <w:szCs w:val="21"/>
                <w:u w:val="single"/>
                <w:lang w:eastAsia="zh-CN"/>
              </w:rPr>
              <w:t>；</w:t>
            </w:r>
            <w:r>
              <w:rPr>
                <w:rFonts w:hint="eastAsia"/>
                <w:color w:val="auto"/>
                <w:sz w:val="21"/>
                <w:szCs w:val="21"/>
                <w:u w:val="single"/>
              </w:rPr>
              <w:t>运输车辆限速，产品运输车辆覆盖遮盖物，出场前清洗</w:t>
            </w:r>
            <w:r>
              <w:rPr>
                <w:rFonts w:hint="eastAsia" w:ascii="Times New Roman" w:hAnsi="Times New Roman" w:cs="Times New Roman"/>
                <w:color w:val="auto"/>
                <w:sz w:val="21"/>
                <w:szCs w:val="21"/>
                <w:highlight w:val="none"/>
                <w:u w:val="single"/>
                <w:lang w:eastAsia="zh-CN"/>
              </w:rPr>
              <w:t>。</w:t>
            </w:r>
          </w:p>
        </w:tc>
        <w:tc>
          <w:tcPr>
            <w:tcW w:w="1916" w:type="dxa"/>
            <w:vAlign w:val="center"/>
          </w:tcPr>
          <w:p w14:paraId="4DA0D3EC">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《大气污染物综合排放标准》（GB16297-1996）表2中二级排放标准以及无组织排监控浓度限值标准</w:t>
            </w:r>
          </w:p>
        </w:tc>
      </w:tr>
      <w:tr w14:paraId="33EB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042C77BE">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2DC845B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固体废物</w:t>
            </w:r>
          </w:p>
        </w:tc>
        <w:tc>
          <w:tcPr>
            <w:tcW w:w="1619" w:type="dxa"/>
            <w:vAlign w:val="center"/>
          </w:tcPr>
          <w:p w14:paraId="75E4818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施工垃圾分类集中收集，可利用的直接回收利用，</w:t>
            </w:r>
            <w:r>
              <w:rPr>
                <w:rFonts w:hint="eastAsia" w:cs="Times New Roman"/>
                <w:color w:val="auto"/>
                <w:sz w:val="21"/>
                <w:szCs w:val="21"/>
                <w:highlight w:val="none"/>
                <w:u w:val="single"/>
                <w:lang w:val="en-US" w:eastAsia="zh-CN"/>
              </w:rPr>
              <w:t>沉淀池建设开挖固废暂存于排土场用于后期矿山复垦</w:t>
            </w:r>
          </w:p>
        </w:tc>
        <w:tc>
          <w:tcPr>
            <w:tcW w:w="1440" w:type="dxa"/>
            <w:vAlign w:val="center"/>
          </w:tcPr>
          <w:p w14:paraId="73B22F7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一般固体废物储存执行《</w:t>
            </w:r>
            <w:r>
              <w:rPr>
                <w:rFonts w:hint="eastAsia" w:cs="Times New Roman"/>
                <w:color w:val="auto"/>
                <w:sz w:val="21"/>
                <w:szCs w:val="21"/>
                <w:highlight w:val="none"/>
                <w:u w:val="single"/>
                <w:lang w:eastAsia="zh-CN"/>
              </w:rPr>
              <w:t>一般工业固体废物贮存和填埋污染控制标准</w:t>
            </w:r>
            <w:r>
              <w:rPr>
                <w:rFonts w:hint="default" w:ascii="Times New Roman" w:hAnsi="Times New Roman" w:cs="Times New Roman"/>
                <w:color w:val="auto"/>
                <w:sz w:val="21"/>
                <w:szCs w:val="21"/>
                <w:highlight w:val="none"/>
                <w:u w:val="single"/>
              </w:rPr>
              <w:t>》（GB18599-20</w:t>
            </w:r>
            <w:r>
              <w:rPr>
                <w:rFonts w:hint="eastAsia" w:ascii="Times New Roman" w:hAnsi="Times New Roman" w:cs="Times New Roman"/>
                <w:color w:val="auto"/>
                <w:sz w:val="21"/>
                <w:szCs w:val="21"/>
                <w:highlight w:val="none"/>
                <w:u w:val="single"/>
                <w:lang w:val="en-US" w:eastAsia="zh-CN"/>
              </w:rPr>
              <w:t>20</w:t>
            </w:r>
            <w:r>
              <w:rPr>
                <w:rFonts w:hint="default" w:ascii="Times New Roman" w:hAnsi="Times New Roman" w:cs="Times New Roman"/>
                <w:color w:val="auto"/>
                <w:sz w:val="21"/>
                <w:szCs w:val="21"/>
                <w:highlight w:val="none"/>
                <w:u w:val="single"/>
              </w:rPr>
              <w:t>）</w:t>
            </w:r>
          </w:p>
        </w:tc>
        <w:tc>
          <w:tcPr>
            <w:tcW w:w="2845" w:type="dxa"/>
            <w:vAlign w:val="center"/>
          </w:tcPr>
          <w:p w14:paraId="68FB07E8">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沉淀池</w:t>
            </w:r>
            <w:r>
              <w:rPr>
                <w:rFonts w:hint="eastAsia" w:cs="Times New Roman"/>
                <w:color w:val="auto"/>
                <w:sz w:val="21"/>
                <w:szCs w:val="21"/>
                <w:highlight w:val="none"/>
                <w:u w:val="single"/>
                <w:lang w:val="en-US" w:eastAsia="zh-CN"/>
              </w:rPr>
              <w:t>及压滤机</w:t>
            </w:r>
            <w:r>
              <w:rPr>
                <w:rFonts w:hint="default" w:ascii="Times New Roman" w:hAnsi="Times New Roman" w:cs="Times New Roman"/>
                <w:color w:val="auto"/>
                <w:sz w:val="21"/>
                <w:szCs w:val="21"/>
                <w:highlight w:val="none"/>
                <w:u w:val="single"/>
              </w:rPr>
              <w:t>污泥暂存于</w:t>
            </w:r>
            <w:r>
              <w:rPr>
                <w:rFonts w:hint="eastAsia" w:cs="Times New Roman"/>
                <w:color w:val="auto"/>
                <w:sz w:val="21"/>
                <w:szCs w:val="21"/>
                <w:highlight w:val="none"/>
                <w:u w:val="single"/>
                <w:lang w:eastAsia="zh-CN"/>
              </w:rPr>
              <w:t>排土场</w:t>
            </w:r>
            <w:r>
              <w:rPr>
                <w:rFonts w:hint="default" w:ascii="Times New Roman" w:hAnsi="Times New Roman" w:cs="Times New Roman"/>
                <w:color w:val="auto"/>
                <w:sz w:val="21"/>
                <w:szCs w:val="21"/>
                <w:highlight w:val="none"/>
                <w:u w:val="single"/>
              </w:rPr>
              <w:t>用作复垦绿化覆土，生活垃圾统一收集交环卫部门清运处理，废机油</w:t>
            </w:r>
            <w:r>
              <w:rPr>
                <w:rFonts w:hint="eastAsia" w:cs="Times New Roman"/>
                <w:color w:val="auto"/>
                <w:sz w:val="21"/>
                <w:szCs w:val="21"/>
                <w:highlight w:val="none"/>
                <w:u w:val="single"/>
                <w:lang w:eastAsia="zh-CN"/>
              </w:rPr>
              <w:t>、</w:t>
            </w:r>
            <w:r>
              <w:rPr>
                <w:rFonts w:hint="eastAsia" w:cs="Times New Roman"/>
                <w:color w:val="auto"/>
                <w:sz w:val="21"/>
                <w:szCs w:val="21"/>
                <w:highlight w:val="none"/>
                <w:u w:val="single"/>
                <w:lang w:val="en-US" w:eastAsia="zh-CN"/>
              </w:rPr>
              <w:t>含油废抹布手套</w:t>
            </w:r>
            <w:r>
              <w:rPr>
                <w:rFonts w:hint="default" w:ascii="Times New Roman" w:hAnsi="Times New Roman" w:cs="Times New Roman"/>
                <w:color w:val="auto"/>
                <w:sz w:val="21"/>
                <w:szCs w:val="21"/>
                <w:highlight w:val="none"/>
                <w:u w:val="single"/>
              </w:rPr>
              <w:t>暂存于危废暂存间，定期委托有资质的单位处置。</w:t>
            </w:r>
          </w:p>
        </w:tc>
        <w:tc>
          <w:tcPr>
            <w:tcW w:w="1916" w:type="dxa"/>
            <w:vAlign w:val="center"/>
          </w:tcPr>
          <w:p w14:paraId="1E87F4A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《危险废物贮存污染控制标准》（GB18597-2023）</w:t>
            </w:r>
            <w:r>
              <w:rPr>
                <w:rFonts w:hint="eastAsia"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w:t>
            </w:r>
            <w:r>
              <w:rPr>
                <w:rFonts w:hint="eastAsia" w:cs="Times New Roman"/>
                <w:color w:val="auto"/>
                <w:sz w:val="21"/>
                <w:szCs w:val="21"/>
                <w:highlight w:val="none"/>
                <w:u w:val="single"/>
                <w:lang w:eastAsia="zh-CN"/>
              </w:rPr>
              <w:t>一般工业固体废物贮存和填埋污染控制标准</w:t>
            </w:r>
            <w:r>
              <w:rPr>
                <w:rFonts w:hint="default" w:ascii="Times New Roman" w:hAnsi="Times New Roman" w:cs="Times New Roman"/>
                <w:color w:val="auto"/>
                <w:sz w:val="21"/>
                <w:szCs w:val="21"/>
                <w:highlight w:val="none"/>
                <w:u w:val="single"/>
              </w:rPr>
              <w:t>》（GB18599-20</w:t>
            </w:r>
            <w:r>
              <w:rPr>
                <w:rFonts w:hint="eastAsia" w:ascii="Times New Roman" w:hAnsi="Times New Roman" w:cs="Times New Roman"/>
                <w:color w:val="auto"/>
                <w:sz w:val="21"/>
                <w:szCs w:val="21"/>
                <w:highlight w:val="none"/>
                <w:u w:val="single"/>
                <w:lang w:val="en-US" w:eastAsia="zh-CN"/>
              </w:rPr>
              <w:t>20</w:t>
            </w:r>
            <w:r>
              <w:rPr>
                <w:rFonts w:hint="default" w:ascii="Times New Roman" w:hAnsi="Times New Roman" w:cs="Times New Roman"/>
                <w:color w:val="auto"/>
                <w:sz w:val="21"/>
                <w:szCs w:val="21"/>
                <w:highlight w:val="none"/>
                <w:u w:val="single"/>
              </w:rPr>
              <w:t>）</w:t>
            </w:r>
          </w:p>
        </w:tc>
      </w:tr>
      <w:tr w14:paraId="5EBB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1228584A">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15E77C6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电磁环境</w:t>
            </w:r>
          </w:p>
        </w:tc>
        <w:tc>
          <w:tcPr>
            <w:tcW w:w="1619" w:type="dxa"/>
            <w:vAlign w:val="center"/>
          </w:tcPr>
          <w:p w14:paraId="58F678D0">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2E255515">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1CEF2221">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1CCF2EDE">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1507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610B8146">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62354EF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环境风险</w:t>
            </w:r>
          </w:p>
        </w:tc>
        <w:tc>
          <w:tcPr>
            <w:tcW w:w="1619" w:type="dxa"/>
            <w:vAlign w:val="center"/>
          </w:tcPr>
          <w:p w14:paraId="35A1295F">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0768C0BD">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4761" w:type="dxa"/>
            <w:gridSpan w:val="2"/>
            <w:vAlign w:val="center"/>
          </w:tcPr>
          <w:p w14:paraId="2A4FEDA4">
            <w:pPr>
              <w:spacing w:line="276"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①加强沉淀池巡查，杜绝废水排放；</w:t>
            </w:r>
          </w:p>
          <w:p w14:paraId="7104C952">
            <w:pPr>
              <w:spacing w:line="276"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②采用托盘盛装废机油桶；</w:t>
            </w:r>
          </w:p>
          <w:p w14:paraId="09CB3FC8">
            <w:pPr>
              <w:spacing w:line="276" w:lineRule="auto"/>
              <w:ind w:firstLine="0" w:firstLineChars="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③</w:t>
            </w:r>
            <w:r>
              <w:rPr>
                <w:rFonts w:hint="eastAsia" w:cs="Times New Roman"/>
                <w:color w:val="auto"/>
                <w:sz w:val="21"/>
                <w:szCs w:val="21"/>
                <w:highlight w:val="none"/>
                <w:u w:val="single"/>
                <w:lang w:val="en-US" w:eastAsia="zh-CN"/>
              </w:rPr>
              <w:t>配置灭火器、消防沙等应急物资；</w:t>
            </w:r>
          </w:p>
          <w:p w14:paraId="757FE7F2">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④编制突发环境事件应急预案。</w:t>
            </w:r>
          </w:p>
        </w:tc>
      </w:tr>
      <w:tr w14:paraId="0375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21C115F7">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558153F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环境监测</w:t>
            </w:r>
          </w:p>
        </w:tc>
        <w:tc>
          <w:tcPr>
            <w:tcW w:w="1619" w:type="dxa"/>
            <w:vAlign w:val="center"/>
          </w:tcPr>
          <w:p w14:paraId="71855E2A">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508747A9">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4761" w:type="dxa"/>
            <w:gridSpan w:val="2"/>
            <w:vAlign w:val="center"/>
          </w:tcPr>
          <w:p w14:paraId="65971EB0">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按监测计划一览表对</w:t>
            </w:r>
            <w:r>
              <w:rPr>
                <w:rFonts w:hint="eastAsia" w:cs="Times New Roman"/>
                <w:color w:val="auto"/>
                <w:sz w:val="21"/>
                <w:szCs w:val="21"/>
                <w:highlight w:val="none"/>
                <w:u w:val="single"/>
                <w:lang w:val="en-US" w:eastAsia="zh-CN"/>
              </w:rPr>
              <w:t>工业场地</w:t>
            </w:r>
            <w:r>
              <w:rPr>
                <w:rFonts w:hint="default" w:ascii="Times New Roman" w:hAnsi="Times New Roman" w:cs="Times New Roman"/>
                <w:color w:val="auto"/>
                <w:sz w:val="21"/>
                <w:szCs w:val="21"/>
                <w:highlight w:val="none"/>
                <w:u w:val="single"/>
              </w:rPr>
              <w:t>废气及噪声进行监测。</w:t>
            </w:r>
          </w:p>
        </w:tc>
      </w:tr>
      <w:tr w14:paraId="17AE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gridSpan w:val="2"/>
            <w:vAlign w:val="center"/>
          </w:tcPr>
          <w:p w14:paraId="5641835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其他</w:t>
            </w:r>
          </w:p>
        </w:tc>
        <w:tc>
          <w:tcPr>
            <w:tcW w:w="7820" w:type="dxa"/>
            <w:gridSpan w:val="4"/>
            <w:vAlign w:val="center"/>
          </w:tcPr>
          <w:p w14:paraId="78E2D0B8">
            <w:pPr>
              <w:spacing w:line="360" w:lineRule="auto"/>
              <w:ind w:firstLine="420" w:firstLineChars="20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一、环境管理机构</w:t>
            </w:r>
          </w:p>
          <w:p w14:paraId="3B713F05">
            <w:pPr>
              <w:spacing w:line="360" w:lineRule="auto"/>
              <w:ind w:firstLine="420" w:firstLineChars="20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建议设环保专职岗位1个，制订安全环保管理守则和事故管理办法，建立符合标准的环境管理体系。</w:t>
            </w:r>
          </w:p>
          <w:p w14:paraId="47DF3FD9">
            <w:pPr>
              <w:spacing w:line="360" w:lineRule="auto"/>
              <w:ind w:firstLine="420" w:firstLineChars="20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二、与排污许可制度的衔接</w:t>
            </w:r>
          </w:p>
          <w:p w14:paraId="110B33D5">
            <w:pPr>
              <w:spacing w:line="360" w:lineRule="auto"/>
              <w:ind w:firstLine="420" w:firstLineChars="20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根据《固定污染源排污许可分类管理名录》（2019年版）要求</w:t>
            </w:r>
            <w:r>
              <w:rPr>
                <w:rFonts w:hint="eastAsia"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本项目矿区开采部分</w:t>
            </w:r>
            <w:r>
              <w:rPr>
                <w:rFonts w:hint="eastAsia" w:cs="Times New Roman"/>
                <w:color w:val="auto"/>
                <w:sz w:val="21"/>
                <w:szCs w:val="21"/>
                <w:highlight w:val="none"/>
                <w:u w:val="single"/>
                <w:lang w:val="en-US" w:eastAsia="zh-CN"/>
              </w:rPr>
              <w:t>属于</w:t>
            </w:r>
            <w:r>
              <w:rPr>
                <w:rFonts w:hint="default" w:ascii="Times New Roman" w:hAnsi="Times New Roman" w:cs="Times New Roman"/>
                <w:color w:val="auto"/>
                <w:sz w:val="21"/>
                <w:szCs w:val="21"/>
                <w:highlight w:val="none"/>
                <w:u w:val="single"/>
              </w:rPr>
              <w:t>《固定污染源排污许可分类管理名录》（2019年版）</w:t>
            </w:r>
            <w:r>
              <w:rPr>
                <w:rFonts w:hint="eastAsia" w:cs="Times New Roman"/>
                <w:color w:val="auto"/>
                <w:sz w:val="21"/>
                <w:szCs w:val="21"/>
                <w:highlight w:val="none"/>
                <w:u w:val="single"/>
                <w:lang w:val="en-US" w:eastAsia="zh-CN"/>
              </w:rPr>
              <w:t>中</w:t>
            </w:r>
            <w:r>
              <w:rPr>
                <w:rFonts w:hint="eastAsia" w:cs="Times New Roman"/>
                <w:b/>
                <w:bCs/>
                <w:color w:val="auto"/>
                <w:sz w:val="21"/>
                <w:szCs w:val="21"/>
                <w:highlight w:val="none"/>
                <w:u w:val="single"/>
                <w:lang w:val="en-US" w:eastAsia="zh-CN"/>
              </w:rPr>
              <w:t>六—非金属矿采选业10—土砂石开采101—其他</w:t>
            </w:r>
            <w:r>
              <w:rPr>
                <w:rFonts w:hint="eastAsia" w:cs="Times New Roman"/>
                <w:color w:val="auto"/>
                <w:sz w:val="21"/>
                <w:szCs w:val="21"/>
                <w:highlight w:val="none"/>
                <w:u w:val="single"/>
                <w:lang w:val="en-US" w:eastAsia="zh-CN"/>
              </w:rPr>
              <w:t>，排污许可为登记管理；加工厂区属于</w:t>
            </w:r>
            <w:r>
              <w:rPr>
                <w:rFonts w:hint="eastAsia" w:cs="Times New Roman"/>
                <w:b/>
                <w:bCs/>
                <w:color w:val="auto"/>
                <w:sz w:val="21"/>
                <w:szCs w:val="21"/>
                <w:highlight w:val="none"/>
                <w:u w:val="single"/>
                <w:lang w:val="en-US" w:eastAsia="zh-CN"/>
              </w:rPr>
              <w:t>二十五、非金属矿物制品业30—其他非金属矿物制品制造309—其他非金属矿物制品制造 3099，</w:t>
            </w:r>
            <w:r>
              <w:rPr>
                <w:rFonts w:hint="eastAsia" w:cs="Times New Roman"/>
                <w:b w:val="0"/>
                <w:bCs w:val="0"/>
                <w:color w:val="auto"/>
                <w:sz w:val="21"/>
                <w:szCs w:val="21"/>
                <w:highlight w:val="none"/>
                <w:u w:val="single"/>
                <w:lang w:val="en-US" w:eastAsia="zh-CN"/>
              </w:rPr>
              <w:t>排污许可为登记管理，根据上述要求，建设单位在本项目投入运行前</w:t>
            </w:r>
            <w:r>
              <w:rPr>
                <w:rFonts w:hint="default" w:ascii="Times New Roman" w:hAnsi="Times New Roman" w:cs="Times New Roman"/>
                <w:color w:val="auto"/>
                <w:sz w:val="21"/>
                <w:szCs w:val="21"/>
                <w:highlight w:val="none"/>
                <w:u w:val="single"/>
              </w:rPr>
              <w:t>应当在全国排污许可证管理信息平台填报</w:t>
            </w:r>
            <w:r>
              <w:rPr>
                <w:rFonts w:hint="eastAsia" w:cs="Times New Roman"/>
                <w:color w:val="auto"/>
                <w:sz w:val="21"/>
                <w:szCs w:val="21"/>
                <w:highlight w:val="none"/>
                <w:u w:val="single"/>
                <w:lang w:val="en-US" w:eastAsia="zh-CN"/>
              </w:rPr>
              <w:t>排污许可登记信息</w:t>
            </w:r>
            <w:r>
              <w:rPr>
                <w:rFonts w:hint="default" w:ascii="Times New Roman" w:hAnsi="Times New Roman" w:cs="Times New Roman"/>
                <w:color w:val="auto"/>
                <w:sz w:val="21"/>
                <w:szCs w:val="21"/>
                <w:highlight w:val="none"/>
                <w:u w:val="single"/>
              </w:rPr>
              <w:t>。</w:t>
            </w:r>
          </w:p>
          <w:p w14:paraId="61EA52C6">
            <w:pPr>
              <w:spacing w:line="360" w:lineRule="auto"/>
              <w:ind w:firstLine="420" w:firstLineChars="20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三、</w:t>
            </w:r>
            <w:r>
              <w:rPr>
                <w:rFonts w:hint="eastAsia" w:cs="Times New Roman"/>
                <w:color w:val="auto"/>
                <w:sz w:val="21"/>
                <w:szCs w:val="21"/>
                <w:highlight w:val="none"/>
                <w:u w:val="single"/>
                <w:lang w:val="en-US" w:eastAsia="zh-CN"/>
              </w:rPr>
              <w:t>竣工环保验收</w:t>
            </w:r>
          </w:p>
          <w:p w14:paraId="7E81C89B">
            <w:pPr>
              <w:spacing w:line="360" w:lineRule="auto"/>
              <w:ind w:firstLine="420" w:firstLineChars="20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根据《建设项目环境保护管理条例》（国务院令 682号），第十七条“编制环境影响报告书、环境影响报告表的建设项目竣工后，建设单位应当按照国务院环境保护行政主管部门规定的标准和程序，对配套建设的环境保护设施进行验收，编制验收报告”。</w:t>
            </w:r>
          </w:p>
          <w:p w14:paraId="29C4E4D7">
            <w:pPr>
              <w:spacing w:line="240" w:lineRule="auto"/>
              <w:ind w:firstLine="420" w:firstLineChars="200"/>
              <w:rPr>
                <w:rFonts w:hint="default" w:ascii="Times New Roman" w:hAnsi="Times New Roman" w:cs="Times New Roman"/>
                <w:color w:val="auto"/>
                <w:sz w:val="21"/>
                <w:szCs w:val="21"/>
                <w:highlight w:val="none"/>
                <w:u w:val="single"/>
              </w:rPr>
            </w:pPr>
          </w:p>
          <w:p w14:paraId="1E9932FC">
            <w:pPr>
              <w:spacing w:line="240" w:lineRule="auto"/>
              <w:ind w:firstLine="420" w:firstLineChars="200"/>
              <w:rPr>
                <w:rFonts w:hint="default" w:ascii="Times New Roman" w:hAnsi="Times New Roman" w:cs="Times New Roman"/>
                <w:color w:val="auto"/>
                <w:sz w:val="21"/>
                <w:szCs w:val="21"/>
                <w:highlight w:val="none"/>
                <w:u w:val="single"/>
              </w:rPr>
            </w:pPr>
          </w:p>
          <w:p w14:paraId="48C156E0">
            <w:pPr>
              <w:spacing w:line="240" w:lineRule="auto"/>
              <w:ind w:firstLine="420" w:firstLineChars="200"/>
              <w:rPr>
                <w:rFonts w:hint="default" w:ascii="Times New Roman" w:hAnsi="Times New Roman" w:cs="Times New Roman"/>
                <w:color w:val="auto"/>
                <w:sz w:val="21"/>
                <w:szCs w:val="21"/>
                <w:highlight w:val="none"/>
                <w:u w:val="single"/>
              </w:rPr>
            </w:pPr>
          </w:p>
          <w:p w14:paraId="198D6FAF">
            <w:pPr>
              <w:spacing w:line="240" w:lineRule="auto"/>
              <w:ind w:firstLine="420" w:firstLineChars="200"/>
              <w:rPr>
                <w:rFonts w:hint="default" w:ascii="Times New Roman" w:hAnsi="Times New Roman" w:cs="Times New Roman"/>
                <w:color w:val="auto"/>
                <w:sz w:val="21"/>
                <w:szCs w:val="21"/>
                <w:highlight w:val="none"/>
                <w:u w:val="single"/>
              </w:rPr>
            </w:pPr>
          </w:p>
          <w:p w14:paraId="29197087">
            <w:pPr>
              <w:spacing w:line="240" w:lineRule="auto"/>
              <w:ind w:firstLine="0" w:firstLineChars="0"/>
              <w:rPr>
                <w:rFonts w:hint="default" w:ascii="Times New Roman" w:hAnsi="Times New Roman" w:cs="Times New Roman"/>
                <w:color w:val="auto"/>
                <w:sz w:val="21"/>
                <w:szCs w:val="21"/>
                <w:highlight w:val="none"/>
                <w:u w:val="single"/>
              </w:rPr>
            </w:pPr>
          </w:p>
          <w:p w14:paraId="079B07BA">
            <w:pPr>
              <w:spacing w:line="240" w:lineRule="auto"/>
              <w:ind w:firstLine="0" w:firstLineChars="0"/>
              <w:rPr>
                <w:rFonts w:hint="default" w:ascii="Times New Roman" w:hAnsi="Times New Roman" w:cs="Times New Roman"/>
                <w:color w:val="auto"/>
                <w:sz w:val="21"/>
                <w:szCs w:val="21"/>
                <w:highlight w:val="none"/>
                <w:u w:val="single"/>
              </w:rPr>
            </w:pPr>
          </w:p>
        </w:tc>
      </w:tr>
    </w:tbl>
    <w:p w14:paraId="196AE4A5">
      <w:pPr>
        <w:ind w:firstLine="480"/>
        <w:rPr>
          <w:rFonts w:hint="default" w:ascii="Times New Roman" w:hAnsi="Times New Roman" w:cs="Times New Roman"/>
          <w:color w:val="auto"/>
          <w:highlight w:val="none"/>
        </w:rPr>
        <w:sectPr>
          <w:pgSz w:w="11906" w:h="16838"/>
          <w:pgMar w:top="1701" w:right="1531" w:bottom="1701" w:left="1531"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5CFBA89">
      <w:pPr>
        <w:pStyle w:val="2"/>
        <w:jc w:val="center"/>
        <w:rPr>
          <w:rFonts w:hint="default" w:ascii="Times New Roman" w:hAnsi="Times New Roman" w:eastAsia="黑体" w:cs="Times New Roman"/>
          <w:b w:val="0"/>
          <w:bCs w:val="0"/>
          <w:color w:val="auto"/>
          <w:sz w:val="30"/>
          <w:szCs w:val="30"/>
          <w:highlight w:val="none"/>
        </w:rPr>
      </w:pPr>
      <w:bookmarkStart w:id="8" w:name="_Toc4752"/>
      <w:r>
        <w:rPr>
          <w:rFonts w:hint="default" w:ascii="Times New Roman" w:hAnsi="Times New Roman" w:eastAsia="黑体" w:cs="Times New Roman"/>
          <w:b w:val="0"/>
          <w:bCs w:val="0"/>
          <w:color w:val="auto"/>
          <w:sz w:val="30"/>
          <w:szCs w:val="30"/>
          <w:highlight w:val="none"/>
        </w:rPr>
        <w:t>七、结论</w:t>
      </w:r>
      <w:bookmarkEnd w:id="8"/>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3005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5" w:hRule="atLeast"/>
        </w:trPr>
        <w:tc>
          <w:tcPr>
            <w:tcW w:w="9060" w:type="dxa"/>
            <w:vAlign w:val="center"/>
          </w:tcPr>
          <w:p w14:paraId="066612E6">
            <w:pPr>
              <w:keepNext w:val="0"/>
              <w:keepLines w:val="0"/>
              <w:widowControl/>
              <w:suppressLineNumbers w:val="0"/>
              <w:jc w:val="left"/>
              <w:rPr>
                <w:rFonts w:hint="eastAsia" w:ascii="Times New Roman" w:hAnsi="Times New Roman" w:eastAsia="宋体" w:cs="Times New Roman"/>
                <w:color w:val="auto"/>
                <w:sz w:val="24"/>
                <w:highlight w:val="none"/>
                <w:lang w:eastAsia="zh-CN"/>
              </w:rPr>
            </w:pPr>
            <w:r>
              <w:rPr>
                <w:rFonts w:hint="eastAsia" w:cs="Times New Roman"/>
                <w:color w:val="auto"/>
                <w:szCs w:val="24"/>
                <w:highlight w:val="none"/>
                <w:lang w:eastAsia="zh-CN"/>
              </w:rPr>
              <w:t>湖南省澧县屠夫垭矿区建筑石料用灰岩矿项目</w:t>
            </w:r>
            <w:r>
              <w:rPr>
                <w:rFonts w:hint="eastAsia" w:ascii="Times New Roman" w:hAnsi="Times New Roman" w:eastAsia="宋体" w:cs="Times New Roman"/>
                <w:color w:val="auto"/>
                <w:sz w:val="24"/>
                <w:highlight w:val="none"/>
                <w:lang w:eastAsia="zh-CN"/>
              </w:rPr>
              <w:t>位于</w:t>
            </w:r>
            <w:r>
              <w:rPr>
                <w:rFonts w:hint="default" w:ascii="Times New Roman" w:hAnsi="Times New Roman" w:cs="Times New Roman"/>
                <w:color w:val="auto"/>
                <w:szCs w:val="24"/>
                <w:highlight w:val="none"/>
              </w:rPr>
              <w:t>湖南省</w:t>
            </w:r>
            <w:r>
              <w:rPr>
                <w:rFonts w:hint="eastAsia" w:cs="Times New Roman"/>
                <w:color w:val="auto"/>
                <w:szCs w:val="24"/>
                <w:highlight w:val="none"/>
                <w:lang w:eastAsia="zh-CN"/>
              </w:rPr>
              <w:t>常德市澧县火连坡镇芦桥村九组</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本项目建设符</w:t>
            </w:r>
            <w:r>
              <w:rPr>
                <w:rFonts w:hint="eastAsia" w:ascii="宋体" w:hAnsi="宋体" w:eastAsia="宋体" w:cs="宋体"/>
                <w:color w:val="auto"/>
                <w:kern w:val="0"/>
                <w:sz w:val="24"/>
                <w:szCs w:val="24"/>
                <w:highlight w:val="none"/>
                <w:lang w:val="en-US" w:eastAsia="zh-CN" w:bidi="ar"/>
              </w:rPr>
              <w:t>合</w:t>
            </w:r>
            <w:r>
              <w:rPr>
                <w:rFonts w:hint="eastAsia" w:ascii="Times New Roman" w:hAnsi="Times New Roman" w:eastAsia="宋体" w:cs="Times New Roman"/>
                <w:color w:val="auto"/>
                <w:sz w:val="24"/>
                <w:highlight w:val="none"/>
              </w:rPr>
              <w:t>生态环境分区管控</w:t>
            </w:r>
            <w:r>
              <w:rPr>
                <w:rFonts w:hint="eastAsia" w:ascii="Times New Roman" w:hAnsi="Times New Roman" w:eastAsia="宋体" w:cs="Times New Roman"/>
                <w:color w:val="auto"/>
                <w:sz w:val="24"/>
                <w:highlight w:val="none"/>
                <w:lang w:val="en-US" w:eastAsia="zh-CN"/>
              </w:rPr>
              <w:t>要求及相</w:t>
            </w:r>
            <w:r>
              <w:rPr>
                <w:rFonts w:hint="eastAsia" w:ascii="宋体" w:hAnsi="宋体" w:eastAsia="宋体" w:cs="宋体"/>
                <w:color w:val="auto"/>
                <w:kern w:val="0"/>
                <w:sz w:val="24"/>
                <w:szCs w:val="24"/>
                <w:highlight w:val="none"/>
                <w:lang w:val="en-US" w:eastAsia="zh-CN" w:bidi="ar"/>
              </w:rPr>
              <w:t>关法律法规、相关产业政策、环保政策及矿产资源总体规划要求。</w:t>
            </w:r>
            <w:r>
              <w:rPr>
                <w:rFonts w:ascii="Times New Roman" w:hAnsi="Times New Roman" w:eastAsia="宋体" w:cs="Times New Roman"/>
                <w:color w:val="auto"/>
                <w:sz w:val="24"/>
                <w:highlight w:val="none"/>
              </w:rPr>
              <w:t>通过对该项目的工程分析、环境影响分析，在采取本报告提出的污染控制措施的基础上，本项目对环境的影响较小。</w:t>
            </w:r>
            <w:r>
              <w:rPr>
                <w:rFonts w:hint="eastAsia" w:ascii="Times New Roman" w:hAnsi="Times New Roman" w:eastAsia="宋体" w:cs="Times New Roman"/>
                <w:color w:val="auto"/>
                <w:sz w:val="24"/>
                <w:highlight w:val="none"/>
              </w:rPr>
              <w:t>从环境保护角度考虑，该项目建设可行</w:t>
            </w:r>
            <w:r>
              <w:rPr>
                <w:rFonts w:hint="eastAsia" w:ascii="Times New Roman" w:hAnsi="Times New Roman" w:eastAsia="宋体" w:cs="Times New Roman"/>
                <w:color w:val="auto"/>
                <w:sz w:val="24"/>
                <w:highlight w:val="none"/>
                <w:lang w:eastAsia="zh-CN"/>
              </w:rPr>
              <w:t>。</w:t>
            </w:r>
          </w:p>
          <w:p w14:paraId="0853D069">
            <w:pPr>
              <w:ind w:firstLine="480"/>
              <w:rPr>
                <w:rFonts w:hint="default" w:ascii="Times New Roman" w:hAnsi="Times New Roman" w:cs="Times New Roman"/>
                <w:color w:val="auto"/>
                <w:szCs w:val="24"/>
                <w:highlight w:val="none"/>
              </w:rPr>
            </w:pPr>
            <w:r>
              <w:rPr>
                <w:color w:val="auto"/>
                <w:sz w:val="24"/>
                <w:highlight w:val="none"/>
              </w:rPr>
              <w:t>建设单位应严格按照本报告提出的要求，切实落实相应的污染防治对策，加强环保设施管理和维护，确保环保设施的正常高效运行，减缓项目建设对环境带来的不利影响，使工程建设与环境保护协调发展。</w:t>
            </w:r>
          </w:p>
        </w:tc>
      </w:tr>
    </w:tbl>
    <w:p w14:paraId="4C848AFA">
      <w:pPr>
        <w:rPr>
          <w:rFonts w:hint="default" w:ascii="Times New Roman" w:hAnsi="Times New Roman" w:cs="Times New Roman"/>
          <w:color w:val="auto"/>
          <w:highlight w:val="none"/>
        </w:rPr>
        <w:sectPr>
          <w:pgSz w:w="11906" w:h="16838"/>
          <w:pgMar w:top="1418" w:right="1588" w:bottom="1418" w:left="1588" w:header="851" w:footer="992" w:gutter="0"/>
          <w:pgBorders>
            <w:top w:val="none" w:sz="0" w:space="0"/>
            <w:left w:val="none" w:sz="0" w:space="0"/>
            <w:bottom w:val="none" w:sz="0" w:space="0"/>
            <w:right w:val="none" w:sz="0" w:space="0"/>
          </w:pgBorders>
          <w:pgNumType w:fmt="numberInDash"/>
          <w:cols w:space="425" w:num="1"/>
          <w:docGrid w:type="lines" w:linePitch="326" w:charSpace="0"/>
        </w:sectPr>
      </w:pPr>
    </w:p>
    <w:p w14:paraId="024EEAEA">
      <w:pPr>
        <w:pStyle w:val="17"/>
        <w:adjustRightInd w:val="0"/>
        <w:snapToGrid w:val="0"/>
        <w:spacing w:before="0" w:beforeAutospacing="0" w:after="0" w:afterAutospacing="0" w:line="360" w:lineRule="auto"/>
        <w:jc w:val="center"/>
        <w:outlineLvl w:val="0"/>
        <w:rPr>
          <w:rFonts w:ascii="Times New Roman" w:hAnsi="Times New Roman" w:eastAsia="黑体"/>
          <w:snapToGrid w:val="0"/>
          <w:color w:val="auto"/>
          <w:sz w:val="32"/>
          <w:szCs w:val="32"/>
          <w:highlight w:val="none"/>
        </w:rPr>
      </w:pPr>
      <w:bookmarkStart w:id="9" w:name="_Toc100330750"/>
      <w:r>
        <w:rPr>
          <w:rFonts w:hint="eastAsia" w:ascii="Times New Roman" w:hAnsi="Times New Roman" w:eastAsia="黑体"/>
          <w:snapToGrid w:val="0"/>
          <w:color w:val="auto"/>
          <w:sz w:val="32"/>
          <w:szCs w:val="32"/>
          <w:highlight w:val="none"/>
        </w:rPr>
        <w:t>本工程大气污染物排放基本情况一览表</w:t>
      </w:r>
      <w:bookmarkEnd w:id="9"/>
    </w:p>
    <w:tbl>
      <w:tblPr>
        <w:tblStyle w:val="21"/>
        <w:tblW w:w="513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3"/>
        <w:gridCol w:w="1191"/>
        <w:gridCol w:w="1327"/>
        <w:gridCol w:w="959"/>
        <w:gridCol w:w="839"/>
        <w:gridCol w:w="2091"/>
        <w:gridCol w:w="895"/>
        <w:gridCol w:w="1353"/>
        <w:gridCol w:w="1174"/>
        <w:gridCol w:w="1275"/>
        <w:gridCol w:w="2368"/>
      </w:tblGrid>
      <w:tr w14:paraId="4EED8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8" w:type="pct"/>
            <w:gridSpan w:val="2"/>
            <w:vAlign w:val="center"/>
          </w:tcPr>
          <w:p w14:paraId="336BD1B4">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default" w:ascii="Times New Roman" w:hAnsi="Times New Roman" w:cs="Times New Roman"/>
                <w:b/>
                <w:color w:val="auto"/>
                <w:kern w:val="0"/>
                <w:sz w:val="21"/>
                <w:szCs w:val="18"/>
                <w:highlight w:val="none"/>
              </w:rPr>
              <w:t>污染源项</w:t>
            </w:r>
          </w:p>
        </w:tc>
        <w:tc>
          <w:tcPr>
            <w:tcW w:w="456" w:type="pct"/>
            <w:vMerge w:val="restart"/>
            <w:vAlign w:val="center"/>
          </w:tcPr>
          <w:p w14:paraId="587D2E66">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default" w:ascii="Times New Roman" w:hAnsi="Times New Roman" w:cs="Times New Roman"/>
                <w:b/>
                <w:color w:val="auto"/>
                <w:kern w:val="0"/>
                <w:sz w:val="21"/>
                <w:szCs w:val="18"/>
                <w:highlight w:val="none"/>
              </w:rPr>
              <w:t>治理措施</w:t>
            </w:r>
          </w:p>
        </w:tc>
        <w:tc>
          <w:tcPr>
            <w:tcW w:w="329" w:type="pct"/>
            <w:vMerge w:val="restart"/>
            <w:vAlign w:val="center"/>
          </w:tcPr>
          <w:p w14:paraId="4F2A4455">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w:t>
            </w:r>
          </w:p>
          <w:p w14:paraId="0192D7FF">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形式</w:t>
            </w:r>
          </w:p>
        </w:tc>
        <w:tc>
          <w:tcPr>
            <w:tcW w:w="288" w:type="pct"/>
            <w:vMerge w:val="restart"/>
            <w:vAlign w:val="center"/>
          </w:tcPr>
          <w:p w14:paraId="1D6057CA">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排放口编号</w:t>
            </w:r>
          </w:p>
        </w:tc>
        <w:tc>
          <w:tcPr>
            <w:tcW w:w="719" w:type="pct"/>
            <w:vMerge w:val="restart"/>
            <w:vAlign w:val="center"/>
          </w:tcPr>
          <w:p w14:paraId="6EDFB106">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排放口坐标</w:t>
            </w:r>
          </w:p>
        </w:tc>
        <w:tc>
          <w:tcPr>
            <w:tcW w:w="307" w:type="pct"/>
            <w:vMerge w:val="restart"/>
            <w:vAlign w:val="center"/>
          </w:tcPr>
          <w:p w14:paraId="471A31A4">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排放口类型</w:t>
            </w:r>
          </w:p>
        </w:tc>
        <w:tc>
          <w:tcPr>
            <w:tcW w:w="465" w:type="pct"/>
            <w:vMerge w:val="restart"/>
            <w:vAlign w:val="center"/>
          </w:tcPr>
          <w:p w14:paraId="566061EA">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污染</w:t>
            </w:r>
          </w:p>
          <w:p w14:paraId="3CDBA971">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因子</w:t>
            </w:r>
          </w:p>
        </w:tc>
        <w:tc>
          <w:tcPr>
            <w:tcW w:w="841" w:type="pct"/>
            <w:gridSpan w:val="2"/>
            <w:vAlign w:val="center"/>
          </w:tcPr>
          <w:p w14:paraId="2F811EE8">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标准值</w:t>
            </w:r>
          </w:p>
        </w:tc>
        <w:tc>
          <w:tcPr>
            <w:tcW w:w="814" w:type="pct"/>
            <w:vMerge w:val="restart"/>
            <w:vAlign w:val="center"/>
          </w:tcPr>
          <w:p w14:paraId="10A31DC3">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default" w:ascii="Times New Roman" w:hAnsi="Times New Roman" w:cs="Times New Roman"/>
                <w:b/>
                <w:color w:val="auto"/>
                <w:kern w:val="0"/>
                <w:sz w:val="21"/>
                <w:szCs w:val="18"/>
                <w:highlight w:val="none"/>
              </w:rPr>
              <w:t>执行标准</w:t>
            </w:r>
          </w:p>
        </w:tc>
      </w:tr>
      <w:tr w14:paraId="3079D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368" w:type="pct"/>
            <w:vAlign w:val="center"/>
          </w:tcPr>
          <w:p w14:paraId="69982CC4">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生产工艺</w:t>
            </w:r>
          </w:p>
        </w:tc>
        <w:tc>
          <w:tcPr>
            <w:tcW w:w="409" w:type="pct"/>
            <w:vAlign w:val="center"/>
          </w:tcPr>
          <w:p w14:paraId="5CF16040">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产污设备</w:t>
            </w:r>
          </w:p>
        </w:tc>
        <w:tc>
          <w:tcPr>
            <w:tcW w:w="456" w:type="pct"/>
            <w:vMerge w:val="continue"/>
            <w:vAlign w:val="center"/>
          </w:tcPr>
          <w:p w14:paraId="4DD795ED">
            <w:pPr>
              <w:spacing w:line="276" w:lineRule="auto"/>
              <w:ind w:firstLine="0" w:firstLineChars="0"/>
              <w:jc w:val="center"/>
              <w:rPr>
                <w:rFonts w:hint="default" w:ascii="Times New Roman" w:hAnsi="Times New Roman" w:cs="Times New Roman"/>
                <w:color w:val="auto"/>
                <w:sz w:val="21"/>
                <w:szCs w:val="21"/>
                <w:highlight w:val="none"/>
              </w:rPr>
            </w:pPr>
          </w:p>
        </w:tc>
        <w:tc>
          <w:tcPr>
            <w:tcW w:w="329" w:type="pct"/>
            <w:vMerge w:val="continue"/>
            <w:vAlign w:val="center"/>
          </w:tcPr>
          <w:p w14:paraId="40FCC413">
            <w:pPr>
              <w:spacing w:line="276" w:lineRule="auto"/>
              <w:ind w:firstLine="0" w:firstLineChars="0"/>
              <w:jc w:val="center"/>
              <w:rPr>
                <w:rFonts w:hint="default" w:ascii="Times New Roman" w:hAnsi="Times New Roman" w:cs="Times New Roman"/>
                <w:color w:val="auto"/>
                <w:sz w:val="21"/>
                <w:szCs w:val="21"/>
                <w:highlight w:val="none"/>
              </w:rPr>
            </w:pPr>
          </w:p>
        </w:tc>
        <w:tc>
          <w:tcPr>
            <w:tcW w:w="288" w:type="pct"/>
            <w:vMerge w:val="continue"/>
            <w:vAlign w:val="center"/>
          </w:tcPr>
          <w:p w14:paraId="51B2E9CE">
            <w:pPr>
              <w:spacing w:line="276" w:lineRule="auto"/>
              <w:ind w:firstLine="0" w:firstLineChars="0"/>
              <w:jc w:val="center"/>
              <w:rPr>
                <w:rFonts w:hint="default" w:ascii="Times New Roman" w:hAnsi="Times New Roman" w:cs="Times New Roman"/>
                <w:color w:val="auto"/>
                <w:sz w:val="21"/>
                <w:szCs w:val="21"/>
                <w:highlight w:val="none"/>
              </w:rPr>
            </w:pPr>
          </w:p>
        </w:tc>
        <w:tc>
          <w:tcPr>
            <w:tcW w:w="719" w:type="pct"/>
            <w:vMerge w:val="continue"/>
            <w:vAlign w:val="center"/>
          </w:tcPr>
          <w:p w14:paraId="2154138E">
            <w:pPr>
              <w:spacing w:line="276" w:lineRule="auto"/>
              <w:ind w:firstLine="0" w:firstLineChars="0"/>
              <w:jc w:val="center"/>
              <w:rPr>
                <w:rFonts w:hint="default" w:ascii="Times New Roman" w:hAnsi="Times New Roman" w:cs="Times New Roman"/>
                <w:color w:val="auto"/>
                <w:sz w:val="21"/>
                <w:szCs w:val="21"/>
                <w:highlight w:val="none"/>
              </w:rPr>
            </w:pPr>
          </w:p>
        </w:tc>
        <w:tc>
          <w:tcPr>
            <w:tcW w:w="307" w:type="pct"/>
            <w:vMerge w:val="continue"/>
            <w:vAlign w:val="center"/>
          </w:tcPr>
          <w:p w14:paraId="1BA96BDF">
            <w:pPr>
              <w:spacing w:line="276" w:lineRule="auto"/>
              <w:ind w:firstLine="0" w:firstLineChars="0"/>
              <w:jc w:val="center"/>
              <w:rPr>
                <w:rFonts w:hint="default" w:ascii="Times New Roman" w:hAnsi="Times New Roman" w:cs="Times New Roman"/>
                <w:color w:val="auto"/>
                <w:sz w:val="21"/>
                <w:szCs w:val="21"/>
                <w:highlight w:val="none"/>
              </w:rPr>
            </w:pPr>
          </w:p>
        </w:tc>
        <w:tc>
          <w:tcPr>
            <w:tcW w:w="465" w:type="pct"/>
            <w:vMerge w:val="continue"/>
            <w:vAlign w:val="center"/>
          </w:tcPr>
          <w:p w14:paraId="610A71B7">
            <w:pPr>
              <w:spacing w:line="276" w:lineRule="auto"/>
              <w:ind w:firstLine="0" w:firstLineChars="0"/>
              <w:jc w:val="center"/>
              <w:rPr>
                <w:rFonts w:hint="default" w:ascii="Times New Roman" w:hAnsi="Times New Roman" w:cs="Times New Roman"/>
                <w:color w:val="auto"/>
                <w:sz w:val="21"/>
                <w:szCs w:val="21"/>
                <w:highlight w:val="none"/>
              </w:rPr>
            </w:pPr>
          </w:p>
        </w:tc>
        <w:tc>
          <w:tcPr>
            <w:tcW w:w="403" w:type="pct"/>
            <w:vAlign w:val="center"/>
          </w:tcPr>
          <w:p w14:paraId="5FAAA0BF">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lang w:val="en-US" w:eastAsia="zh-CN"/>
              </w:rPr>
            </w:pPr>
            <w:r>
              <w:rPr>
                <w:rFonts w:hint="eastAsia" w:ascii="Times New Roman" w:hAnsi="Times New Roman" w:cs="Times New Roman"/>
                <w:b/>
                <w:color w:val="auto"/>
                <w:kern w:val="0"/>
                <w:sz w:val="21"/>
                <w:szCs w:val="18"/>
                <w:highlight w:val="none"/>
                <w:lang w:val="en-US" w:eastAsia="zh-CN"/>
              </w:rPr>
              <w:t>浓度</w:t>
            </w:r>
            <w:r>
              <w:rPr>
                <w:rFonts w:hint="default" w:ascii="Times New Roman" w:hAnsi="Times New Roman" w:cs="Times New Roman"/>
                <w:b/>
                <w:color w:val="auto"/>
                <w:kern w:val="0"/>
                <w:sz w:val="21"/>
                <w:szCs w:val="18"/>
                <w:highlight w:val="none"/>
                <w:lang w:val="en-US" w:eastAsia="zh-CN"/>
              </w:rPr>
              <w:t>限值（mg/m</w:t>
            </w:r>
            <w:r>
              <w:rPr>
                <w:rFonts w:hint="default" w:ascii="Times New Roman" w:hAnsi="Times New Roman" w:cs="Times New Roman"/>
                <w:b/>
                <w:color w:val="auto"/>
                <w:kern w:val="0"/>
                <w:sz w:val="21"/>
                <w:szCs w:val="18"/>
                <w:highlight w:val="none"/>
                <w:vertAlign w:val="superscript"/>
                <w:lang w:val="en-US" w:eastAsia="zh-CN"/>
              </w:rPr>
              <w:t>3</w:t>
            </w:r>
            <w:r>
              <w:rPr>
                <w:rFonts w:hint="default" w:ascii="Times New Roman" w:hAnsi="Times New Roman" w:cs="Times New Roman"/>
                <w:b/>
                <w:color w:val="auto"/>
                <w:kern w:val="0"/>
                <w:sz w:val="21"/>
                <w:szCs w:val="18"/>
                <w:highlight w:val="none"/>
                <w:lang w:val="en-US" w:eastAsia="zh-CN"/>
              </w:rPr>
              <w:t>）</w:t>
            </w:r>
          </w:p>
        </w:tc>
        <w:tc>
          <w:tcPr>
            <w:tcW w:w="438" w:type="pct"/>
            <w:vAlign w:val="center"/>
          </w:tcPr>
          <w:p w14:paraId="4803F737">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lang w:val="en-US" w:eastAsia="zh-CN"/>
              </w:rPr>
            </w:pPr>
            <w:r>
              <w:rPr>
                <w:rFonts w:hint="default" w:ascii="Times New Roman" w:hAnsi="Times New Roman" w:cs="Times New Roman"/>
                <w:b/>
                <w:color w:val="auto"/>
                <w:kern w:val="0"/>
                <w:sz w:val="21"/>
                <w:szCs w:val="18"/>
                <w:highlight w:val="none"/>
                <w:lang w:val="en-US" w:eastAsia="zh-CN"/>
              </w:rPr>
              <w:t>速率</w:t>
            </w:r>
            <w:r>
              <w:rPr>
                <w:rFonts w:hint="eastAsia" w:ascii="Times New Roman" w:hAnsi="Times New Roman" w:cs="Times New Roman"/>
                <w:b/>
                <w:color w:val="auto"/>
                <w:kern w:val="0"/>
                <w:sz w:val="21"/>
                <w:szCs w:val="18"/>
                <w:highlight w:val="none"/>
                <w:lang w:val="en-US" w:eastAsia="zh-CN"/>
              </w:rPr>
              <w:t>限值</w:t>
            </w:r>
          </w:p>
          <w:p w14:paraId="3769BF08">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lang w:val="en-US" w:eastAsia="zh-CN"/>
              </w:rPr>
            </w:pPr>
            <w:r>
              <w:rPr>
                <w:rFonts w:hint="default" w:ascii="Times New Roman" w:hAnsi="Times New Roman" w:cs="Times New Roman"/>
                <w:b/>
                <w:color w:val="auto"/>
                <w:kern w:val="0"/>
                <w:sz w:val="21"/>
                <w:szCs w:val="18"/>
                <w:highlight w:val="none"/>
                <w:lang w:val="en-US" w:eastAsia="zh-CN"/>
              </w:rPr>
              <w:t>（kg/h）</w:t>
            </w:r>
          </w:p>
        </w:tc>
        <w:tc>
          <w:tcPr>
            <w:tcW w:w="814" w:type="pct"/>
            <w:vMerge w:val="continue"/>
            <w:vAlign w:val="center"/>
          </w:tcPr>
          <w:p w14:paraId="307F0534">
            <w:pPr>
              <w:spacing w:line="276" w:lineRule="auto"/>
              <w:ind w:firstLine="0" w:firstLineChars="0"/>
              <w:jc w:val="center"/>
              <w:rPr>
                <w:rFonts w:hint="default" w:ascii="Times New Roman" w:hAnsi="Times New Roman" w:cs="Times New Roman"/>
                <w:color w:val="auto"/>
                <w:sz w:val="21"/>
                <w:szCs w:val="21"/>
                <w:highlight w:val="none"/>
              </w:rPr>
            </w:pPr>
          </w:p>
        </w:tc>
      </w:tr>
      <w:tr w14:paraId="49AD6F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2B3F6B93">
            <w:pPr>
              <w:spacing w:line="276"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车辆、机械设备</w:t>
            </w:r>
          </w:p>
        </w:tc>
        <w:tc>
          <w:tcPr>
            <w:tcW w:w="409" w:type="pct"/>
            <w:vAlign w:val="center"/>
          </w:tcPr>
          <w:p w14:paraId="00DD5B08">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车辆尾气</w:t>
            </w:r>
          </w:p>
        </w:tc>
        <w:tc>
          <w:tcPr>
            <w:tcW w:w="456" w:type="pct"/>
            <w:vAlign w:val="center"/>
          </w:tcPr>
          <w:p w14:paraId="152C3FBC">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29" w:type="pct"/>
            <w:vAlign w:val="center"/>
          </w:tcPr>
          <w:p w14:paraId="52419D25">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05286709">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749C6338">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1403F85F">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48EF8AF6">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CO、THC、NOx</w:t>
            </w:r>
          </w:p>
        </w:tc>
        <w:tc>
          <w:tcPr>
            <w:tcW w:w="403" w:type="pct"/>
            <w:vAlign w:val="center"/>
          </w:tcPr>
          <w:p w14:paraId="40D45F0F">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5B74B269">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13C9D2F8">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63636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26D62B5C">
            <w:pPr>
              <w:spacing w:line="240" w:lineRule="auto"/>
              <w:ind w:firstLine="0" w:firstLineChars="0"/>
              <w:jc w:val="center"/>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表土剥离</w:t>
            </w:r>
          </w:p>
        </w:tc>
        <w:tc>
          <w:tcPr>
            <w:tcW w:w="409" w:type="pct"/>
            <w:vAlign w:val="center"/>
          </w:tcPr>
          <w:p w14:paraId="704C42A1">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挖掘机</w:t>
            </w:r>
          </w:p>
        </w:tc>
        <w:tc>
          <w:tcPr>
            <w:tcW w:w="456" w:type="pct"/>
            <w:vAlign w:val="center"/>
          </w:tcPr>
          <w:p w14:paraId="51935A7E">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w:t>
            </w:r>
          </w:p>
        </w:tc>
        <w:tc>
          <w:tcPr>
            <w:tcW w:w="329" w:type="pct"/>
            <w:vAlign w:val="center"/>
          </w:tcPr>
          <w:p w14:paraId="14AD5D98">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0C56D7A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0854D770">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3F076E4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508D08CC">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5401F8E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47411AC3">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0116E2D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69647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5FCC54A4">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开采</w:t>
            </w:r>
          </w:p>
        </w:tc>
        <w:tc>
          <w:tcPr>
            <w:tcW w:w="409" w:type="pct"/>
            <w:vAlign w:val="center"/>
          </w:tcPr>
          <w:p w14:paraId="2BFB987A">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钻机、爆破</w:t>
            </w:r>
          </w:p>
        </w:tc>
        <w:tc>
          <w:tcPr>
            <w:tcW w:w="456" w:type="pct"/>
            <w:vAlign w:val="center"/>
          </w:tcPr>
          <w:p w14:paraId="22F9644F">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w:t>
            </w:r>
          </w:p>
        </w:tc>
        <w:tc>
          <w:tcPr>
            <w:tcW w:w="329" w:type="pct"/>
            <w:vAlign w:val="center"/>
          </w:tcPr>
          <w:p w14:paraId="2E168588">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40EE1788">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2376DC5E">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30FCB03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07E6F65F">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r>
              <w:rPr>
                <w:rFonts w:hint="default" w:ascii="Times New Roman" w:hAnsi="Times New Roman" w:eastAsia="宋体" w:cs="Times New Roman"/>
                <w:color w:val="auto"/>
                <w:kern w:val="0"/>
                <w:sz w:val="24"/>
                <w:szCs w:val="24"/>
                <w:highlight w:val="none"/>
                <w:lang w:val="en-US" w:eastAsia="zh-CN" w:bidi="ar"/>
              </w:rPr>
              <w:t>NOx</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CO</w:t>
            </w:r>
          </w:p>
        </w:tc>
        <w:tc>
          <w:tcPr>
            <w:tcW w:w="403" w:type="pct"/>
            <w:vAlign w:val="center"/>
          </w:tcPr>
          <w:p w14:paraId="1E85BC1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58A0E29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637AEB1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4EA54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4AD7714E">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破碎锤</w:t>
            </w:r>
            <w:r>
              <w:rPr>
                <w:rFonts w:hint="default" w:ascii="Times New Roman" w:hAnsi="Times New Roman" w:cs="Times New Roman"/>
                <w:color w:val="auto"/>
                <w:sz w:val="21"/>
                <w:szCs w:val="21"/>
                <w:highlight w:val="none"/>
              </w:rPr>
              <w:t>破碎</w:t>
            </w:r>
          </w:p>
        </w:tc>
        <w:tc>
          <w:tcPr>
            <w:tcW w:w="409" w:type="pct"/>
            <w:vAlign w:val="center"/>
          </w:tcPr>
          <w:p w14:paraId="38C9AAAF">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破碎锤</w:t>
            </w:r>
          </w:p>
        </w:tc>
        <w:tc>
          <w:tcPr>
            <w:tcW w:w="456" w:type="pct"/>
            <w:vAlign w:val="center"/>
          </w:tcPr>
          <w:p w14:paraId="4E06B361">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w:t>
            </w:r>
          </w:p>
        </w:tc>
        <w:tc>
          <w:tcPr>
            <w:tcW w:w="329" w:type="pct"/>
            <w:vAlign w:val="center"/>
          </w:tcPr>
          <w:p w14:paraId="2F1AEE9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54C5B01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728A9DE3">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2E80B78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6EBDCB2D">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1D7B5EC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309F908B">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52AF318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44F707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7B6E82AE">
            <w:pPr>
              <w:spacing w:line="240" w:lineRule="auto"/>
              <w:ind w:firstLine="0" w:firstLineChars="0"/>
              <w:jc w:val="center"/>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铲装</w:t>
            </w:r>
          </w:p>
        </w:tc>
        <w:tc>
          <w:tcPr>
            <w:tcW w:w="409" w:type="pct"/>
            <w:vAlign w:val="center"/>
          </w:tcPr>
          <w:p w14:paraId="7EE895BB">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装载机</w:t>
            </w:r>
          </w:p>
        </w:tc>
        <w:tc>
          <w:tcPr>
            <w:tcW w:w="456" w:type="pct"/>
            <w:vAlign w:val="center"/>
          </w:tcPr>
          <w:p w14:paraId="502DA363">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w:t>
            </w:r>
          </w:p>
        </w:tc>
        <w:tc>
          <w:tcPr>
            <w:tcW w:w="329" w:type="pct"/>
            <w:vAlign w:val="center"/>
          </w:tcPr>
          <w:p w14:paraId="490EBDF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05FA5A8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741C2F89">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20407C92">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0EF9624B">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38ADC36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33FA91E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1B5F1B4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39984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391485AD">
            <w:pPr>
              <w:spacing w:line="240" w:lineRule="auto"/>
              <w:ind w:firstLine="0" w:firstLineChars="0"/>
              <w:jc w:val="center"/>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矿石运输</w:t>
            </w:r>
          </w:p>
        </w:tc>
        <w:tc>
          <w:tcPr>
            <w:tcW w:w="409" w:type="pct"/>
            <w:vAlign w:val="center"/>
          </w:tcPr>
          <w:p w14:paraId="1B17A0D6">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自卸汽车</w:t>
            </w:r>
          </w:p>
        </w:tc>
        <w:tc>
          <w:tcPr>
            <w:tcW w:w="456" w:type="pct"/>
            <w:vAlign w:val="center"/>
          </w:tcPr>
          <w:p w14:paraId="1F4C0A3D">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w:t>
            </w:r>
          </w:p>
        </w:tc>
        <w:tc>
          <w:tcPr>
            <w:tcW w:w="329" w:type="pct"/>
            <w:vAlign w:val="center"/>
          </w:tcPr>
          <w:p w14:paraId="51F8AACB">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0D94C3B8">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68ACE251">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28B80874">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6A5E9A3D">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242B90AB">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0C1115A3">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79DD0EE4">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36AAC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18F0BC1B">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eastAsia="zh-CN"/>
              </w:rPr>
              <w:t>排土场</w:t>
            </w:r>
          </w:p>
        </w:tc>
        <w:tc>
          <w:tcPr>
            <w:tcW w:w="409" w:type="pct"/>
            <w:vAlign w:val="center"/>
          </w:tcPr>
          <w:p w14:paraId="1EF23121">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56" w:type="pct"/>
            <w:vAlign w:val="center"/>
          </w:tcPr>
          <w:p w14:paraId="712B93D1">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洒水降尘+防尘网</w:t>
            </w:r>
          </w:p>
        </w:tc>
        <w:tc>
          <w:tcPr>
            <w:tcW w:w="329" w:type="pct"/>
            <w:vAlign w:val="center"/>
          </w:tcPr>
          <w:p w14:paraId="67F3717A">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0AA5B41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2BEE11A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5111CA5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33509579">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30CB338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020B2A13">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400DD0D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0D5B8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31DC05E0">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破碎、筛分</w:t>
            </w:r>
          </w:p>
        </w:tc>
        <w:tc>
          <w:tcPr>
            <w:tcW w:w="409" w:type="pct"/>
            <w:vAlign w:val="center"/>
          </w:tcPr>
          <w:p w14:paraId="79650B5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破碎机、筛分机</w:t>
            </w:r>
          </w:p>
        </w:tc>
        <w:tc>
          <w:tcPr>
            <w:tcW w:w="456" w:type="pct"/>
            <w:vMerge w:val="restart"/>
            <w:vAlign w:val="center"/>
          </w:tcPr>
          <w:p w14:paraId="0C66485F">
            <w:pPr>
              <w:spacing w:line="276"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车间密闭+布袋除尘器+15m排气筒</w:t>
            </w:r>
          </w:p>
        </w:tc>
        <w:tc>
          <w:tcPr>
            <w:tcW w:w="329" w:type="pct"/>
            <w:vMerge w:val="restart"/>
            <w:vAlign w:val="center"/>
          </w:tcPr>
          <w:p w14:paraId="32F6E3DE">
            <w:pPr>
              <w:spacing w:line="276"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有</w:t>
            </w:r>
            <w:r>
              <w:rPr>
                <w:rFonts w:hint="eastAsia" w:ascii="Times New Roman" w:hAnsi="Times New Roman" w:cs="Times New Roman"/>
                <w:color w:val="auto"/>
                <w:sz w:val="21"/>
                <w:szCs w:val="21"/>
                <w:highlight w:val="none"/>
              </w:rPr>
              <w:t>组织</w:t>
            </w:r>
          </w:p>
        </w:tc>
        <w:tc>
          <w:tcPr>
            <w:tcW w:w="288" w:type="pct"/>
            <w:vMerge w:val="restart"/>
            <w:vAlign w:val="center"/>
          </w:tcPr>
          <w:p w14:paraId="0D80A0C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DA001</w:t>
            </w:r>
          </w:p>
        </w:tc>
        <w:tc>
          <w:tcPr>
            <w:tcW w:w="719" w:type="pct"/>
            <w:vMerge w:val="restart"/>
            <w:vAlign w:val="center"/>
          </w:tcPr>
          <w:p w14:paraId="60627372">
            <w:pPr>
              <w:spacing w:line="276"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E</w:t>
            </w:r>
            <w:r>
              <w:rPr>
                <w:rFonts w:hint="eastAsia" w:ascii="Times New Roman" w:hAnsi="Times New Roman" w:cs="Times New Roman"/>
                <w:color w:val="auto"/>
                <w:sz w:val="21"/>
                <w:szCs w:val="21"/>
                <w:highlight w:val="none"/>
              </w:rPr>
              <w:t>111°</w:t>
            </w:r>
            <w:r>
              <w:rPr>
                <w:rFonts w:hint="eastAsia" w:cs="Times New Roman"/>
                <w:color w:val="auto"/>
                <w:sz w:val="21"/>
                <w:szCs w:val="21"/>
                <w:highlight w:val="none"/>
                <w:lang w:val="en-US" w:eastAsia="zh-CN"/>
              </w:rPr>
              <w:t>28</w:t>
            </w:r>
            <w:r>
              <w:rPr>
                <w:rFonts w:hint="eastAsia"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58.724</w:t>
            </w:r>
            <w:r>
              <w:rPr>
                <w:rFonts w:hint="eastAsia"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N</w:t>
            </w:r>
            <w:r>
              <w:rPr>
                <w:rFonts w:hint="eastAsia" w:cs="Times New Roman"/>
                <w:color w:val="auto"/>
                <w:sz w:val="21"/>
                <w:szCs w:val="21"/>
                <w:highlight w:val="none"/>
                <w:lang w:eastAsia="zh-CN"/>
              </w:rPr>
              <w:t>29°</w:t>
            </w:r>
            <w:r>
              <w:rPr>
                <w:rFonts w:hint="eastAsia" w:cs="Times New Roman"/>
                <w:color w:val="auto"/>
                <w:sz w:val="21"/>
                <w:szCs w:val="21"/>
                <w:highlight w:val="none"/>
                <w:lang w:val="en-US" w:eastAsia="zh-CN"/>
              </w:rPr>
              <w:t>52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3.180</w:t>
            </w:r>
            <w:r>
              <w:rPr>
                <w:rFonts w:hint="eastAsia" w:cs="Times New Roman"/>
                <w:color w:val="auto"/>
                <w:sz w:val="21"/>
                <w:szCs w:val="21"/>
                <w:highlight w:val="none"/>
                <w:lang w:eastAsia="zh-CN"/>
              </w:rPr>
              <w:t>″</w:t>
            </w:r>
          </w:p>
        </w:tc>
        <w:tc>
          <w:tcPr>
            <w:tcW w:w="307" w:type="pct"/>
            <w:vMerge w:val="restart"/>
            <w:vAlign w:val="center"/>
          </w:tcPr>
          <w:p w14:paraId="29A176C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一般排放口</w:t>
            </w:r>
          </w:p>
        </w:tc>
        <w:tc>
          <w:tcPr>
            <w:tcW w:w="465" w:type="pct"/>
            <w:vMerge w:val="restart"/>
            <w:vAlign w:val="center"/>
          </w:tcPr>
          <w:p w14:paraId="0A43EE9A">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Merge w:val="restart"/>
            <w:vAlign w:val="center"/>
          </w:tcPr>
          <w:p w14:paraId="10F6D563">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438" w:type="pct"/>
            <w:vMerge w:val="restart"/>
            <w:vAlign w:val="center"/>
          </w:tcPr>
          <w:p w14:paraId="5E2B7CE6">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814" w:type="pct"/>
            <w:vMerge w:val="restart"/>
            <w:vAlign w:val="center"/>
          </w:tcPr>
          <w:p w14:paraId="4F6320A8">
            <w:pPr>
              <w:spacing w:line="276"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《大气污染物综合排放标准》（GB16297-1996）表2中二级排放标准</w:t>
            </w:r>
            <w:r>
              <w:rPr>
                <w:rFonts w:hint="eastAsia" w:cs="Times New Roman"/>
                <w:color w:val="auto"/>
                <w:sz w:val="21"/>
                <w:szCs w:val="21"/>
                <w:highlight w:val="none"/>
                <w:lang w:val="en-US" w:eastAsia="zh-CN"/>
              </w:rPr>
              <w:t xml:space="preserve"> </w:t>
            </w:r>
          </w:p>
        </w:tc>
      </w:tr>
      <w:tr w14:paraId="0400D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23EAE3AC">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皮带输送</w:t>
            </w:r>
          </w:p>
        </w:tc>
        <w:tc>
          <w:tcPr>
            <w:tcW w:w="409" w:type="pct"/>
            <w:vAlign w:val="center"/>
          </w:tcPr>
          <w:p w14:paraId="172089DA">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输送带</w:t>
            </w:r>
          </w:p>
        </w:tc>
        <w:tc>
          <w:tcPr>
            <w:tcW w:w="456" w:type="pct"/>
            <w:vMerge w:val="continue"/>
            <w:vAlign w:val="center"/>
          </w:tcPr>
          <w:p w14:paraId="1108A5A2">
            <w:pPr>
              <w:spacing w:line="276" w:lineRule="auto"/>
              <w:ind w:firstLine="0" w:firstLineChars="0"/>
              <w:jc w:val="center"/>
              <w:rPr>
                <w:rFonts w:hint="eastAsia" w:ascii="Times New Roman" w:hAnsi="Times New Roman" w:cs="Times New Roman"/>
                <w:color w:val="auto"/>
                <w:sz w:val="21"/>
                <w:szCs w:val="21"/>
                <w:highlight w:val="none"/>
              </w:rPr>
            </w:pPr>
          </w:p>
        </w:tc>
        <w:tc>
          <w:tcPr>
            <w:tcW w:w="329" w:type="pct"/>
            <w:vMerge w:val="continue"/>
            <w:vAlign w:val="center"/>
          </w:tcPr>
          <w:p w14:paraId="1D376B4A">
            <w:pPr>
              <w:spacing w:line="276" w:lineRule="auto"/>
              <w:ind w:firstLine="0" w:firstLineChars="0"/>
              <w:jc w:val="center"/>
              <w:rPr>
                <w:rFonts w:hint="eastAsia" w:ascii="Times New Roman" w:hAnsi="Times New Roman" w:cs="Times New Roman"/>
                <w:color w:val="auto"/>
                <w:sz w:val="21"/>
                <w:szCs w:val="21"/>
                <w:highlight w:val="none"/>
              </w:rPr>
            </w:pPr>
          </w:p>
        </w:tc>
        <w:tc>
          <w:tcPr>
            <w:tcW w:w="288" w:type="pct"/>
            <w:vMerge w:val="continue"/>
            <w:vAlign w:val="center"/>
          </w:tcPr>
          <w:p w14:paraId="5D248BD7">
            <w:pPr>
              <w:spacing w:line="276" w:lineRule="auto"/>
              <w:ind w:firstLine="0" w:firstLineChars="0"/>
              <w:jc w:val="center"/>
              <w:rPr>
                <w:rFonts w:hint="eastAsia" w:ascii="Times New Roman" w:hAnsi="Times New Roman" w:cs="Times New Roman"/>
                <w:color w:val="auto"/>
                <w:sz w:val="21"/>
                <w:szCs w:val="21"/>
                <w:highlight w:val="none"/>
              </w:rPr>
            </w:pPr>
          </w:p>
        </w:tc>
        <w:tc>
          <w:tcPr>
            <w:tcW w:w="719" w:type="pct"/>
            <w:vMerge w:val="continue"/>
            <w:vAlign w:val="center"/>
          </w:tcPr>
          <w:p w14:paraId="3EB27546">
            <w:pPr>
              <w:spacing w:line="276" w:lineRule="auto"/>
              <w:ind w:firstLine="0" w:firstLineChars="0"/>
              <w:jc w:val="center"/>
              <w:rPr>
                <w:rFonts w:hint="eastAsia" w:ascii="Times New Roman" w:hAnsi="Times New Roman" w:cs="Times New Roman"/>
                <w:color w:val="auto"/>
                <w:sz w:val="21"/>
                <w:szCs w:val="21"/>
                <w:highlight w:val="none"/>
              </w:rPr>
            </w:pPr>
          </w:p>
        </w:tc>
        <w:tc>
          <w:tcPr>
            <w:tcW w:w="307" w:type="pct"/>
            <w:vMerge w:val="continue"/>
            <w:vAlign w:val="center"/>
          </w:tcPr>
          <w:p w14:paraId="72045FDB">
            <w:pPr>
              <w:spacing w:line="276" w:lineRule="auto"/>
              <w:ind w:firstLine="0" w:firstLineChars="0"/>
              <w:jc w:val="center"/>
              <w:rPr>
                <w:rFonts w:hint="eastAsia" w:ascii="Times New Roman" w:hAnsi="Times New Roman" w:cs="Times New Roman"/>
                <w:color w:val="auto"/>
                <w:sz w:val="21"/>
                <w:szCs w:val="21"/>
                <w:highlight w:val="none"/>
              </w:rPr>
            </w:pPr>
          </w:p>
        </w:tc>
        <w:tc>
          <w:tcPr>
            <w:tcW w:w="465" w:type="pct"/>
            <w:vMerge w:val="continue"/>
            <w:vAlign w:val="center"/>
          </w:tcPr>
          <w:p w14:paraId="405BD529">
            <w:pPr>
              <w:spacing w:line="276" w:lineRule="auto"/>
              <w:ind w:firstLine="0" w:firstLineChars="0"/>
              <w:jc w:val="center"/>
              <w:rPr>
                <w:rFonts w:hint="eastAsia" w:cs="Times New Roman"/>
                <w:color w:val="auto"/>
                <w:sz w:val="21"/>
                <w:szCs w:val="21"/>
                <w:highlight w:val="none"/>
                <w:lang w:val="en-US" w:eastAsia="zh-CN"/>
              </w:rPr>
            </w:pPr>
          </w:p>
        </w:tc>
        <w:tc>
          <w:tcPr>
            <w:tcW w:w="403" w:type="pct"/>
            <w:vMerge w:val="continue"/>
            <w:vAlign w:val="center"/>
          </w:tcPr>
          <w:p w14:paraId="666AB7EA">
            <w:pPr>
              <w:spacing w:line="276" w:lineRule="auto"/>
              <w:ind w:firstLine="0" w:firstLineChars="0"/>
              <w:jc w:val="center"/>
              <w:rPr>
                <w:rFonts w:hint="eastAsia" w:ascii="Times New Roman" w:hAnsi="Times New Roman" w:cs="Times New Roman"/>
                <w:color w:val="auto"/>
                <w:sz w:val="21"/>
                <w:szCs w:val="21"/>
                <w:highlight w:val="none"/>
              </w:rPr>
            </w:pPr>
          </w:p>
        </w:tc>
        <w:tc>
          <w:tcPr>
            <w:tcW w:w="438" w:type="pct"/>
            <w:vMerge w:val="continue"/>
            <w:vAlign w:val="center"/>
          </w:tcPr>
          <w:p w14:paraId="15F65D67">
            <w:pPr>
              <w:spacing w:line="276" w:lineRule="auto"/>
              <w:ind w:firstLine="0" w:firstLineChars="0"/>
              <w:jc w:val="center"/>
              <w:rPr>
                <w:rFonts w:hint="eastAsia" w:ascii="Times New Roman" w:hAnsi="Times New Roman" w:cs="Times New Roman"/>
                <w:color w:val="auto"/>
                <w:sz w:val="21"/>
                <w:szCs w:val="21"/>
                <w:highlight w:val="none"/>
              </w:rPr>
            </w:pPr>
          </w:p>
        </w:tc>
        <w:tc>
          <w:tcPr>
            <w:tcW w:w="814" w:type="pct"/>
            <w:vMerge w:val="continue"/>
            <w:vAlign w:val="center"/>
          </w:tcPr>
          <w:p w14:paraId="788D2C41">
            <w:pPr>
              <w:spacing w:line="276" w:lineRule="auto"/>
              <w:ind w:firstLine="0" w:firstLineChars="0"/>
              <w:jc w:val="center"/>
              <w:rPr>
                <w:rFonts w:hint="eastAsia" w:ascii="Times New Roman" w:hAnsi="Times New Roman" w:cs="Times New Roman"/>
                <w:color w:val="auto"/>
                <w:sz w:val="21"/>
                <w:szCs w:val="21"/>
                <w:highlight w:val="none"/>
              </w:rPr>
            </w:pPr>
          </w:p>
        </w:tc>
      </w:tr>
      <w:tr w14:paraId="5561B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103975E8">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产品堆场</w:t>
            </w:r>
          </w:p>
        </w:tc>
        <w:tc>
          <w:tcPr>
            <w:tcW w:w="409" w:type="pct"/>
            <w:vAlign w:val="center"/>
          </w:tcPr>
          <w:p w14:paraId="5843CCF1">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56" w:type="pct"/>
            <w:vAlign w:val="center"/>
          </w:tcPr>
          <w:p w14:paraId="0A0402A2">
            <w:pPr>
              <w:spacing w:line="276"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四周修建挡墙+防渗、防雨+围挡+洒水降尘+防尘网</w:t>
            </w:r>
          </w:p>
        </w:tc>
        <w:tc>
          <w:tcPr>
            <w:tcW w:w="329" w:type="pct"/>
            <w:vAlign w:val="center"/>
          </w:tcPr>
          <w:p w14:paraId="0F094AB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757262F8">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024A9C9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41D26659">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5E9BA67D">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4F1BC8A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212D810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2EB0071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4C8A4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2" w:hRule="atLeast"/>
          <w:jc w:val="center"/>
        </w:trPr>
        <w:tc>
          <w:tcPr>
            <w:tcW w:w="778" w:type="pct"/>
            <w:gridSpan w:val="2"/>
            <w:vAlign w:val="center"/>
          </w:tcPr>
          <w:p w14:paraId="5B396AE7">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厂界</w:t>
            </w:r>
          </w:p>
        </w:tc>
        <w:tc>
          <w:tcPr>
            <w:tcW w:w="456" w:type="pct"/>
            <w:vAlign w:val="center"/>
          </w:tcPr>
          <w:p w14:paraId="2874E3F8">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29" w:type="pct"/>
            <w:vAlign w:val="center"/>
          </w:tcPr>
          <w:p w14:paraId="6823DDD1">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315" w:type="pct"/>
            <w:gridSpan w:val="3"/>
            <w:vAlign w:val="center"/>
          </w:tcPr>
          <w:p w14:paraId="1534FEDC">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52F448C8">
            <w:pPr>
              <w:spacing w:line="276"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颗粒物</w:t>
            </w:r>
          </w:p>
        </w:tc>
        <w:tc>
          <w:tcPr>
            <w:tcW w:w="403" w:type="pct"/>
            <w:vAlign w:val="center"/>
          </w:tcPr>
          <w:p w14:paraId="772C9E3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38" w:type="pct"/>
            <w:vAlign w:val="center"/>
          </w:tcPr>
          <w:p w14:paraId="3EC0A36C">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33B6F094">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《大气污染物综合排放标准》（GB16297-1996）表2中无组织排监</w:t>
            </w:r>
          </w:p>
          <w:p w14:paraId="5BACA864">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控浓度限值标准</w:t>
            </w:r>
          </w:p>
        </w:tc>
      </w:tr>
    </w:tbl>
    <w:p w14:paraId="76341134">
      <w:pPr>
        <w:spacing w:line="220" w:lineRule="atLeast"/>
        <w:ind w:left="0" w:leftChars="0" w:firstLine="0" w:firstLineChars="0"/>
        <w:rPr>
          <w:color w:val="auto"/>
          <w:highlight w:val="none"/>
        </w:rPr>
        <w:sectPr>
          <w:pgSz w:w="16838" w:h="11906" w:orient="landscape"/>
          <w:pgMar w:top="1080" w:right="1440" w:bottom="1080" w:left="1440" w:header="708" w:footer="708" w:gutter="0"/>
          <w:pgBorders>
            <w:top w:val="none" w:sz="0" w:space="0"/>
            <w:left w:val="none" w:sz="0" w:space="0"/>
            <w:bottom w:val="none" w:sz="0" w:space="0"/>
            <w:right w:val="none" w:sz="0" w:space="0"/>
          </w:pgBorders>
          <w:cols w:space="708" w:num="1"/>
          <w:docGrid w:linePitch="360" w:charSpace="0"/>
        </w:sectPr>
      </w:pPr>
    </w:p>
    <w:p w14:paraId="4FC4041D">
      <w:pPr>
        <w:pStyle w:val="17"/>
        <w:adjustRightInd w:val="0"/>
        <w:snapToGrid w:val="0"/>
        <w:spacing w:before="0" w:beforeAutospacing="0" w:after="0" w:afterAutospacing="0" w:line="360" w:lineRule="auto"/>
        <w:jc w:val="center"/>
        <w:outlineLvl w:val="0"/>
        <w:rPr>
          <w:rFonts w:ascii="Times New Roman" w:hAnsi="Times New Roman" w:eastAsia="黑体"/>
          <w:snapToGrid w:val="0"/>
          <w:color w:val="auto"/>
          <w:sz w:val="32"/>
          <w:szCs w:val="32"/>
          <w:highlight w:val="none"/>
        </w:rPr>
      </w:pPr>
      <w:bookmarkStart w:id="10" w:name="_Toc100330751"/>
      <w:r>
        <w:rPr>
          <w:rFonts w:hint="eastAsia" w:ascii="Times New Roman" w:hAnsi="Times New Roman" w:eastAsia="黑体"/>
          <w:snapToGrid w:val="0"/>
          <w:color w:val="auto"/>
          <w:sz w:val="32"/>
          <w:szCs w:val="32"/>
          <w:highlight w:val="none"/>
        </w:rPr>
        <w:t>本工程废水污染物排放基本情况一览表</w:t>
      </w:r>
      <w:bookmarkEnd w:id="10"/>
    </w:p>
    <w:tbl>
      <w:tblPr>
        <w:tblStyle w:val="21"/>
        <w:tblW w:w="5249" w:type="pct"/>
        <w:tblInd w:w="0" w:type="dxa"/>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909"/>
        <w:gridCol w:w="1496"/>
        <w:gridCol w:w="974"/>
        <w:gridCol w:w="1230"/>
        <w:gridCol w:w="887"/>
        <w:gridCol w:w="1906"/>
        <w:gridCol w:w="1046"/>
        <w:gridCol w:w="1367"/>
        <w:gridCol w:w="861"/>
        <w:gridCol w:w="998"/>
        <w:gridCol w:w="1222"/>
        <w:gridCol w:w="1836"/>
      </w:tblGrid>
      <w:tr w14:paraId="5A958D4F">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8" w:type="pct"/>
            <w:vMerge w:val="restart"/>
            <w:vAlign w:val="center"/>
          </w:tcPr>
          <w:p w14:paraId="775A6663">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废水类别</w:t>
            </w:r>
          </w:p>
        </w:tc>
        <w:tc>
          <w:tcPr>
            <w:tcW w:w="507" w:type="pct"/>
            <w:vMerge w:val="restart"/>
            <w:vAlign w:val="center"/>
          </w:tcPr>
          <w:p w14:paraId="5DDB3D08">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产生环节</w:t>
            </w:r>
          </w:p>
        </w:tc>
        <w:tc>
          <w:tcPr>
            <w:tcW w:w="747" w:type="pct"/>
            <w:gridSpan w:val="2"/>
            <w:vAlign w:val="center"/>
          </w:tcPr>
          <w:p w14:paraId="4FAC8C88">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污染治理设施</w:t>
            </w:r>
          </w:p>
        </w:tc>
        <w:tc>
          <w:tcPr>
            <w:tcW w:w="300" w:type="pct"/>
            <w:vMerge w:val="restart"/>
            <w:vAlign w:val="center"/>
          </w:tcPr>
          <w:p w14:paraId="26D6187C">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w:t>
            </w:r>
          </w:p>
          <w:p w14:paraId="06F50D47">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编号</w:t>
            </w:r>
          </w:p>
        </w:tc>
        <w:tc>
          <w:tcPr>
            <w:tcW w:w="646" w:type="pct"/>
            <w:vMerge w:val="restart"/>
            <w:vAlign w:val="center"/>
          </w:tcPr>
          <w:p w14:paraId="795DB8BC">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排放口坐标</w:t>
            </w:r>
          </w:p>
        </w:tc>
        <w:tc>
          <w:tcPr>
            <w:tcW w:w="355" w:type="pct"/>
            <w:vMerge w:val="restart"/>
            <w:vAlign w:val="center"/>
          </w:tcPr>
          <w:p w14:paraId="552425EF">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排放方式</w:t>
            </w:r>
          </w:p>
        </w:tc>
        <w:tc>
          <w:tcPr>
            <w:tcW w:w="463" w:type="pct"/>
            <w:vMerge w:val="restart"/>
            <w:vAlign w:val="center"/>
          </w:tcPr>
          <w:p w14:paraId="68CB7765">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排放去向</w:t>
            </w:r>
          </w:p>
        </w:tc>
        <w:tc>
          <w:tcPr>
            <w:tcW w:w="292" w:type="pct"/>
            <w:vMerge w:val="restart"/>
            <w:vAlign w:val="center"/>
          </w:tcPr>
          <w:p w14:paraId="1E799716">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w:t>
            </w:r>
          </w:p>
          <w:p w14:paraId="29C13FD3">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类型</w:t>
            </w:r>
          </w:p>
        </w:tc>
        <w:tc>
          <w:tcPr>
            <w:tcW w:w="338" w:type="pct"/>
            <w:vMerge w:val="restart"/>
            <w:vAlign w:val="center"/>
          </w:tcPr>
          <w:p w14:paraId="6A053CF7">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污染物种类</w:t>
            </w:r>
          </w:p>
        </w:tc>
        <w:tc>
          <w:tcPr>
            <w:tcW w:w="414" w:type="pct"/>
            <w:vMerge w:val="restart"/>
            <w:vAlign w:val="center"/>
          </w:tcPr>
          <w:p w14:paraId="2B736D12">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lang w:val="en-US" w:eastAsia="zh-CN"/>
              </w:rPr>
            </w:pPr>
            <w:r>
              <w:rPr>
                <w:rFonts w:hint="eastAsia" w:ascii="Times New Roman" w:hAnsi="Times New Roman" w:cs="Times New Roman"/>
                <w:b/>
                <w:color w:val="auto"/>
                <w:kern w:val="0"/>
                <w:sz w:val="21"/>
                <w:szCs w:val="18"/>
                <w:highlight w:val="none"/>
                <w:lang w:val="en-US" w:eastAsia="zh-CN"/>
              </w:rPr>
              <w:t>排放浓度限值（mg/L）</w:t>
            </w:r>
          </w:p>
        </w:tc>
        <w:tc>
          <w:tcPr>
            <w:tcW w:w="623" w:type="pct"/>
            <w:vMerge w:val="restart"/>
            <w:vAlign w:val="center"/>
          </w:tcPr>
          <w:p w14:paraId="57BC67F6">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lang w:val="en-US" w:eastAsia="zh-CN"/>
              </w:rPr>
            </w:pPr>
            <w:r>
              <w:rPr>
                <w:rFonts w:hint="eastAsia" w:ascii="Times New Roman" w:hAnsi="Times New Roman" w:cs="Times New Roman"/>
                <w:b/>
                <w:color w:val="auto"/>
                <w:kern w:val="0"/>
                <w:sz w:val="21"/>
                <w:szCs w:val="18"/>
                <w:highlight w:val="none"/>
                <w:lang w:val="en-US" w:eastAsia="zh-CN"/>
              </w:rPr>
              <w:t>执行标准</w:t>
            </w:r>
          </w:p>
        </w:tc>
      </w:tr>
      <w:tr w14:paraId="7C20222A">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308" w:type="pct"/>
            <w:vMerge w:val="continue"/>
            <w:vAlign w:val="center"/>
          </w:tcPr>
          <w:p w14:paraId="1F3173E6">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507" w:type="pct"/>
            <w:vMerge w:val="continue"/>
            <w:vAlign w:val="center"/>
          </w:tcPr>
          <w:p w14:paraId="12C47C0A">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330" w:type="pct"/>
            <w:vAlign w:val="center"/>
          </w:tcPr>
          <w:p w14:paraId="263623F5">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污染治理设施名称</w:t>
            </w:r>
          </w:p>
        </w:tc>
        <w:tc>
          <w:tcPr>
            <w:tcW w:w="417" w:type="pct"/>
            <w:vAlign w:val="center"/>
          </w:tcPr>
          <w:p w14:paraId="5A709F8F">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污染治理设施工艺</w:t>
            </w:r>
          </w:p>
        </w:tc>
        <w:tc>
          <w:tcPr>
            <w:tcW w:w="300" w:type="pct"/>
            <w:vMerge w:val="continue"/>
            <w:vAlign w:val="center"/>
          </w:tcPr>
          <w:p w14:paraId="735D8FD6">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646" w:type="pct"/>
            <w:vMerge w:val="continue"/>
            <w:vAlign w:val="center"/>
          </w:tcPr>
          <w:p w14:paraId="285553D8">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355" w:type="pct"/>
            <w:vMerge w:val="continue"/>
            <w:vAlign w:val="center"/>
          </w:tcPr>
          <w:p w14:paraId="40277628">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463" w:type="pct"/>
            <w:vMerge w:val="continue"/>
            <w:vAlign w:val="center"/>
          </w:tcPr>
          <w:p w14:paraId="1F0F0AB5">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292" w:type="pct"/>
            <w:vMerge w:val="continue"/>
            <w:vAlign w:val="center"/>
          </w:tcPr>
          <w:p w14:paraId="2E140D66">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338" w:type="pct"/>
            <w:vMerge w:val="continue"/>
            <w:vAlign w:val="center"/>
          </w:tcPr>
          <w:p w14:paraId="42805A69">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414" w:type="pct"/>
            <w:vMerge w:val="continue"/>
            <w:vAlign w:val="center"/>
          </w:tcPr>
          <w:p w14:paraId="074DFD47">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623" w:type="pct"/>
            <w:vMerge w:val="continue"/>
            <w:vAlign w:val="center"/>
          </w:tcPr>
          <w:p w14:paraId="475BB94A">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r>
      <w:tr w14:paraId="6311F317">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308" w:type="pct"/>
            <w:vAlign w:val="center"/>
          </w:tcPr>
          <w:p w14:paraId="331DC0C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生活污水</w:t>
            </w:r>
          </w:p>
        </w:tc>
        <w:tc>
          <w:tcPr>
            <w:tcW w:w="507" w:type="pct"/>
            <w:vAlign w:val="center"/>
          </w:tcPr>
          <w:p w14:paraId="627425D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员工生活</w:t>
            </w:r>
          </w:p>
        </w:tc>
        <w:tc>
          <w:tcPr>
            <w:tcW w:w="330" w:type="pct"/>
            <w:vAlign w:val="center"/>
          </w:tcPr>
          <w:p w14:paraId="3B4A319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化粪池</w:t>
            </w:r>
          </w:p>
        </w:tc>
        <w:tc>
          <w:tcPr>
            <w:tcW w:w="417" w:type="pct"/>
            <w:vAlign w:val="center"/>
          </w:tcPr>
          <w:p w14:paraId="6087B8B3">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生化</w:t>
            </w:r>
          </w:p>
        </w:tc>
        <w:tc>
          <w:tcPr>
            <w:tcW w:w="300" w:type="pct"/>
            <w:vAlign w:val="center"/>
          </w:tcPr>
          <w:p w14:paraId="26635122">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646" w:type="pct"/>
            <w:vAlign w:val="center"/>
          </w:tcPr>
          <w:p w14:paraId="2D38346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55" w:type="pct"/>
            <w:vAlign w:val="center"/>
          </w:tcPr>
          <w:p w14:paraId="6F0DF32E">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3" w:type="pct"/>
            <w:vAlign w:val="center"/>
          </w:tcPr>
          <w:p w14:paraId="23827784">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化粪池处理后用于周边农田施肥</w:t>
            </w:r>
          </w:p>
        </w:tc>
        <w:tc>
          <w:tcPr>
            <w:tcW w:w="292" w:type="pct"/>
            <w:vAlign w:val="center"/>
          </w:tcPr>
          <w:p w14:paraId="2B017844">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38" w:type="pct"/>
            <w:vAlign w:val="center"/>
          </w:tcPr>
          <w:p w14:paraId="00EC7F4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14" w:type="pct"/>
            <w:vAlign w:val="center"/>
          </w:tcPr>
          <w:p w14:paraId="709847E0">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623" w:type="pct"/>
            <w:vAlign w:val="center"/>
          </w:tcPr>
          <w:p w14:paraId="691DCBB2">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54858320">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308" w:type="pct"/>
            <w:vAlign w:val="center"/>
          </w:tcPr>
          <w:p w14:paraId="60C0CAE7">
            <w:pPr>
              <w:spacing w:line="276"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雨水</w:t>
            </w:r>
          </w:p>
        </w:tc>
        <w:tc>
          <w:tcPr>
            <w:tcW w:w="507" w:type="pct"/>
            <w:vAlign w:val="center"/>
          </w:tcPr>
          <w:p w14:paraId="4C224FDC">
            <w:pPr>
              <w:spacing w:line="276"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地表径流</w:t>
            </w:r>
          </w:p>
        </w:tc>
        <w:tc>
          <w:tcPr>
            <w:tcW w:w="330" w:type="pct"/>
            <w:vAlign w:val="center"/>
          </w:tcPr>
          <w:p w14:paraId="0E59441D">
            <w:pPr>
              <w:spacing w:line="276"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沉淀池</w:t>
            </w:r>
          </w:p>
        </w:tc>
        <w:tc>
          <w:tcPr>
            <w:tcW w:w="417" w:type="pct"/>
            <w:vAlign w:val="center"/>
          </w:tcPr>
          <w:p w14:paraId="285404EF">
            <w:pPr>
              <w:spacing w:line="276"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沉淀</w:t>
            </w:r>
          </w:p>
        </w:tc>
        <w:tc>
          <w:tcPr>
            <w:tcW w:w="300" w:type="pct"/>
            <w:vAlign w:val="center"/>
          </w:tcPr>
          <w:p w14:paraId="50DC76EC">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46" w:type="pct"/>
            <w:vAlign w:val="center"/>
          </w:tcPr>
          <w:p w14:paraId="08BD78C0">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55" w:type="pct"/>
            <w:vAlign w:val="center"/>
          </w:tcPr>
          <w:p w14:paraId="48D8AF2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3" w:type="pct"/>
            <w:vAlign w:val="center"/>
          </w:tcPr>
          <w:p w14:paraId="50D9484B">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不外排</w:t>
            </w:r>
          </w:p>
        </w:tc>
        <w:tc>
          <w:tcPr>
            <w:tcW w:w="292" w:type="pct"/>
            <w:vAlign w:val="center"/>
          </w:tcPr>
          <w:p w14:paraId="3587AFE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38" w:type="pct"/>
            <w:vAlign w:val="center"/>
          </w:tcPr>
          <w:p w14:paraId="5CF3ED4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14" w:type="pct"/>
            <w:vAlign w:val="center"/>
          </w:tcPr>
          <w:p w14:paraId="0C38F36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623" w:type="pct"/>
            <w:vAlign w:val="center"/>
          </w:tcPr>
          <w:p w14:paraId="284B7A4E">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bl>
    <w:p w14:paraId="06A38742">
      <w:pPr>
        <w:rPr>
          <w:rFonts w:hint="default" w:ascii="Times New Roman" w:hAnsi="Times New Roman" w:cs="Times New Roman"/>
          <w:color w:val="auto"/>
          <w:highlight w:val="none"/>
        </w:rPr>
      </w:pPr>
    </w:p>
    <w:p w14:paraId="37AB8F38">
      <w:pPr>
        <w:pStyle w:val="20"/>
        <w:rPr>
          <w:rFonts w:hint="default"/>
          <w:color w:val="auto"/>
          <w:highlight w:val="none"/>
        </w:rPr>
      </w:pPr>
    </w:p>
    <w:sectPr>
      <w:pgSz w:w="16838" w:h="11906" w:orient="landscape"/>
      <w:pgMar w:top="1587" w:right="1418" w:bottom="1587" w:left="1418" w:header="851" w:footer="992" w:gutter="0"/>
      <w:pgBorders>
        <w:top w:val="none" w:sz="0" w:space="0"/>
        <w:left w:val="none" w:sz="0" w:space="0"/>
        <w:bottom w:val="none" w:sz="0" w:space="0"/>
        <w:right w:val="none" w:sz="0" w:space="0"/>
      </w:pgBorders>
      <w:pgNumType w:fmt="numberInDash"/>
      <w:cols w:space="0" w:num="1"/>
      <w:rtlGutter w:val="0"/>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2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68A8F8-011E-4F5B-939C-67B52C75FE6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2" w:fontKey="{68985489-4336-4822-B9AA-29107977EF0E}"/>
  </w:font>
  <w:font w:name="方正小标宋_GBK">
    <w:panose1 w:val="02000000000000000000"/>
    <w:charset w:val="86"/>
    <w:family w:val="script"/>
    <w:pitch w:val="default"/>
    <w:sig w:usb0="A00002BF" w:usb1="38CF7CFA" w:usb2="00082016" w:usb3="00000000" w:csb0="00040001" w:csb1="00000000"/>
    <w:embedRegular r:id="rId3" w:fontKey="{DFA90258-8E7D-4C04-835C-162384F33A83}"/>
  </w:font>
  <w:font w:name="楷体_GB2312">
    <w:panose1 w:val="02010609030101010101"/>
    <w:charset w:val="86"/>
    <w:family w:val="modern"/>
    <w:pitch w:val="default"/>
    <w:sig w:usb0="00000001" w:usb1="080E0000" w:usb2="00000000" w:usb3="00000000" w:csb0="00040000" w:csb1="00000000"/>
    <w:embedRegular r:id="rId4" w:fontKey="{138700C6-4235-4F33-BE6D-6CC2AF3D38E9}"/>
  </w:font>
  <w:font w:name="仿宋">
    <w:panose1 w:val="02010609060101010101"/>
    <w:charset w:val="86"/>
    <w:family w:val="modern"/>
    <w:pitch w:val="default"/>
    <w:sig w:usb0="800002BF" w:usb1="38CF7CFA" w:usb2="00000016" w:usb3="00000000" w:csb0="00040001" w:csb1="00000000"/>
    <w:embedRegular r:id="rId5" w:fontKey="{77EAEA6E-C730-4639-8666-43AE422D9F1F}"/>
  </w:font>
  <w:font w:name="Wingdings 2">
    <w:panose1 w:val="05020102010507070707"/>
    <w:charset w:val="02"/>
    <w:family w:val="roman"/>
    <w:pitch w:val="default"/>
    <w:sig w:usb0="00000000" w:usb1="00000000" w:usb2="00000000" w:usb3="00000000" w:csb0="80000000" w:csb1="00000000"/>
    <w:embedRegular r:id="rId6" w:fontKey="{5A7B5832-4E78-4EFE-91AE-6D1D4A920AC7}"/>
  </w:font>
  <w:font w:name="楷体">
    <w:panose1 w:val="02010609060101010101"/>
    <w:charset w:val="86"/>
    <w:family w:val="auto"/>
    <w:pitch w:val="default"/>
    <w:sig w:usb0="800002BF" w:usb1="38CF7CFA" w:usb2="00000016" w:usb3="00000000" w:csb0="00040001" w:csb1="00000000"/>
    <w:embedRegular r:id="rId7" w:fontKey="{2FDBA3D2-5CF1-4793-9BE3-A14E93B37DBF}"/>
  </w:font>
  <w:font w:name="Cambria Math">
    <w:panose1 w:val="02040503050406030204"/>
    <w:charset w:val="00"/>
    <w:family w:val="roman"/>
    <w:pitch w:val="default"/>
    <w:sig w:usb0="E00002FF" w:usb1="420024FF" w:usb2="00000000" w:usb3="00000000" w:csb0="2000019F" w:csb1="00000000"/>
    <w:embedRegular r:id="rId8" w:fontKey="{2C8C58B2-6B9B-42DE-A488-DF1791E4B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6770D">
    <w:pPr>
      <w:pStyle w:val="13"/>
      <w:ind w:firstLine="360"/>
      <w:jc w:val="center"/>
    </w:pPr>
  </w:p>
  <w:p w14:paraId="48071E63">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AD88C">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315F9">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836781"/>
      <w:docPartObj>
        <w:docPartGallery w:val="autotext"/>
      </w:docPartObj>
    </w:sdtPr>
    <w:sdtContent>
      <w:p w14:paraId="74632486">
        <w:pPr>
          <w:pStyle w:val="13"/>
          <w:ind w:firstLine="360"/>
          <w:jc w:val="center"/>
        </w:pPr>
        <w:r>
          <w:fldChar w:fldCharType="begin"/>
        </w:r>
        <w:r>
          <w:instrText xml:space="preserve">PAGE   \* MERGEFORMAT</w:instrText>
        </w:r>
        <w:r>
          <w:fldChar w:fldCharType="separate"/>
        </w:r>
        <w:r>
          <w:rPr>
            <w:lang w:val="zh-CN"/>
          </w:rPr>
          <w:t>-</w:t>
        </w:r>
        <w:r>
          <w:t xml:space="preserve"> 1 -</w:t>
        </w:r>
        <w:r>
          <w:fldChar w:fldCharType="end"/>
        </w:r>
      </w:p>
    </w:sdtContent>
  </w:sdt>
  <w:p w14:paraId="1F5E5472">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EF6E0">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F35CD">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CFF21">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C3954B"/>
    <w:multiLevelType w:val="singleLevel"/>
    <w:tmpl w:val="B3C3954B"/>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6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jMDIwY2E0MWYxNGY3YTgyNDk0Mzc5OTJjNzY1NDQifQ=="/>
    <w:docVar w:name="KSO_WPS_MARK_KEY" w:val="1882c320-7e64-4a2a-a424-e6d783bb60cc"/>
  </w:docVars>
  <w:rsids>
    <w:rsidRoot w:val="00442E9F"/>
    <w:rsid w:val="00002FED"/>
    <w:rsid w:val="0000408B"/>
    <w:rsid w:val="00006223"/>
    <w:rsid w:val="00006975"/>
    <w:rsid w:val="000073D9"/>
    <w:rsid w:val="00014796"/>
    <w:rsid w:val="00017858"/>
    <w:rsid w:val="00020694"/>
    <w:rsid w:val="00037DED"/>
    <w:rsid w:val="00037F86"/>
    <w:rsid w:val="000430E9"/>
    <w:rsid w:val="00044059"/>
    <w:rsid w:val="00044942"/>
    <w:rsid w:val="00055329"/>
    <w:rsid w:val="0006000D"/>
    <w:rsid w:val="000612F0"/>
    <w:rsid w:val="00063ED2"/>
    <w:rsid w:val="00071691"/>
    <w:rsid w:val="00071910"/>
    <w:rsid w:val="000730B8"/>
    <w:rsid w:val="00074E8B"/>
    <w:rsid w:val="00080E1C"/>
    <w:rsid w:val="0008247C"/>
    <w:rsid w:val="0008746C"/>
    <w:rsid w:val="000A4A59"/>
    <w:rsid w:val="000A721B"/>
    <w:rsid w:val="000B2A87"/>
    <w:rsid w:val="000C468B"/>
    <w:rsid w:val="000D4177"/>
    <w:rsid w:val="000D543E"/>
    <w:rsid w:val="000E3857"/>
    <w:rsid w:val="000E3910"/>
    <w:rsid w:val="000E54B5"/>
    <w:rsid w:val="000E5B68"/>
    <w:rsid w:val="000F3830"/>
    <w:rsid w:val="000F5D48"/>
    <w:rsid w:val="000F7F32"/>
    <w:rsid w:val="00100BA6"/>
    <w:rsid w:val="00102370"/>
    <w:rsid w:val="00102C7A"/>
    <w:rsid w:val="001052B7"/>
    <w:rsid w:val="001057F0"/>
    <w:rsid w:val="00110F36"/>
    <w:rsid w:val="00113029"/>
    <w:rsid w:val="0011387C"/>
    <w:rsid w:val="001140B3"/>
    <w:rsid w:val="00120067"/>
    <w:rsid w:val="001209B2"/>
    <w:rsid w:val="0012791B"/>
    <w:rsid w:val="0013160D"/>
    <w:rsid w:val="00132DFE"/>
    <w:rsid w:val="001343C1"/>
    <w:rsid w:val="001428EB"/>
    <w:rsid w:val="00143CC8"/>
    <w:rsid w:val="0014646F"/>
    <w:rsid w:val="00154A83"/>
    <w:rsid w:val="00154D18"/>
    <w:rsid w:val="0015563A"/>
    <w:rsid w:val="00161498"/>
    <w:rsid w:val="00172029"/>
    <w:rsid w:val="00172149"/>
    <w:rsid w:val="00176AE1"/>
    <w:rsid w:val="0018520C"/>
    <w:rsid w:val="00185F11"/>
    <w:rsid w:val="00195DEE"/>
    <w:rsid w:val="00197595"/>
    <w:rsid w:val="001A56F4"/>
    <w:rsid w:val="001A6014"/>
    <w:rsid w:val="001A7151"/>
    <w:rsid w:val="001A7AF5"/>
    <w:rsid w:val="001B0922"/>
    <w:rsid w:val="001B0D61"/>
    <w:rsid w:val="001B0E13"/>
    <w:rsid w:val="001B6D73"/>
    <w:rsid w:val="001C048E"/>
    <w:rsid w:val="001C2AF8"/>
    <w:rsid w:val="001C7055"/>
    <w:rsid w:val="001C72B5"/>
    <w:rsid w:val="001D0590"/>
    <w:rsid w:val="001D27E4"/>
    <w:rsid w:val="001D5628"/>
    <w:rsid w:val="001F225B"/>
    <w:rsid w:val="001F5B9C"/>
    <w:rsid w:val="001F5F68"/>
    <w:rsid w:val="001F6143"/>
    <w:rsid w:val="0020519F"/>
    <w:rsid w:val="00212106"/>
    <w:rsid w:val="0021423E"/>
    <w:rsid w:val="0022198B"/>
    <w:rsid w:val="00222A18"/>
    <w:rsid w:val="002312CF"/>
    <w:rsid w:val="00231B58"/>
    <w:rsid w:val="00233112"/>
    <w:rsid w:val="00236B58"/>
    <w:rsid w:val="002426CE"/>
    <w:rsid w:val="00242BB4"/>
    <w:rsid w:val="00250B9F"/>
    <w:rsid w:val="00252818"/>
    <w:rsid w:val="00256BDB"/>
    <w:rsid w:val="00265A63"/>
    <w:rsid w:val="00266FA7"/>
    <w:rsid w:val="00270D55"/>
    <w:rsid w:val="00276B07"/>
    <w:rsid w:val="002819EF"/>
    <w:rsid w:val="002911CC"/>
    <w:rsid w:val="00291A91"/>
    <w:rsid w:val="002A088E"/>
    <w:rsid w:val="002A6A40"/>
    <w:rsid w:val="002B04F2"/>
    <w:rsid w:val="002B1164"/>
    <w:rsid w:val="002B5C85"/>
    <w:rsid w:val="002C150B"/>
    <w:rsid w:val="002C20C5"/>
    <w:rsid w:val="002C4A29"/>
    <w:rsid w:val="002D17C4"/>
    <w:rsid w:val="002E747F"/>
    <w:rsid w:val="002F1A50"/>
    <w:rsid w:val="003007E2"/>
    <w:rsid w:val="00315E86"/>
    <w:rsid w:val="003236DF"/>
    <w:rsid w:val="00325C78"/>
    <w:rsid w:val="00340E79"/>
    <w:rsid w:val="003469F0"/>
    <w:rsid w:val="00346F12"/>
    <w:rsid w:val="0035286C"/>
    <w:rsid w:val="0035312B"/>
    <w:rsid w:val="00353998"/>
    <w:rsid w:val="00364A21"/>
    <w:rsid w:val="00374333"/>
    <w:rsid w:val="00387210"/>
    <w:rsid w:val="003956E2"/>
    <w:rsid w:val="0039708C"/>
    <w:rsid w:val="003B70C4"/>
    <w:rsid w:val="003B7172"/>
    <w:rsid w:val="003C4C89"/>
    <w:rsid w:val="003C605E"/>
    <w:rsid w:val="003D0B10"/>
    <w:rsid w:val="003D7080"/>
    <w:rsid w:val="003E0CE2"/>
    <w:rsid w:val="003E3120"/>
    <w:rsid w:val="003F0C68"/>
    <w:rsid w:val="003F13A5"/>
    <w:rsid w:val="003F4932"/>
    <w:rsid w:val="003F7953"/>
    <w:rsid w:val="00402932"/>
    <w:rsid w:val="0040409B"/>
    <w:rsid w:val="00404199"/>
    <w:rsid w:val="004126E2"/>
    <w:rsid w:val="004155EA"/>
    <w:rsid w:val="00420FD8"/>
    <w:rsid w:val="00426D43"/>
    <w:rsid w:val="004329AC"/>
    <w:rsid w:val="00433262"/>
    <w:rsid w:val="004345FE"/>
    <w:rsid w:val="0043750E"/>
    <w:rsid w:val="00442E9F"/>
    <w:rsid w:val="00451C27"/>
    <w:rsid w:val="0046689E"/>
    <w:rsid w:val="004741ED"/>
    <w:rsid w:val="00485C6C"/>
    <w:rsid w:val="0049124E"/>
    <w:rsid w:val="0049262C"/>
    <w:rsid w:val="00492904"/>
    <w:rsid w:val="004B15A9"/>
    <w:rsid w:val="004B262D"/>
    <w:rsid w:val="004B7424"/>
    <w:rsid w:val="004C100D"/>
    <w:rsid w:val="004C1E5F"/>
    <w:rsid w:val="004C51CA"/>
    <w:rsid w:val="004D43A8"/>
    <w:rsid w:val="004D729C"/>
    <w:rsid w:val="004E1AA6"/>
    <w:rsid w:val="004E338F"/>
    <w:rsid w:val="004F0FB3"/>
    <w:rsid w:val="004F4D7A"/>
    <w:rsid w:val="004F62A2"/>
    <w:rsid w:val="005012C5"/>
    <w:rsid w:val="00502AAA"/>
    <w:rsid w:val="005135F0"/>
    <w:rsid w:val="0051423A"/>
    <w:rsid w:val="005163B7"/>
    <w:rsid w:val="0052459F"/>
    <w:rsid w:val="00535813"/>
    <w:rsid w:val="00537B95"/>
    <w:rsid w:val="0055070C"/>
    <w:rsid w:val="00560FC6"/>
    <w:rsid w:val="00561632"/>
    <w:rsid w:val="00561D3C"/>
    <w:rsid w:val="00565E1F"/>
    <w:rsid w:val="005720F2"/>
    <w:rsid w:val="00573AF8"/>
    <w:rsid w:val="00582B8A"/>
    <w:rsid w:val="0058345D"/>
    <w:rsid w:val="00586BD6"/>
    <w:rsid w:val="00590F14"/>
    <w:rsid w:val="00591093"/>
    <w:rsid w:val="005913FE"/>
    <w:rsid w:val="00591C38"/>
    <w:rsid w:val="00595A79"/>
    <w:rsid w:val="00596660"/>
    <w:rsid w:val="005A56DE"/>
    <w:rsid w:val="005B2C8D"/>
    <w:rsid w:val="005B3082"/>
    <w:rsid w:val="005B4715"/>
    <w:rsid w:val="005C2A43"/>
    <w:rsid w:val="005C2BC1"/>
    <w:rsid w:val="005C4CD9"/>
    <w:rsid w:val="005D1BDE"/>
    <w:rsid w:val="005D3CF2"/>
    <w:rsid w:val="005D6DB3"/>
    <w:rsid w:val="005E0F95"/>
    <w:rsid w:val="005E1104"/>
    <w:rsid w:val="005F002E"/>
    <w:rsid w:val="005F4154"/>
    <w:rsid w:val="00601592"/>
    <w:rsid w:val="006020BD"/>
    <w:rsid w:val="006079F5"/>
    <w:rsid w:val="00610403"/>
    <w:rsid w:val="0061620F"/>
    <w:rsid w:val="00624D6A"/>
    <w:rsid w:val="00626783"/>
    <w:rsid w:val="00630B15"/>
    <w:rsid w:val="00632CFD"/>
    <w:rsid w:val="006400D1"/>
    <w:rsid w:val="0064061A"/>
    <w:rsid w:val="00645BB4"/>
    <w:rsid w:val="00645F74"/>
    <w:rsid w:val="00652BFC"/>
    <w:rsid w:val="00655646"/>
    <w:rsid w:val="00657901"/>
    <w:rsid w:val="006600A1"/>
    <w:rsid w:val="00664DC5"/>
    <w:rsid w:val="00676F60"/>
    <w:rsid w:val="00680ADF"/>
    <w:rsid w:val="006A161A"/>
    <w:rsid w:val="006A1BBA"/>
    <w:rsid w:val="006A354B"/>
    <w:rsid w:val="006B133E"/>
    <w:rsid w:val="006C5BDD"/>
    <w:rsid w:val="006C7ED4"/>
    <w:rsid w:val="006E36D7"/>
    <w:rsid w:val="006E737E"/>
    <w:rsid w:val="006F0427"/>
    <w:rsid w:val="007000A7"/>
    <w:rsid w:val="00707950"/>
    <w:rsid w:val="00710966"/>
    <w:rsid w:val="00711A15"/>
    <w:rsid w:val="007207E4"/>
    <w:rsid w:val="007246A6"/>
    <w:rsid w:val="0072536D"/>
    <w:rsid w:val="00732B55"/>
    <w:rsid w:val="00745853"/>
    <w:rsid w:val="0074683F"/>
    <w:rsid w:val="00746B6D"/>
    <w:rsid w:val="00753522"/>
    <w:rsid w:val="00760EB9"/>
    <w:rsid w:val="00762DE8"/>
    <w:rsid w:val="00764CA0"/>
    <w:rsid w:val="00771846"/>
    <w:rsid w:val="0077598A"/>
    <w:rsid w:val="0078551E"/>
    <w:rsid w:val="0079120B"/>
    <w:rsid w:val="007925D0"/>
    <w:rsid w:val="0079281E"/>
    <w:rsid w:val="007B0E71"/>
    <w:rsid w:val="007C18CB"/>
    <w:rsid w:val="007C6505"/>
    <w:rsid w:val="007D03FD"/>
    <w:rsid w:val="007D2BF1"/>
    <w:rsid w:val="007E4DFF"/>
    <w:rsid w:val="007E7855"/>
    <w:rsid w:val="007F22D8"/>
    <w:rsid w:val="007F2CA9"/>
    <w:rsid w:val="0080748D"/>
    <w:rsid w:val="00811C2E"/>
    <w:rsid w:val="00827F73"/>
    <w:rsid w:val="0083050D"/>
    <w:rsid w:val="008454F7"/>
    <w:rsid w:val="0086067B"/>
    <w:rsid w:val="00864DB2"/>
    <w:rsid w:val="00871FCF"/>
    <w:rsid w:val="00874384"/>
    <w:rsid w:val="00877987"/>
    <w:rsid w:val="00881C5C"/>
    <w:rsid w:val="008874FF"/>
    <w:rsid w:val="00892B17"/>
    <w:rsid w:val="00895BAF"/>
    <w:rsid w:val="008A1DF4"/>
    <w:rsid w:val="008A5982"/>
    <w:rsid w:val="008B1EED"/>
    <w:rsid w:val="008B2F60"/>
    <w:rsid w:val="008C085B"/>
    <w:rsid w:val="008C1666"/>
    <w:rsid w:val="008D0B0B"/>
    <w:rsid w:val="008D45C6"/>
    <w:rsid w:val="008D5DB0"/>
    <w:rsid w:val="008D6A55"/>
    <w:rsid w:val="008E22AC"/>
    <w:rsid w:val="008E28F3"/>
    <w:rsid w:val="008E359F"/>
    <w:rsid w:val="008F24B4"/>
    <w:rsid w:val="008F6EB2"/>
    <w:rsid w:val="009042E8"/>
    <w:rsid w:val="0090712C"/>
    <w:rsid w:val="00907422"/>
    <w:rsid w:val="00922A68"/>
    <w:rsid w:val="0093165A"/>
    <w:rsid w:val="00935731"/>
    <w:rsid w:val="009400AD"/>
    <w:rsid w:val="009464A1"/>
    <w:rsid w:val="009540F3"/>
    <w:rsid w:val="00957987"/>
    <w:rsid w:val="00963AD0"/>
    <w:rsid w:val="00965F98"/>
    <w:rsid w:val="009704D2"/>
    <w:rsid w:val="00972C86"/>
    <w:rsid w:val="00975BDD"/>
    <w:rsid w:val="00981302"/>
    <w:rsid w:val="009822ED"/>
    <w:rsid w:val="00983743"/>
    <w:rsid w:val="00983EF4"/>
    <w:rsid w:val="00994223"/>
    <w:rsid w:val="00995688"/>
    <w:rsid w:val="00996296"/>
    <w:rsid w:val="009A29D9"/>
    <w:rsid w:val="009A35FA"/>
    <w:rsid w:val="009B47F6"/>
    <w:rsid w:val="009C331A"/>
    <w:rsid w:val="009C6C3E"/>
    <w:rsid w:val="009D3FFF"/>
    <w:rsid w:val="009D4322"/>
    <w:rsid w:val="009E033E"/>
    <w:rsid w:val="009E0E90"/>
    <w:rsid w:val="009E0F89"/>
    <w:rsid w:val="009F6512"/>
    <w:rsid w:val="009F6722"/>
    <w:rsid w:val="00A01ED9"/>
    <w:rsid w:val="00A127FD"/>
    <w:rsid w:val="00A213D9"/>
    <w:rsid w:val="00A22D2E"/>
    <w:rsid w:val="00A23388"/>
    <w:rsid w:val="00A23D72"/>
    <w:rsid w:val="00A25E7A"/>
    <w:rsid w:val="00A27630"/>
    <w:rsid w:val="00A32579"/>
    <w:rsid w:val="00A32A32"/>
    <w:rsid w:val="00A3453A"/>
    <w:rsid w:val="00A36102"/>
    <w:rsid w:val="00A409C4"/>
    <w:rsid w:val="00A40B3B"/>
    <w:rsid w:val="00A42556"/>
    <w:rsid w:val="00A459CF"/>
    <w:rsid w:val="00A46633"/>
    <w:rsid w:val="00A52238"/>
    <w:rsid w:val="00A54281"/>
    <w:rsid w:val="00A545C8"/>
    <w:rsid w:val="00A552AB"/>
    <w:rsid w:val="00A5709C"/>
    <w:rsid w:val="00A65B99"/>
    <w:rsid w:val="00A740B4"/>
    <w:rsid w:val="00A7449A"/>
    <w:rsid w:val="00A75715"/>
    <w:rsid w:val="00A81F9D"/>
    <w:rsid w:val="00A8210F"/>
    <w:rsid w:val="00A83AD0"/>
    <w:rsid w:val="00A86E5D"/>
    <w:rsid w:val="00A874CC"/>
    <w:rsid w:val="00A90BF1"/>
    <w:rsid w:val="00A90EB4"/>
    <w:rsid w:val="00A93A7D"/>
    <w:rsid w:val="00A9436C"/>
    <w:rsid w:val="00A95887"/>
    <w:rsid w:val="00A96C00"/>
    <w:rsid w:val="00AA07C5"/>
    <w:rsid w:val="00AA0B97"/>
    <w:rsid w:val="00AA0C4D"/>
    <w:rsid w:val="00AA714A"/>
    <w:rsid w:val="00AB47CC"/>
    <w:rsid w:val="00AC2F90"/>
    <w:rsid w:val="00AC3167"/>
    <w:rsid w:val="00AD076B"/>
    <w:rsid w:val="00AD3727"/>
    <w:rsid w:val="00AE19ED"/>
    <w:rsid w:val="00AE1E62"/>
    <w:rsid w:val="00AE46BA"/>
    <w:rsid w:val="00AF1B3B"/>
    <w:rsid w:val="00AF5272"/>
    <w:rsid w:val="00B04979"/>
    <w:rsid w:val="00B04E54"/>
    <w:rsid w:val="00B163E8"/>
    <w:rsid w:val="00B17507"/>
    <w:rsid w:val="00B22BBC"/>
    <w:rsid w:val="00B233D5"/>
    <w:rsid w:val="00B27989"/>
    <w:rsid w:val="00B34D6D"/>
    <w:rsid w:val="00B36204"/>
    <w:rsid w:val="00B373A5"/>
    <w:rsid w:val="00B400FF"/>
    <w:rsid w:val="00B41CE2"/>
    <w:rsid w:val="00B512F9"/>
    <w:rsid w:val="00B55A62"/>
    <w:rsid w:val="00B633F7"/>
    <w:rsid w:val="00B70B86"/>
    <w:rsid w:val="00B7266B"/>
    <w:rsid w:val="00B77317"/>
    <w:rsid w:val="00B819F6"/>
    <w:rsid w:val="00B82DAF"/>
    <w:rsid w:val="00B84E48"/>
    <w:rsid w:val="00B90405"/>
    <w:rsid w:val="00BA1B39"/>
    <w:rsid w:val="00BA3969"/>
    <w:rsid w:val="00BA5D8C"/>
    <w:rsid w:val="00BA6661"/>
    <w:rsid w:val="00BB122A"/>
    <w:rsid w:val="00BB22E7"/>
    <w:rsid w:val="00BB3117"/>
    <w:rsid w:val="00BB4370"/>
    <w:rsid w:val="00BC0880"/>
    <w:rsid w:val="00BC24E7"/>
    <w:rsid w:val="00BC5A29"/>
    <w:rsid w:val="00BC5C80"/>
    <w:rsid w:val="00BC6D9F"/>
    <w:rsid w:val="00BD09FA"/>
    <w:rsid w:val="00BD579B"/>
    <w:rsid w:val="00BD75A8"/>
    <w:rsid w:val="00BE1FF8"/>
    <w:rsid w:val="00BE7452"/>
    <w:rsid w:val="00BF1514"/>
    <w:rsid w:val="00BF414A"/>
    <w:rsid w:val="00BF5756"/>
    <w:rsid w:val="00C01CB5"/>
    <w:rsid w:val="00C04FFA"/>
    <w:rsid w:val="00C12DE3"/>
    <w:rsid w:val="00C13AC9"/>
    <w:rsid w:val="00C15B9C"/>
    <w:rsid w:val="00C42ED5"/>
    <w:rsid w:val="00C51512"/>
    <w:rsid w:val="00C57A31"/>
    <w:rsid w:val="00C6004B"/>
    <w:rsid w:val="00C61AB9"/>
    <w:rsid w:val="00C650D8"/>
    <w:rsid w:val="00C71E11"/>
    <w:rsid w:val="00C87FD3"/>
    <w:rsid w:val="00C933AD"/>
    <w:rsid w:val="00C95DD2"/>
    <w:rsid w:val="00C96988"/>
    <w:rsid w:val="00C96A64"/>
    <w:rsid w:val="00CA1F1B"/>
    <w:rsid w:val="00CA7C49"/>
    <w:rsid w:val="00CB26C7"/>
    <w:rsid w:val="00CB4687"/>
    <w:rsid w:val="00CB4797"/>
    <w:rsid w:val="00CB6E52"/>
    <w:rsid w:val="00CC1F26"/>
    <w:rsid w:val="00CC2EB7"/>
    <w:rsid w:val="00CC5D80"/>
    <w:rsid w:val="00CE0710"/>
    <w:rsid w:val="00CE4D79"/>
    <w:rsid w:val="00CE6F9A"/>
    <w:rsid w:val="00CF6992"/>
    <w:rsid w:val="00D04EAD"/>
    <w:rsid w:val="00D06B8D"/>
    <w:rsid w:val="00D134DD"/>
    <w:rsid w:val="00D15235"/>
    <w:rsid w:val="00D20F29"/>
    <w:rsid w:val="00D455BD"/>
    <w:rsid w:val="00D461D9"/>
    <w:rsid w:val="00D6130B"/>
    <w:rsid w:val="00D7013E"/>
    <w:rsid w:val="00D80DDA"/>
    <w:rsid w:val="00D8455D"/>
    <w:rsid w:val="00D8460F"/>
    <w:rsid w:val="00D96A4E"/>
    <w:rsid w:val="00D97FD3"/>
    <w:rsid w:val="00DA0B9A"/>
    <w:rsid w:val="00DA41B6"/>
    <w:rsid w:val="00DA6C03"/>
    <w:rsid w:val="00DB5365"/>
    <w:rsid w:val="00DB67B6"/>
    <w:rsid w:val="00DB7EED"/>
    <w:rsid w:val="00DC2884"/>
    <w:rsid w:val="00DC4D68"/>
    <w:rsid w:val="00DC4FD8"/>
    <w:rsid w:val="00DD0ECB"/>
    <w:rsid w:val="00DD22E4"/>
    <w:rsid w:val="00DD4983"/>
    <w:rsid w:val="00DE0EF9"/>
    <w:rsid w:val="00DE1B55"/>
    <w:rsid w:val="00DE789E"/>
    <w:rsid w:val="00DF017D"/>
    <w:rsid w:val="00DF1618"/>
    <w:rsid w:val="00DF239D"/>
    <w:rsid w:val="00DF4859"/>
    <w:rsid w:val="00DF55D2"/>
    <w:rsid w:val="00E00964"/>
    <w:rsid w:val="00E01FEF"/>
    <w:rsid w:val="00E10886"/>
    <w:rsid w:val="00E12F28"/>
    <w:rsid w:val="00E13C7A"/>
    <w:rsid w:val="00E200EA"/>
    <w:rsid w:val="00E23DA6"/>
    <w:rsid w:val="00E31025"/>
    <w:rsid w:val="00E40AAD"/>
    <w:rsid w:val="00E4507B"/>
    <w:rsid w:val="00E523B8"/>
    <w:rsid w:val="00E530B4"/>
    <w:rsid w:val="00E56A8A"/>
    <w:rsid w:val="00E627FD"/>
    <w:rsid w:val="00E62B07"/>
    <w:rsid w:val="00E75549"/>
    <w:rsid w:val="00E75E2B"/>
    <w:rsid w:val="00E9285A"/>
    <w:rsid w:val="00E9350C"/>
    <w:rsid w:val="00E937A6"/>
    <w:rsid w:val="00E95C5C"/>
    <w:rsid w:val="00E95EFB"/>
    <w:rsid w:val="00EA22ED"/>
    <w:rsid w:val="00EB0E7B"/>
    <w:rsid w:val="00EC188E"/>
    <w:rsid w:val="00ED2F69"/>
    <w:rsid w:val="00ED380E"/>
    <w:rsid w:val="00ED3BD8"/>
    <w:rsid w:val="00ED63D9"/>
    <w:rsid w:val="00ED6949"/>
    <w:rsid w:val="00ED6E3A"/>
    <w:rsid w:val="00EE0C97"/>
    <w:rsid w:val="00EE1C7E"/>
    <w:rsid w:val="00EE550C"/>
    <w:rsid w:val="00EE5EE9"/>
    <w:rsid w:val="00EE727A"/>
    <w:rsid w:val="00EE79F9"/>
    <w:rsid w:val="00EF3368"/>
    <w:rsid w:val="00EF3A95"/>
    <w:rsid w:val="00EF5E34"/>
    <w:rsid w:val="00F0518F"/>
    <w:rsid w:val="00F12187"/>
    <w:rsid w:val="00F1304B"/>
    <w:rsid w:val="00F312C3"/>
    <w:rsid w:val="00F31919"/>
    <w:rsid w:val="00F41E6A"/>
    <w:rsid w:val="00F43011"/>
    <w:rsid w:val="00F433A0"/>
    <w:rsid w:val="00F46272"/>
    <w:rsid w:val="00F55EFC"/>
    <w:rsid w:val="00F56F59"/>
    <w:rsid w:val="00F611D6"/>
    <w:rsid w:val="00F73B70"/>
    <w:rsid w:val="00F75946"/>
    <w:rsid w:val="00F759C6"/>
    <w:rsid w:val="00F7717B"/>
    <w:rsid w:val="00F85807"/>
    <w:rsid w:val="00F85F14"/>
    <w:rsid w:val="00F87255"/>
    <w:rsid w:val="00F916E4"/>
    <w:rsid w:val="00FA312E"/>
    <w:rsid w:val="00FA369E"/>
    <w:rsid w:val="00FA38F0"/>
    <w:rsid w:val="00FB3BC7"/>
    <w:rsid w:val="00FB60A9"/>
    <w:rsid w:val="00FC0858"/>
    <w:rsid w:val="00FC2CC4"/>
    <w:rsid w:val="00FC365B"/>
    <w:rsid w:val="00FE3D8B"/>
    <w:rsid w:val="00FE4290"/>
    <w:rsid w:val="00FF1544"/>
    <w:rsid w:val="00FF2B65"/>
    <w:rsid w:val="00FF6D4A"/>
    <w:rsid w:val="011224FE"/>
    <w:rsid w:val="0116312F"/>
    <w:rsid w:val="011A4D50"/>
    <w:rsid w:val="011E6819"/>
    <w:rsid w:val="0129233D"/>
    <w:rsid w:val="01311926"/>
    <w:rsid w:val="016226ED"/>
    <w:rsid w:val="01710365"/>
    <w:rsid w:val="01711A9E"/>
    <w:rsid w:val="0173585E"/>
    <w:rsid w:val="01786995"/>
    <w:rsid w:val="018A1427"/>
    <w:rsid w:val="018C1895"/>
    <w:rsid w:val="018F44F7"/>
    <w:rsid w:val="01911652"/>
    <w:rsid w:val="01971B90"/>
    <w:rsid w:val="019B0C24"/>
    <w:rsid w:val="01A3445F"/>
    <w:rsid w:val="01B12E58"/>
    <w:rsid w:val="01B44971"/>
    <w:rsid w:val="01DE2339"/>
    <w:rsid w:val="01ED0A19"/>
    <w:rsid w:val="01F37A60"/>
    <w:rsid w:val="02073613"/>
    <w:rsid w:val="021F50F2"/>
    <w:rsid w:val="02281FDD"/>
    <w:rsid w:val="022933B5"/>
    <w:rsid w:val="022A56F8"/>
    <w:rsid w:val="022C20CB"/>
    <w:rsid w:val="022E251A"/>
    <w:rsid w:val="022E3AC3"/>
    <w:rsid w:val="022E637A"/>
    <w:rsid w:val="022F0983"/>
    <w:rsid w:val="02387D63"/>
    <w:rsid w:val="02443B38"/>
    <w:rsid w:val="024737BC"/>
    <w:rsid w:val="027653BD"/>
    <w:rsid w:val="027B55A4"/>
    <w:rsid w:val="02881B88"/>
    <w:rsid w:val="028E156B"/>
    <w:rsid w:val="0297204E"/>
    <w:rsid w:val="02B0310F"/>
    <w:rsid w:val="02B20A25"/>
    <w:rsid w:val="02B96468"/>
    <w:rsid w:val="02C33269"/>
    <w:rsid w:val="02D313B6"/>
    <w:rsid w:val="02E01C47"/>
    <w:rsid w:val="02EF06D9"/>
    <w:rsid w:val="03014E56"/>
    <w:rsid w:val="03111A00"/>
    <w:rsid w:val="0317649A"/>
    <w:rsid w:val="032C010E"/>
    <w:rsid w:val="033337C7"/>
    <w:rsid w:val="034B4BE6"/>
    <w:rsid w:val="036A0F9F"/>
    <w:rsid w:val="03722553"/>
    <w:rsid w:val="0377282C"/>
    <w:rsid w:val="037F210D"/>
    <w:rsid w:val="0380748C"/>
    <w:rsid w:val="038A3960"/>
    <w:rsid w:val="038A4CF3"/>
    <w:rsid w:val="038C61D3"/>
    <w:rsid w:val="03935E87"/>
    <w:rsid w:val="039E1D85"/>
    <w:rsid w:val="03AA3F3D"/>
    <w:rsid w:val="03BD3483"/>
    <w:rsid w:val="03C36E72"/>
    <w:rsid w:val="03C92616"/>
    <w:rsid w:val="03CD605F"/>
    <w:rsid w:val="03CE358F"/>
    <w:rsid w:val="03D05EAD"/>
    <w:rsid w:val="03E63D04"/>
    <w:rsid w:val="03ED067A"/>
    <w:rsid w:val="03ED5F5E"/>
    <w:rsid w:val="03F370E4"/>
    <w:rsid w:val="03F434D0"/>
    <w:rsid w:val="03F63962"/>
    <w:rsid w:val="03F673BB"/>
    <w:rsid w:val="04002FE3"/>
    <w:rsid w:val="04062AEC"/>
    <w:rsid w:val="04163446"/>
    <w:rsid w:val="0416676A"/>
    <w:rsid w:val="041B4819"/>
    <w:rsid w:val="041D47D5"/>
    <w:rsid w:val="043210F1"/>
    <w:rsid w:val="046248DD"/>
    <w:rsid w:val="046E5030"/>
    <w:rsid w:val="04706FFA"/>
    <w:rsid w:val="047A1C27"/>
    <w:rsid w:val="048D195A"/>
    <w:rsid w:val="048D2B9D"/>
    <w:rsid w:val="04936845"/>
    <w:rsid w:val="04A15406"/>
    <w:rsid w:val="04A93617"/>
    <w:rsid w:val="04B17F0B"/>
    <w:rsid w:val="04CA514B"/>
    <w:rsid w:val="04CD59C3"/>
    <w:rsid w:val="04E47489"/>
    <w:rsid w:val="04E90B5B"/>
    <w:rsid w:val="04ED0587"/>
    <w:rsid w:val="04F01DE7"/>
    <w:rsid w:val="050645A2"/>
    <w:rsid w:val="050934D2"/>
    <w:rsid w:val="050E7658"/>
    <w:rsid w:val="05127654"/>
    <w:rsid w:val="05157BA2"/>
    <w:rsid w:val="05174FE3"/>
    <w:rsid w:val="0518136C"/>
    <w:rsid w:val="052C4133"/>
    <w:rsid w:val="052D4EEB"/>
    <w:rsid w:val="052E1A92"/>
    <w:rsid w:val="05310411"/>
    <w:rsid w:val="053E0DBD"/>
    <w:rsid w:val="05485881"/>
    <w:rsid w:val="054C2DCF"/>
    <w:rsid w:val="055A508B"/>
    <w:rsid w:val="056106F1"/>
    <w:rsid w:val="05690CCC"/>
    <w:rsid w:val="056B07C6"/>
    <w:rsid w:val="05726749"/>
    <w:rsid w:val="0576170F"/>
    <w:rsid w:val="05852432"/>
    <w:rsid w:val="058D4E78"/>
    <w:rsid w:val="05995C27"/>
    <w:rsid w:val="059B671E"/>
    <w:rsid w:val="05B011B5"/>
    <w:rsid w:val="05B31A65"/>
    <w:rsid w:val="05B6124B"/>
    <w:rsid w:val="05BE323F"/>
    <w:rsid w:val="05D367EB"/>
    <w:rsid w:val="05D66391"/>
    <w:rsid w:val="05D80C81"/>
    <w:rsid w:val="05DD4042"/>
    <w:rsid w:val="05E42EC7"/>
    <w:rsid w:val="05E732EC"/>
    <w:rsid w:val="05F5658A"/>
    <w:rsid w:val="05FB0B46"/>
    <w:rsid w:val="05FE52FA"/>
    <w:rsid w:val="06085010"/>
    <w:rsid w:val="060C2CD0"/>
    <w:rsid w:val="060F3640"/>
    <w:rsid w:val="061C410F"/>
    <w:rsid w:val="061C6A2B"/>
    <w:rsid w:val="061E23A1"/>
    <w:rsid w:val="061F6226"/>
    <w:rsid w:val="06225A50"/>
    <w:rsid w:val="06245C04"/>
    <w:rsid w:val="0643687B"/>
    <w:rsid w:val="064E21DF"/>
    <w:rsid w:val="065D35AE"/>
    <w:rsid w:val="06676B2D"/>
    <w:rsid w:val="066E5BC6"/>
    <w:rsid w:val="06700C2D"/>
    <w:rsid w:val="067B40B2"/>
    <w:rsid w:val="06833904"/>
    <w:rsid w:val="068A6CF9"/>
    <w:rsid w:val="06A71C0B"/>
    <w:rsid w:val="06A958EA"/>
    <w:rsid w:val="06AA2A97"/>
    <w:rsid w:val="06AF04B5"/>
    <w:rsid w:val="06C10B12"/>
    <w:rsid w:val="06CF0127"/>
    <w:rsid w:val="06D12582"/>
    <w:rsid w:val="06DD3475"/>
    <w:rsid w:val="06E71D35"/>
    <w:rsid w:val="06F856B7"/>
    <w:rsid w:val="06FC7E32"/>
    <w:rsid w:val="06FE736B"/>
    <w:rsid w:val="070849AB"/>
    <w:rsid w:val="07160455"/>
    <w:rsid w:val="071624DF"/>
    <w:rsid w:val="071874D5"/>
    <w:rsid w:val="071E412C"/>
    <w:rsid w:val="071F0864"/>
    <w:rsid w:val="072B7208"/>
    <w:rsid w:val="0731712F"/>
    <w:rsid w:val="07320CEB"/>
    <w:rsid w:val="073A122B"/>
    <w:rsid w:val="076467EA"/>
    <w:rsid w:val="076508DC"/>
    <w:rsid w:val="076D6683"/>
    <w:rsid w:val="077F3F8B"/>
    <w:rsid w:val="07866745"/>
    <w:rsid w:val="078E1E1E"/>
    <w:rsid w:val="07931ADF"/>
    <w:rsid w:val="07A82607"/>
    <w:rsid w:val="07D21D7A"/>
    <w:rsid w:val="07EA47F3"/>
    <w:rsid w:val="07EB5840"/>
    <w:rsid w:val="07F57D52"/>
    <w:rsid w:val="07FE2BE0"/>
    <w:rsid w:val="0814716B"/>
    <w:rsid w:val="081D5E60"/>
    <w:rsid w:val="08236B0E"/>
    <w:rsid w:val="082F6A38"/>
    <w:rsid w:val="08307FB5"/>
    <w:rsid w:val="08365E65"/>
    <w:rsid w:val="083C3EF2"/>
    <w:rsid w:val="083E5094"/>
    <w:rsid w:val="087200ED"/>
    <w:rsid w:val="08785772"/>
    <w:rsid w:val="088D6F17"/>
    <w:rsid w:val="08903100"/>
    <w:rsid w:val="08A451D0"/>
    <w:rsid w:val="08A831EC"/>
    <w:rsid w:val="08A84BF4"/>
    <w:rsid w:val="08A93C5A"/>
    <w:rsid w:val="08AD24D3"/>
    <w:rsid w:val="08B0799A"/>
    <w:rsid w:val="08B31D10"/>
    <w:rsid w:val="08BE291B"/>
    <w:rsid w:val="08CC4A1B"/>
    <w:rsid w:val="08D767A2"/>
    <w:rsid w:val="08DB6A0C"/>
    <w:rsid w:val="08E04AE9"/>
    <w:rsid w:val="08E53D6D"/>
    <w:rsid w:val="08F92C9F"/>
    <w:rsid w:val="08F94D8F"/>
    <w:rsid w:val="09075302"/>
    <w:rsid w:val="0909677B"/>
    <w:rsid w:val="090C4141"/>
    <w:rsid w:val="09182BAC"/>
    <w:rsid w:val="09242B63"/>
    <w:rsid w:val="0934265E"/>
    <w:rsid w:val="093E4C85"/>
    <w:rsid w:val="09816C22"/>
    <w:rsid w:val="09842A11"/>
    <w:rsid w:val="09850FEC"/>
    <w:rsid w:val="09896468"/>
    <w:rsid w:val="098D1713"/>
    <w:rsid w:val="09992324"/>
    <w:rsid w:val="09B340CA"/>
    <w:rsid w:val="09B84C5E"/>
    <w:rsid w:val="09C4734F"/>
    <w:rsid w:val="09D22F86"/>
    <w:rsid w:val="09D83D52"/>
    <w:rsid w:val="09DB4F16"/>
    <w:rsid w:val="09DE5942"/>
    <w:rsid w:val="09E21F3D"/>
    <w:rsid w:val="09EE2263"/>
    <w:rsid w:val="09FD2E64"/>
    <w:rsid w:val="0A0E7914"/>
    <w:rsid w:val="0A1246B0"/>
    <w:rsid w:val="0A126765"/>
    <w:rsid w:val="0A312D88"/>
    <w:rsid w:val="0A395029"/>
    <w:rsid w:val="0A463FB5"/>
    <w:rsid w:val="0A482357"/>
    <w:rsid w:val="0A4D7834"/>
    <w:rsid w:val="0A64600C"/>
    <w:rsid w:val="0A72798D"/>
    <w:rsid w:val="0A9C3376"/>
    <w:rsid w:val="0AB50528"/>
    <w:rsid w:val="0AC360CD"/>
    <w:rsid w:val="0ACE3989"/>
    <w:rsid w:val="0AD35BED"/>
    <w:rsid w:val="0AD665CC"/>
    <w:rsid w:val="0AD95332"/>
    <w:rsid w:val="0AE011B0"/>
    <w:rsid w:val="0AE24739"/>
    <w:rsid w:val="0AE767FD"/>
    <w:rsid w:val="0AEF60E1"/>
    <w:rsid w:val="0AF45A71"/>
    <w:rsid w:val="0AFC72DB"/>
    <w:rsid w:val="0B02612F"/>
    <w:rsid w:val="0B041E12"/>
    <w:rsid w:val="0B0A2017"/>
    <w:rsid w:val="0B0A6803"/>
    <w:rsid w:val="0B111368"/>
    <w:rsid w:val="0B316C05"/>
    <w:rsid w:val="0B3A2FF8"/>
    <w:rsid w:val="0B3D71BF"/>
    <w:rsid w:val="0B4D36FB"/>
    <w:rsid w:val="0B4F76A9"/>
    <w:rsid w:val="0B542E1A"/>
    <w:rsid w:val="0B566408"/>
    <w:rsid w:val="0B5863D3"/>
    <w:rsid w:val="0B5E0EE5"/>
    <w:rsid w:val="0B5F32F3"/>
    <w:rsid w:val="0B617938"/>
    <w:rsid w:val="0B62773F"/>
    <w:rsid w:val="0B707C93"/>
    <w:rsid w:val="0B76555B"/>
    <w:rsid w:val="0B785B6B"/>
    <w:rsid w:val="0B921F8C"/>
    <w:rsid w:val="0B97236F"/>
    <w:rsid w:val="0B9F1C6E"/>
    <w:rsid w:val="0BA137A0"/>
    <w:rsid w:val="0BAD65CC"/>
    <w:rsid w:val="0BD50FC3"/>
    <w:rsid w:val="0BE5211A"/>
    <w:rsid w:val="0BFD3257"/>
    <w:rsid w:val="0C081E2D"/>
    <w:rsid w:val="0C151740"/>
    <w:rsid w:val="0C173C9F"/>
    <w:rsid w:val="0C1741B0"/>
    <w:rsid w:val="0C1D7BC5"/>
    <w:rsid w:val="0C396D85"/>
    <w:rsid w:val="0C3F70ED"/>
    <w:rsid w:val="0C434FF4"/>
    <w:rsid w:val="0C453C7A"/>
    <w:rsid w:val="0C455E34"/>
    <w:rsid w:val="0C4910B5"/>
    <w:rsid w:val="0C4E2B00"/>
    <w:rsid w:val="0C580AA0"/>
    <w:rsid w:val="0C5853EE"/>
    <w:rsid w:val="0C5B45A2"/>
    <w:rsid w:val="0C5C3FCC"/>
    <w:rsid w:val="0C664935"/>
    <w:rsid w:val="0C757E9E"/>
    <w:rsid w:val="0C8D626F"/>
    <w:rsid w:val="0CA43CE5"/>
    <w:rsid w:val="0CAA16CA"/>
    <w:rsid w:val="0CBE28CD"/>
    <w:rsid w:val="0CC07B48"/>
    <w:rsid w:val="0CC44E1F"/>
    <w:rsid w:val="0CCC748B"/>
    <w:rsid w:val="0CD520F0"/>
    <w:rsid w:val="0CDA1A87"/>
    <w:rsid w:val="0CDB31C5"/>
    <w:rsid w:val="0CDD2D80"/>
    <w:rsid w:val="0CE94CAF"/>
    <w:rsid w:val="0CEE2E7D"/>
    <w:rsid w:val="0CF52F98"/>
    <w:rsid w:val="0D046CC1"/>
    <w:rsid w:val="0D127CDB"/>
    <w:rsid w:val="0D2E4F5F"/>
    <w:rsid w:val="0D3F3A0E"/>
    <w:rsid w:val="0D4C22C8"/>
    <w:rsid w:val="0D4E7DAA"/>
    <w:rsid w:val="0D531267"/>
    <w:rsid w:val="0D5E7FD3"/>
    <w:rsid w:val="0D6618DB"/>
    <w:rsid w:val="0D674D12"/>
    <w:rsid w:val="0D6B42BD"/>
    <w:rsid w:val="0D845A13"/>
    <w:rsid w:val="0D890EA2"/>
    <w:rsid w:val="0D965D4A"/>
    <w:rsid w:val="0D9C676A"/>
    <w:rsid w:val="0DC76A33"/>
    <w:rsid w:val="0DCE0D04"/>
    <w:rsid w:val="0DD57ECE"/>
    <w:rsid w:val="0DEC3D47"/>
    <w:rsid w:val="0DF10BD2"/>
    <w:rsid w:val="0E0314F9"/>
    <w:rsid w:val="0E0C6472"/>
    <w:rsid w:val="0E0E7F72"/>
    <w:rsid w:val="0E245887"/>
    <w:rsid w:val="0E29365D"/>
    <w:rsid w:val="0E2F6F2D"/>
    <w:rsid w:val="0E330FC4"/>
    <w:rsid w:val="0E337D94"/>
    <w:rsid w:val="0E3B7858"/>
    <w:rsid w:val="0E3D3800"/>
    <w:rsid w:val="0E4152CA"/>
    <w:rsid w:val="0E6707C6"/>
    <w:rsid w:val="0E703CEA"/>
    <w:rsid w:val="0E767FF6"/>
    <w:rsid w:val="0E855450"/>
    <w:rsid w:val="0E9266F3"/>
    <w:rsid w:val="0EA0446C"/>
    <w:rsid w:val="0EA30C97"/>
    <w:rsid w:val="0EA57A1B"/>
    <w:rsid w:val="0EAA59ED"/>
    <w:rsid w:val="0EAA7742"/>
    <w:rsid w:val="0EB34359"/>
    <w:rsid w:val="0EB53520"/>
    <w:rsid w:val="0EC40BD4"/>
    <w:rsid w:val="0ECA7307"/>
    <w:rsid w:val="0EDE5E90"/>
    <w:rsid w:val="0EFB1049"/>
    <w:rsid w:val="0EFC3F54"/>
    <w:rsid w:val="0F0A3BA7"/>
    <w:rsid w:val="0F1163DB"/>
    <w:rsid w:val="0F1D3ECD"/>
    <w:rsid w:val="0F345DE6"/>
    <w:rsid w:val="0F380715"/>
    <w:rsid w:val="0F3F4072"/>
    <w:rsid w:val="0F45616A"/>
    <w:rsid w:val="0F4B16D5"/>
    <w:rsid w:val="0F5D3273"/>
    <w:rsid w:val="0F6008F7"/>
    <w:rsid w:val="0F655282"/>
    <w:rsid w:val="0F6C03BE"/>
    <w:rsid w:val="0F865E42"/>
    <w:rsid w:val="0F903E39"/>
    <w:rsid w:val="0F9577A4"/>
    <w:rsid w:val="0F9E5F06"/>
    <w:rsid w:val="0FA745BE"/>
    <w:rsid w:val="0FB10A1B"/>
    <w:rsid w:val="0FC131E6"/>
    <w:rsid w:val="0FC405C7"/>
    <w:rsid w:val="0FC70A0E"/>
    <w:rsid w:val="0FC75D83"/>
    <w:rsid w:val="0FC87CEA"/>
    <w:rsid w:val="0FD026B7"/>
    <w:rsid w:val="0FD03043"/>
    <w:rsid w:val="0FD11314"/>
    <w:rsid w:val="0FD146C5"/>
    <w:rsid w:val="0FD46A59"/>
    <w:rsid w:val="0FD91CA6"/>
    <w:rsid w:val="0FDD23A2"/>
    <w:rsid w:val="0FE17197"/>
    <w:rsid w:val="0FE20680"/>
    <w:rsid w:val="0FE82335"/>
    <w:rsid w:val="0FE9242A"/>
    <w:rsid w:val="0FF42C61"/>
    <w:rsid w:val="100E221B"/>
    <w:rsid w:val="100F4162"/>
    <w:rsid w:val="1010271E"/>
    <w:rsid w:val="10183676"/>
    <w:rsid w:val="101F593D"/>
    <w:rsid w:val="10246F5A"/>
    <w:rsid w:val="10256388"/>
    <w:rsid w:val="10281C50"/>
    <w:rsid w:val="102C3467"/>
    <w:rsid w:val="1031756B"/>
    <w:rsid w:val="104355C3"/>
    <w:rsid w:val="105519AE"/>
    <w:rsid w:val="10622650"/>
    <w:rsid w:val="106612B1"/>
    <w:rsid w:val="10661F2A"/>
    <w:rsid w:val="106644F8"/>
    <w:rsid w:val="10672011"/>
    <w:rsid w:val="107435F9"/>
    <w:rsid w:val="10986AEB"/>
    <w:rsid w:val="109B7BB5"/>
    <w:rsid w:val="10A12319"/>
    <w:rsid w:val="10A82CAB"/>
    <w:rsid w:val="10AC6DD7"/>
    <w:rsid w:val="10BC6E64"/>
    <w:rsid w:val="10CB06DF"/>
    <w:rsid w:val="10CF1D4B"/>
    <w:rsid w:val="10D87358"/>
    <w:rsid w:val="10DD4562"/>
    <w:rsid w:val="10ED4569"/>
    <w:rsid w:val="10EF574B"/>
    <w:rsid w:val="10F97FFE"/>
    <w:rsid w:val="11073E51"/>
    <w:rsid w:val="11074433"/>
    <w:rsid w:val="110C33AE"/>
    <w:rsid w:val="111156C1"/>
    <w:rsid w:val="111D3578"/>
    <w:rsid w:val="1120143A"/>
    <w:rsid w:val="112E11B4"/>
    <w:rsid w:val="11343694"/>
    <w:rsid w:val="113B06A5"/>
    <w:rsid w:val="114535BD"/>
    <w:rsid w:val="114D6333"/>
    <w:rsid w:val="11565EE8"/>
    <w:rsid w:val="116A4DD1"/>
    <w:rsid w:val="116B62FD"/>
    <w:rsid w:val="11716160"/>
    <w:rsid w:val="11731ED8"/>
    <w:rsid w:val="118D27FA"/>
    <w:rsid w:val="11A2533F"/>
    <w:rsid w:val="11AD6755"/>
    <w:rsid w:val="11B761D9"/>
    <w:rsid w:val="11D44511"/>
    <w:rsid w:val="11D8538F"/>
    <w:rsid w:val="11E23E4F"/>
    <w:rsid w:val="11EA48C7"/>
    <w:rsid w:val="11F24BF7"/>
    <w:rsid w:val="11F90EC2"/>
    <w:rsid w:val="11F972E4"/>
    <w:rsid w:val="12001018"/>
    <w:rsid w:val="120B0362"/>
    <w:rsid w:val="120D1FEF"/>
    <w:rsid w:val="12151368"/>
    <w:rsid w:val="121922B0"/>
    <w:rsid w:val="12296A3A"/>
    <w:rsid w:val="12302953"/>
    <w:rsid w:val="12333415"/>
    <w:rsid w:val="125C4811"/>
    <w:rsid w:val="126A4496"/>
    <w:rsid w:val="127203CA"/>
    <w:rsid w:val="127759F8"/>
    <w:rsid w:val="127D3788"/>
    <w:rsid w:val="128439C0"/>
    <w:rsid w:val="128B71FD"/>
    <w:rsid w:val="12934C46"/>
    <w:rsid w:val="12934D2E"/>
    <w:rsid w:val="12970686"/>
    <w:rsid w:val="12A87E60"/>
    <w:rsid w:val="12B25D65"/>
    <w:rsid w:val="12B74672"/>
    <w:rsid w:val="12CA7B4C"/>
    <w:rsid w:val="12DD6CF8"/>
    <w:rsid w:val="12EF6A53"/>
    <w:rsid w:val="12F17E6D"/>
    <w:rsid w:val="12F2022D"/>
    <w:rsid w:val="13082012"/>
    <w:rsid w:val="130A0018"/>
    <w:rsid w:val="130D010A"/>
    <w:rsid w:val="13162070"/>
    <w:rsid w:val="1321580E"/>
    <w:rsid w:val="13290B4D"/>
    <w:rsid w:val="132A4818"/>
    <w:rsid w:val="133645FB"/>
    <w:rsid w:val="133A6A13"/>
    <w:rsid w:val="13473407"/>
    <w:rsid w:val="137837D5"/>
    <w:rsid w:val="13791725"/>
    <w:rsid w:val="139231D1"/>
    <w:rsid w:val="13930F53"/>
    <w:rsid w:val="139D7296"/>
    <w:rsid w:val="13A24DF5"/>
    <w:rsid w:val="13A374DF"/>
    <w:rsid w:val="13A740BB"/>
    <w:rsid w:val="13AA5051"/>
    <w:rsid w:val="13AB5AE3"/>
    <w:rsid w:val="13AE5449"/>
    <w:rsid w:val="13AF4D1D"/>
    <w:rsid w:val="13D15B3A"/>
    <w:rsid w:val="13D6727E"/>
    <w:rsid w:val="13DB4969"/>
    <w:rsid w:val="1404150D"/>
    <w:rsid w:val="141011F6"/>
    <w:rsid w:val="14107EB2"/>
    <w:rsid w:val="1413478D"/>
    <w:rsid w:val="14136D41"/>
    <w:rsid w:val="141705C1"/>
    <w:rsid w:val="141A488D"/>
    <w:rsid w:val="14224631"/>
    <w:rsid w:val="142322F0"/>
    <w:rsid w:val="142C15EA"/>
    <w:rsid w:val="142C6F36"/>
    <w:rsid w:val="14303A76"/>
    <w:rsid w:val="14416EB1"/>
    <w:rsid w:val="144357A0"/>
    <w:rsid w:val="1445772E"/>
    <w:rsid w:val="145C0341"/>
    <w:rsid w:val="14613264"/>
    <w:rsid w:val="14643619"/>
    <w:rsid w:val="146B4A16"/>
    <w:rsid w:val="148B1558"/>
    <w:rsid w:val="148D5DB4"/>
    <w:rsid w:val="14AE4BDA"/>
    <w:rsid w:val="14B22D17"/>
    <w:rsid w:val="14B57AD5"/>
    <w:rsid w:val="14BC1DE8"/>
    <w:rsid w:val="14BC76F2"/>
    <w:rsid w:val="14C33599"/>
    <w:rsid w:val="14C34F24"/>
    <w:rsid w:val="14C36CD2"/>
    <w:rsid w:val="14CF2C22"/>
    <w:rsid w:val="14CF3D09"/>
    <w:rsid w:val="14D07641"/>
    <w:rsid w:val="14D25167"/>
    <w:rsid w:val="14D969CE"/>
    <w:rsid w:val="14D97568"/>
    <w:rsid w:val="14DB1649"/>
    <w:rsid w:val="14DD7449"/>
    <w:rsid w:val="14E22D08"/>
    <w:rsid w:val="14F84952"/>
    <w:rsid w:val="15063063"/>
    <w:rsid w:val="150D2643"/>
    <w:rsid w:val="152D652A"/>
    <w:rsid w:val="15421C87"/>
    <w:rsid w:val="15597637"/>
    <w:rsid w:val="155C1C50"/>
    <w:rsid w:val="155F74E5"/>
    <w:rsid w:val="15617932"/>
    <w:rsid w:val="15690D50"/>
    <w:rsid w:val="15747AE8"/>
    <w:rsid w:val="157C427B"/>
    <w:rsid w:val="158158DE"/>
    <w:rsid w:val="15A8718D"/>
    <w:rsid w:val="15AD31D0"/>
    <w:rsid w:val="15B57769"/>
    <w:rsid w:val="15BD561D"/>
    <w:rsid w:val="15BE5EAF"/>
    <w:rsid w:val="15C71570"/>
    <w:rsid w:val="15D5522C"/>
    <w:rsid w:val="15DB39EC"/>
    <w:rsid w:val="15DD3DC4"/>
    <w:rsid w:val="15DE7581"/>
    <w:rsid w:val="15E2753E"/>
    <w:rsid w:val="15EF3F8E"/>
    <w:rsid w:val="15F5456E"/>
    <w:rsid w:val="15F66C34"/>
    <w:rsid w:val="15FA0341"/>
    <w:rsid w:val="15FD5E19"/>
    <w:rsid w:val="1604435F"/>
    <w:rsid w:val="160E02B8"/>
    <w:rsid w:val="160F2064"/>
    <w:rsid w:val="16175528"/>
    <w:rsid w:val="161C30B5"/>
    <w:rsid w:val="162722CA"/>
    <w:rsid w:val="16287735"/>
    <w:rsid w:val="162C7035"/>
    <w:rsid w:val="162F7863"/>
    <w:rsid w:val="16380A5A"/>
    <w:rsid w:val="16455A25"/>
    <w:rsid w:val="164F31DF"/>
    <w:rsid w:val="166653EB"/>
    <w:rsid w:val="167401D6"/>
    <w:rsid w:val="16760629"/>
    <w:rsid w:val="167B4215"/>
    <w:rsid w:val="168E1723"/>
    <w:rsid w:val="16963635"/>
    <w:rsid w:val="16AC32C0"/>
    <w:rsid w:val="16B7549C"/>
    <w:rsid w:val="16CB15C5"/>
    <w:rsid w:val="16D6031B"/>
    <w:rsid w:val="16DD7F8C"/>
    <w:rsid w:val="16EE24B4"/>
    <w:rsid w:val="17057F60"/>
    <w:rsid w:val="17063ECA"/>
    <w:rsid w:val="17165223"/>
    <w:rsid w:val="17225186"/>
    <w:rsid w:val="17237EFC"/>
    <w:rsid w:val="172D48D7"/>
    <w:rsid w:val="174538A9"/>
    <w:rsid w:val="17472266"/>
    <w:rsid w:val="174E73C4"/>
    <w:rsid w:val="174F6EAD"/>
    <w:rsid w:val="17604CAC"/>
    <w:rsid w:val="177666A9"/>
    <w:rsid w:val="178B0B02"/>
    <w:rsid w:val="17A57733"/>
    <w:rsid w:val="17AA7071"/>
    <w:rsid w:val="17AE14F0"/>
    <w:rsid w:val="17B332AE"/>
    <w:rsid w:val="17B36663"/>
    <w:rsid w:val="17C36FE9"/>
    <w:rsid w:val="17D1787A"/>
    <w:rsid w:val="17E256C1"/>
    <w:rsid w:val="17F23C73"/>
    <w:rsid w:val="17F623C7"/>
    <w:rsid w:val="17F753E8"/>
    <w:rsid w:val="17F815F8"/>
    <w:rsid w:val="17FA1B04"/>
    <w:rsid w:val="17FD699F"/>
    <w:rsid w:val="18097DBD"/>
    <w:rsid w:val="180E295A"/>
    <w:rsid w:val="182412C7"/>
    <w:rsid w:val="18253800"/>
    <w:rsid w:val="182932F0"/>
    <w:rsid w:val="182B535A"/>
    <w:rsid w:val="182D764D"/>
    <w:rsid w:val="183A4270"/>
    <w:rsid w:val="18557CC5"/>
    <w:rsid w:val="185B4F3B"/>
    <w:rsid w:val="185E0A9B"/>
    <w:rsid w:val="185F31B6"/>
    <w:rsid w:val="18644328"/>
    <w:rsid w:val="18645C44"/>
    <w:rsid w:val="1881137E"/>
    <w:rsid w:val="188B1FCB"/>
    <w:rsid w:val="188F7D4C"/>
    <w:rsid w:val="189F1EC3"/>
    <w:rsid w:val="189F6817"/>
    <w:rsid w:val="18A312F5"/>
    <w:rsid w:val="18A36AEA"/>
    <w:rsid w:val="18D3325C"/>
    <w:rsid w:val="18F838FB"/>
    <w:rsid w:val="18F86036"/>
    <w:rsid w:val="18F865BB"/>
    <w:rsid w:val="18FA0B99"/>
    <w:rsid w:val="18FF204A"/>
    <w:rsid w:val="190B6E9A"/>
    <w:rsid w:val="1916004E"/>
    <w:rsid w:val="19305011"/>
    <w:rsid w:val="19320942"/>
    <w:rsid w:val="193328B9"/>
    <w:rsid w:val="194A4359"/>
    <w:rsid w:val="195F34EF"/>
    <w:rsid w:val="19602C5A"/>
    <w:rsid w:val="19704F4F"/>
    <w:rsid w:val="197F5C60"/>
    <w:rsid w:val="19856C4C"/>
    <w:rsid w:val="198C7FDB"/>
    <w:rsid w:val="199364A5"/>
    <w:rsid w:val="19AA319B"/>
    <w:rsid w:val="19C07C84"/>
    <w:rsid w:val="19CF5F18"/>
    <w:rsid w:val="19D454DE"/>
    <w:rsid w:val="19D73876"/>
    <w:rsid w:val="19D83220"/>
    <w:rsid w:val="19DD00FB"/>
    <w:rsid w:val="19E424E4"/>
    <w:rsid w:val="19E83E36"/>
    <w:rsid w:val="19F618F8"/>
    <w:rsid w:val="19FC64B2"/>
    <w:rsid w:val="1A0B3526"/>
    <w:rsid w:val="1A0B5140"/>
    <w:rsid w:val="1A112A6C"/>
    <w:rsid w:val="1A12131B"/>
    <w:rsid w:val="1A225A66"/>
    <w:rsid w:val="1A330456"/>
    <w:rsid w:val="1A3F113F"/>
    <w:rsid w:val="1A486E61"/>
    <w:rsid w:val="1A524D25"/>
    <w:rsid w:val="1A77048B"/>
    <w:rsid w:val="1A781584"/>
    <w:rsid w:val="1A8776DF"/>
    <w:rsid w:val="1A8E353B"/>
    <w:rsid w:val="1A8F1F69"/>
    <w:rsid w:val="1A8F3FBF"/>
    <w:rsid w:val="1AA459D4"/>
    <w:rsid w:val="1AA54097"/>
    <w:rsid w:val="1AA83FBF"/>
    <w:rsid w:val="1ABA1ACF"/>
    <w:rsid w:val="1ABF620B"/>
    <w:rsid w:val="1ACC4407"/>
    <w:rsid w:val="1ACE6D82"/>
    <w:rsid w:val="1AD856DA"/>
    <w:rsid w:val="1ADA2FC8"/>
    <w:rsid w:val="1AE970E8"/>
    <w:rsid w:val="1AED43BE"/>
    <w:rsid w:val="1AF31665"/>
    <w:rsid w:val="1B061F4C"/>
    <w:rsid w:val="1B0C4563"/>
    <w:rsid w:val="1B1C7D70"/>
    <w:rsid w:val="1B2B5CB1"/>
    <w:rsid w:val="1B3A7FF2"/>
    <w:rsid w:val="1B527033"/>
    <w:rsid w:val="1B5763C6"/>
    <w:rsid w:val="1B5D0AE3"/>
    <w:rsid w:val="1B5D44D7"/>
    <w:rsid w:val="1B6173EB"/>
    <w:rsid w:val="1B645931"/>
    <w:rsid w:val="1B6610FC"/>
    <w:rsid w:val="1B6C326F"/>
    <w:rsid w:val="1B7404F5"/>
    <w:rsid w:val="1B851185"/>
    <w:rsid w:val="1B957A7C"/>
    <w:rsid w:val="1B98342C"/>
    <w:rsid w:val="1BA3610F"/>
    <w:rsid w:val="1BA73FAB"/>
    <w:rsid w:val="1BBE70BF"/>
    <w:rsid w:val="1BBE7284"/>
    <w:rsid w:val="1BC77097"/>
    <w:rsid w:val="1BCD0942"/>
    <w:rsid w:val="1BCF3EC0"/>
    <w:rsid w:val="1BCF4D2B"/>
    <w:rsid w:val="1BD57A7A"/>
    <w:rsid w:val="1BD9502D"/>
    <w:rsid w:val="1BE85270"/>
    <w:rsid w:val="1BF131B5"/>
    <w:rsid w:val="1BFE4548"/>
    <w:rsid w:val="1C0C1B52"/>
    <w:rsid w:val="1C0D4CD7"/>
    <w:rsid w:val="1C191BC6"/>
    <w:rsid w:val="1C1F2EE0"/>
    <w:rsid w:val="1C220989"/>
    <w:rsid w:val="1C4252E8"/>
    <w:rsid w:val="1C4526C3"/>
    <w:rsid w:val="1C5A0F9C"/>
    <w:rsid w:val="1C64402C"/>
    <w:rsid w:val="1C7134B8"/>
    <w:rsid w:val="1C790312"/>
    <w:rsid w:val="1C7B68E7"/>
    <w:rsid w:val="1C7C4570"/>
    <w:rsid w:val="1C903565"/>
    <w:rsid w:val="1C9D605B"/>
    <w:rsid w:val="1CAC44F0"/>
    <w:rsid w:val="1CB02232"/>
    <w:rsid w:val="1CB8326E"/>
    <w:rsid w:val="1CBB3D14"/>
    <w:rsid w:val="1CC40435"/>
    <w:rsid w:val="1CC9529A"/>
    <w:rsid w:val="1CCE4466"/>
    <w:rsid w:val="1CD274FB"/>
    <w:rsid w:val="1CE416F1"/>
    <w:rsid w:val="1CE6214B"/>
    <w:rsid w:val="1CF20DD5"/>
    <w:rsid w:val="1D02521F"/>
    <w:rsid w:val="1D4B34D5"/>
    <w:rsid w:val="1D4D1EC3"/>
    <w:rsid w:val="1D4D4A4E"/>
    <w:rsid w:val="1D5036C6"/>
    <w:rsid w:val="1D5826A3"/>
    <w:rsid w:val="1D5A1C89"/>
    <w:rsid w:val="1D5E0D8A"/>
    <w:rsid w:val="1D64013C"/>
    <w:rsid w:val="1D6468E0"/>
    <w:rsid w:val="1D7902E3"/>
    <w:rsid w:val="1D7B1190"/>
    <w:rsid w:val="1D7D00F8"/>
    <w:rsid w:val="1D847A9F"/>
    <w:rsid w:val="1D8E4E75"/>
    <w:rsid w:val="1D990835"/>
    <w:rsid w:val="1D9938C3"/>
    <w:rsid w:val="1DCE296D"/>
    <w:rsid w:val="1DDC0E05"/>
    <w:rsid w:val="1DE77127"/>
    <w:rsid w:val="1DE81558"/>
    <w:rsid w:val="1DF75C3F"/>
    <w:rsid w:val="1DFC3255"/>
    <w:rsid w:val="1E070646"/>
    <w:rsid w:val="1E0F7CB7"/>
    <w:rsid w:val="1E1C095E"/>
    <w:rsid w:val="1E242665"/>
    <w:rsid w:val="1E312B1D"/>
    <w:rsid w:val="1E34528A"/>
    <w:rsid w:val="1E58492F"/>
    <w:rsid w:val="1E5866DD"/>
    <w:rsid w:val="1E6E0C44"/>
    <w:rsid w:val="1E7B1B90"/>
    <w:rsid w:val="1E83428E"/>
    <w:rsid w:val="1E854DBD"/>
    <w:rsid w:val="1E894AE9"/>
    <w:rsid w:val="1E9A19CA"/>
    <w:rsid w:val="1E9D67E6"/>
    <w:rsid w:val="1EAA5462"/>
    <w:rsid w:val="1EB87682"/>
    <w:rsid w:val="1EC078A0"/>
    <w:rsid w:val="1ED60FBB"/>
    <w:rsid w:val="1EDB2E6A"/>
    <w:rsid w:val="1EE2244B"/>
    <w:rsid w:val="1EED6EEA"/>
    <w:rsid w:val="1EF2166B"/>
    <w:rsid w:val="1EFE2F21"/>
    <w:rsid w:val="1F042868"/>
    <w:rsid w:val="1F0A75DF"/>
    <w:rsid w:val="1F161D1D"/>
    <w:rsid w:val="1F1A7E37"/>
    <w:rsid w:val="1F24693A"/>
    <w:rsid w:val="1F5C04BB"/>
    <w:rsid w:val="1F790FE5"/>
    <w:rsid w:val="1F946F06"/>
    <w:rsid w:val="1F974FE3"/>
    <w:rsid w:val="1F97749C"/>
    <w:rsid w:val="1F9A5FFD"/>
    <w:rsid w:val="1FAF019C"/>
    <w:rsid w:val="1FBE5C35"/>
    <w:rsid w:val="1FBF278C"/>
    <w:rsid w:val="1FE312CB"/>
    <w:rsid w:val="1FE91454"/>
    <w:rsid w:val="1FEB532F"/>
    <w:rsid w:val="20130E79"/>
    <w:rsid w:val="202334B1"/>
    <w:rsid w:val="20330CED"/>
    <w:rsid w:val="2041079C"/>
    <w:rsid w:val="204C04C4"/>
    <w:rsid w:val="20587880"/>
    <w:rsid w:val="205C7E6F"/>
    <w:rsid w:val="20601879"/>
    <w:rsid w:val="206C2914"/>
    <w:rsid w:val="2076109D"/>
    <w:rsid w:val="207B57AE"/>
    <w:rsid w:val="20924301"/>
    <w:rsid w:val="20995B38"/>
    <w:rsid w:val="209C441A"/>
    <w:rsid w:val="20B079FE"/>
    <w:rsid w:val="20B336F3"/>
    <w:rsid w:val="20C271DD"/>
    <w:rsid w:val="20CE56C6"/>
    <w:rsid w:val="20E3074A"/>
    <w:rsid w:val="20EC75B1"/>
    <w:rsid w:val="20EE50D7"/>
    <w:rsid w:val="21022930"/>
    <w:rsid w:val="21026A08"/>
    <w:rsid w:val="2110003E"/>
    <w:rsid w:val="21121A91"/>
    <w:rsid w:val="211F1A47"/>
    <w:rsid w:val="211F2B06"/>
    <w:rsid w:val="212B67AD"/>
    <w:rsid w:val="21325ABC"/>
    <w:rsid w:val="2137706C"/>
    <w:rsid w:val="214A187E"/>
    <w:rsid w:val="21592826"/>
    <w:rsid w:val="215E28E0"/>
    <w:rsid w:val="216637D5"/>
    <w:rsid w:val="216E0591"/>
    <w:rsid w:val="21721A3C"/>
    <w:rsid w:val="217D46AD"/>
    <w:rsid w:val="21881825"/>
    <w:rsid w:val="2190618E"/>
    <w:rsid w:val="21910225"/>
    <w:rsid w:val="2196282B"/>
    <w:rsid w:val="219A525F"/>
    <w:rsid w:val="219C4B33"/>
    <w:rsid w:val="219F0AC7"/>
    <w:rsid w:val="21BA62B5"/>
    <w:rsid w:val="21C56BD4"/>
    <w:rsid w:val="21C76170"/>
    <w:rsid w:val="21D57BC5"/>
    <w:rsid w:val="21DA5A26"/>
    <w:rsid w:val="21F55ABC"/>
    <w:rsid w:val="22025A18"/>
    <w:rsid w:val="22081F3F"/>
    <w:rsid w:val="220823CC"/>
    <w:rsid w:val="22162020"/>
    <w:rsid w:val="22204E78"/>
    <w:rsid w:val="22300E7F"/>
    <w:rsid w:val="224073DC"/>
    <w:rsid w:val="22435D3F"/>
    <w:rsid w:val="22484CBB"/>
    <w:rsid w:val="224C76DB"/>
    <w:rsid w:val="224D0079"/>
    <w:rsid w:val="2250508A"/>
    <w:rsid w:val="22560548"/>
    <w:rsid w:val="22720C1C"/>
    <w:rsid w:val="22967C28"/>
    <w:rsid w:val="22972662"/>
    <w:rsid w:val="22A0443E"/>
    <w:rsid w:val="22B05A31"/>
    <w:rsid w:val="22CF0F38"/>
    <w:rsid w:val="22D968BF"/>
    <w:rsid w:val="22E061E9"/>
    <w:rsid w:val="22E6492F"/>
    <w:rsid w:val="22F6561A"/>
    <w:rsid w:val="2309444A"/>
    <w:rsid w:val="230E1A60"/>
    <w:rsid w:val="23175B4F"/>
    <w:rsid w:val="231828DF"/>
    <w:rsid w:val="231C06A4"/>
    <w:rsid w:val="23244DE0"/>
    <w:rsid w:val="23264FFC"/>
    <w:rsid w:val="23305A79"/>
    <w:rsid w:val="233966CA"/>
    <w:rsid w:val="233C5BFB"/>
    <w:rsid w:val="23481728"/>
    <w:rsid w:val="23557DEB"/>
    <w:rsid w:val="235D48BA"/>
    <w:rsid w:val="23646D54"/>
    <w:rsid w:val="23663488"/>
    <w:rsid w:val="238C6E29"/>
    <w:rsid w:val="23AB08F0"/>
    <w:rsid w:val="23AD6BD2"/>
    <w:rsid w:val="23BF7B2A"/>
    <w:rsid w:val="23C070E9"/>
    <w:rsid w:val="23C40EE0"/>
    <w:rsid w:val="23C76B44"/>
    <w:rsid w:val="23DB12ED"/>
    <w:rsid w:val="23DF33FD"/>
    <w:rsid w:val="23E32EED"/>
    <w:rsid w:val="23EC3D11"/>
    <w:rsid w:val="23FA1099"/>
    <w:rsid w:val="2412732E"/>
    <w:rsid w:val="241542E4"/>
    <w:rsid w:val="24165941"/>
    <w:rsid w:val="241B7775"/>
    <w:rsid w:val="242B05C2"/>
    <w:rsid w:val="242B1B96"/>
    <w:rsid w:val="2432177F"/>
    <w:rsid w:val="24343749"/>
    <w:rsid w:val="24361F53"/>
    <w:rsid w:val="24376D95"/>
    <w:rsid w:val="243E45C7"/>
    <w:rsid w:val="244A0291"/>
    <w:rsid w:val="244F4DE9"/>
    <w:rsid w:val="245149DB"/>
    <w:rsid w:val="24547947"/>
    <w:rsid w:val="245A4C34"/>
    <w:rsid w:val="24651B54"/>
    <w:rsid w:val="246F0C96"/>
    <w:rsid w:val="24834265"/>
    <w:rsid w:val="24A81A41"/>
    <w:rsid w:val="24C148B0"/>
    <w:rsid w:val="24C26B60"/>
    <w:rsid w:val="24C6497E"/>
    <w:rsid w:val="24D642D6"/>
    <w:rsid w:val="24D77A52"/>
    <w:rsid w:val="24E9445F"/>
    <w:rsid w:val="24F01070"/>
    <w:rsid w:val="24F032B0"/>
    <w:rsid w:val="24F05915"/>
    <w:rsid w:val="24FA3AA8"/>
    <w:rsid w:val="24FD7FDE"/>
    <w:rsid w:val="250076E0"/>
    <w:rsid w:val="25014DF9"/>
    <w:rsid w:val="250B2159"/>
    <w:rsid w:val="250D5E55"/>
    <w:rsid w:val="251B2213"/>
    <w:rsid w:val="251F2312"/>
    <w:rsid w:val="25211964"/>
    <w:rsid w:val="25302162"/>
    <w:rsid w:val="25395579"/>
    <w:rsid w:val="253D5BE5"/>
    <w:rsid w:val="25406339"/>
    <w:rsid w:val="254D072A"/>
    <w:rsid w:val="25517FA4"/>
    <w:rsid w:val="25581C6C"/>
    <w:rsid w:val="257E5506"/>
    <w:rsid w:val="258156D2"/>
    <w:rsid w:val="25882E37"/>
    <w:rsid w:val="258D487D"/>
    <w:rsid w:val="25973F8F"/>
    <w:rsid w:val="25A641D2"/>
    <w:rsid w:val="25AE7E39"/>
    <w:rsid w:val="25BA3DB0"/>
    <w:rsid w:val="25CA1509"/>
    <w:rsid w:val="25D52D09"/>
    <w:rsid w:val="25D9249B"/>
    <w:rsid w:val="25E20F82"/>
    <w:rsid w:val="25F24B85"/>
    <w:rsid w:val="25F80D4B"/>
    <w:rsid w:val="2604742B"/>
    <w:rsid w:val="260E57EE"/>
    <w:rsid w:val="261844CC"/>
    <w:rsid w:val="26227BCD"/>
    <w:rsid w:val="264365B7"/>
    <w:rsid w:val="26462F1B"/>
    <w:rsid w:val="26483950"/>
    <w:rsid w:val="26492DAF"/>
    <w:rsid w:val="26607F93"/>
    <w:rsid w:val="266C454D"/>
    <w:rsid w:val="266F4F92"/>
    <w:rsid w:val="266F7822"/>
    <w:rsid w:val="26712A32"/>
    <w:rsid w:val="268A67BB"/>
    <w:rsid w:val="269542B8"/>
    <w:rsid w:val="26955FF5"/>
    <w:rsid w:val="269C5F46"/>
    <w:rsid w:val="269E73A8"/>
    <w:rsid w:val="26A11901"/>
    <w:rsid w:val="26A5092E"/>
    <w:rsid w:val="26B47BB7"/>
    <w:rsid w:val="26BA7A83"/>
    <w:rsid w:val="26C8793A"/>
    <w:rsid w:val="26EF01C1"/>
    <w:rsid w:val="26F71B89"/>
    <w:rsid w:val="26F97940"/>
    <w:rsid w:val="26FB67A0"/>
    <w:rsid w:val="272827A2"/>
    <w:rsid w:val="27341B83"/>
    <w:rsid w:val="27407849"/>
    <w:rsid w:val="274A3DC9"/>
    <w:rsid w:val="274B2AC9"/>
    <w:rsid w:val="2750030D"/>
    <w:rsid w:val="275E4A4D"/>
    <w:rsid w:val="276F34F2"/>
    <w:rsid w:val="278060B3"/>
    <w:rsid w:val="279445BF"/>
    <w:rsid w:val="27AC267E"/>
    <w:rsid w:val="27B73EE3"/>
    <w:rsid w:val="27E10FAB"/>
    <w:rsid w:val="27F06B89"/>
    <w:rsid w:val="27F67025"/>
    <w:rsid w:val="27F73DBF"/>
    <w:rsid w:val="280C52CA"/>
    <w:rsid w:val="28123719"/>
    <w:rsid w:val="281913D2"/>
    <w:rsid w:val="281D75BC"/>
    <w:rsid w:val="282047C7"/>
    <w:rsid w:val="2826007F"/>
    <w:rsid w:val="28305FD5"/>
    <w:rsid w:val="28446E77"/>
    <w:rsid w:val="28550131"/>
    <w:rsid w:val="285706E4"/>
    <w:rsid w:val="285854EB"/>
    <w:rsid w:val="285D22D9"/>
    <w:rsid w:val="286878C8"/>
    <w:rsid w:val="286D688E"/>
    <w:rsid w:val="286D786F"/>
    <w:rsid w:val="287175A1"/>
    <w:rsid w:val="287454FB"/>
    <w:rsid w:val="287C138F"/>
    <w:rsid w:val="287E5F52"/>
    <w:rsid w:val="2887677C"/>
    <w:rsid w:val="28962001"/>
    <w:rsid w:val="28983B19"/>
    <w:rsid w:val="289B1FE8"/>
    <w:rsid w:val="289F09BA"/>
    <w:rsid w:val="28B05368"/>
    <w:rsid w:val="28C11323"/>
    <w:rsid w:val="28D23530"/>
    <w:rsid w:val="28DE75A9"/>
    <w:rsid w:val="28E04988"/>
    <w:rsid w:val="28FC67C1"/>
    <w:rsid w:val="28FE191E"/>
    <w:rsid w:val="29115F0D"/>
    <w:rsid w:val="29253660"/>
    <w:rsid w:val="29260DE3"/>
    <w:rsid w:val="29397B75"/>
    <w:rsid w:val="294477FD"/>
    <w:rsid w:val="29467F8D"/>
    <w:rsid w:val="295B7BE7"/>
    <w:rsid w:val="29657F00"/>
    <w:rsid w:val="29677A11"/>
    <w:rsid w:val="2970538A"/>
    <w:rsid w:val="2981571D"/>
    <w:rsid w:val="299535BF"/>
    <w:rsid w:val="299D5306"/>
    <w:rsid w:val="29AC1F04"/>
    <w:rsid w:val="29BE7AFB"/>
    <w:rsid w:val="29C07769"/>
    <w:rsid w:val="29C70BBB"/>
    <w:rsid w:val="29D11026"/>
    <w:rsid w:val="29E22822"/>
    <w:rsid w:val="29FB7994"/>
    <w:rsid w:val="2A007C29"/>
    <w:rsid w:val="2A0D1152"/>
    <w:rsid w:val="2A0D449A"/>
    <w:rsid w:val="2A0E097E"/>
    <w:rsid w:val="2A16517C"/>
    <w:rsid w:val="2A193419"/>
    <w:rsid w:val="2A1E196F"/>
    <w:rsid w:val="2A1F27A5"/>
    <w:rsid w:val="2A251458"/>
    <w:rsid w:val="2A36089B"/>
    <w:rsid w:val="2A381160"/>
    <w:rsid w:val="2A3D0E7D"/>
    <w:rsid w:val="2A3E6D57"/>
    <w:rsid w:val="2A5341FD"/>
    <w:rsid w:val="2A60759E"/>
    <w:rsid w:val="2A697432"/>
    <w:rsid w:val="2A6B7798"/>
    <w:rsid w:val="2A6C6903"/>
    <w:rsid w:val="2A827CFE"/>
    <w:rsid w:val="2A8F0B5A"/>
    <w:rsid w:val="2A930A1A"/>
    <w:rsid w:val="2A9647AE"/>
    <w:rsid w:val="2AA2159A"/>
    <w:rsid w:val="2AAA08A7"/>
    <w:rsid w:val="2AAA5340"/>
    <w:rsid w:val="2AB32EED"/>
    <w:rsid w:val="2ABB15CA"/>
    <w:rsid w:val="2ABC4FEF"/>
    <w:rsid w:val="2ABC51A5"/>
    <w:rsid w:val="2AD02499"/>
    <w:rsid w:val="2AD943AC"/>
    <w:rsid w:val="2AE00186"/>
    <w:rsid w:val="2AE410F2"/>
    <w:rsid w:val="2AEB08D9"/>
    <w:rsid w:val="2AFB6D6E"/>
    <w:rsid w:val="2B0A6FB1"/>
    <w:rsid w:val="2B193698"/>
    <w:rsid w:val="2B2251B9"/>
    <w:rsid w:val="2B246026"/>
    <w:rsid w:val="2B334501"/>
    <w:rsid w:val="2B361B54"/>
    <w:rsid w:val="2B367DA6"/>
    <w:rsid w:val="2B3F62DF"/>
    <w:rsid w:val="2B4017F0"/>
    <w:rsid w:val="2B6640B7"/>
    <w:rsid w:val="2B710EE3"/>
    <w:rsid w:val="2B74713D"/>
    <w:rsid w:val="2B7F5902"/>
    <w:rsid w:val="2B81684E"/>
    <w:rsid w:val="2B9B76D0"/>
    <w:rsid w:val="2B9F1796"/>
    <w:rsid w:val="2BA7770F"/>
    <w:rsid w:val="2BC544A6"/>
    <w:rsid w:val="2BC97876"/>
    <w:rsid w:val="2BCD7C30"/>
    <w:rsid w:val="2BCE4483"/>
    <w:rsid w:val="2BD15D21"/>
    <w:rsid w:val="2C0277E9"/>
    <w:rsid w:val="2C0A7E05"/>
    <w:rsid w:val="2C127E6D"/>
    <w:rsid w:val="2C155C0E"/>
    <w:rsid w:val="2C1901D7"/>
    <w:rsid w:val="2C210F74"/>
    <w:rsid w:val="2C2E4AE9"/>
    <w:rsid w:val="2C372028"/>
    <w:rsid w:val="2C420F7B"/>
    <w:rsid w:val="2C446F10"/>
    <w:rsid w:val="2C51752B"/>
    <w:rsid w:val="2C5373DC"/>
    <w:rsid w:val="2C5D7941"/>
    <w:rsid w:val="2C6B4AC3"/>
    <w:rsid w:val="2C781ABD"/>
    <w:rsid w:val="2C7A2968"/>
    <w:rsid w:val="2C7C7A3B"/>
    <w:rsid w:val="2C825DFB"/>
    <w:rsid w:val="2C8640C1"/>
    <w:rsid w:val="2C8977DB"/>
    <w:rsid w:val="2C8C568D"/>
    <w:rsid w:val="2C8D17AB"/>
    <w:rsid w:val="2C9B7EC1"/>
    <w:rsid w:val="2CB15EA6"/>
    <w:rsid w:val="2CC97410"/>
    <w:rsid w:val="2CCA2E9C"/>
    <w:rsid w:val="2CD0422B"/>
    <w:rsid w:val="2CD86C3B"/>
    <w:rsid w:val="2CDA4378"/>
    <w:rsid w:val="2CDB214E"/>
    <w:rsid w:val="2CDB28F0"/>
    <w:rsid w:val="2CDC4BBF"/>
    <w:rsid w:val="2CE06D90"/>
    <w:rsid w:val="2CE40D3B"/>
    <w:rsid w:val="2CEE2873"/>
    <w:rsid w:val="2CF73565"/>
    <w:rsid w:val="2D016BD6"/>
    <w:rsid w:val="2D047A30"/>
    <w:rsid w:val="2D093F9B"/>
    <w:rsid w:val="2D102879"/>
    <w:rsid w:val="2D113C66"/>
    <w:rsid w:val="2D265C3C"/>
    <w:rsid w:val="2D3227EF"/>
    <w:rsid w:val="2D332404"/>
    <w:rsid w:val="2D3D7CC8"/>
    <w:rsid w:val="2D3E0E0E"/>
    <w:rsid w:val="2D43350C"/>
    <w:rsid w:val="2D4B16D2"/>
    <w:rsid w:val="2D6606CF"/>
    <w:rsid w:val="2D664C9E"/>
    <w:rsid w:val="2D6D7CCB"/>
    <w:rsid w:val="2D74780B"/>
    <w:rsid w:val="2D7C468A"/>
    <w:rsid w:val="2D7F6C89"/>
    <w:rsid w:val="2D972D94"/>
    <w:rsid w:val="2D9D235F"/>
    <w:rsid w:val="2D9E1C33"/>
    <w:rsid w:val="2DB021C6"/>
    <w:rsid w:val="2DB604DD"/>
    <w:rsid w:val="2DBD3FA4"/>
    <w:rsid w:val="2DC876A5"/>
    <w:rsid w:val="2DD6761F"/>
    <w:rsid w:val="2DE163C7"/>
    <w:rsid w:val="2DF42AE9"/>
    <w:rsid w:val="2DF561D9"/>
    <w:rsid w:val="2E1320E4"/>
    <w:rsid w:val="2E141EF5"/>
    <w:rsid w:val="2E1667C1"/>
    <w:rsid w:val="2E2F001A"/>
    <w:rsid w:val="2E3478A2"/>
    <w:rsid w:val="2E3600BD"/>
    <w:rsid w:val="2E360490"/>
    <w:rsid w:val="2E494294"/>
    <w:rsid w:val="2E552C39"/>
    <w:rsid w:val="2E5E21D7"/>
    <w:rsid w:val="2E5E24D1"/>
    <w:rsid w:val="2E707428"/>
    <w:rsid w:val="2E76796B"/>
    <w:rsid w:val="2E786006"/>
    <w:rsid w:val="2E797C21"/>
    <w:rsid w:val="2E886EEB"/>
    <w:rsid w:val="2E953036"/>
    <w:rsid w:val="2E9C0115"/>
    <w:rsid w:val="2EAC2E7D"/>
    <w:rsid w:val="2EB20408"/>
    <w:rsid w:val="2EB55C55"/>
    <w:rsid w:val="2EBD6B1D"/>
    <w:rsid w:val="2ECC103F"/>
    <w:rsid w:val="2ED06C87"/>
    <w:rsid w:val="2ED2527F"/>
    <w:rsid w:val="2ED466F6"/>
    <w:rsid w:val="2EE70552"/>
    <w:rsid w:val="2EF40DD1"/>
    <w:rsid w:val="2EF53EEF"/>
    <w:rsid w:val="2EFA2839"/>
    <w:rsid w:val="2F2B5748"/>
    <w:rsid w:val="2F2D1DAA"/>
    <w:rsid w:val="2F2F348A"/>
    <w:rsid w:val="2F3B1E2F"/>
    <w:rsid w:val="2F3F11F4"/>
    <w:rsid w:val="2F52079E"/>
    <w:rsid w:val="2F566C69"/>
    <w:rsid w:val="2F5702EB"/>
    <w:rsid w:val="2F627BA0"/>
    <w:rsid w:val="2F6509E3"/>
    <w:rsid w:val="2F715851"/>
    <w:rsid w:val="2F7C6518"/>
    <w:rsid w:val="2FB27C17"/>
    <w:rsid w:val="2FC17E5A"/>
    <w:rsid w:val="2FD22068"/>
    <w:rsid w:val="2FDA5D83"/>
    <w:rsid w:val="2FE36023"/>
    <w:rsid w:val="2FFF0E51"/>
    <w:rsid w:val="300932A8"/>
    <w:rsid w:val="30495BCA"/>
    <w:rsid w:val="305022CF"/>
    <w:rsid w:val="305C282E"/>
    <w:rsid w:val="305E0914"/>
    <w:rsid w:val="306C7DC6"/>
    <w:rsid w:val="30731155"/>
    <w:rsid w:val="307F7AFA"/>
    <w:rsid w:val="309B06AC"/>
    <w:rsid w:val="309B6DED"/>
    <w:rsid w:val="30A37BCB"/>
    <w:rsid w:val="30AC28B9"/>
    <w:rsid w:val="30AD21DC"/>
    <w:rsid w:val="30BE302B"/>
    <w:rsid w:val="30E025DC"/>
    <w:rsid w:val="30E62F57"/>
    <w:rsid w:val="30F0761F"/>
    <w:rsid w:val="30F2476F"/>
    <w:rsid w:val="30F57DBC"/>
    <w:rsid w:val="310C447D"/>
    <w:rsid w:val="311E4562"/>
    <w:rsid w:val="31223673"/>
    <w:rsid w:val="31270645"/>
    <w:rsid w:val="312B1A2F"/>
    <w:rsid w:val="314D01A9"/>
    <w:rsid w:val="31584276"/>
    <w:rsid w:val="315E0057"/>
    <w:rsid w:val="316B0718"/>
    <w:rsid w:val="317038E6"/>
    <w:rsid w:val="3177042D"/>
    <w:rsid w:val="31960D87"/>
    <w:rsid w:val="31A16195"/>
    <w:rsid w:val="31A24A4C"/>
    <w:rsid w:val="31A33CBC"/>
    <w:rsid w:val="31B2321C"/>
    <w:rsid w:val="31FB3AF8"/>
    <w:rsid w:val="31FC1225"/>
    <w:rsid w:val="320209E2"/>
    <w:rsid w:val="320A7897"/>
    <w:rsid w:val="320E0019"/>
    <w:rsid w:val="32173E76"/>
    <w:rsid w:val="324B220A"/>
    <w:rsid w:val="32607AE6"/>
    <w:rsid w:val="326C2925"/>
    <w:rsid w:val="32717761"/>
    <w:rsid w:val="327D62BB"/>
    <w:rsid w:val="32843AED"/>
    <w:rsid w:val="32933EE4"/>
    <w:rsid w:val="32954240"/>
    <w:rsid w:val="329B682C"/>
    <w:rsid w:val="329D23D0"/>
    <w:rsid w:val="32A907CC"/>
    <w:rsid w:val="32AD4EF5"/>
    <w:rsid w:val="32C57C62"/>
    <w:rsid w:val="32C72628"/>
    <w:rsid w:val="32C953D7"/>
    <w:rsid w:val="32CB34CA"/>
    <w:rsid w:val="32D700C1"/>
    <w:rsid w:val="32D93173"/>
    <w:rsid w:val="32E423CA"/>
    <w:rsid w:val="32FB1288"/>
    <w:rsid w:val="33283FCC"/>
    <w:rsid w:val="33302D05"/>
    <w:rsid w:val="33365018"/>
    <w:rsid w:val="3338115C"/>
    <w:rsid w:val="33476CCE"/>
    <w:rsid w:val="33702ED1"/>
    <w:rsid w:val="33706E29"/>
    <w:rsid w:val="33777574"/>
    <w:rsid w:val="33880521"/>
    <w:rsid w:val="33896EE1"/>
    <w:rsid w:val="33BE0F5C"/>
    <w:rsid w:val="33C628DD"/>
    <w:rsid w:val="33C90490"/>
    <w:rsid w:val="33D96ECB"/>
    <w:rsid w:val="33F56A3A"/>
    <w:rsid w:val="33F7711E"/>
    <w:rsid w:val="340D366E"/>
    <w:rsid w:val="34334E3E"/>
    <w:rsid w:val="3435494F"/>
    <w:rsid w:val="34384B8F"/>
    <w:rsid w:val="3445044D"/>
    <w:rsid w:val="34480B4A"/>
    <w:rsid w:val="344E7702"/>
    <w:rsid w:val="34580D8D"/>
    <w:rsid w:val="34764DD6"/>
    <w:rsid w:val="34777A48"/>
    <w:rsid w:val="3488469C"/>
    <w:rsid w:val="34911A17"/>
    <w:rsid w:val="34B076B9"/>
    <w:rsid w:val="34C06DFC"/>
    <w:rsid w:val="34CA2C65"/>
    <w:rsid w:val="34D47C15"/>
    <w:rsid w:val="34E55AC4"/>
    <w:rsid w:val="34EB32C4"/>
    <w:rsid w:val="34F32686"/>
    <w:rsid w:val="34F52A80"/>
    <w:rsid w:val="34FB2271"/>
    <w:rsid w:val="3500732A"/>
    <w:rsid w:val="3514328B"/>
    <w:rsid w:val="351F7AFD"/>
    <w:rsid w:val="35211979"/>
    <w:rsid w:val="35366BF5"/>
    <w:rsid w:val="355550CA"/>
    <w:rsid w:val="355D403A"/>
    <w:rsid w:val="355F3976"/>
    <w:rsid w:val="356A2A1B"/>
    <w:rsid w:val="356C2617"/>
    <w:rsid w:val="358471A7"/>
    <w:rsid w:val="358E290B"/>
    <w:rsid w:val="359758E5"/>
    <w:rsid w:val="35982D70"/>
    <w:rsid w:val="3598340C"/>
    <w:rsid w:val="35991E9D"/>
    <w:rsid w:val="35A1264A"/>
    <w:rsid w:val="35A87E3F"/>
    <w:rsid w:val="35CB3858"/>
    <w:rsid w:val="35D170DF"/>
    <w:rsid w:val="35D17232"/>
    <w:rsid w:val="35D17C92"/>
    <w:rsid w:val="35D5640E"/>
    <w:rsid w:val="35E36D7D"/>
    <w:rsid w:val="35EA1F0B"/>
    <w:rsid w:val="35EF4EA0"/>
    <w:rsid w:val="35F01010"/>
    <w:rsid w:val="35F5085E"/>
    <w:rsid w:val="360102DF"/>
    <w:rsid w:val="3601278A"/>
    <w:rsid w:val="36061C97"/>
    <w:rsid w:val="36121410"/>
    <w:rsid w:val="361311BE"/>
    <w:rsid w:val="361374D2"/>
    <w:rsid w:val="36193799"/>
    <w:rsid w:val="361F19EC"/>
    <w:rsid w:val="3633054A"/>
    <w:rsid w:val="363F3301"/>
    <w:rsid w:val="36692394"/>
    <w:rsid w:val="366B7875"/>
    <w:rsid w:val="367832B9"/>
    <w:rsid w:val="368D02EB"/>
    <w:rsid w:val="36997E62"/>
    <w:rsid w:val="36D707C5"/>
    <w:rsid w:val="36DD37CC"/>
    <w:rsid w:val="36DF60C0"/>
    <w:rsid w:val="36E0625D"/>
    <w:rsid w:val="36E17F8F"/>
    <w:rsid w:val="36EA0095"/>
    <w:rsid w:val="36EA04C5"/>
    <w:rsid w:val="36EC6E3D"/>
    <w:rsid w:val="36F7366F"/>
    <w:rsid w:val="370E5675"/>
    <w:rsid w:val="37155195"/>
    <w:rsid w:val="371F2CC4"/>
    <w:rsid w:val="37205D5A"/>
    <w:rsid w:val="37236CDD"/>
    <w:rsid w:val="372E1123"/>
    <w:rsid w:val="3731331D"/>
    <w:rsid w:val="3732128A"/>
    <w:rsid w:val="373B04F2"/>
    <w:rsid w:val="373B7E19"/>
    <w:rsid w:val="373C40C8"/>
    <w:rsid w:val="37577BC3"/>
    <w:rsid w:val="375C0FE4"/>
    <w:rsid w:val="37647620"/>
    <w:rsid w:val="376B6993"/>
    <w:rsid w:val="37763248"/>
    <w:rsid w:val="378A1162"/>
    <w:rsid w:val="37A06538"/>
    <w:rsid w:val="37A55A29"/>
    <w:rsid w:val="37A84685"/>
    <w:rsid w:val="37B32B13"/>
    <w:rsid w:val="37B7226F"/>
    <w:rsid w:val="37BC3DAB"/>
    <w:rsid w:val="37C329C2"/>
    <w:rsid w:val="37C40671"/>
    <w:rsid w:val="37CE75B8"/>
    <w:rsid w:val="37CF637A"/>
    <w:rsid w:val="37D45563"/>
    <w:rsid w:val="37DB0A6E"/>
    <w:rsid w:val="37DD091B"/>
    <w:rsid w:val="37E207E0"/>
    <w:rsid w:val="37E455AA"/>
    <w:rsid w:val="37E77CF9"/>
    <w:rsid w:val="37E8067A"/>
    <w:rsid w:val="37F05BF6"/>
    <w:rsid w:val="381C36B0"/>
    <w:rsid w:val="381E6E88"/>
    <w:rsid w:val="38203879"/>
    <w:rsid w:val="38214E0F"/>
    <w:rsid w:val="38303DA7"/>
    <w:rsid w:val="3835496F"/>
    <w:rsid w:val="384368F2"/>
    <w:rsid w:val="38453E1F"/>
    <w:rsid w:val="3845787B"/>
    <w:rsid w:val="384A4706"/>
    <w:rsid w:val="384E565E"/>
    <w:rsid w:val="384E5BCA"/>
    <w:rsid w:val="38507F7D"/>
    <w:rsid w:val="38546868"/>
    <w:rsid w:val="38726FB5"/>
    <w:rsid w:val="387355FD"/>
    <w:rsid w:val="387719FE"/>
    <w:rsid w:val="38805939"/>
    <w:rsid w:val="388154FB"/>
    <w:rsid w:val="38822610"/>
    <w:rsid w:val="388B407E"/>
    <w:rsid w:val="388E5944"/>
    <w:rsid w:val="3891572C"/>
    <w:rsid w:val="389B369E"/>
    <w:rsid w:val="38A10BA9"/>
    <w:rsid w:val="38B22A36"/>
    <w:rsid w:val="38B57E8B"/>
    <w:rsid w:val="38C87A65"/>
    <w:rsid w:val="38CA43B5"/>
    <w:rsid w:val="38D4307D"/>
    <w:rsid w:val="38D62BC9"/>
    <w:rsid w:val="38E34890"/>
    <w:rsid w:val="38E946AA"/>
    <w:rsid w:val="38F02E97"/>
    <w:rsid w:val="38F56D0B"/>
    <w:rsid w:val="38F74B54"/>
    <w:rsid w:val="38F87BB5"/>
    <w:rsid w:val="38F96CC7"/>
    <w:rsid w:val="39071AD9"/>
    <w:rsid w:val="390940A4"/>
    <w:rsid w:val="390D5A15"/>
    <w:rsid w:val="391905F6"/>
    <w:rsid w:val="391B69B1"/>
    <w:rsid w:val="391D20F7"/>
    <w:rsid w:val="39227BBC"/>
    <w:rsid w:val="392942AF"/>
    <w:rsid w:val="392B5F29"/>
    <w:rsid w:val="3933210E"/>
    <w:rsid w:val="393477F7"/>
    <w:rsid w:val="39357E08"/>
    <w:rsid w:val="393D0DA4"/>
    <w:rsid w:val="39442F38"/>
    <w:rsid w:val="39540160"/>
    <w:rsid w:val="395C4BA8"/>
    <w:rsid w:val="396509C3"/>
    <w:rsid w:val="39690BA5"/>
    <w:rsid w:val="396C5956"/>
    <w:rsid w:val="39754C6C"/>
    <w:rsid w:val="39924A0D"/>
    <w:rsid w:val="39A36682"/>
    <w:rsid w:val="39C609A3"/>
    <w:rsid w:val="39CE4608"/>
    <w:rsid w:val="39D013C6"/>
    <w:rsid w:val="39D42649"/>
    <w:rsid w:val="39D96A4E"/>
    <w:rsid w:val="39DC2D31"/>
    <w:rsid w:val="39DF3CFF"/>
    <w:rsid w:val="3A0348BA"/>
    <w:rsid w:val="3A0B378C"/>
    <w:rsid w:val="3A0D43C8"/>
    <w:rsid w:val="3A213355"/>
    <w:rsid w:val="3A2D692C"/>
    <w:rsid w:val="3A2E433E"/>
    <w:rsid w:val="3A3E2D61"/>
    <w:rsid w:val="3A4271A8"/>
    <w:rsid w:val="3A506A5F"/>
    <w:rsid w:val="3A526EDF"/>
    <w:rsid w:val="3A543518"/>
    <w:rsid w:val="3A5E3E19"/>
    <w:rsid w:val="3A601E9C"/>
    <w:rsid w:val="3A633F43"/>
    <w:rsid w:val="3A67435F"/>
    <w:rsid w:val="3A69012D"/>
    <w:rsid w:val="3A6B7341"/>
    <w:rsid w:val="3A724CC5"/>
    <w:rsid w:val="3A726921"/>
    <w:rsid w:val="3A802DEC"/>
    <w:rsid w:val="3A804602"/>
    <w:rsid w:val="3A855B9E"/>
    <w:rsid w:val="3A9E5086"/>
    <w:rsid w:val="3AB14C50"/>
    <w:rsid w:val="3AB3360F"/>
    <w:rsid w:val="3AC01D6E"/>
    <w:rsid w:val="3AD8381A"/>
    <w:rsid w:val="3ADD527F"/>
    <w:rsid w:val="3AE54B6A"/>
    <w:rsid w:val="3AE72E6B"/>
    <w:rsid w:val="3AEF1D0C"/>
    <w:rsid w:val="3AF175FA"/>
    <w:rsid w:val="3AF26389"/>
    <w:rsid w:val="3AF37A62"/>
    <w:rsid w:val="3AFB7815"/>
    <w:rsid w:val="3B0A4329"/>
    <w:rsid w:val="3B0C0B24"/>
    <w:rsid w:val="3B0E1B48"/>
    <w:rsid w:val="3B3510A5"/>
    <w:rsid w:val="3B404A2E"/>
    <w:rsid w:val="3B467CD8"/>
    <w:rsid w:val="3B47390A"/>
    <w:rsid w:val="3B5F3F38"/>
    <w:rsid w:val="3B7B35B3"/>
    <w:rsid w:val="3B7F0FEB"/>
    <w:rsid w:val="3B936D57"/>
    <w:rsid w:val="3B9603ED"/>
    <w:rsid w:val="3B984165"/>
    <w:rsid w:val="3BA47BE5"/>
    <w:rsid w:val="3BA72E2E"/>
    <w:rsid w:val="3BAA664E"/>
    <w:rsid w:val="3BAD6C67"/>
    <w:rsid w:val="3BB82242"/>
    <w:rsid w:val="3BC44F5A"/>
    <w:rsid w:val="3BC74A4B"/>
    <w:rsid w:val="3BD31641"/>
    <w:rsid w:val="3BE96E33"/>
    <w:rsid w:val="3C047258"/>
    <w:rsid w:val="3C0C4B9F"/>
    <w:rsid w:val="3C0E19D6"/>
    <w:rsid w:val="3C237ED3"/>
    <w:rsid w:val="3C2957D5"/>
    <w:rsid w:val="3C2D0D52"/>
    <w:rsid w:val="3C2F143E"/>
    <w:rsid w:val="3C3025F0"/>
    <w:rsid w:val="3C37397E"/>
    <w:rsid w:val="3C3E6D66"/>
    <w:rsid w:val="3C460065"/>
    <w:rsid w:val="3C522D83"/>
    <w:rsid w:val="3C5A766D"/>
    <w:rsid w:val="3C5B2DE5"/>
    <w:rsid w:val="3C5E535B"/>
    <w:rsid w:val="3C634F70"/>
    <w:rsid w:val="3C7649A9"/>
    <w:rsid w:val="3C945276"/>
    <w:rsid w:val="3CA37A53"/>
    <w:rsid w:val="3CA60B04"/>
    <w:rsid w:val="3CAF456A"/>
    <w:rsid w:val="3CAF79B9"/>
    <w:rsid w:val="3CC956E1"/>
    <w:rsid w:val="3CCF5F01"/>
    <w:rsid w:val="3CD4757C"/>
    <w:rsid w:val="3CD67400"/>
    <w:rsid w:val="3CE96A9F"/>
    <w:rsid w:val="3CEB6EE5"/>
    <w:rsid w:val="3CEB7A7F"/>
    <w:rsid w:val="3CF9394B"/>
    <w:rsid w:val="3CF95E6C"/>
    <w:rsid w:val="3D006466"/>
    <w:rsid w:val="3D127F47"/>
    <w:rsid w:val="3D17266E"/>
    <w:rsid w:val="3D1B1645"/>
    <w:rsid w:val="3D2442BE"/>
    <w:rsid w:val="3D2E2FD3"/>
    <w:rsid w:val="3D3E2AEA"/>
    <w:rsid w:val="3D4F2F4A"/>
    <w:rsid w:val="3D536596"/>
    <w:rsid w:val="3D60082C"/>
    <w:rsid w:val="3D79071F"/>
    <w:rsid w:val="3D8175A7"/>
    <w:rsid w:val="3D832510"/>
    <w:rsid w:val="3D8729D9"/>
    <w:rsid w:val="3DA50BFA"/>
    <w:rsid w:val="3DA56EB6"/>
    <w:rsid w:val="3DB35CF4"/>
    <w:rsid w:val="3DB84C51"/>
    <w:rsid w:val="3DBB1F49"/>
    <w:rsid w:val="3DBF1E7D"/>
    <w:rsid w:val="3DC115C9"/>
    <w:rsid w:val="3DC12C0B"/>
    <w:rsid w:val="3DCC00F6"/>
    <w:rsid w:val="3DCC459A"/>
    <w:rsid w:val="3DCC6348"/>
    <w:rsid w:val="3DD33817"/>
    <w:rsid w:val="3DD33904"/>
    <w:rsid w:val="3DDA0A65"/>
    <w:rsid w:val="3DE03BA2"/>
    <w:rsid w:val="3DE43692"/>
    <w:rsid w:val="3DEF2017"/>
    <w:rsid w:val="3DF67F84"/>
    <w:rsid w:val="3DFA1DCD"/>
    <w:rsid w:val="3DFF0247"/>
    <w:rsid w:val="3E02584E"/>
    <w:rsid w:val="3E10009B"/>
    <w:rsid w:val="3E1D2F5C"/>
    <w:rsid w:val="3E2E077F"/>
    <w:rsid w:val="3E403EBD"/>
    <w:rsid w:val="3E5F1DD9"/>
    <w:rsid w:val="3E630FAD"/>
    <w:rsid w:val="3E6855C0"/>
    <w:rsid w:val="3E742C68"/>
    <w:rsid w:val="3E90770F"/>
    <w:rsid w:val="3E9E1676"/>
    <w:rsid w:val="3E9E1A93"/>
    <w:rsid w:val="3EA17587"/>
    <w:rsid w:val="3EAB769A"/>
    <w:rsid w:val="3EAC5A7F"/>
    <w:rsid w:val="3EAF52E8"/>
    <w:rsid w:val="3EC35D52"/>
    <w:rsid w:val="3EC476D6"/>
    <w:rsid w:val="3EC7296C"/>
    <w:rsid w:val="3ED82F01"/>
    <w:rsid w:val="3ED91273"/>
    <w:rsid w:val="3EE45131"/>
    <w:rsid w:val="3EF8708A"/>
    <w:rsid w:val="3EFB1BFD"/>
    <w:rsid w:val="3F014682"/>
    <w:rsid w:val="3F0F17F8"/>
    <w:rsid w:val="3F221A4C"/>
    <w:rsid w:val="3F2F38A6"/>
    <w:rsid w:val="3F3D58E2"/>
    <w:rsid w:val="3F42277B"/>
    <w:rsid w:val="3F5706C7"/>
    <w:rsid w:val="3F6D757A"/>
    <w:rsid w:val="3FA0183A"/>
    <w:rsid w:val="3FA62817"/>
    <w:rsid w:val="3FBD23EC"/>
    <w:rsid w:val="3FBD7F23"/>
    <w:rsid w:val="3FBE7F13"/>
    <w:rsid w:val="3FD76419"/>
    <w:rsid w:val="3FE37884"/>
    <w:rsid w:val="3FF23580"/>
    <w:rsid w:val="3FF9638C"/>
    <w:rsid w:val="3FFC1167"/>
    <w:rsid w:val="400D7D0B"/>
    <w:rsid w:val="402A1140"/>
    <w:rsid w:val="402A6D50"/>
    <w:rsid w:val="403016DA"/>
    <w:rsid w:val="40414F3F"/>
    <w:rsid w:val="40422483"/>
    <w:rsid w:val="40577CBE"/>
    <w:rsid w:val="40626FEA"/>
    <w:rsid w:val="40776A3F"/>
    <w:rsid w:val="407B27E6"/>
    <w:rsid w:val="4081166C"/>
    <w:rsid w:val="40860A30"/>
    <w:rsid w:val="40881E62"/>
    <w:rsid w:val="408E3E1E"/>
    <w:rsid w:val="40907B01"/>
    <w:rsid w:val="4091198E"/>
    <w:rsid w:val="40C41ADA"/>
    <w:rsid w:val="40C54A28"/>
    <w:rsid w:val="40D1705F"/>
    <w:rsid w:val="40D81779"/>
    <w:rsid w:val="40E13EB9"/>
    <w:rsid w:val="40EA0199"/>
    <w:rsid w:val="40EE3E7E"/>
    <w:rsid w:val="40F41E3E"/>
    <w:rsid w:val="410339C1"/>
    <w:rsid w:val="41130DF2"/>
    <w:rsid w:val="41137F7B"/>
    <w:rsid w:val="41230975"/>
    <w:rsid w:val="4123515F"/>
    <w:rsid w:val="412E701E"/>
    <w:rsid w:val="412F0F7D"/>
    <w:rsid w:val="413D7187"/>
    <w:rsid w:val="417920A2"/>
    <w:rsid w:val="417E5BAB"/>
    <w:rsid w:val="41A2381A"/>
    <w:rsid w:val="41A8557D"/>
    <w:rsid w:val="41B5779B"/>
    <w:rsid w:val="41B96358"/>
    <w:rsid w:val="41BB295C"/>
    <w:rsid w:val="41C07E89"/>
    <w:rsid w:val="41C46E73"/>
    <w:rsid w:val="41C71300"/>
    <w:rsid w:val="41C9759F"/>
    <w:rsid w:val="41D118CA"/>
    <w:rsid w:val="41D45A66"/>
    <w:rsid w:val="41D45B23"/>
    <w:rsid w:val="41D54B20"/>
    <w:rsid w:val="41D67706"/>
    <w:rsid w:val="41DF2AEE"/>
    <w:rsid w:val="41E17FFE"/>
    <w:rsid w:val="41F374E8"/>
    <w:rsid w:val="41F85658"/>
    <w:rsid w:val="41FC384A"/>
    <w:rsid w:val="41FE6A9E"/>
    <w:rsid w:val="420E3CDA"/>
    <w:rsid w:val="42417062"/>
    <w:rsid w:val="424F34E0"/>
    <w:rsid w:val="42562684"/>
    <w:rsid w:val="425C0FE9"/>
    <w:rsid w:val="425E0229"/>
    <w:rsid w:val="4265561A"/>
    <w:rsid w:val="42830F2D"/>
    <w:rsid w:val="42843695"/>
    <w:rsid w:val="428B0580"/>
    <w:rsid w:val="429A553F"/>
    <w:rsid w:val="429F37F8"/>
    <w:rsid w:val="42AF2409"/>
    <w:rsid w:val="42B460BC"/>
    <w:rsid w:val="42C43F3A"/>
    <w:rsid w:val="42C45840"/>
    <w:rsid w:val="42C811FF"/>
    <w:rsid w:val="42CE4911"/>
    <w:rsid w:val="42D53EF1"/>
    <w:rsid w:val="42E61C5A"/>
    <w:rsid w:val="42F92ABE"/>
    <w:rsid w:val="43061DC8"/>
    <w:rsid w:val="43096148"/>
    <w:rsid w:val="43115B0B"/>
    <w:rsid w:val="43147164"/>
    <w:rsid w:val="431A39DA"/>
    <w:rsid w:val="432443D1"/>
    <w:rsid w:val="432B1B02"/>
    <w:rsid w:val="432D5ADB"/>
    <w:rsid w:val="433C57DE"/>
    <w:rsid w:val="4341424F"/>
    <w:rsid w:val="4343086F"/>
    <w:rsid w:val="43436392"/>
    <w:rsid w:val="434A043B"/>
    <w:rsid w:val="434B31CC"/>
    <w:rsid w:val="43572B58"/>
    <w:rsid w:val="435832D1"/>
    <w:rsid w:val="43590BB2"/>
    <w:rsid w:val="436332AB"/>
    <w:rsid w:val="43770160"/>
    <w:rsid w:val="43792ACE"/>
    <w:rsid w:val="43883FA1"/>
    <w:rsid w:val="438C3ECB"/>
    <w:rsid w:val="43954016"/>
    <w:rsid w:val="4397501D"/>
    <w:rsid w:val="439B47F3"/>
    <w:rsid w:val="439D3D9B"/>
    <w:rsid w:val="43AD0C98"/>
    <w:rsid w:val="43BE1986"/>
    <w:rsid w:val="43C77A0A"/>
    <w:rsid w:val="43DC466E"/>
    <w:rsid w:val="43DD305D"/>
    <w:rsid w:val="43F20128"/>
    <w:rsid w:val="43FC02E5"/>
    <w:rsid w:val="43FE03C1"/>
    <w:rsid w:val="44005116"/>
    <w:rsid w:val="44044A8E"/>
    <w:rsid w:val="440E76BA"/>
    <w:rsid w:val="440E7CF4"/>
    <w:rsid w:val="44161F77"/>
    <w:rsid w:val="442229E7"/>
    <w:rsid w:val="44291A26"/>
    <w:rsid w:val="44313316"/>
    <w:rsid w:val="443D361B"/>
    <w:rsid w:val="44450C02"/>
    <w:rsid w:val="44495E19"/>
    <w:rsid w:val="445B7885"/>
    <w:rsid w:val="445E2553"/>
    <w:rsid w:val="44902CD8"/>
    <w:rsid w:val="449F6565"/>
    <w:rsid w:val="44A16EE7"/>
    <w:rsid w:val="44B14184"/>
    <w:rsid w:val="44B71FB8"/>
    <w:rsid w:val="44C06FEF"/>
    <w:rsid w:val="44D47CE0"/>
    <w:rsid w:val="44E40840"/>
    <w:rsid w:val="44EC4671"/>
    <w:rsid w:val="44ED5BF8"/>
    <w:rsid w:val="450B4FBE"/>
    <w:rsid w:val="45130693"/>
    <w:rsid w:val="451B043A"/>
    <w:rsid w:val="45240818"/>
    <w:rsid w:val="45255657"/>
    <w:rsid w:val="45260A34"/>
    <w:rsid w:val="45324652"/>
    <w:rsid w:val="45324D6F"/>
    <w:rsid w:val="4537679D"/>
    <w:rsid w:val="453F3065"/>
    <w:rsid w:val="453F429A"/>
    <w:rsid w:val="45404891"/>
    <w:rsid w:val="454A5739"/>
    <w:rsid w:val="454B2248"/>
    <w:rsid w:val="454C2B49"/>
    <w:rsid w:val="454D75BE"/>
    <w:rsid w:val="454E3C2E"/>
    <w:rsid w:val="455A530C"/>
    <w:rsid w:val="45616A75"/>
    <w:rsid w:val="457840E1"/>
    <w:rsid w:val="457E4C69"/>
    <w:rsid w:val="45910BC6"/>
    <w:rsid w:val="45A535F7"/>
    <w:rsid w:val="45A712D3"/>
    <w:rsid w:val="45A74DE3"/>
    <w:rsid w:val="45AC0035"/>
    <w:rsid w:val="45C344D5"/>
    <w:rsid w:val="45C446B1"/>
    <w:rsid w:val="45D94B6B"/>
    <w:rsid w:val="45DF5942"/>
    <w:rsid w:val="45E5269D"/>
    <w:rsid w:val="45E806F2"/>
    <w:rsid w:val="45E85CE9"/>
    <w:rsid w:val="45FA7841"/>
    <w:rsid w:val="46063934"/>
    <w:rsid w:val="46101C61"/>
    <w:rsid w:val="4613720A"/>
    <w:rsid w:val="461E157D"/>
    <w:rsid w:val="46261BD3"/>
    <w:rsid w:val="46337C1C"/>
    <w:rsid w:val="464C44CA"/>
    <w:rsid w:val="4651168A"/>
    <w:rsid w:val="46541B0B"/>
    <w:rsid w:val="465810C1"/>
    <w:rsid w:val="46625F1E"/>
    <w:rsid w:val="466C3B7D"/>
    <w:rsid w:val="466C70E1"/>
    <w:rsid w:val="466D4D0F"/>
    <w:rsid w:val="46722E9B"/>
    <w:rsid w:val="467E0495"/>
    <w:rsid w:val="46935C55"/>
    <w:rsid w:val="46944C0D"/>
    <w:rsid w:val="46955E71"/>
    <w:rsid w:val="469E0229"/>
    <w:rsid w:val="46AA3296"/>
    <w:rsid w:val="46AA452D"/>
    <w:rsid w:val="46C04AE1"/>
    <w:rsid w:val="46C20FBE"/>
    <w:rsid w:val="46C22E05"/>
    <w:rsid w:val="46CC6AE5"/>
    <w:rsid w:val="46F1614B"/>
    <w:rsid w:val="46F41809"/>
    <w:rsid w:val="4701087D"/>
    <w:rsid w:val="47073A00"/>
    <w:rsid w:val="470D7F90"/>
    <w:rsid w:val="471139FB"/>
    <w:rsid w:val="4719166E"/>
    <w:rsid w:val="472B4569"/>
    <w:rsid w:val="473726E1"/>
    <w:rsid w:val="474918D0"/>
    <w:rsid w:val="474F7280"/>
    <w:rsid w:val="47634CDC"/>
    <w:rsid w:val="476B0665"/>
    <w:rsid w:val="476B3EEB"/>
    <w:rsid w:val="476B783C"/>
    <w:rsid w:val="47726EE6"/>
    <w:rsid w:val="477737C9"/>
    <w:rsid w:val="4779224E"/>
    <w:rsid w:val="477D1C88"/>
    <w:rsid w:val="4791488A"/>
    <w:rsid w:val="47933E16"/>
    <w:rsid w:val="47A43D63"/>
    <w:rsid w:val="47B02837"/>
    <w:rsid w:val="47B25F99"/>
    <w:rsid w:val="47BB5E65"/>
    <w:rsid w:val="47C65743"/>
    <w:rsid w:val="47C85DD2"/>
    <w:rsid w:val="47CA7A9C"/>
    <w:rsid w:val="47E14D26"/>
    <w:rsid w:val="47E76DB2"/>
    <w:rsid w:val="47EE3A5A"/>
    <w:rsid w:val="47FE7B21"/>
    <w:rsid w:val="48036E0A"/>
    <w:rsid w:val="48054931"/>
    <w:rsid w:val="480E1DBE"/>
    <w:rsid w:val="48166A2E"/>
    <w:rsid w:val="481935E2"/>
    <w:rsid w:val="481A2083"/>
    <w:rsid w:val="4823125B"/>
    <w:rsid w:val="48242BB8"/>
    <w:rsid w:val="483C6253"/>
    <w:rsid w:val="484A1BA9"/>
    <w:rsid w:val="484B3237"/>
    <w:rsid w:val="48695961"/>
    <w:rsid w:val="486C49B0"/>
    <w:rsid w:val="486E0728"/>
    <w:rsid w:val="488804C5"/>
    <w:rsid w:val="48A04E07"/>
    <w:rsid w:val="48A360F2"/>
    <w:rsid w:val="48A40372"/>
    <w:rsid w:val="48B41A5A"/>
    <w:rsid w:val="48C16ECF"/>
    <w:rsid w:val="48C42C62"/>
    <w:rsid w:val="48D36555"/>
    <w:rsid w:val="48E03FDF"/>
    <w:rsid w:val="48E24C72"/>
    <w:rsid w:val="48E33A8C"/>
    <w:rsid w:val="48E73FF9"/>
    <w:rsid w:val="48F14BDC"/>
    <w:rsid w:val="48FA66C3"/>
    <w:rsid w:val="49080B7C"/>
    <w:rsid w:val="490F35CE"/>
    <w:rsid w:val="49153299"/>
    <w:rsid w:val="491533EC"/>
    <w:rsid w:val="49261002"/>
    <w:rsid w:val="49275FC9"/>
    <w:rsid w:val="493C2BF3"/>
    <w:rsid w:val="49412AEB"/>
    <w:rsid w:val="495A0EC9"/>
    <w:rsid w:val="497004D0"/>
    <w:rsid w:val="497E036D"/>
    <w:rsid w:val="49842401"/>
    <w:rsid w:val="49843F7B"/>
    <w:rsid w:val="4986455E"/>
    <w:rsid w:val="4998010E"/>
    <w:rsid w:val="499A5D62"/>
    <w:rsid w:val="49B7570E"/>
    <w:rsid w:val="49BC1F28"/>
    <w:rsid w:val="49BC54C3"/>
    <w:rsid w:val="49CD147E"/>
    <w:rsid w:val="49CD792E"/>
    <w:rsid w:val="49D26951"/>
    <w:rsid w:val="49F768EE"/>
    <w:rsid w:val="49FD50C7"/>
    <w:rsid w:val="49FF53F4"/>
    <w:rsid w:val="4A130E0A"/>
    <w:rsid w:val="4A2472FD"/>
    <w:rsid w:val="4A266449"/>
    <w:rsid w:val="4A391EB1"/>
    <w:rsid w:val="4A443658"/>
    <w:rsid w:val="4A4624B6"/>
    <w:rsid w:val="4A49144C"/>
    <w:rsid w:val="4A596EC1"/>
    <w:rsid w:val="4A5D5E86"/>
    <w:rsid w:val="4A687A06"/>
    <w:rsid w:val="4A9B05A9"/>
    <w:rsid w:val="4AA57C87"/>
    <w:rsid w:val="4AA93C99"/>
    <w:rsid w:val="4AB2010B"/>
    <w:rsid w:val="4AC05487"/>
    <w:rsid w:val="4AC22FAD"/>
    <w:rsid w:val="4AD11442"/>
    <w:rsid w:val="4AD272BB"/>
    <w:rsid w:val="4AD36966"/>
    <w:rsid w:val="4AD436E0"/>
    <w:rsid w:val="4ADC327B"/>
    <w:rsid w:val="4ADC6397"/>
    <w:rsid w:val="4AE96F46"/>
    <w:rsid w:val="4AFB1CF7"/>
    <w:rsid w:val="4B1242A8"/>
    <w:rsid w:val="4B1E2F91"/>
    <w:rsid w:val="4B2B2900"/>
    <w:rsid w:val="4B2C48CA"/>
    <w:rsid w:val="4B300380"/>
    <w:rsid w:val="4B3D55BF"/>
    <w:rsid w:val="4B46598C"/>
    <w:rsid w:val="4B67503C"/>
    <w:rsid w:val="4B870ABA"/>
    <w:rsid w:val="4B8E70BC"/>
    <w:rsid w:val="4B934795"/>
    <w:rsid w:val="4BA83818"/>
    <w:rsid w:val="4BAB3A41"/>
    <w:rsid w:val="4BBC3E0D"/>
    <w:rsid w:val="4BBE783B"/>
    <w:rsid w:val="4BD16E0C"/>
    <w:rsid w:val="4BD411EA"/>
    <w:rsid w:val="4BD56D10"/>
    <w:rsid w:val="4BE42982"/>
    <w:rsid w:val="4BE63830"/>
    <w:rsid w:val="4BEE4B5D"/>
    <w:rsid w:val="4BF94D70"/>
    <w:rsid w:val="4C017A7C"/>
    <w:rsid w:val="4C044063"/>
    <w:rsid w:val="4C08436D"/>
    <w:rsid w:val="4C092FFA"/>
    <w:rsid w:val="4C215AB1"/>
    <w:rsid w:val="4C3A3420"/>
    <w:rsid w:val="4C4C0742"/>
    <w:rsid w:val="4C5770D5"/>
    <w:rsid w:val="4C5E4F57"/>
    <w:rsid w:val="4C6205A3"/>
    <w:rsid w:val="4C636AA6"/>
    <w:rsid w:val="4C83676C"/>
    <w:rsid w:val="4CA1118C"/>
    <w:rsid w:val="4CA40570"/>
    <w:rsid w:val="4CA466AE"/>
    <w:rsid w:val="4CA850AA"/>
    <w:rsid w:val="4CC01671"/>
    <w:rsid w:val="4CC245E5"/>
    <w:rsid w:val="4CE22604"/>
    <w:rsid w:val="4CF6364B"/>
    <w:rsid w:val="4CFA0B1A"/>
    <w:rsid w:val="4CFD651E"/>
    <w:rsid w:val="4D0258E3"/>
    <w:rsid w:val="4D116083"/>
    <w:rsid w:val="4D166970"/>
    <w:rsid w:val="4D225F85"/>
    <w:rsid w:val="4D286C8E"/>
    <w:rsid w:val="4D404761"/>
    <w:rsid w:val="4D427C05"/>
    <w:rsid w:val="4D593045"/>
    <w:rsid w:val="4D5D520F"/>
    <w:rsid w:val="4D6B6165"/>
    <w:rsid w:val="4D6C7200"/>
    <w:rsid w:val="4D7507CE"/>
    <w:rsid w:val="4D7C38E7"/>
    <w:rsid w:val="4D820CD5"/>
    <w:rsid w:val="4D862C9F"/>
    <w:rsid w:val="4D9C0C69"/>
    <w:rsid w:val="4D9F1F6F"/>
    <w:rsid w:val="4DAC0452"/>
    <w:rsid w:val="4DAD1CF2"/>
    <w:rsid w:val="4DC332C4"/>
    <w:rsid w:val="4DC64B62"/>
    <w:rsid w:val="4DC67CB4"/>
    <w:rsid w:val="4DCC78C5"/>
    <w:rsid w:val="4DD25809"/>
    <w:rsid w:val="4DDC25D7"/>
    <w:rsid w:val="4DEB2922"/>
    <w:rsid w:val="4DEB6377"/>
    <w:rsid w:val="4DEE55D8"/>
    <w:rsid w:val="4DFF4834"/>
    <w:rsid w:val="4E072501"/>
    <w:rsid w:val="4E0B6A19"/>
    <w:rsid w:val="4E147B0D"/>
    <w:rsid w:val="4E1C6F66"/>
    <w:rsid w:val="4E200F9C"/>
    <w:rsid w:val="4E272093"/>
    <w:rsid w:val="4E2E7429"/>
    <w:rsid w:val="4E30647F"/>
    <w:rsid w:val="4E375A78"/>
    <w:rsid w:val="4E524648"/>
    <w:rsid w:val="4E541DA0"/>
    <w:rsid w:val="4E5722CC"/>
    <w:rsid w:val="4E611F55"/>
    <w:rsid w:val="4E6D2B88"/>
    <w:rsid w:val="4E79020A"/>
    <w:rsid w:val="4E793D30"/>
    <w:rsid w:val="4E7C2D1C"/>
    <w:rsid w:val="4E834801"/>
    <w:rsid w:val="4E9144AE"/>
    <w:rsid w:val="4E936C9C"/>
    <w:rsid w:val="4E962786"/>
    <w:rsid w:val="4EA53C12"/>
    <w:rsid w:val="4EA91DE8"/>
    <w:rsid w:val="4EAA7467"/>
    <w:rsid w:val="4EAB4C6C"/>
    <w:rsid w:val="4EBA2FFB"/>
    <w:rsid w:val="4EC745B2"/>
    <w:rsid w:val="4EC86752"/>
    <w:rsid w:val="4ECC264C"/>
    <w:rsid w:val="4ED136DA"/>
    <w:rsid w:val="4EDA0F2A"/>
    <w:rsid w:val="4EDA3C14"/>
    <w:rsid w:val="4EDF0B08"/>
    <w:rsid w:val="4EE554BC"/>
    <w:rsid w:val="4EEC5B4C"/>
    <w:rsid w:val="4EF25A19"/>
    <w:rsid w:val="4EF843B8"/>
    <w:rsid w:val="4EFA2326"/>
    <w:rsid w:val="4EFC4EFB"/>
    <w:rsid w:val="4EFC61EA"/>
    <w:rsid w:val="4EFF657E"/>
    <w:rsid w:val="4F0272D2"/>
    <w:rsid w:val="4F0D1913"/>
    <w:rsid w:val="4F165675"/>
    <w:rsid w:val="4F265A39"/>
    <w:rsid w:val="4F391364"/>
    <w:rsid w:val="4F3F3C19"/>
    <w:rsid w:val="4F545138"/>
    <w:rsid w:val="4F5529C8"/>
    <w:rsid w:val="4F675A90"/>
    <w:rsid w:val="4F716D4F"/>
    <w:rsid w:val="4F8E5F2F"/>
    <w:rsid w:val="4FA15035"/>
    <w:rsid w:val="4FA2515B"/>
    <w:rsid w:val="4FB01626"/>
    <w:rsid w:val="4FB940D4"/>
    <w:rsid w:val="4FE90FDC"/>
    <w:rsid w:val="4FF87F7B"/>
    <w:rsid w:val="50081462"/>
    <w:rsid w:val="500B4BA9"/>
    <w:rsid w:val="501A7412"/>
    <w:rsid w:val="502A125F"/>
    <w:rsid w:val="503314C3"/>
    <w:rsid w:val="503B7919"/>
    <w:rsid w:val="5045321E"/>
    <w:rsid w:val="50460BDB"/>
    <w:rsid w:val="50571363"/>
    <w:rsid w:val="505F4DFA"/>
    <w:rsid w:val="50631789"/>
    <w:rsid w:val="507019A1"/>
    <w:rsid w:val="50722D7F"/>
    <w:rsid w:val="507F05B9"/>
    <w:rsid w:val="50865DB4"/>
    <w:rsid w:val="5099235C"/>
    <w:rsid w:val="509C02AB"/>
    <w:rsid w:val="509D6FF7"/>
    <w:rsid w:val="509E3B74"/>
    <w:rsid w:val="509F1872"/>
    <w:rsid w:val="50A020C8"/>
    <w:rsid w:val="50A250F6"/>
    <w:rsid w:val="50A6005B"/>
    <w:rsid w:val="50BC3FFA"/>
    <w:rsid w:val="50C53B01"/>
    <w:rsid w:val="50CA5DF8"/>
    <w:rsid w:val="50CE3798"/>
    <w:rsid w:val="50D07872"/>
    <w:rsid w:val="50D4618B"/>
    <w:rsid w:val="50D61983"/>
    <w:rsid w:val="50D66039"/>
    <w:rsid w:val="50D852D8"/>
    <w:rsid w:val="50D92DFE"/>
    <w:rsid w:val="50DD59ED"/>
    <w:rsid w:val="50E748BB"/>
    <w:rsid w:val="510E6880"/>
    <w:rsid w:val="51137E5D"/>
    <w:rsid w:val="511B7645"/>
    <w:rsid w:val="511D191E"/>
    <w:rsid w:val="511D7407"/>
    <w:rsid w:val="511E6B5D"/>
    <w:rsid w:val="511F280A"/>
    <w:rsid w:val="51300712"/>
    <w:rsid w:val="514046F5"/>
    <w:rsid w:val="514209A3"/>
    <w:rsid w:val="51452242"/>
    <w:rsid w:val="51482B1D"/>
    <w:rsid w:val="5165265C"/>
    <w:rsid w:val="51694A8C"/>
    <w:rsid w:val="51884522"/>
    <w:rsid w:val="51887554"/>
    <w:rsid w:val="519622D3"/>
    <w:rsid w:val="51981DF6"/>
    <w:rsid w:val="51A742B0"/>
    <w:rsid w:val="51AC5467"/>
    <w:rsid w:val="51B178D7"/>
    <w:rsid w:val="51B608A1"/>
    <w:rsid w:val="51C71BE5"/>
    <w:rsid w:val="51CB5B2B"/>
    <w:rsid w:val="51CD6CBA"/>
    <w:rsid w:val="51DA3529"/>
    <w:rsid w:val="51E37E69"/>
    <w:rsid w:val="51E67581"/>
    <w:rsid w:val="51F755CE"/>
    <w:rsid w:val="521300BE"/>
    <w:rsid w:val="521D4E51"/>
    <w:rsid w:val="521F2A93"/>
    <w:rsid w:val="522344E6"/>
    <w:rsid w:val="522A2918"/>
    <w:rsid w:val="52395281"/>
    <w:rsid w:val="523D5DA0"/>
    <w:rsid w:val="524330BC"/>
    <w:rsid w:val="524C0F46"/>
    <w:rsid w:val="52534687"/>
    <w:rsid w:val="526C0BD7"/>
    <w:rsid w:val="52787DB6"/>
    <w:rsid w:val="527B538F"/>
    <w:rsid w:val="527C6137"/>
    <w:rsid w:val="527F195C"/>
    <w:rsid w:val="52915273"/>
    <w:rsid w:val="52B01601"/>
    <w:rsid w:val="52B23907"/>
    <w:rsid w:val="52C76A06"/>
    <w:rsid w:val="52DF776B"/>
    <w:rsid w:val="52E740F3"/>
    <w:rsid w:val="52E91640"/>
    <w:rsid w:val="52F66C8A"/>
    <w:rsid w:val="52F83D36"/>
    <w:rsid w:val="52F91536"/>
    <w:rsid w:val="52FC4355"/>
    <w:rsid w:val="530C74BB"/>
    <w:rsid w:val="53106791"/>
    <w:rsid w:val="531123B6"/>
    <w:rsid w:val="531B048E"/>
    <w:rsid w:val="532164E8"/>
    <w:rsid w:val="53275046"/>
    <w:rsid w:val="53363272"/>
    <w:rsid w:val="533F1F43"/>
    <w:rsid w:val="533F7D5C"/>
    <w:rsid w:val="53466168"/>
    <w:rsid w:val="534F57A0"/>
    <w:rsid w:val="53522BE5"/>
    <w:rsid w:val="535C6F28"/>
    <w:rsid w:val="536228AC"/>
    <w:rsid w:val="536D633F"/>
    <w:rsid w:val="538878F5"/>
    <w:rsid w:val="53894F6C"/>
    <w:rsid w:val="538B1EEC"/>
    <w:rsid w:val="538F6C98"/>
    <w:rsid w:val="538F6F12"/>
    <w:rsid w:val="539A2B84"/>
    <w:rsid w:val="539D601D"/>
    <w:rsid w:val="53B67427"/>
    <w:rsid w:val="53C546E2"/>
    <w:rsid w:val="53C72C44"/>
    <w:rsid w:val="53D31D87"/>
    <w:rsid w:val="53D55AFF"/>
    <w:rsid w:val="53D63625"/>
    <w:rsid w:val="53DA4ECD"/>
    <w:rsid w:val="53E02AE5"/>
    <w:rsid w:val="53E56DB1"/>
    <w:rsid w:val="53F83DD7"/>
    <w:rsid w:val="53FD6E04"/>
    <w:rsid w:val="5402266C"/>
    <w:rsid w:val="540278C7"/>
    <w:rsid w:val="54181E8F"/>
    <w:rsid w:val="541850CF"/>
    <w:rsid w:val="5424441C"/>
    <w:rsid w:val="54282699"/>
    <w:rsid w:val="54330A77"/>
    <w:rsid w:val="543E3C30"/>
    <w:rsid w:val="54492049"/>
    <w:rsid w:val="54556C40"/>
    <w:rsid w:val="546B1FBF"/>
    <w:rsid w:val="54751090"/>
    <w:rsid w:val="547E0E69"/>
    <w:rsid w:val="548E3312"/>
    <w:rsid w:val="548F40AB"/>
    <w:rsid w:val="54916E50"/>
    <w:rsid w:val="549B7616"/>
    <w:rsid w:val="54A23403"/>
    <w:rsid w:val="54A7582E"/>
    <w:rsid w:val="54C3589D"/>
    <w:rsid w:val="54CC1A7D"/>
    <w:rsid w:val="54CF5408"/>
    <w:rsid w:val="54EC75A4"/>
    <w:rsid w:val="54ED251F"/>
    <w:rsid w:val="54F75F49"/>
    <w:rsid w:val="54F917F9"/>
    <w:rsid w:val="54FE1085"/>
    <w:rsid w:val="55137879"/>
    <w:rsid w:val="551F0461"/>
    <w:rsid w:val="55220438"/>
    <w:rsid w:val="552438F8"/>
    <w:rsid w:val="552E2619"/>
    <w:rsid w:val="5536081F"/>
    <w:rsid w:val="554A6079"/>
    <w:rsid w:val="554D7917"/>
    <w:rsid w:val="5551715C"/>
    <w:rsid w:val="55713D4C"/>
    <w:rsid w:val="5589156A"/>
    <w:rsid w:val="559629C8"/>
    <w:rsid w:val="5596306C"/>
    <w:rsid w:val="55AF3055"/>
    <w:rsid w:val="55CD5D9A"/>
    <w:rsid w:val="55D34BE5"/>
    <w:rsid w:val="55D84390"/>
    <w:rsid w:val="56031418"/>
    <w:rsid w:val="560526E3"/>
    <w:rsid w:val="562468CA"/>
    <w:rsid w:val="562E14F6"/>
    <w:rsid w:val="562F0520"/>
    <w:rsid w:val="56311BF5"/>
    <w:rsid w:val="563B3D3F"/>
    <w:rsid w:val="564009F8"/>
    <w:rsid w:val="56431446"/>
    <w:rsid w:val="564861A3"/>
    <w:rsid w:val="564927D4"/>
    <w:rsid w:val="564A1861"/>
    <w:rsid w:val="564A5536"/>
    <w:rsid w:val="56674A08"/>
    <w:rsid w:val="56690780"/>
    <w:rsid w:val="566C201F"/>
    <w:rsid w:val="56737851"/>
    <w:rsid w:val="567B1EAD"/>
    <w:rsid w:val="567C04B4"/>
    <w:rsid w:val="569C21B6"/>
    <w:rsid w:val="56A9362D"/>
    <w:rsid w:val="56A96530"/>
    <w:rsid w:val="56B57E6A"/>
    <w:rsid w:val="56C10ACE"/>
    <w:rsid w:val="56D33CE9"/>
    <w:rsid w:val="56D53FD4"/>
    <w:rsid w:val="56D86E7D"/>
    <w:rsid w:val="56E560E0"/>
    <w:rsid w:val="570B5670"/>
    <w:rsid w:val="571828A7"/>
    <w:rsid w:val="57226017"/>
    <w:rsid w:val="572C4AF7"/>
    <w:rsid w:val="572F7695"/>
    <w:rsid w:val="573277F7"/>
    <w:rsid w:val="57371AB4"/>
    <w:rsid w:val="57657E9A"/>
    <w:rsid w:val="57765CAD"/>
    <w:rsid w:val="577963D9"/>
    <w:rsid w:val="577E069A"/>
    <w:rsid w:val="579E7ED7"/>
    <w:rsid w:val="57A54940"/>
    <w:rsid w:val="57B254AD"/>
    <w:rsid w:val="57B85B8E"/>
    <w:rsid w:val="57BF6D47"/>
    <w:rsid w:val="57C47BBA"/>
    <w:rsid w:val="57C53081"/>
    <w:rsid w:val="57CB0383"/>
    <w:rsid w:val="57D305A7"/>
    <w:rsid w:val="57DE3ADC"/>
    <w:rsid w:val="57E030D0"/>
    <w:rsid w:val="57E56B89"/>
    <w:rsid w:val="57F36EE4"/>
    <w:rsid w:val="57FA15C4"/>
    <w:rsid w:val="580132D4"/>
    <w:rsid w:val="58083393"/>
    <w:rsid w:val="58105627"/>
    <w:rsid w:val="58140C3E"/>
    <w:rsid w:val="581F1A3E"/>
    <w:rsid w:val="58377C37"/>
    <w:rsid w:val="583F3C2B"/>
    <w:rsid w:val="584D2A0A"/>
    <w:rsid w:val="585A2A77"/>
    <w:rsid w:val="585A65D3"/>
    <w:rsid w:val="58627AA0"/>
    <w:rsid w:val="58671113"/>
    <w:rsid w:val="58682C37"/>
    <w:rsid w:val="586C1EDB"/>
    <w:rsid w:val="587176FD"/>
    <w:rsid w:val="58770213"/>
    <w:rsid w:val="58792246"/>
    <w:rsid w:val="587967B3"/>
    <w:rsid w:val="58812B0F"/>
    <w:rsid w:val="58817B73"/>
    <w:rsid w:val="588277E0"/>
    <w:rsid w:val="58834988"/>
    <w:rsid w:val="589053D5"/>
    <w:rsid w:val="58964949"/>
    <w:rsid w:val="589D2963"/>
    <w:rsid w:val="58A96862"/>
    <w:rsid w:val="58B531C8"/>
    <w:rsid w:val="58BA7233"/>
    <w:rsid w:val="58BE50D1"/>
    <w:rsid w:val="58BF3571"/>
    <w:rsid w:val="58C35F1C"/>
    <w:rsid w:val="58C70DCE"/>
    <w:rsid w:val="58D22F7B"/>
    <w:rsid w:val="58EC53FC"/>
    <w:rsid w:val="58ED0239"/>
    <w:rsid w:val="58ED2F6E"/>
    <w:rsid w:val="58F05189"/>
    <w:rsid w:val="58F509F1"/>
    <w:rsid w:val="58FB7AAC"/>
    <w:rsid w:val="590029F6"/>
    <w:rsid w:val="59096FBD"/>
    <w:rsid w:val="591C1ADA"/>
    <w:rsid w:val="592130D8"/>
    <w:rsid w:val="592B7501"/>
    <w:rsid w:val="59330CEC"/>
    <w:rsid w:val="59367B5C"/>
    <w:rsid w:val="593F084E"/>
    <w:rsid w:val="59465E1D"/>
    <w:rsid w:val="59572DEC"/>
    <w:rsid w:val="5958339C"/>
    <w:rsid w:val="59645E7F"/>
    <w:rsid w:val="596A0147"/>
    <w:rsid w:val="59702A94"/>
    <w:rsid w:val="59745DBA"/>
    <w:rsid w:val="59822285"/>
    <w:rsid w:val="59876222"/>
    <w:rsid w:val="59877816"/>
    <w:rsid w:val="59890EC9"/>
    <w:rsid w:val="59907E80"/>
    <w:rsid w:val="59965D30"/>
    <w:rsid w:val="599D4BCB"/>
    <w:rsid w:val="59A446A1"/>
    <w:rsid w:val="59AF5B9C"/>
    <w:rsid w:val="59B84B41"/>
    <w:rsid w:val="59BA0405"/>
    <w:rsid w:val="59C13172"/>
    <w:rsid w:val="59CB5746"/>
    <w:rsid w:val="59DB2B0C"/>
    <w:rsid w:val="59DB3743"/>
    <w:rsid w:val="59F75C6C"/>
    <w:rsid w:val="5A096502"/>
    <w:rsid w:val="5A0B0821"/>
    <w:rsid w:val="5A0D2948"/>
    <w:rsid w:val="5A18311A"/>
    <w:rsid w:val="5A2B4027"/>
    <w:rsid w:val="5A2E1C4B"/>
    <w:rsid w:val="5A4A2677"/>
    <w:rsid w:val="5A586B7E"/>
    <w:rsid w:val="5A5A4FB0"/>
    <w:rsid w:val="5A6C4CE3"/>
    <w:rsid w:val="5A6E24F5"/>
    <w:rsid w:val="5A7A6A7D"/>
    <w:rsid w:val="5A8C5677"/>
    <w:rsid w:val="5A8C678A"/>
    <w:rsid w:val="5AA230B8"/>
    <w:rsid w:val="5AA665BA"/>
    <w:rsid w:val="5AB52C6E"/>
    <w:rsid w:val="5AD240D0"/>
    <w:rsid w:val="5AEB20AC"/>
    <w:rsid w:val="5AEB2D7B"/>
    <w:rsid w:val="5AF7248B"/>
    <w:rsid w:val="5B137344"/>
    <w:rsid w:val="5B171251"/>
    <w:rsid w:val="5B1A2450"/>
    <w:rsid w:val="5B2003EF"/>
    <w:rsid w:val="5B211EEF"/>
    <w:rsid w:val="5B24111A"/>
    <w:rsid w:val="5B2464EB"/>
    <w:rsid w:val="5B341354"/>
    <w:rsid w:val="5B394BC5"/>
    <w:rsid w:val="5B3F66B5"/>
    <w:rsid w:val="5B46558A"/>
    <w:rsid w:val="5B536E60"/>
    <w:rsid w:val="5B595F5E"/>
    <w:rsid w:val="5B5A105B"/>
    <w:rsid w:val="5B60111B"/>
    <w:rsid w:val="5B7658D3"/>
    <w:rsid w:val="5B770A29"/>
    <w:rsid w:val="5B7919E0"/>
    <w:rsid w:val="5B800982"/>
    <w:rsid w:val="5B8A2426"/>
    <w:rsid w:val="5B9B030E"/>
    <w:rsid w:val="5B9C5154"/>
    <w:rsid w:val="5BA57C0C"/>
    <w:rsid w:val="5BA637DC"/>
    <w:rsid w:val="5BC73296"/>
    <w:rsid w:val="5BC970F6"/>
    <w:rsid w:val="5BCB598F"/>
    <w:rsid w:val="5BD55DBD"/>
    <w:rsid w:val="5BD94488"/>
    <w:rsid w:val="5BE10298"/>
    <w:rsid w:val="5BE963CF"/>
    <w:rsid w:val="5BEE39BD"/>
    <w:rsid w:val="5BFB1E7B"/>
    <w:rsid w:val="5BFE5E0F"/>
    <w:rsid w:val="5C01479F"/>
    <w:rsid w:val="5C035546"/>
    <w:rsid w:val="5C084598"/>
    <w:rsid w:val="5C0936A1"/>
    <w:rsid w:val="5C0A47B4"/>
    <w:rsid w:val="5C0D1BAE"/>
    <w:rsid w:val="5C195855"/>
    <w:rsid w:val="5C1A16D5"/>
    <w:rsid w:val="5C1D44E7"/>
    <w:rsid w:val="5C254D64"/>
    <w:rsid w:val="5C2A2760"/>
    <w:rsid w:val="5C3716EC"/>
    <w:rsid w:val="5C3929A3"/>
    <w:rsid w:val="5C3A1BDE"/>
    <w:rsid w:val="5C3D1F7A"/>
    <w:rsid w:val="5C4E644E"/>
    <w:rsid w:val="5C4E7CAF"/>
    <w:rsid w:val="5C5509F2"/>
    <w:rsid w:val="5C564328"/>
    <w:rsid w:val="5C577204"/>
    <w:rsid w:val="5C5E66F9"/>
    <w:rsid w:val="5C7B5803"/>
    <w:rsid w:val="5C7D3BDD"/>
    <w:rsid w:val="5C7D4F86"/>
    <w:rsid w:val="5C8742D9"/>
    <w:rsid w:val="5C891F78"/>
    <w:rsid w:val="5C9626C8"/>
    <w:rsid w:val="5C9F08E2"/>
    <w:rsid w:val="5CA73056"/>
    <w:rsid w:val="5CA83399"/>
    <w:rsid w:val="5CBA1D36"/>
    <w:rsid w:val="5CBE0A15"/>
    <w:rsid w:val="5CC44EE9"/>
    <w:rsid w:val="5CCD01DC"/>
    <w:rsid w:val="5CCF14F4"/>
    <w:rsid w:val="5CD54DC2"/>
    <w:rsid w:val="5CDD040B"/>
    <w:rsid w:val="5CF05FCB"/>
    <w:rsid w:val="5CF568E7"/>
    <w:rsid w:val="5D126B6C"/>
    <w:rsid w:val="5D1A0FE3"/>
    <w:rsid w:val="5D275A4F"/>
    <w:rsid w:val="5D3957CA"/>
    <w:rsid w:val="5D431D2B"/>
    <w:rsid w:val="5D456709"/>
    <w:rsid w:val="5D4B0BE0"/>
    <w:rsid w:val="5D521544"/>
    <w:rsid w:val="5D5E7BD6"/>
    <w:rsid w:val="5D6E05E3"/>
    <w:rsid w:val="5D706CAF"/>
    <w:rsid w:val="5D7B055E"/>
    <w:rsid w:val="5D826197"/>
    <w:rsid w:val="5D8546CF"/>
    <w:rsid w:val="5D8714F7"/>
    <w:rsid w:val="5DA30268"/>
    <w:rsid w:val="5DA47665"/>
    <w:rsid w:val="5DA71407"/>
    <w:rsid w:val="5DA75242"/>
    <w:rsid w:val="5DA86032"/>
    <w:rsid w:val="5DB22A0D"/>
    <w:rsid w:val="5DB26EB1"/>
    <w:rsid w:val="5DB55B4D"/>
    <w:rsid w:val="5DBE31F3"/>
    <w:rsid w:val="5DBF6810"/>
    <w:rsid w:val="5DCF1811"/>
    <w:rsid w:val="5DD15589"/>
    <w:rsid w:val="5DDD2180"/>
    <w:rsid w:val="5DE54B90"/>
    <w:rsid w:val="5DEE3610"/>
    <w:rsid w:val="5DFF5CC4"/>
    <w:rsid w:val="5E0123B4"/>
    <w:rsid w:val="5E033269"/>
    <w:rsid w:val="5E111E29"/>
    <w:rsid w:val="5E117E66"/>
    <w:rsid w:val="5E1B45C5"/>
    <w:rsid w:val="5E1F70B7"/>
    <w:rsid w:val="5E364898"/>
    <w:rsid w:val="5E455F9E"/>
    <w:rsid w:val="5E491163"/>
    <w:rsid w:val="5E4E6BDA"/>
    <w:rsid w:val="5E542E77"/>
    <w:rsid w:val="5E565D23"/>
    <w:rsid w:val="5E5A661E"/>
    <w:rsid w:val="5E5E44B1"/>
    <w:rsid w:val="5E6A40CC"/>
    <w:rsid w:val="5E766250"/>
    <w:rsid w:val="5E7E119F"/>
    <w:rsid w:val="5E82124F"/>
    <w:rsid w:val="5E884785"/>
    <w:rsid w:val="5E9F7435"/>
    <w:rsid w:val="5EA01050"/>
    <w:rsid w:val="5EA854AB"/>
    <w:rsid w:val="5EA95253"/>
    <w:rsid w:val="5EB63635"/>
    <w:rsid w:val="5EDD1D0C"/>
    <w:rsid w:val="5EE758FB"/>
    <w:rsid w:val="5EEE7526"/>
    <w:rsid w:val="5EF50B37"/>
    <w:rsid w:val="5EFD1E4C"/>
    <w:rsid w:val="5F062F36"/>
    <w:rsid w:val="5F096FA4"/>
    <w:rsid w:val="5F1A2F60"/>
    <w:rsid w:val="5F2416E8"/>
    <w:rsid w:val="5F392B72"/>
    <w:rsid w:val="5F4561F6"/>
    <w:rsid w:val="5F482CD8"/>
    <w:rsid w:val="5F4D54F9"/>
    <w:rsid w:val="5F4D6E91"/>
    <w:rsid w:val="5F525B95"/>
    <w:rsid w:val="5F551DCB"/>
    <w:rsid w:val="5F557377"/>
    <w:rsid w:val="5F57386C"/>
    <w:rsid w:val="5F71028E"/>
    <w:rsid w:val="5F97010C"/>
    <w:rsid w:val="5F9920D6"/>
    <w:rsid w:val="5F9C361C"/>
    <w:rsid w:val="5FA05F72"/>
    <w:rsid w:val="5FB36CBE"/>
    <w:rsid w:val="5FB472E2"/>
    <w:rsid w:val="5FBB637B"/>
    <w:rsid w:val="5FCD1D80"/>
    <w:rsid w:val="5FD64512"/>
    <w:rsid w:val="5FE82423"/>
    <w:rsid w:val="5FEB2206"/>
    <w:rsid w:val="5FEB2FF8"/>
    <w:rsid w:val="60212729"/>
    <w:rsid w:val="60327E35"/>
    <w:rsid w:val="60365F39"/>
    <w:rsid w:val="603730DB"/>
    <w:rsid w:val="606A75CF"/>
    <w:rsid w:val="607A2C21"/>
    <w:rsid w:val="607B3777"/>
    <w:rsid w:val="607D4225"/>
    <w:rsid w:val="60863F57"/>
    <w:rsid w:val="6089214B"/>
    <w:rsid w:val="609C2DE3"/>
    <w:rsid w:val="60A615A3"/>
    <w:rsid w:val="60AE3960"/>
    <w:rsid w:val="60B40EA2"/>
    <w:rsid w:val="60B66712"/>
    <w:rsid w:val="60B93FA5"/>
    <w:rsid w:val="60C45189"/>
    <w:rsid w:val="60C8675A"/>
    <w:rsid w:val="60D55E27"/>
    <w:rsid w:val="60DE2521"/>
    <w:rsid w:val="60E76009"/>
    <w:rsid w:val="610A1E6D"/>
    <w:rsid w:val="610A61A7"/>
    <w:rsid w:val="610C274F"/>
    <w:rsid w:val="61150D06"/>
    <w:rsid w:val="6115215E"/>
    <w:rsid w:val="611F1472"/>
    <w:rsid w:val="61244E7D"/>
    <w:rsid w:val="612D0591"/>
    <w:rsid w:val="613D4CE3"/>
    <w:rsid w:val="61452C68"/>
    <w:rsid w:val="61461219"/>
    <w:rsid w:val="61477333"/>
    <w:rsid w:val="615617CB"/>
    <w:rsid w:val="61605585"/>
    <w:rsid w:val="616C3858"/>
    <w:rsid w:val="616D08A6"/>
    <w:rsid w:val="616E7E64"/>
    <w:rsid w:val="61730C72"/>
    <w:rsid w:val="618609FB"/>
    <w:rsid w:val="618B0E6A"/>
    <w:rsid w:val="618D4CAC"/>
    <w:rsid w:val="619202C1"/>
    <w:rsid w:val="619673D6"/>
    <w:rsid w:val="61982E2D"/>
    <w:rsid w:val="61A47B89"/>
    <w:rsid w:val="61AE5BE1"/>
    <w:rsid w:val="61B30334"/>
    <w:rsid w:val="61CB32AE"/>
    <w:rsid w:val="61D22531"/>
    <w:rsid w:val="61D452B2"/>
    <w:rsid w:val="61D840E6"/>
    <w:rsid w:val="61FD5CD9"/>
    <w:rsid w:val="62141EE8"/>
    <w:rsid w:val="62252DA7"/>
    <w:rsid w:val="623143B3"/>
    <w:rsid w:val="62347E94"/>
    <w:rsid w:val="6239314F"/>
    <w:rsid w:val="623B764F"/>
    <w:rsid w:val="6247406C"/>
    <w:rsid w:val="6249419E"/>
    <w:rsid w:val="62522A10"/>
    <w:rsid w:val="625F08AD"/>
    <w:rsid w:val="62612C54"/>
    <w:rsid w:val="626A1F01"/>
    <w:rsid w:val="62703343"/>
    <w:rsid w:val="6288451B"/>
    <w:rsid w:val="6293593A"/>
    <w:rsid w:val="62A96C61"/>
    <w:rsid w:val="62AB0558"/>
    <w:rsid w:val="62B06DC7"/>
    <w:rsid w:val="62B555F4"/>
    <w:rsid w:val="62BB51B7"/>
    <w:rsid w:val="62C50025"/>
    <w:rsid w:val="62CC4571"/>
    <w:rsid w:val="62CD4018"/>
    <w:rsid w:val="62D058DC"/>
    <w:rsid w:val="62DD677E"/>
    <w:rsid w:val="62DE42A4"/>
    <w:rsid w:val="630B132E"/>
    <w:rsid w:val="63102224"/>
    <w:rsid w:val="63163C07"/>
    <w:rsid w:val="63164E7A"/>
    <w:rsid w:val="63325BB0"/>
    <w:rsid w:val="63402869"/>
    <w:rsid w:val="63455660"/>
    <w:rsid w:val="634C56B2"/>
    <w:rsid w:val="635C4AF9"/>
    <w:rsid w:val="635C4CE2"/>
    <w:rsid w:val="63600B1B"/>
    <w:rsid w:val="63650383"/>
    <w:rsid w:val="63660ED6"/>
    <w:rsid w:val="639516FF"/>
    <w:rsid w:val="63A248B2"/>
    <w:rsid w:val="63A4285F"/>
    <w:rsid w:val="63B25AC3"/>
    <w:rsid w:val="63C82E3E"/>
    <w:rsid w:val="63CE331A"/>
    <w:rsid w:val="63CE3548"/>
    <w:rsid w:val="63D64500"/>
    <w:rsid w:val="63D70ECA"/>
    <w:rsid w:val="63DB4C93"/>
    <w:rsid w:val="63EE6769"/>
    <w:rsid w:val="63F50EA2"/>
    <w:rsid w:val="63FF2724"/>
    <w:rsid w:val="64030608"/>
    <w:rsid w:val="64192BFD"/>
    <w:rsid w:val="641F6922"/>
    <w:rsid w:val="642108EC"/>
    <w:rsid w:val="64222DE0"/>
    <w:rsid w:val="642303C0"/>
    <w:rsid w:val="6428580A"/>
    <w:rsid w:val="642D5F69"/>
    <w:rsid w:val="6430520E"/>
    <w:rsid w:val="643C1282"/>
    <w:rsid w:val="643E0B2F"/>
    <w:rsid w:val="64412D3D"/>
    <w:rsid w:val="64424EC1"/>
    <w:rsid w:val="64577688"/>
    <w:rsid w:val="646700B3"/>
    <w:rsid w:val="6468198D"/>
    <w:rsid w:val="64721DE4"/>
    <w:rsid w:val="6474275D"/>
    <w:rsid w:val="64762480"/>
    <w:rsid w:val="647E189B"/>
    <w:rsid w:val="647E5D3F"/>
    <w:rsid w:val="64BB4C40"/>
    <w:rsid w:val="64C359B3"/>
    <w:rsid w:val="64C50E26"/>
    <w:rsid w:val="64CD1747"/>
    <w:rsid w:val="64D63485"/>
    <w:rsid w:val="64DB063E"/>
    <w:rsid w:val="64E7155A"/>
    <w:rsid w:val="64EE3058"/>
    <w:rsid w:val="64EF7F0E"/>
    <w:rsid w:val="65012EDC"/>
    <w:rsid w:val="65197815"/>
    <w:rsid w:val="652A31DB"/>
    <w:rsid w:val="65391870"/>
    <w:rsid w:val="65413FB1"/>
    <w:rsid w:val="65506641"/>
    <w:rsid w:val="6572241F"/>
    <w:rsid w:val="658578F5"/>
    <w:rsid w:val="65985046"/>
    <w:rsid w:val="65BD14AC"/>
    <w:rsid w:val="65C2425A"/>
    <w:rsid w:val="65C42B4E"/>
    <w:rsid w:val="65C71496"/>
    <w:rsid w:val="65CA1663"/>
    <w:rsid w:val="65D27B88"/>
    <w:rsid w:val="65D82D5A"/>
    <w:rsid w:val="65DF15F8"/>
    <w:rsid w:val="65E70F67"/>
    <w:rsid w:val="65EB11B2"/>
    <w:rsid w:val="65EC5AC5"/>
    <w:rsid w:val="65F362B8"/>
    <w:rsid w:val="65F566AF"/>
    <w:rsid w:val="65FD2C93"/>
    <w:rsid w:val="66037F87"/>
    <w:rsid w:val="66155BD9"/>
    <w:rsid w:val="66195D1F"/>
    <w:rsid w:val="66335280"/>
    <w:rsid w:val="66393070"/>
    <w:rsid w:val="6649611E"/>
    <w:rsid w:val="664B4E95"/>
    <w:rsid w:val="6658495B"/>
    <w:rsid w:val="665B1DD8"/>
    <w:rsid w:val="6663343E"/>
    <w:rsid w:val="666B5609"/>
    <w:rsid w:val="666B5E4F"/>
    <w:rsid w:val="66703722"/>
    <w:rsid w:val="667E3313"/>
    <w:rsid w:val="66803392"/>
    <w:rsid w:val="66833FFD"/>
    <w:rsid w:val="66860A25"/>
    <w:rsid w:val="668907B2"/>
    <w:rsid w:val="6693505D"/>
    <w:rsid w:val="66A76465"/>
    <w:rsid w:val="66AA6C38"/>
    <w:rsid w:val="66AF5135"/>
    <w:rsid w:val="66B22740"/>
    <w:rsid w:val="66B357B6"/>
    <w:rsid w:val="66D07508"/>
    <w:rsid w:val="66D25ECE"/>
    <w:rsid w:val="66F44096"/>
    <w:rsid w:val="66FF2ADC"/>
    <w:rsid w:val="6714278F"/>
    <w:rsid w:val="672524A2"/>
    <w:rsid w:val="673E609F"/>
    <w:rsid w:val="674B1DDA"/>
    <w:rsid w:val="674C19FA"/>
    <w:rsid w:val="675C02B8"/>
    <w:rsid w:val="67665116"/>
    <w:rsid w:val="677026C6"/>
    <w:rsid w:val="67760F4F"/>
    <w:rsid w:val="677758B8"/>
    <w:rsid w:val="678B4517"/>
    <w:rsid w:val="679118E5"/>
    <w:rsid w:val="67917B37"/>
    <w:rsid w:val="679769FC"/>
    <w:rsid w:val="679A77F5"/>
    <w:rsid w:val="67A43A40"/>
    <w:rsid w:val="67A91368"/>
    <w:rsid w:val="67AC749E"/>
    <w:rsid w:val="67B20D62"/>
    <w:rsid w:val="67B22ABB"/>
    <w:rsid w:val="67C50DDA"/>
    <w:rsid w:val="67C648EF"/>
    <w:rsid w:val="67D04899"/>
    <w:rsid w:val="67DB0523"/>
    <w:rsid w:val="67DE369C"/>
    <w:rsid w:val="67E838F3"/>
    <w:rsid w:val="67EC2FBF"/>
    <w:rsid w:val="67EE021A"/>
    <w:rsid w:val="67F72090"/>
    <w:rsid w:val="68090A3E"/>
    <w:rsid w:val="680A79D5"/>
    <w:rsid w:val="681D165A"/>
    <w:rsid w:val="68214E70"/>
    <w:rsid w:val="682664D1"/>
    <w:rsid w:val="682B16F7"/>
    <w:rsid w:val="682C3AA1"/>
    <w:rsid w:val="683353DE"/>
    <w:rsid w:val="683B7413"/>
    <w:rsid w:val="684828EC"/>
    <w:rsid w:val="684C0F3B"/>
    <w:rsid w:val="685B4D17"/>
    <w:rsid w:val="686F3FC7"/>
    <w:rsid w:val="686F60CA"/>
    <w:rsid w:val="687020A9"/>
    <w:rsid w:val="687E630D"/>
    <w:rsid w:val="687F0D28"/>
    <w:rsid w:val="68927438"/>
    <w:rsid w:val="6893689B"/>
    <w:rsid w:val="6894095C"/>
    <w:rsid w:val="68941249"/>
    <w:rsid w:val="68970A5A"/>
    <w:rsid w:val="689A323A"/>
    <w:rsid w:val="68C317EB"/>
    <w:rsid w:val="68CB644C"/>
    <w:rsid w:val="68CC139B"/>
    <w:rsid w:val="68DB7EAE"/>
    <w:rsid w:val="68E36396"/>
    <w:rsid w:val="68EC10AC"/>
    <w:rsid w:val="68EC78CF"/>
    <w:rsid w:val="692911B4"/>
    <w:rsid w:val="692D1AE1"/>
    <w:rsid w:val="692E58E2"/>
    <w:rsid w:val="692F13B6"/>
    <w:rsid w:val="6931512E"/>
    <w:rsid w:val="693A042A"/>
    <w:rsid w:val="69405D20"/>
    <w:rsid w:val="6946402E"/>
    <w:rsid w:val="695716FD"/>
    <w:rsid w:val="69625237"/>
    <w:rsid w:val="696B2057"/>
    <w:rsid w:val="697245D8"/>
    <w:rsid w:val="69923B49"/>
    <w:rsid w:val="699E714C"/>
    <w:rsid w:val="69A340FF"/>
    <w:rsid w:val="69B3231E"/>
    <w:rsid w:val="69BA5980"/>
    <w:rsid w:val="69BC5FCA"/>
    <w:rsid w:val="69C2588F"/>
    <w:rsid w:val="69C42131"/>
    <w:rsid w:val="69C53AC8"/>
    <w:rsid w:val="69CC3D77"/>
    <w:rsid w:val="69E92E8A"/>
    <w:rsid w:val="69E94057"/>
    <w:rsid w:val="69EB3E58"/>
    <w:rsid w:val="69EC2AE9"/>
    <w:rsid w:val="69F2320D"/>
    <w:rsid w:val="6A0445F0"/>
    <w:rsid w:val="6A06154D"/>
    <w:rsid w:val="6A072645"/>
    <w:rsid w:val="6A0A520C"/>
    <w:rsid w:val="6A106603"/>
    <w:rsid w:val="6A136F29"/>
    <w:rsid w:val="6A1D35BA"/>
    <w:rsid w:val="6A2008FC"/>
    <w:rsid w:val="6A311BF3"/>
    <w:rsid w:val="6A334ED5"/>
    <w:rsid w:val="6A3B0848"/>
    <w:rsid w:val="6A47229D"/>
    <w:rsid w:val="6A481A1F"/>
    <w:rsid w:val="6A4D0DB3"/>
    <w:rsid w:val="6A5639FE"/>
    <w:rsid w:val="6A627569"/>
    <w:rsid w:val="6A657332"/>
    <w:rsid w:val="6A791BD4"/>
    <w:rsid w:val="6A794FDE"/>
    <w:rsid w:val="6A7A48EC"/>
    <w:rsid w:val="6A8458C2"/>
    <w:rsid w:val="6A9576DA"/>
    <w:rsid w:val="6A965F2D"/>
    <w:rsid w:val="6A9B4E31"/>
    <w:rsid w:val="6AA75D77"/>
    <w:rsid w:val="6AA87672"/>
    <w:rsid w:val="6ABC6847"/>
    <w:rsid w:val="6AC83870"/>
    <w:rsid w:val="6AD16031"/>
    <w:rsid w:val="6AE0222C"/>
    <w:rsid w:val="6AE21764"/>
    <w:rsid w:val="6AE23B06"/>
    <w:rsid w:val="6AE65AD2"/>
    <w:rsid w:val="6AEB7884"/>
    <w:rsid w:val="6AF37276"/>
    <w:rsid w:val="6AF37A21"/>
    <w:rsid w:val="6AF6696A"/>
    <w:rsid w:val="6B043F13"/>
    <w:rsid w:val="6B160215"/>
    <w:rsid w:val="6B1747F7"/>
    <w:rsid w:val="6B1860D6"/>
    <w:rsid w:val="6B2112D3"/>
    <w:rsid w:val="6B241F0D"/>
    <w:rsid w:val="6B3401F0"/>
    <w:rsid w:val="6B384974"/>
    <w:rsid w:val="6B4612E6"/>
    <w:rsid w:val="6B4B23F5"/>
    <w:rsid w:val="6B5E2302"/>
    <w:rsid w:val="6B6A1CBB"/>
    <w:rsid w:val="6B711537"/>
    <w:rsid w:val="6B7B547B"/>
    <w:rsid w:val="6B8031C7"/>
    <w:rsid w:val="6B8C0D41"/>
    <w:rsid w:val="6B8C7FF7"/>
    <w:rsid w:val="6B93666C"/>
    <w:rsid w:val="6B9366F7"/>
    <w:rsid w:val="6B9E5223"/>
    <w:rsid w:val="6BA26852"/>
    <w:rsid w:val="6BBE4CE4"/>
    <w:rsid w:val="6BC701CE"/>
    <w:rsid w:val="6BF250D0"/>
    <w:rsid w:val="6BFE24D8"/>
    <w:rsid w:val="6C086367"/>
    <w:rsid w:val="6C1F6FDB"/>
    <w:rsid w:val="6C292A34"/>
    <w:rsid w:val="6C2C3F7C"/>
    <w:rsid w:val="6C305B70"/>
    <w:rsid w:val="6C456BEF"/>
    <w:rsid w:val="6C532CBE"/>
    <w:rsid w:val="6C5A499B"/>
    <w:rsid w:val="6C5A6AED"/>
    <w:rsid w:val="6C7D63BA"/>
    <w:rsid w:val="6C8E4551"/>
    <w:rsid w:val="6C966251"/>
    <w:rsid w:val="6C982E02"/>
    <w:rsid w:val="6C987DF1"/>
    <w:rsid w:val="6C9F198E"/>
    <w:rsid w:val="6CAD04DA"/>
    <w:rsid w:val="6CAD63D6"/>
    <w:rsid w:val="6CC07D5A"/>
    <w:rsid w:val="6CD56718"/>
    <w:rsid w:val="6CDC1B00"/>
    <w:rsid w:val="6D0A34C9"/>
    <w:rsid w:val="6D12171A"/>
    <w:rsid w:val="6D1253C1"/>
    <w:rsid w:val="6D295051"/>
    <w:rsid w:val="6D2A65E0"/>
    <w:rsid w:val="6D2E0F9C"/>
    <w:rsid w:val="6D2E1290"/>
    <w:rsid w:val="6D360F25"/>
    <w:rsid w:val="6D3C0545"/>
    <w:rsid w:val="6D3D0B04"/>
    <w:rsid w:val="6D400EA1"/>
    <w:rsid w:val="6D54129A"/>
    <w:rsid w:val="6D5851E8"/>
    <w:rsid w:val="6D5D0BE7"/>
    <w:rsid w:val="6D611D5A"/>
    <w:rsid w:val="6D725612"/>
    <w:rsid w:val="6D7E5DF8"/>
    <w:rsid w:val="6D8375DE"/>
    <w:rsid w:val="6D943EDD"/>
    <w:rsid w:val="6D9640F9"/>
    <w:rsid w:val="6DA03221"/>
    <w:rsid w:val="6DA13F45"/>
    <w:rsid w:val="6DA856A8"/>
    <w:rsid w:val="6DA90DA1"/>
    <w:rsid w:val="6DA953DB"/>
    <w:rsid w:val="6DB85E1E"/>
    <w:rsid w:val="6DB909B8"/>
    <w:rsid w:val="6DCF2230"/>
    <w:rsid w:val="6DD7226C"/>
    <w:rsid w:val="6DE54372"/>
    <w:rsid w:val="6DE650B4"/>
    <w:rsid w:val="6E0219E2"/>
    <w:rsid w:val="6E025079"/>
    <w:rsid w:val="6E054896"/>
    <w:rsid w:val="6E0B2075"/>
    <w:rsid w:val="6E0D78CE"/>
    <w:rsid w:val="6E14005A"/>
    <w:rsid w:val="6E17642C"/>
    <w:rsid w:val="6E1A189A"/>
    <w:rsid w:val="6E2C17AF"/>
    <w:rsid w:val="6E3A0F28"/>
    <w:rsid w:val="6E3F56D1"/>
    <w:rsid w:val="6E4E4BBA"/>
    <w:rsid w:val="6E5A1280"/>
    <w:rsid w:val="6E675031"/>
    <w:rsid w:val="6E6C6D89"/>
    <w:rsid w:val="6E757966"/>
    <w:rsid w:val="6E761EC2"/>
    <w:rsid w:val="6E7837FF"/>
    <w:rsid w:val="6E9344D3"/>
    <w:rsid w:val="6EA03C18"/>
    <w:rsid w:val="6EA86D35"/>
    <w:rsid w:val="6EAB59B1"/>
    <w:rsid w:val="6EAE7221"/>
    <w:rsid w:val="6EB94E6D"/>
    <w:rsid w:val="6EC070E5"/>
    <w:rsid w:val="6EC479D0"/>
    <w:rsid w:val="6EC76544"/>
    <w:rsid w:val="6EDD18B4"/>
    <w:rsid w:val="6EE24561"/>
    <w:rsid w:val="6EF14142"/>
    <w:rsid w:val="6EF34C6F"/>
    <w:rsid w:val="6EF65790"/>
    <w:rsid w:val="6F016A87"/>
    <w:rsid w:val="6F03131A"/>
    <w:rsid w:val="6F0B1F4D"/>
    <w:rsid w:val="6F1628C9"/>
    <w:rsid w:val="6F172C65"/>
    <w:rsid w:val="6F243B61"/>
    <w:rsid w:val="6F3757AB"/>
    <w:rsid w:val="6F385CDC"/>
    <w:rsid w:val="6F411E43"/>
    <w:rsid w:val="6F475783"/>
    <w:rsid w:val="6F5558EE"/>
    <w:rsid w:val="6F5A4B86"/>
    <w:rsid w:val="6F5E29F5"/>
    <w:rsid w:val="6F795328"/>
    <w:rsid w:val="6F7B5355"/>
    <w:rsid w:val="6F7C18A5"/>
    <w:rsid w:val="6F833042"/>
    <w:rsid w:val="6F884F22"/>
    <w:rsid w:val="6F891F9F"/>
    <w:rsid w:val="6F9B4E77"/>
    <w:rsid w:val="6FAA3E8C"/>
    <w:rsid w:val="6FAE6FFE"/>
    <w:rsid w:val="6FB21EDA"/>
    <w:rsid w:val="6FB37179"/>
    <w:rsid w:val="6FC515C6"/>
    <w:rsid w:val="6FCC752E"/>
    <w:rsid w:val="6FD04FA3"/>
    <w:rsid w:val="6FD11FC5"/>
    <w:rsid w:val="6FD57147"/>
    <w:rsid w:val="6FDA2D4B"/>
    <w:rsid w:val="6FE54564"/>
    <w:rsid w:val="6FEF4A5C"/>
    <w:rsid w:val="6FFB4722"/>
    <w:rsid w:val="70021097"/>
    <w:rsid w:val="70035A11"/>
    <w:rsid w:val="700C41FF"/>
    <w:rsid w:val="701B7077"/>
    <w:rsid w:val="70291255"/>
    <w:rsid w:val="70297555"/>
    <w:rsid w:val="702C64EF"/>
    <w:rsid w:val="7031711B"/>
    <w:rsid w:val="70593A52"/>
    <w:rsid w:val="70682710"/>
    <w:rsid w:val="706955B8"/>
    <w:rsid w:val="70763107"/>
    <w:rsid w:val="707B053E"/>
    <w:rsid w:val="70806AA2"/>
    <w:rsid w:val="7087283F"/>
    <w:rsid w:val="70A36F0F"/>
    <w:rsid w:val="70A82764"/>
    <w:rsid w:val="70A85F3B"/>
    <w:rsid w:val="70CD0A01"/>
    <w:rsid w:val="70CE7706"/>
    <w:rsid w:val="70D6480D"/>
    <w:rsid w:val="70F43769"/>
    <w:rsid w:val="70FA13D2"/>
    <w:rsid w:val="7112404F"/>
    <w:rsid w:val="711D41EA"/>
    <w:rsid w:val="711E2E41"/>
    <w:rsid w:val="711E7EBA"/>
    <w:rsid w:val="71286452"/>
    <w:rsid w:val="713C6D66"/>
    <w:rsid w:val="7145561E"/>
    <w:rsid w:val="71485914"/>
    <w:rsid w:val="71486BF5"/>
    <w:rsid w:val="714A3FD1"/>
    <w:rsid w:val="71550E36"/>
    <w:rsid w:val="715C2F64"/>
    <w:rsid w:val="716408AF"/>
    <w:rsid w:val="71645191"/>
    <w:rsid w:val="716A2273"/>
    <w:rsid w:val="716D235C"/>
    <w:rsid w:val="717915F9"/>
    <w:rsid w:val="71855442"/>
    <w:rsid w:val="71A010A2"/>
    <w:rsid w:val="71A01CD2"/>
    <w:rsid w:val="71A32E24"/>
    <w:rsid w:val="71AE1DDA"/>
    <w:rsid w:val="71B479B2"/>
    <w:rsid w:val="71BA2CCB"/>
    <w:rsid w:val="71C13613"/>
    <w:rsid w:val="71C8366D"/>
    <w:rsid w:val="71C942C6"/>
    <w:rsid w:val="71CF2E2D"/>
    <w:rsid w:val="71D519E9"/>
    <w:rsid w:val="71E2790D"/>
    <w:rsid w:val="71E32097"/>
    <w:rsid w:val="71E542F9"/>
    <w:rsid w:val="71F00744"/>
    <w:rsid w:val="71FE038F"/>
    <w:rsid w:val="72006373"/>
    <w:rsid w:val="720A68E1"/>
    <w:rsid w:val="72107C2C"/>
    <w:rsid w:val="721B6FB3"/>
    <w:rsid w:val="72273BB0"/>
    <w:rsid w:val="72374BF5"/>
    <w:rsid w:val="724C4628"/>
    <w:rsid w:val="72531F1A"/>
    <w:rsid w:val="72541E8D"/>
    <w:rsid w:val="7257401A"/>
    <w:rsid w:val="72693B8A"/>
    <w:rsid w:val="726A7902"/>
    <w:rsid w:val="72730565"/>
    <w:rsid w:val="72732E04"/>
    <w:rsid w:val="727462F3"/>
    <w:rsid w:val="72896550"/>
    <w:rsid w:val="7294664B"/>
    <w:rsid w:val="729C09E5"/>
    <w:rsid w:val="72A2398C"/>
    <w:rsid w:val="72AC3973"/>
    <w:rsid w:val="72B34E61"/>
    <w:rsid w:val="72B52790"/>
    <w:rsid w:val="72B73CE2"/>
    <w:rsid w:val="72BD3C5C"/>
    <w:rsid w:val="72D2660D"/>
    <w:rsid w:val="72E476B5"/>
    <w:rsid w:val="72E57A12"/>
    <w:rsid w:val="72E9795B"/>
    <w:rsid w:val="72EE6F78"/>
    <w:rsid w:val="72FC5005"/>
    <w:rsid w:val="730A700C"/>
    <w:rsid w:val="730D4A6D"/>
    <w:rsid w:val="73107E21"/>
    <w:rsid w:val="7311573E"/>
    <w:rsid w:val="73140399"/>
    <w:rsid w:val="73187272"/>
    <w:rsid w:val="731A48AC"/>
    <w:rsid w:val="73291572"/>
    <w:rsid w:val="733110AE"/>
    <w:rsid w:val="734658A6"/>
    <w:rsid w:val="734939BC"/>
    <w:rsid w:val="73565DB1"/>
    <w:rsid w:val="73571C35"/>
    <w:rsid w:val="7358120C"/>
    <w:rsid w:val="73585CCE"/>
    <w:rsid w:val="735C2DCF"/>
    <w:rsid w:val="735E1767"/>
    <w:rsid w:val="736F6109"/>
    <w:rsid w:val="73706B2A"/>
    <w:rsid w:val="7375556B"/>
    <w:rsid w:val="737934CE"/>
    <w:rsid w:val="737E3665"/>
    <w:rsid w:val="738E711F"/>
    <w:rsid w:val="739764D5"/>
    <w:rsid w:val="73A56E44"/>
    <w:rsid w:val="73B452D9"/>
    <w:rsid w:val="73C94D36"/>
    <w:rsid w:val="73CB77E1"/>
    <w:rsid w:val="73D52B51"/>
    <w:rsid w:val="73D663BB"/>
    <w:rsid w:val="73DC1BF3"/>
    <w:rsid w:val="73DE4104"/>
    <w:rsid w:val="73DF6A8D"/>
    <w:rsid w:val="73F36DD6"/>
    <w:rsid w:val="73F935BC"/>
    <w:rsid w:val="73FB73A5"/>
    <w:rsid w:val="74116B31"/>
    <w:rsid w:val="74177616"/>
    <w:rsid w:val="74220E6A"/>
    <w:rsid w:val="742841B5"/>
    <w:rsid w:val="742D3838"/>
    <w:rsid w:val="744F2080"/>
    <w:rsid w:val="74511C42"/>
    <w:rsid w:val="74547BA3"/>
    <w:rsid w:val="745574FA"/>
    <w:rsid w:val="745760A7"/>
    <w:rsid w:val="74681C20"/>
    <w:rsid w:val="74777E8B"/>
    <w:rsid w:val="74795BDB"/>
    <w:rsid w:val="747C5C15"/>
    <w:rsid w:val="749C33E8"/>
    <w:rsid w:val="74A0585D"/>
    <w:rsid w:val="74A82692"/>
    <w:rsid w:val="74A84EBA"/>
    <w:rsid w:val="74AA69EE"/>
    <w:rsid w:val="74D2128A"/>
    <w:rsid w:val="7526422F"/>
    <w:rsid w:val="75295853"/>
    <w:rsid w:val="75527EEC"/>
    <w:rsid w:val="75596138"/>
    <w:rsid w:val="755A5A0C"/>
    <w:rsid w:val="75644ADD"/>
    <w:rsid w:val="756814A5"/>
    <w:rsid w:val="75681D33"/>
    <w:rsid w:val="75722DB2"/>
    <w:rsid w:val="75772B75"/>
    <w:rsid w:val="7580462A"/>
    <w:rsid w:val="7590605C"/>
    <w:rsid w:val="75952EE8"/>
    <w:rsid w:val="75A1363B"/>
    <w:rsid w:val="75AD0232"/>
    <w:rsid w:val="75AF5E49"/>
    <w:rsid w:val="75B07D22"/>
    <w:rsid w:val="75BA1D62"/>
    <w:rsid w:val="75BC66C7"/>
    <w:rsid w:val="75C44782"/>
    <w:rsid w:val="75E15941"/>
    <w:rsid w:val="75E850A3"/>
    <w:rsid w:val="75F70817"/>
    <w:rsid w:val="760009FB"/>
    <w:rsid w:val="76045086"/>
    <w:rsid w:val="762A3496"/>
    <w:rsid w:val="762C3F81"/>
    <w:rsid w:val="76424E1E"/>
    <w:rsid w:val="764277C7"/>
    <w:rsid w:val="7644557D"/>
    <w:rsid w:val="76630643"/>
    <w:rsid w:val="7666438C"/>
    <w:rsid w:val="766921DD"/>
    <w:rsid w:val="766C3AF6"/>
    <w:rsid w:val="76793371"/>
    <w:rsid w:val="767B7735"/>
    <w:rsid w:val="767D5577"/>
    <w:rsid w:val="767F69D7"/>
    <w:rsid w:val="768129FD"/>
    <w:rsid w:val="768857E3"/>
    <w:rsid w:val="768C12C1"/>
    <w:rsid w:val="76B35F4F"/>
    <w:rsid w:val="76B949B4"/>
    <w:rsid w:val="76BC3C9B"/>
    <w:rsid w:val="76CE7AD1"/>
    <w:rsid w:val="76D812DE"/>
    <w:rsid w:val="76DB2B7D"/>
    <w:rsid w:val="76DD5BF3"/>
    <w:rsid w:val="76E9249F"/>
    <w:rsid w:val="76F5132D"/>
    <w:rsid w:val="770B26C0"/>
    <w:rsid w:val="770B7768"/>
    <w:rsid w:val="77200320"/>
    <w:rsid w:val="77236233"/>
    <w:rsid w:val="773E4A2B"/>
    <w:rsid w:val="774B4EF3"/>
    <w:rsid w:val="774D54F1"/>
    <w:rsid w:val="775363CA"/>
    <w:rsid w:val="77562203"/>
    <w:rsid w:val="7773729A"/>
    <w:rsid w:val="778525A0"/>
    <w:rsid w:val="778817DD"/>
    <w:rsid w:val="779C1BB9"/>
    <w:rsid w:val="779E62E2"/>
    <w:rsid w:val="77A13D6C"/>
    <w:rsid w:val="77B07B65"/>
    <w:rsid w:val="77B87288"/>
    <w:rsid w:val="77BC29AE"/>
    <w:rsid w:val="77C17ED6"/>
    <w:rsid w:val="77C2072D"/>
    <w:rsid w:val="77C6382D"/>
    <w:rsid w:val="77DF26A9"/>
    <w:rsid w:val="77EB3293"/>
    <w:rsid w:val="77F079BF"/>
    <w:rsid w:val="77F11912"/>
    <w:rsid w:val="77F30E4A"/>
    <w:rsid w:val="77F51F25"/>
    <w:rsid w:val="77F71288"/>
    <w:rsid w:val="77F76B9C"/>
    <w:rsid w:val="78022462"/>
    <w:rsid w:val="7804331C"/>
    <w:rsid w:val="7807775C"/>
    <w:rsid w:val="78080A1E"/>
    <w:rsid w:val="781C5CB2"/>
    <w:rsid w:val="783B1B25"/>
    <w:rsid w:val="783F791B"/>
    <w:rsid w:val="784B25D0"/>
    <w:rsid w:val="78547024"/>
    <w:rsid w:val="785D50AA"/>
    <w:rsid w:val="786A1884"/>
    <w:rsid w:val="78724754"/>
    <w:rsid w:val="787900BC"/>
    <w:rsid w:val="788334CC"/>
    <w:rsid w:val="7884723A"/>
    <w:rsid w:val="788705BD"/>
    <w:rsid w:val="78894DAF"/>
    <w:rsid w:val="78904407"/>
    <w:rsid w:val="7892299C"/>
    <w:rsid w:val="78A524CA"/>
    <w:rsid w:val="78B40E51"/>
    <w:rsid w:val="78BF4801"/>
    <w:rsid w:val="78C53AE4"/>
    <w:rsid w:val="78CE3C39"/>
    <w:rsid w:val="78CF29C5"/>
    <w:rsid w:val="78CF4397"/>
    <w:rsid w:val="78D756FA"/>
    <w:rsid w:val="78E976D2"/>
    <w:rsid w:val="79045F20"/>
    <w:rsid w:val="790463BB"/>
    <w:rsid w:val="790F6A3A"/>
    <w:rsid w:val="791800B8"/>
    <w:rsid w:val="79287B3B"/>
    <w:rsid w:val="792F7EDA"/>
    <w:rsid w:val="794706C3"/>
    <w:rsid w:val="796163E5"/>
    <w:rsid w:val="796C0DB6"/>
    <w:rsid w:val="796D1736"/>
    <w:rsid w:val="79761D2B"/>
    <w:rsid w:val="79775EC9"/>
    <w:rsid w:val="798233F1"/>
    <w:rsid w:val="7984574E"/>
    <w:rsid w:val="79856DD0"/>
    <w:rsid w:val="79921895"/>
    <w:rsid w:val="799956AB"/>
    <w:rsid w:val="799F326C"/>
    <w:rsid w:val="79B9501A"/>
    <w:rsid w:val="79BA4CCB"/>
    <w:rsid w:val="79BB161F"/>
    <w:rsid w:val="79C20462"/>
    <w:rsid w:val="79C36276"/>
    <w:rsid w:val="79C51ADA"/>
    <w:rsid w:val="79CA3586"/>
    <w:rsid w:val="79D164E7"/>
    <w:rsid w:val="79D2240C"/>
    <w:rsid w:val="79D721FF"/>
    <w:rsid w:val="79DA0B61"/>
    <w:rsid w:val="79E51D4C"/>
    <w:rsid w:val="79E94D5A"/>
    <w:rsid w:val="79E9735F"/>
    <w:rsid w:val="79EE7116"/>
    <w:rsid w:val="79F216A4"/>
    <w:rsid w:val="7A0C7343"/>
    <w:rsid w:val="7A142652"/>
    <w:rsid w:val="7A1613D7"/>
    <w:rsid w:val="7A355DA0"/>
    <w:rsid w:val="7A37631C"/>
    <w:rsid w:val="7A461715"/>
    <w:rsid w:val="7A48470A"/>
    <w:rsid w:val="7A576C53"/>
    <w:rsid w:val="7A6D1D3E"/>
    <w:rsid w:val="7A802D36"/>
    <w:rsid w:val="7A862E00"/>
    <w:rsid w:val="7A9004FD"/>
    <w:rsid w:val="7A9C571C"/>
    <w:rsid w:val="7A9F3BF4"/>
    <w:rsid w:val="7AA8721A"/>
    <w:rsid w:val="7AA93B38"/>
    <w:rsid w:val="7ACA435B"/>
    <w:rsid w:val="7AD718AD"/>
    <w:rsid w:val="7AEA4CEE"/>
    <w:rsid w:val="7AEC35AA"/>
    <w:rsid w:val="7B0E1773"/>
    <w:rsid w:val="7B260AB7"/>
    <w:rsid w:val="7B2745E3"/>
    <w:rsid w:val="7B313AF5"/>
    <w:rsid w:val="7B3A6A69"/>
    <w:rsid w:val="7B3E36DA"/>
    <w:rsid w:val="7B511C86"/>
    <w:rsid w:val="7B576EF9"/>
    <w:rsid w:val="7B616772"/>
    <w:rsid w:val="7B6E2211"/>
    <w:rsid w:val="7B7D5D44"/>
    <w:rsid w:val="7B8070B8"/>
    <w:rsid w:val="7B907528"/>
    <w:rsid w:val="7BA14758"/>
    <w:rsid w:val="7BA23C69"/>
    <w:rsid w:val="7BA25401"/>
    <w:rsid w:val="7BA346B2"/>
    <w:rsid w:val="7BB3231A"/>
    <w:rsid w:val="7BBB578F"/>
    <w:rsid w:val="7BCB3CC7"/>
    <w:rsid w:val="7BDE4B40"/>
    <w:rsid w:val="7BDF75F9"/>
    <w:rsid w:val="7BFC7D99"/>
    <w:rsid w:val="7C064A88"/>
    <w:rsid w:val="7C131E2C"/>
    <w:rsid w:val="7C147032"/>
    <w:rsid w:val="7C1F46EF"/>
    <w:rsid w:val="7C224DAA"/>
    <w:rsid w:val="7C3228BB"/>
    <w:rsid w:val="7C33534D"/>
    <w:rsid w:val="7C440929"/>
    <w:rsid w:val="7C4D4FF4"/>
    <w:rsid w:val="7C4F341F"/>
    <w:rsid w:val="7C5B3ECA"/>
    <w:rsid w:val="7C5D33E9"/>
    <w:rsid w:val="7C6E138E"/>
    <w:rsid w:val="7C716EA8"/>
    <w:rsid w:val="7C7B135B"/>
    <w:rsid w:val="7C9B7337"/>
    <w:rsid w:val="7CA04DA9"/>
    <w:rsid w:val="7CA103C5"/>
    <w:rsid w:val="7CA22865"/>
    <w:rsid w:val="7CA509D0"/>
    <w:rsid w:val="7CA659DB"/>
    <w:rsid w:val="7CAF31EA"/>
    <w:rsid w:val="7CB305A5"/>
    <w:rsid w:val="7CB5279E"/>
    <w:rsid w:val="7CC1471E"/>
    <w:rsid w:val="7CC52305"/>
    <w:rsid w:val="7CD12A58"/>
    <w:rsid w:val="7CE27C4D"/>
    <w:rsid w:val="7CE32770"/>
    <w:rsid w:val="7CE331FC"/>
    <w:rsid w:val="7CEC7E3F"/>
    <w:rsid w:val="7CF23697"/>
    <w:rsid w:val="7CF421F3"/>
    <w:rsid w:val="7CF624BE"/>
    <w:rsid w:val="7CF9504E"/>
    <w:rsid w:val="7CFB0FA5"/>
    <w:rsid w:val="7CFB7AD5"/>
    <w:rsid w:val="7CFE1373"/>
    <w:rsid w:val="7D003324"/>
    <w:rsid w:val="7D0D2590"/>
    <w:rsid w:val="7D0F039D"/>
    <w:rsid w:val="7D101A1C"/>
    <w:rsid w:val="7D105D1F"/>
    <w:rsid w:val="7D1155F5"/>
    <w:rsid w:val="7D1604F2"/>
    <w:rsid w:val="7D1E58D9"/>
    <w:rsid w:val="7D27039D"/>
    <w:rsid w:val="7D2D5076"/>
    <w:rsid w:val="7D31153F"/>
    <w:rsid w:val="7D3A493C"/>
    <w:rsid w:val="7D491FD6"/>
    <w:rsid w:val="7D4A69FC"/>
    <w:rsid w:val="7D4D6A5F"/>
    <w:rsid w:val="7D550D15"/>
    <w:rsid w:val="7D5E0064"/>
    <w:rsid w:val="7D6640A1"/>
    <w:rsid w:val="7D666761"/>
    <w:rsid w:val="7D68560A"/>
    <w:rsid w:val="7D6E7260"/>
    <w:rsid w:val="7D777027"/>
    <w:rsid w:val="7D850497"/>
    <w:rsid w:val="7D8860C0"/>
    <w:rsid w:val="7D9419AF"/>
    <w:rsid w:val="7DA22646"/>
    <w:rsid w:val="7DAA1F81"/>
    <w:rsid w:val="7DAC1414"/>
    <w:rsid w:val="7DC2153F"/>
    <w:rsid w:val="7DCD7765"/>
    <w:rsid w:val="7DD15C5F"/>
    <w:rsid w:val="7DDC2FB4"/>
    <w:rsid w:val="7DDD09A5"/>
    <w:rsid w:val="7DDD43AA"/>
    <w:rsid w:val="7DE16714"/>
    <w:rsid w:val="7DEB30E6"/>
    <w:rsid w:val="7DEF74BD"/>
    <w:rsid w:val="7DF64C65"/>
    <w:rsid w:val="7E061F65"/>
    <w:rsid w:val="7E082AE5"/>
    <w:rsid w:val="7E1D56B7"/>
    <w:rsid w:val="7E260D69"/>
    <w:rsid w:val="7E2D63B4"/>
    <w:rsid w:val="7E372D8F"/>
    <w:rsid w:val="7E3A63DB"/>
    <w:rsid w:val="7E4D4AB6"/>
    <w:rsid w:val="7E4D53A9"/>
    <w:rsid w:val="7E7145A0"/>
    <w:rsid w:val="7E715A01"/>
    <w:rsid w:val="7E7C64AA"/>
    <w:rsid w:val="7E801BFB"/>
    <w:rsid w:val="7E8E5309"/>
    <w:rsid w:val="7E947A6D"/>
    <w:rsid w:val="7EAA17B2"/>
    <w:rsid w:val="7EAA47C8"/>
    <w:rsid w:val="7EC54522"/>
    <w:rsid w:val="7ED54A28"/>
    <w:rsid w:val="7EE66CB9"/>
    <w:rsid w:val="7F0D279E"/>
    <w:rsid w:val="7F1660D5"/>
    <w:rsid w:val="7F190CD1"/>
    <w:rsid w:val="7F1A5AAF"/>
    <w:rsid w:val="7F1A5E1B"/>
    <w:rsid w:val="7F1C285B"/>
    <w:rsid w:val="7F1D01D6"/>
    <w:rsid w:val="7F210215"/>
    <w:rsid w:val="7F287D23"/>
    <w:rsid w:val="7F307017"/>
    <w:rsid w:val="7F413799"/>
    <w:rsid w:val="7F5015DB"/>
    <w:rsid w:val="7F565496"/>
    <w:rsid w:val="7F5E5DB7"/>
    <w:rsid w:val="7F731176"/>
    <w:rsid w:val="7F73429A"/>
    <w:rsid w:val="7F7477D2"/>
    <w:rsid w:val="7F756C12"/>
    <w:rsid w:val="7F773A8A"/>
    <w:rsid w:val="7F7821F1"/>
    <w:rsid w:val="7F7F2C3F"/>
    <w:rsid w:val="7F8D2F09"/>
    <w:rsid w:val="7F927DE0"/>
    <w:rsid w:val="7FA44454"/>
    <w:rsid w:val="7FB45DA0"/>
    <w:rsid w:val="7FD62A42"/>
    <w:rsid w:val="7FDD5BB8"/>
    <w:rsid w:val="7FE626AE"/>
    <w:rsid w:val="7FEA4A48"/>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26"/>
    <w:autoRedefine/>
    <w:qFormat/>
    <w:uiPriority w:val="9"/>
    <w:pPr>
      <w:keepNext/>
      <w:keepLines/>
      <w:ind w:firstLine="0" w:firstLineChars="0"/>
      <w:outlineLvl w:val="0"/>
    </w:pPr>
    <w:rPr>
      <w:b/>
      <w:bCs/>
      <w:kern w:val="44"/>
      <w:sz w:val="32"/>
      <w:szCs w:val="44"/>
    </w:rPr>
  </w:style>
  <w:style w:type="paragraph" w:styleId="3">
    <w:name w:val="heading 2"/>
    <w:basedOn w:val="1"/>
    <w:next w:val="1"/>
    <w:link w:val="27"/>
    <w:autoRedefine/>
    <w:unhideWhenUsed/>
    <w:qFormat/>
    <w:uiPriority w:val="9"/>
    <w:pPr>
      <w:keepNext/>
      <w:keepLines/>
      <w:ind w:firstLine="0" w:firstLineChars="0"/>
      <w:outlineLvl w:val="1"/>
    </w:pPr>
    <w:rPr>
      <w:rFonts w:cstheme="majorBidi"/>
      <w:b/>
      <w:bCs/>
      <w:sz w:val="28"/>
      <w:szCs w:val="32"/>
    </w:rPr>
  </w:style>
  <w:style w:type="paragraph" w:styleId="4">
    <w:name w:val="heading 3"/>
    <w:basedOn w:val="1"/>
    <w:next w:val="1"/>
    <w:link w:val="28"/>
    <w:autoRedefine/>
    <w:unhideWhenUsed/>
    <w:qFormat/>
    <w:uiPriority w:val="9"/>
    <w:pPr>
      <w:keepNext/>
      <w:keepLines/>
      <w:ind w:firstLine="0" w:firstLineChars="0"/>
      <w:outlineLvl w:val="2"/>
    </w:pPr>
    <w:rPr>
      <w:b/>
      <w:bCs/>
      <w:szCs w:val="32"/>
    </w:rPr>
  </w:style>
  <w:style w:type="paragraph" w:styleId="5">
    <w:name w:val="heading 4"/>
    <w:basedOn w:val="1"/>
    <w:next w:val="6"/>
    <w:link w:val="29"/>
    <w:autoRedefine/>
    <w:semiHidden/>
    <w:unhideWhenUsed/>
    <w:qFormat/>
    <w:uiPriority w:val="9"/>
    <w:pPr>
      <w:keepNext/>
      <w:keepLines/>
      <w:ind w:firstLine="0" w:firstLineChars="0"/>
      <w:outlineLvl w:val="3"/>
    </w:pPr>
    <w:rPr>
      <w:b/>
      <w:bCs/>
      <w:sz w:val="28"/>
      <w:szCs w:val="28"/>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spacing w:line="480" w:lineRule="exact"/>
      <w:ind w:firstLine="420"/>
    </w:pPr>
    <w:rPr>
      <w:sz w:val="21"/>
    </w:rPr>
  </w:style>
  <w:style w:type="paragraph" w:styleId="7">
    <w:name w:val="annotation text"/>
    <w:basedOn w:val="1"/>
    <w:link w:val="31"/>
    <w:autoRedefine/>
    <w:unhideWhenUsed/>
    <w:qFormat/>
    <w:uiPriority w:val="99"/>
    <w:pPr>
      <w:widowControl/>
      <w:adjustRightInd w:val="0"/>
      <w:snapToGrid w:val="0"/>
      <w:spacing w:line="240" w:lineRule="auto"/>
      <w:ind w:firstLine="0" w:firstLineChars="0"/>
      <w:jc w:val="left"/>
    </w:pPr>
    <w:rPr>
      <w:rFonts w:cstheme="minorBidi"/>
      <w:kern w:val="0"/>
      <w:sz w:val="21"/>
    </w:rPr>
  </w:style>
  <w:style w:type="paragraph" w:styleId="8">
    <w:name w:val="Body Text"/>
    <w:basedOn w:val="1"/>
    <w:autoRedefine/>
    <w:qFormat/>
    <w:uiPriority w:val="0"/>
    <w:pPr>
      <w:widowControl/>
      <w:snapToGrid w:val="0"/>
      <w:spacing w:before="60" w:after="160" w:line="259" w:lineRule="auto"/>
      <w:ind w:right="113"/>
    </w:pPr>
    <w:rPr>
      <w:kern w:val="0"/>
      <w:sz w:val="18"/>
      <w:szCs w:val="20"/>
    </w:rPr>
  </w:style>
  <w:style w:type="paragraph" w:styleId="9">
    <w:name w:val="Body Text Indent"/>
    <w:basedOn w:val="1"/>
    <w:next w:val="10"/>
    <w:autoRedefine/>
    <w:qFormat/>
    <w:uiPriority w:val="0"/>
    <w:pPr>
      <w:spacing w:after="120"/>
      <w:ind w:left="420" w:leftChars="200"/>
    </w:pPr>
    <w:rPr>
      <w:kern w:val="0"/>
      <w:sz w:val="24"/>
      <w:szCs w:val="20"/>
    </w:rPr>
  </w:style>
  <w:style w:type="paragraph" w:customStyle="1" w:styleId="10">
    <w:name w:val="样式 正文文本缩进 + 行距: 1.5 倍行距"/>
    <w:basedOn w:val="9"/>
    <w:autoRedefine/>
    <w:qFormat/>
    <w:uiPriority w:val="0"/>
    <w:pPr>
      <w:ind w:left="90" w:leftChars="32" w:firstLine="560" w:firstLineChars="200"/>
    </w:pPr>
    <w:rPr>
      <w:rFonts w:cs="宋体"/>
    </w:rPr>
  </w:style>
  <w:style w:type="paragraph" w:styleId="11">
    <w:name w:val="toc 3"/>
    <w:basedOn w:val="1"/>
    <w:next w:val="1"/>
    <w:autoRedefine/>
    <w:qFormat/>
    <w:uiPriority w:val="39"/>
    <w:pPr>
      <w:spacing w:line="240" w:lineRule="auto"/>
      <w:ind w:left="840" w:leftChars="400" w:firstLine="0" w:firstLineChars="0"/>
    </w:pPr>
    <w:rPr>
      <w:sz w:val="21"/>
      <w:szCs w:val="24"/>
    </w:rPr>
  </w:style>
  <w:style w:type="paragraph" w:styleId="12">
    <w:name w:val="Balloon Text"/>
    <w:basedOn w:val="1"/>
    <w:link w:val="32"/>
    <w:autoRedefine/>
    <w:semiHidden/>
    <w:unhideWhenUsed/>
    <w:qFormat/>
    <w:uiPriority w:val="99"/>
    <w:pPr>
      <w:spacing w:line="240" w:lineRule="auto"/>
    </w:pPr>
    <w:rPr>
      <w:sz w:val="18"/>
      <w:szCs w:val="18"/>
    </w:rPr>
  </w:style>
  <w:style w:type="paragraph" w:styleId="13">
    <w:name w:val="footer"/>
    <w:basedOn w:val="1"/>
    <w:link w:val="36"/>
    <w:autoRedefine/>
    <w:unhideWhenUsed/>
    <w:qFormat/>
    <w:uiPriority w:val="99"/>
    <w:pPr>
      <w:tabs>
        <w:tab w:val="center" w:pos="4153"/>
        <w:tab w:val="right" w:pos="8306"/>
      </w:tabs>
      <w:snapToGrid w:val="0"/>
      <w:spacing w:line="240" w:lineRule="auto"/>
      <w:jc w:val="left"/>
    </w:pPr>
    <w:rPr>
      <w:sz w:val="18"/>
      <w:szCs w:val="18"/>
    </w:rPr>
  </w:style>
  <w:style w:type="paragraph" w:styleId="14">
    <w:name w:val="header"/>
    <w:basedOn w:val="1"/>
    <w:link w:val="35"/>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Body Text Indent 3"/>
    <w:basedOn w:val="1"/>
    <w:qFormat/>
    <w:uiPriority w:val="0"/>
    <w:pPr>
      <w:spacing w:after="120"/>
      <w:ind w:left="420" w:leftChars="200"/>
    </w:pPr>
    <w:rPr>
      <w:sz w:val="16"/>
      <w:szCs w:val="16"/>
    </w:rPr>
  </w:style>
  <w:style w:type="paragraph" w:styleId="16">
    <w:name w:val="toc 2"/>
    <w:basedOn w:val="1"/>
    <w:next w:val="1"/>
    <w:autoRedefine/>
    <w:qFormat/>
    <w:uiPriority w:val="0"/>
    <w:pPr>
      <w:ind w:left="420" w:leftChars="200"/>
    </w:pPr>
  </w:style>
  <w:style w:type="paragraph" w:styleId="17">
    <w:name w:val="Normal (Web)"/>
    <w:basedOn w:val="1"/>
    <w:link w:val="30"/>
    <w:autoRedefine/>
    <w:qFormat/>
    <w:uiPriority w:val="99"/>
    <w:pPr>
      <w:widowControl/>
      <w:spacing w:before="100" w:beforeAutospacing="1" w:after="100" w:afterAutospacing="1" w:line="240" w:lineRule="auto"/>
      <w:ind w:firstLine="0" w:firstLineChars="0"/>
      <w:jc w:val="left"/>
    </w:pPr>
    <w:rPr>
      <w:rFonts w:ascii="宋体" w:hAnsi="宋体" w:cstheme="minorBidi"/>
    </w:rPr>
  </w:style>
  <w:style w:type="paragraph" w:styleId="18">
    <w:name w:val="annotation subject"/>
    <w:basedOn w:val="7"/>
    <w:next w:val="7"/>
    <w:link w:val="37"/>
    <w:autoRedefine/>
    <w:semiHidden/>
    <w:unhideWhenUsed/>
    <w:qFormat/>
    <w:uiPriority w:val="99"/>
    <w:pPr>
      <w:widowControl w:val="0"/>
      <w:adjustRightInd/>
      <w:snapToGrid/>
      <w:spacing w:line="360" w:lineRule="auto"/>
      <w:ind w:firstLine="200" w:firstLineChars="200"/>
    </w:pPr>
    <w:rPr>
      <w:rFonts w:cs="Times New Roman"/>
      <w:b/>
      <w:bCs/>
      <w:kern w:val="2"/>
      <w:sz w:val="24"/>
    </w:rPr>
  </w:style>
  <w:style w:type="paragraph" w:styleId="19">
    <w:name w:val="Body Text First Indent"/>
    <w:basedOn w:val="8"/>
    <w:autoRedefine/>
    <w:qFormat/>
    <w:uiPriority w:val="0"/>
    <w:pPr>
      <w:adjustRightInd w:val="0"/>
      <w:snapToGrid w:val="0"/>
      <w:spacing w:beforeLines="50" w:after="0" w:line="360" w:lineRule="auto"/>
      <w:ind w:firstLine="200" w:firstLineChars="200"/>
    </w:pPr>
    <w:rPr>
      <w:sz w:val="24"/>
    </w:rPr>
  </w:style>
  <w:style w:type="paragraph" w:styleId="20">
    <w:name w:val="Body Text First Indent 2"/>
    <w:basedOn w:val="9"/>
    <w:next w:val="19"/>
    <w:autoRedefine/>
    <w:qFormat/>
    <w:uiPriority w:val="0"/>
    <w:pPr>
      <w:ind w:firstLine="420" w:firstLineChars="200"/>
    </w:pPr>
    <w:rPr>
      <w:kern w:val="2"/>
      <w:sz w:val="21"/>
      <w:szCs w:val="24"/>
    </w:r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annotation reference"/>
    <w:basedOn w:val="23"/>
    <w:autoRedefine/>
    <w:semiHidden/>
    <w:unhideWhenUsed/>
    <w:qFormat/>
    <w:uiPriority w:val="99"/>
    <w:rPr>
      <w:sz w:val="21"/>
      <w:szCs w:val="21"/>
    </w:rPr>
  </w:style>
  <w:style w:type="paragraph" w:customStyle="1" w:styleId="2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character" w:customStyle="1" w:styleId="26">
    <w:name w:val="标题 1 Char"/>
    <w:basedOn w:val="23"/>
    <w:link w:val="2"/>
    <w:autoRedefine/>
    <w:qFormat/>
    <w:uiPriority w:val="9"/>
    <w:rPr>
      <w:rFonts w:cs="Times New Roman"/>
      <w:b/>
      <w:bCs/>
      <w:kern w:val="44"/>
      <w:sz w:val="32"/>
      <w:szCs w:val="44"/>
    </w:rPr>
  </w:style>
  <w:style w:type="character" w:customStyle="1" w:styleId="27">
    <w:name w:val="标题 2 Char"/>
    <w:basedOn w:val="23"/>
    <w:link w:val="3"/>
    <w:autoRedefine/>
    <w:qFormat/>
    <w:uiPriority w:val="9"/>
    <w:rPr>
      <w:rFonts w:cstheme="majorBidi"/>
      <w:b/>
      <w:bCs/>
      <w:sz w:val="28"/>
      <w:szCs w:val="32"/>
    </w:rPr>
  </w:style>
  <w:style w:type="character" w:customStyle="1" w:styleId="28">
    <w:name w:val="标题 3 Char"/>
    <w:basedOn w:val="23"/>
    <w:link w:val="4"/>
    <w:autoRedefine/>
    <w:qFormat/>
    <w:uiPriority w:val="9"/>
    <w:rPr>
      <w:b/>
      <w:bCs/>
      <w:szCs w:val="32"/>
    </w:rPr>
  </w:style>
  <w:style w:type="character" w:customStyle="1" w:styleId="29">
    <w:name w:val="标题 4 Char"/>
    <w:basedOn w:val="23"/>
    <w:link w:val="5"/>
    <w:autoRedefine/>
    <w:qFormat/>
    <w:uiPriority w:val="9"/>
    <w:rPr>
      <w:rFonts w:cs="Times New Roman"/>
      <w:b/>
      <w:bCs/>
      <w:sz w:val="28"/>
      <w:szCs w:val="28"/>
    </w:rPr>
  </w:style>
  <w:style w:type="character" w:customStyle="1" w:styleId="30">
    <w:name w:val="普通(网站) Char"/>
    <w:link w:val="17"/>
    <w:autoRedefine/>
    <w:qFormat/>
    <w:locked/>
    <w:uiPriority w:val="0"/>
    <w:rPr>
      <w:rFonts w:ascii="宋体" w:hAnsi="宋体"/>
    </w:rPr>
  </w:style>
  <w:style w:type="character" w:customStyle="1" w:styleId="31">
    <w:name w:val="批注文字 Char"/>
    <w:basedOn w:val="23"/>
    <w:link w:val="7"/>
    <w:autoRedefine/>
    <w:qFormat/>
    <w:uiPriority w:val="0"/>
    <w:rPr>
      <w:kern w:val="0"/>
      <w:sz w:val="21"/>
    </w:rPr>
  </w:style>
  <w:style w:type="character" w:customStyle="1" w:styleId="32">
    <w:name w:val="批注框文本 Char"/>
    <w:basedOn w:val="23"/>
    <w:link w:val="12"/>
    <w:autoRedefine/>
    <w:semiHidden/>
    <w:qFormat/>
    <w:uiPriority w:val="99"/>
    <w:rPr>
      <w:rFonts w:cs="Times New Roman"/>
      <w:sz w:val="18"/>
      <w:szCs w:val="18"/>
    </w:rPr>
  </w:style>
  <w:style w:type="paragraph" w:styleId="33">
    <w:name w:val="No Spacing"/>
    <w:link w:val="34"/>
    <w:autoRedefine/>
    <w:qFormat/>
    <w:uiPriority w:val="1"/>
    <w:pPr>
      <w:widowControl w:val="0"/>
      <w:adjustRightInd w:val="0"/>
      <w:snapToGrid w:val="0"/>
      <w:spacing w:line="360" w:lineRule="auto"/>
      <w:jc w:val="center"/>
      <w:textAlignment w:val="baseline"/>
    </w:pPr>
    <w:rPr>
      <w:rFonts w:ascii="Times New Roman" w:hAnsi="Times New Roman" w:eastAsia="宋体" w:cs="Times New Roman"/>
      <w:b/>
      <w:kern w:val="0"/>
      <w:sz w:val="21"/>
      <w:szCs w:val="20"/>
      <w:lang w:val="en-US" w:eastAsia="zh-CN" w:bidi="ar-SA"/>
    </w:rPr>
  </w:style>
  <w:style w:type="character" w:customStyle="1" w:styleId="34">
    <w:name w:val="无间隔 Char"/>
    <w:link w:val="33"/>
    <w:autoRedefine/>
    <w:qFormat/>
    <w:locked/>
    <w:uiPriority w:val="1"/>
    <w:rPr>
      <w:rFonts w:cs="Times New Roman"/>
      <w:b/>
      <w:kern w:val="0"/>
      <w:sz w:val="21"/>
      <w:szCs w:val="20"/>
    </w:rPr>
  </w:style>
  <w:style w:type="character" w:customStyle="1" w:styleId="35">
    <w:name w:val="页眉 Char"/>
    <w:basedOn w:val="23"/>
    <w:link w:val="14"/>
    <w:autoRedefine/>
    <w:qFormat/>
    <w:uiPriority w:val="99"/>
    <w:rPr>
      <w:rFonts w:cs="Times New Roman"/>
      <w:sz w:val="18"/>
      <w:szCs w:val="18"/>
    </w:rPr>
  </w:style>
  <w:style w:type="character" w:customStyle="1" w:styleId="36">
    <w:name w:val="页脚 Char"/>
    <w:basedOn w:val="23"/>
    <w:link w:val="13"/>
    <w:autoRedefine/>
    <w:qFormat/>
    <w:uiPriority w:val="99"/>
    <w:rPr>
      <w:rFonts w:cs="Times New Roman"/>
      <w:sz w:val="18"/>
      <w:szCs w:val="18"/>
    </w:rPr>
  </w:style>
  <w:style w:type="character" w:customStyle="1" w:styleId="37">
    <w:name w:val="批注主题 Char"/>
    <w:basedOn w:val="31"/>
    <w:link w:val="18"/>
    <w:autoRedefine/>
    <w:semiHidden/>
    <w:qFormat/>
    <w:uiPriority w:val="99"/>
    <w:rPr>
      <w:rFonts w:cs="Times New Roman"/>
      <w:b/>
      <w:bCs/>
      <w:kern w:val="0"/>
      <w:sz w:val="21"/>
    </w:rPr>
  </w:style>
  <w:style w:type="character" w:styleId="38">
    <w:name w:val="Placeholder Text"/>
    <w:basedOn w:val="23"/>
    <w:autoRedefine/>
    <w:semiHidden/>
    <w:qFormat/>
    <w:uiPriority w:val="99"/>
    <w:rPr>
      <w:color w:val="808080"/>
    </w:rPr>
  </w:style>
  <w:style w:type="character" w:customStyle="1" w:styleId="39">
    <w:name w:val="表格 Char"/>
    <w:link w:val="40"/>
    <w:autoRedefine/>
    <w:qFormat/>
    <w:locked/>
    <w:uiPriority w:val="0"/>
    <w:rPr>
      <w:rFonts w:ascii="宋体"/>
      <w:sz w:val="21"/>
    </w:rPr>
  </w:style>
  <w:style w:type="paragraph" w:customStyle="1" w:styleId="40">
    <w:name w:val="表格"/>
    <w:basedOn w:val="41"/>
    <w:next w:val="1"/>
    <w:link w:val="39"/>
    <w:autoRedefine/>
    <w:qFormat/>
    <w:uiPriority w:val="0"/>
    <w:pPr>
      <w:adjustRightInd w:val="0"/>
      <w:snapToGrid w:val="0"/>
      <w:spacing w:beforeLines="10" w:afterLines="10" w:line="259" w:lineRule="auto"/>
      <w:ind w:firstLine="0" w:firstLineChars="0"/>
      <w:jc w:val="center"/>
    </w:pPr>
    <w:rPr>
      <w:rFonts w:ascii="宋体" w:cstheme="minorBidi"/>
      <w:sz w:val="21"/>
    </w:rPr>
  </w:style>
  <w:style w:type="paragraph" w:customStyle="1" w:styleId="41">
    <w:name w:val="表头"/>
    <w:basedOn w:val="42"/>
    <w:next w:val="15"/>
    <w:qFormat/>
    <w:uiPriority w:val="0"/>
    <w:pPr>
      <w:jc w:val="center"/>
    </w:pPr>
    <w:rPr>
      <w:rFonts w:ascii="黑体" w:eastAsia="黑体"/>
    </w:rPr>
  </w:style>
  <w:style w:type="paragraph" w:customStyle="1" w:styleId="42">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3">
    <w:name w:val="Table Paragraph"/>
    <w:basedOn w:val="1"/>
    <w:autoRedefine/>
    <w:semiHidden/>
    <w:qFormat/>
    <w:uiPriority w:val="0"/>
    <w:pPr>
      <w:widowControl/>
      <w:spacing w:line="240" w:lineRule="auto"/>
      <w:ind w:firstLine="0" w:firstLineChars="0"/>
      <w:jc w:val="left"/>
    </w:pPr>
    <w:rPr>
      <w:rFonts w:ascii="Calibri" w:hAnsi="Calibri" w:cs="Calibri"/>
      <w:kern w:val="0"/>
      <w:sz w:val="22"/>
    </w:rPr>
  </w:style>
  <w:style w:type="character" w:customStyle="1" w:styleId="44">
    <w:name w:val="fontstyle01"/>
    <w:autoRedefine/>
    <w:qFormat/>
    <w:uiPriority w:val="0"/>
    <w:rPr>
      <w:rFonts w:hint="eastAsia" w:ascii="宋体" w:hAnsi="宋体" w:eastAsia="宋体"/>
      <w:color w:val="000000"/>
      <w:sz w:val="24"/>
      <w:szCs w:val="24"/>
    </w:rPr>
  </w:style>
  <w:style w:type="paragraph" w:customStyle="1" w:styleId="45">
    <w:name w:val="！正文"/>
    <w:basedOn w:val="1"/>
    <w:autoRedefine/>
    <w:hidden/>
    <w:qFormat/>
    <w:uiPriority w:val="0"/>
    <w:pPr>
      <w:ind w:firstLine="480"/>
    </w:pPr>
    <w:rPr>
      <w:rFonts w:hint="eastAsia" w:ascii="宋体" w:hAnsi="宋体"/>
      <w:bCs/>
      <w:kern w:val="0"/>
      <w:szCs w:val="20"/>
    </w:rPr>
  </w:style>
  <w:style w:type="paragraph" w:customStyle="1" w:styleId="46">
    <w:name w:val="标准正文"/>
    <w:basedOn w:val="1"/>
    <w:autoRedefine/>
    <w:qFormat/>
    <w:uiPriority w:val="0"/>
    <w:pPr>
      <w:spacing w:line="360" w:lineRule="auto"/>
      <w:ind w:firstLine="480" w:firstLineChars="200"/>
    </w:pPr>
    <w:rPr>
      <w:kern w:val="0"/>
      <w:sz w:val="24"/>
    </w:rPr>
  </w:style>
  <w:style w:type="paragraph" w:customStyle="1" w:styleId="47">
    <w:name w:val="WPSOffice手动目录 1"/>
    <w:autoRedefine/>
    <w:qFormat/>
    <w:uiPriority w:val="0"/>
    <w:pPr>
      <w:ind w:leftChars="0"/>
    </w:pPr>
    <w:rPr>
      <w:rFonts w:ascii="Times New Roman" w:hAnsi="Times New Roman" w:eastAsia="宋体" w:cs="Times New Roman"/>
      <w:sz w:val="20"/>
      <w:szCs w:val="20"/>
    </w:rPr>
  </w:style>
  <w:style w:type="paragraph" w:customStyle="1" w:styleId="48">
    <w:name w:val="HJ-表格"/>
    <w:basedOn w:val="1"/>
    <w:autoRedefine/>
    <w:qFormat/>
    <w:uiPriority w:val="0"/>
    <w:pPr>
      <w:jc w:val="center"/>
    </w:pPr>
    <w:rPr>
      <w:b/>
      <w:kern w:val="0"/>
      <w:sz w:val="18"/>
      <w:szCs w:val="20"/>
    </w:rPr>
  </w:style>
  <w:style w:type="paragraph" w:customStyle="1" w:styleId="49">
    <w:name w:val="正文（用）"/>
    <w:basedOn w:val="1"/>
    <w:autoRedefine/>
    <w:qFormat/>
    <w:uiPriority w:val="0"/>
    <w:pPr>
      <w:spacing w:line="360" w:lineRule="auto"/>
      <w:ind w:firstLine="480" w:firstLineChars="200"/>
      <w:jc w:val="left"/>
    </w:pPr>
    <w:rPr>
      <w:rFonts w:ascii="宋体" w:hAnsi="宋体" w:cs="宋体"/>
      <w:sz w:val="24"/>
      <w:szCs w:val="20"/>
    </w:rPr>
  </w:style>
  <w:style w:type="paragraph" w:customStyle="1" w:styleId="50">
    <w:name w:val="Table Text"/>
    <w:basedOn w:val="1"/>
    <w:autoRedefine/>
    <w:semiHidden/>
    <w:qFormat/>
    <w:uiPriority w:val="0"/>
    <w:rPr>
      <w:rFonts w:ascii="宋体" w:hAnsi="宋体" w:eastAsia="宋体" w:cs="宋体"/>
      <w:sz w:val="20"/>
      <w:szCs w:val="20"/>
      <w:lang w:val="en-US" w:eastAsia="en-US" w:bidi="ar-SA"/>
    </w:rPr>
  </w:style>
  <w:style w:type="table" w:customStyle="1" w:styleId="51">
    <w:name w:val="Table Normal"/>
    <w:autoRedefine/>
    <w:unhideWhenUsed/>
    <w:qFormat/>
    <w:uiPriority w:val="0"/>
    <w:tblPr>
      <w:tblCellMar>
        <w:top w:w="0" w:type="dxa"/>
        <w:left w:w="0" w:type="dxa"/>
        <w:bottom w:w="0" w:type="dxa"/>
        <w:right w:w="0" w:type="dxa"/>
      </w:tblCellMar>
    </w:tblPr>
  </w:style>
  <w:style w:type="paragraph" w:customStyle="1" w:styleId="52">
    <w:name w:val="（正文）"/>
    <w:basedOn w:val="1"/>
    <w:autoRedefine/>
    <w:qFormat/>
    <w:uiPriority w:val="0"/>
    <w:pPr>
      <w:ind w:firstLine="200" w:firstLineChars="200"/>
    </w:pPr>
    <w:rPr>
      <w:szCs w:val="20"/>
    </w:rPr>
  </w:style>
  <w:style w:type="paragraph" w:customStyle="1" w:styleId="53">
    <w:name w:val="Default"/>
    <w:basedOn w:val="54"/>
    <w:next w:val="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54">
    <w:name w:val="纯文本1"/>
    <w:basedOn w:val="1"/>
    <w:qFormat/>
    <w:uiPriority w:val="0"/>
    <w:rPr>
      <w:rFonts w:ascii="宋体" w:hAnsi="Courier New" w:cs="Courier New"/>
      <w:szCs w:val="21"/>
    </w:rPr>
  </w:style>
  <w:style w:type="paragraph" w:customStyle="1" w:styleId="55">
    <w:name w:val="_Style 1"/>
    <w:basedOn w:val="1"/>
    <w:next w:val="1"/>
    <w:qFormat/>
    <w:uiPriority w:val="0"/>
    <w:pPr>
      <w:ind w:firstLine="420" w:firstLineChars="200"/>
    </w:pPr>
    <w:rPr>
      <w:rFonts w:ascii="Calibri" w:hAnsi="Calibri" w:eastAsia="宋体" w:cs="Times New Roman"/>
      <w:szCs w:val="22"/>
    </w:rPr>
  </w:style>
  <w:style w:type="character" w:customStyle="1" w:styleId="56">
    <w:name w:val="fontstyle21"/>
    <w:qFormat/>
    <w:uiPriority w:val="0"/>
    <w:rPr>
      <w:rFonts w:hint="default" w:ascii="Times New Roman" w:hAnsi="Times New Roman" w:cs="Times New Roman"/>
      <w:color w:val="000000"/>
      <w:sz w:val="20"/>
      <w:szCs w:val="20"/>
    </w:rPr>
  </w:style>
  <w:style w:type="character" w:customStyle="1" w:styleId="57">
    <w:name w:val="fontstyle11"/>
    <w:qFormat/>
    <w:uiPriority w:val="0"/>
    <w:rPr>
      <w:rFonts w:hint="default" w:ascii="Times New Roman" w:hAnsi="Times New Roman" w:cs="Times New Roman"/>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wmf"/><Relationship Id="rId38" Type="http://schemas.openxmlformats.org/officeDocument/2006/relationships/oleObject" Target="embeddings/oleObject5.bin"/><Relationship Id="rId37" Type="http://schemas.openxmlformats.org/officeDocument/2006/relationships/image" Target="media/image21.emf"/><Relationship Id="rId36" Type="http://schemas.openxmlformats.org/officeDocument/2006/relationships/oleObject" Target="embeddings/oleObject4.bin"/><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916D5B-A59B-453A-A611-9E8F41CB2B6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118</Pages>
  <Words>71473</Words>
  <Characters>78409</Characters>
  <Lines>324</Lines>
  <Paragraphs>91</Paragraphs>
  <TotalTime>71</TotalTime>
  <ScaleCrop>false</ScaleCrop>
  <LinksUpToDate>false</LinksUpToDate>
  <CharactersWithSpaces>79195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2021-04-06T01:40:00Z</dcterms:created>
  <dc:creator>john</dc:creator>
  <cp:lastModifiedBy>陈木沐</cp:lastModifiedBy>
  <cp:lastPrinted>2023-05-06T02:19:00Z</cp:lastPrinted>
  <dcterms:modified xsi:type="dcterms:W3CDTF">2026-04-29T03:09:06Z</dcterms:modified>
  <cp:revision>202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83CCF43499C44D5F870BBB1E090EE0A3_12</vt:lpwstr>
  </property>
  <property fmtid="{D5CDD505-2E9C-101B-9397-08002B2CF9AE}" pid="4" name="KSOTemplateDocerSaveRecord">
    <vt:lpwstr>eyJoZGlkIjoiNjZkY2IxY2U3NzVjM2I5YTZkNWI5MmM0OGU0MjY1YmIiLCJ1c2VySWQiOiI0MTc2MzUyMzcifQ==</vt:lpwstr>
  </property>
</Properties>
</file>