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0336D">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hint="eastAsia" w:ascii="Times New Roman" w:hAnsi="Times New Roman" w:eastAsia="方正小标宋简体" w:cs="Times New Roman"/>
          <w:snapToGrid/>
          <w:color w:val="000000"/>
          <w:kern w:val="0"/>
          <w:sz w:val="72"/>
          <w:szCs w:val="72"/>
          <w:lang w:val="en-US" w:eastAsia="zh-CN" w:bidi="zh-CN"/>
        </w:rPr>
      </w:pPr>
    </w:p>
    <w:p w14:paraId="13CEC16A">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hint="eastAsia" w:ascii="Times New Roman" w:hAnsi="Times New Roman" w:eastAsia="方正小标宋简体" w:cs="Times New Roman"/>
          <w:snapToGrid/>
          <w:color w:val="000000"/>
          <w:kern w:val="0"/>
          <w:sz w:val="72"/>
          <w:szCs w:val="72"/>
          <w:lang w:val="en-US" w:eastAsia="zh-CN" w:bidi="zh-CN"/>
        </w:rPr>
      </w:pPr>
      <w:r>
        <w:rPr>
          <w:rFonts w:hint="eastAsia" w:ascii="Times New Roman" w:hAnsi="Times New Roman" w:eastAsia="方正小标宋简体" w:cs="Times New Roman"/>
          <w:snapToGrid/>
          <w:color w:val="000000"/>
          <w:kern w:val="0"/>
          <w:sz w:val="72"/>
          <w:szCs w:val="72"/>
          <w:lang w:val="en-US" w:eastAsia="zh-CN" w:bidi="zh-CN"/>
        </w:rPr>
        <w:t>澧县突发事件应急物资</w:t>
      </w:r>
    </w:p>
    <w:p w14:paraId="4B782602">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hint="default" w:ascii="Times New Roman" w:hAnsi="Times New Roman" w:eastAsia="方正小标宋简体" w:cs="Times New Roman"/>
          <w:snapToGrid/>
          <w:color w:val="000000"/>
          <w:kern w:val="0"/>
          <w:sz w:val="72"/>
          <w:szCs w:val="72"/>
          <w:lang w:val="en-US" w:eastAsia="zh-CN" w:bidi="zh-CN"/>
        </w:rPr>
      </w:pPr>
      <w:r>
        <w:rPr>
          <w:rFonts w:hint="eastAsia" w:ascii="Times New Roman" w:hAnsi="Times New Roman" w:eastAsia="方正小标宋简体" w:cs="Times New Roman"/>
          <w:snapToGrid/>
          <w:color w:val="000000"/>
          <w:kern w:val="0"/>
          <w:sz w:val="72"/>
          <w:szCs w:val="72"/>
          <w:lang w:val="en-US" w:eastAsia="zh-CN" w:bidi="zh-CN"/>
        </w:rPr>
        <w:t>保障</w:t>
      </w:r>
      <w:r>
        <w:rPr>
          <w:rFonts w:hint="default" w:ascii="Times New Roman" w:hAnsi="Times New Roman" w:eastAsia="方正小标宋简体" w:cs="Times New Roman"/>
          <w:snapToGrid/>
          <w:color w:val="000000"/>
          <w:kern w:val="0"/>
          <w:sz w:val="72"/>
          <w:szCs w:val="72"/>
          <w:lang w:val="en-US" w:eastAsia="zh-CN" w:bidi="zh-CN"/>
        </w:rPr>
        <w:t>应急预案</w:t>
      </w:r>
    </w:p>
    <w:p w14:paraId="2C60C427">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left="0" w:leftChars="0" w:firstLine="0" w:firstLineChars="0"/>
        <w:jc w:val="center"/>
        <w:textAlignment w:val="auto"/>
        <w:rPr>
          <w:rFonts w:hint="eastAsia" w:ascii="楷体" w:hAnsi="楷体" w:eastAsia="楷体" w:cs="楷体"/>
          <w:color w:val="auto"/>
          <w:spacing w:val="-11"/>
          <w:sz w:val="32"/>
          <w:szCs w:val="32"/>
          <w:highlight w:val="none"/>
          <w:lang w:eastAsia="zh-CN" w:bidi="ar"/>
        </w:rPr>
      </w:pPr>
      <w:r>
        <w:rPr>
          <w:rFonts w:hint="eastAsia" w:ascii="楷体" w:hAnsi="楷体" w:eastAsia="楷体" w:cs="楷体"/>
          <w:color w:val="auto"/>
          <w:spacing w:val="-11"/>
          <w:sz w:val="32"/>
          <w:szCs w:val="32"/>
          <w:highlight w:val="none"/>
          <w:lang w:eastAsia="zh-CN" w:bidi="ar"/>
        </w:rPr>
        <w:t>（</w:t>
      </w:r>
      <w:r>
        <w:rPr>
          <w:rFonts w:hint="eastAsia" w:ascii="楷体" w:hAnsi="楷体" w:eastAsia="楷体" w:cs="楷体"/>
          <w:color w:val="auto"/>
          <w:spacing w:val="-11"/>
          <w:sz w:val="32"/>
          <w:szCs w:val="32"/>
          <w:highlight w:val="none"/>
          <w:lang w:val="en-US" w:eastAsia="zh-CN" w:bidi="ar"/>
        </w:rPr>
        <w:t>征求意见稿</w:t>
      </w:r>
      <w:r>
        <w:rPr>
          <w:rFonts w:hint="eastAsia" w:ascii="楷体" w:hAnsi="楷体" w:eastAsia="楷体" w:cs="楷体"/>
          <w:color w:val="auto"/>
          <w:spacing w:val="-11"/>
          <w:sz w:val="32"/>
          <w:szCs w:val="32"/>
          <w:highlight w:val="none"/>
          <w:lang w:eastAsia="zh-CN" w:bidi="ar"/>
        </w:rPr>
        <w:t>）</w:t>
      </w:r>
    </w:p>
    <w:p w14:paraId="42EB734E">
      <w:pPr>
        <w:keepNext w:val="0"/>
        <w:keepLines w:val="0"/>
        <w:pageBreakBefore w:val="0"/>
        <w:widowControl w:val="0"/>
        <w:kinsoku/>
        <w:wordWrap/>
        <w:overflowPunct/>
        <w:topLinePunct/>
        <w:autoSpaceDE/>
        <w:autoSpaceDN/>
        <w:bidi w:val="0"/>
        <w:adjustRightInd w:val="0"/>
        <w:snapToGrid w:val="0"/>
        <w:spacing w:line="240" w:lineRule="auto"/>
        <w:jc w:val="center"/>
        <w:textAlignment w:val="auto"/>
        <w:rPr>
          <w:rFonts w:hint="default" w:ascii="Times New Roman" w:hAnsi="Times New Roman" w:eastAsia="方正小标宋简体" w:cs="Times New Roman"/>
          <w:snapToGrid/>
          <w:color w:val="000000"/>
          <w:kern w:val="0"/>
          <w:sz w:val="72"/>
          <w:szCs w:val="72"/>
          <w:lang w:val="en-US" w:eastAsia="zh-CN" w:bidi="zh-CN"/>
        </w:rPr>
      </w:pPr>
    </w:p>
    <w:p w14:paraId="734E5A4B">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1A0995ED">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02BACFFC">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32845EAE">
      <w:pPr>
        <w:keepNext w:val="0"/>
        <w:keepLines w:val="0"/>
        <w:pageBreakBefore w:val="0"/>
        <w:widowControl w:val="0"/>
        <w:suppressLineNumbers w:val="0"/>
        <w:kinsoku/>
        <w:wordWrap/>
        <w:overflowPunct/>
        <w:topLinePunct/>
        <w:autoSpaceDE w:val="0"/>
        <w:autoSpaceDN w:val="0"/>
        <w:bidi w:val="0"/>
        <w:adjustRightInd w:val="0"/>
        <w:snapToGrid w:val="0"/>
        <w:spacing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67BF4B36">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1BB959A7">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36AA20F1">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414DBCFB">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22AE9EB4">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363942A6">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right="0"/>
        <w:jc w:val="both"/>
        <w:textAlignment w:val="baseline"/>
        <w:rPr>
          <w:rFonts w:hint="default" w:ascii="Times New Roman" w:hAnsi="Times New Roman" w:eastAsia="仿宋_GB2312" w:cs="Times New Roman"/>
          <w:color w:val="FF0000"/>
          <w:kern w:val="0"/>
          <w:sz w:val="32"/>
          <w:szCs w:val="32"/>
        </w:rPr>
      </w:pPr>
    </w:p>
    <w:p w14:paraId="75BDD46B">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both"/>
        <w:textAlignment w:val="baseline"/>
        <w:rPr>
          <w:rFonts w:hint="default" w:ascii="Times New Roman" w:hAnsi="Times New Roman" w:eastAsia="仿宋_GB2312" w:cs="Times New Roman"/>
          <w:color w:val="FF0000"/>
          <w:kern w:val="0"/>
          <w:sz w:val="32"/>
          <w:szCs w:val="32"/>
        </w:rPr>
      </w:pPr>
    </w:p>
    <w:p w14:paraId="5E3898FD">
      <w:pPr>
        <w:pStyle w:val="12"/>
        <w:keepNext w:val="0"/>
        <w:keepLines w:val="0"/>
        <w:pageBreakBefore w:val="0"/>
        <w:widowControl w:val="0"/>
        <w:suppressLineNumbers w:val="0"/>
        <w:kinsoku/>
        <w:wordWrap/>
        <w:overflowPunct/>
        <w:autoSpaceDE w:val="0"/>
        <w:autoSpaceDN w:val="0"/>
        <w:bidi w:val="0"/>
        <w:adjustRightInd w:val="0"/>
        <w:snapToGrid w:val="0"/>
        <w:spacing w:before="0" w:beforeAutospacing="0" w:after="0" w:afterAutospacing="0" w:line="560" w:lineRule="exact"/>
        <w:ind w:left="0" w:leftChars="0" w:right="0" w:firstLine="640" w:firstLineChars="200"/>
        <w:jc w:val="center"/>
        <w:textAlignment w:val="baseline"/>
        <w:rPr>
          <w:rFonts w:hint="default" w:ascii="Times New Roman" w:hAnsi="Times New Roman" w:eastAsia="仿宋_GB2312" w:cs="Times New Roman"/>
          <w:color w:val="FF0000"/>
          <w:kern w:val="0"/>
          <w:sz w:val="32"/>
          <w:szCs w:val="32"/>
        </w:rPr>
      </w:pPr>
    </w:p>
    <w:p w14:paraId="63CEE0F4">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pPr>
      <w:r>
        <w:rPr>
          <w:rFonts w:hint="eastAsia" w:ascii="楷体" w:hAnsi="楷体" w:eastAsia="楷体" w:cs="楷体"/>
          <w:spacing w:val="-11"/>
          <w:sz w:val="32"/>
          <w:szCs w:val="32"/>
          <w:highlight w:val="none"/>
          <w:lang w:val="en-US" w:eastAsia="zh-CN" w:bidi="ar"/>
        </w:rPr>
        <w:t>澧县人民政府办公室</w:t>
      </w:r>
    </w:p>
    <w:p w14:paraId="07747372">
      <w:pPr>
        <w:keepNext w:val="0"/>
        <w:keepLines w:val="0"/>
        <w:pageBreakBefore w:val="0"/>
        <w:widowControl w:val="0"/>
        <w:shd w:val="clear" w:color="auto" w:fill="auto"/>
        <w:kinsoku/>
        <w:wordWrap/>
        <w:overflowPunct/>
        <w:topLinePunct w:val="0"/>
        <w:autoSpaceDE/>
        <w:autoSpaceDN/>
        <w:bidi w:val="0"/>
        <w:adjustRightInd/>
        <w:snapToGrid w:val="0"/>
        <w:spacing w:line="560" w:lineRule="exact"/>
        <w:ind w:left="0" w:leftChars="0" w:firstLine="0" w:firstLineChars="0"/>
        <w:jc w:val="center"/>
        <w:textAlignment w:val="auto"/>
        <w:rPr>
          <w:rFonts w:hint="default" w:ascii="楷体" w:hAnsi="楷体" w:eastAsia="楷体" w:cs="楷体"/>
          <w:spacing w:val="-11"/>
          <w:sz w:val="32"/>
          <w:szCs w:val="32"/>
          <w:highlight w:val="none"/>
          <w:lang w:val="en-US" w:eastAsia="zh-CN" w:bidi="ar"/>
        </w:rPr>
        <w:sectPr>
          <w:headerReference r:id="rId6" w:type="first"/>
          <w:footerReference r:id="rId9" w:type="first"/>
          <w:headerReference r:id="rId5" w:type="default"/>
          <w:footerReference r:id="rId7" w:type="default"/>
          <w:footerReference r:id="rId8" w:type="even"/>
          <w:pgSz w:w="11905" w:h="16838"/>
          <w:pgMar w:top="2098" w:right="1474" w:bottom="1984" w:left="1587" w:header="851" w:footer="992" w:gutter="0"/>
          <w:pgNumType w:fmt="decimal"/>
          <w:cols w:space="720" w:num="1"/>
          <w:rtlGutter w:val="0"/>
          <w:docGrid w:type="lines" w:linePitch="411" w:charSpace="0"/>
        </w:sectPr>
      </w:pPr>
      <w:r>
        <w:rPr>
          <w:rFonts w:hint="eastAsia" w:ascii="楷体" w:hAnsi="楷体" w:eastAsia="楷体" w:cs="楷体"/>
          <w:spacing w:val="-11"/>
          <w:sz w:val="32"/>
          <w:szCs w:val="32"/>
          <w:highlight w:val="none"/>
          <w:lang w:val="en-US" w:eastAsia="zh-CN" w:bidi="ar"/>
        </w:rPr>
        <w:t>2026年5月</w:t>
      </w:r>
    </w:p>
    <w:sdt>
      <w:sdtPr>
        <w:rPr>
          <w:rFonts w:hint="eastAsia" w:ascii="黑体" w:hAnsi="黑体" w:eastAsia="黑体" w:cs="黑体"/>
          <w:snapToGrid/>
          <w:kern w:val="2"/>
          <w:sz w:val="36"/>
          <w:szCs w:val="36"/>
          <w:lang w:val="en-US" w:eastAsia="en-US"/>
        </w:rPr>
        <w:id w:val="147472080"/>
        <w15:color w:val="DBDBDB"/>
        <w:docPartObj>
          <w:docPartGallery w:val="Table of Contents"/>
          <w:docPartUnique/>
        </w:docPartObj>
      </w:sdtPr>
      <w:sdtEndPr>
        <w:rPr>
          <w:rFonts w:hint="eastAsia" w:ascii="楷体" w:hAnsi="楷体" w:eastAsia="楷体" w:cs="楷体"/>
          <w:snapToGrid/>
          <w:color w:val="000000"/>
          <w:kern w:val="2"/>
          <w:sz w:val="24"/>
          <w:szCs w:val="24"/>
          <w:lang w:val="en-US" w:eastAsia="zh-CN" w:bidi="ar-SA"/>
        </w:rPr>
      </w:sdtEndPr>
      <w:sdtContent>
        <w:p w14:paraId="5981F69A">
          <w:pPr>
            <w:keepNext w:val="0"/>
            <w:keepLines w:val="0"/>
            <w:pageBreakBefore w:val="0"/>
            <w:widowControl w:val="0"/>
            <w:kinsoku/>
            <w:wordWrap/>
            <w:overflowPunct/>
            <w:autoSpaceDE/>
            <w:autoSpaceDN/>
            <w:bidi w:val="0"/>
            <w:adjustRightInd w:val="0"/>
            <w:snapToGrid w:val="0"/>
            <w:spacing w:after="0" w:line="560" w:lineRule="exact"/>
            <w:ind w:right="0" w:rightChars="0"/>
            <w:jc w:val="center"/>
            <w:textAlignment w:val="auto"/>
            <w:rPr>
              <w:rFonts w:hint="eastAsia" w:ascii="黑体" w:hAnsi="黑体" w:eastAsia="黑体" w:cs="黑体"/>
              <w:snapToGrid/>
              <w:kern w:val="2"/>
              <w:sz w:val="24"/>
              <w:szCs w:val="24"/>
              <w:lang w:eastAsia="zh-CN"/>
            </w:rPr>
          </w:pPr>
          <w:r>
            <w:rPr>
              <w:rFonts w:hint="eastAsia" w:ascii="黑体" w:hAnsi="黑体" w:eastAsia="黑体" w:cs="黑体"/>
              <w:snapToGrid/>
              <w:kern w:val="2"/>
              <w:sz w:val="36"/>
              <w:szCs w:val="36"/>
              <w:lang w:eastAsia="zh-CN"/>
            </w:rPr>
            <w:t>目</w:t>
          </w:r>
          <w:r>
            <w:rPr>
              <w:rFonts w:hint="eastAsia" w:ascii="黑体" w:hAnsi="黑体" w:eastAsia="黑体" w:cs="黑体"/>
              <w:snapToGrid/>
              <w:kern w:val="2"/>
              <w:sz w:val="36"/>
              <w:szCs w:val="36"/>
              <w:lang w:val="en-US" w:eastAsia="zh-CN"/>
            </w:rPr>
            <w:t xml:space="preserve">  </w:t>
          </w:r>
          <w:r>
            <w:rPr>
              <w:rFonts w:hint="eastAsia" w:ascii="黑体" w:hAnsi="黑体" w:eastAsia="黑体" w:cs="黑体"/>
              <w:snapToGrid/>
              <w:kern w:val="2"/>
              <w:sz w:val="36"/>
              <w:szCs w:val="36"/>
              <w:lang w:eastAsia="zh-CN"/>
            </w:rPr>
            <w:t>录</w:t>
          </w:r>
        </w:p>
        <w:p w14:paraId="631326D2">
          <w:pPr>
            <w:pStyle w:val="10"/>
            <w:tabs>
              <w:tab w:val="right" w:leader="dot" w:pos="8306"/>
            </w:tabs>
            <w:rPr>
              <w:sz w:val="24"/>
              <w:szCs w:val="18"/>
            </w:rPr>
          </w:pPr>
          <w:r>
            <w:rPr>
              <w:rFonts w:hint="eastAsia" w:ascii="楷体" w:hAnsi="楷体" w:eastAsia="楷体" w:cs="楷体"/>
              <w:snapToGrid/>
              <w:color w:val="000000"/>
              <w:kern w:val="2"/>
              <w:sz w:val="15"/>
              <w:szCs w:val="15"/>
              <w:lang w:val="en-US" w:eastAsia="zh-CN" w:bidi="ar-SA"/>
            </w:rPr>
            <w:fldChar w:fldCharType="begin"/>
          </w:r>
          <w:r>
            <w:rPr>
              <w:rFonts w:hint="eastAsia" w:ascii="楷体" w:hAnsi="楷体" w:eastAsia="楷体" w:cs="楷体"/>
              <w:snapToGrid/>
              <w:color w:val="000000"/>
              <w:kern w:val="2"/>
              <w:sz w:val="15"/>
              <w:szCs w:val="15"/>
              <w:lang w:val="en-US" w:eastAsia="zh-CN" w:bidi="ar-SA"/>
            </w:rPr>
            <w:instrText xml:space="preserve">TOC \o "1-2" \h \u </w:instrText>
          </w:r>
          <w:r>
            <w:rPr>
              <w:rFonts w:hint="eastAsia" w:ascii="楷体" w:hAnsi="楷体" w:eastAsia="楷体" w:cs="楷体"/>
              <w:snapToGrid/>
              <w:color w:val="000000"/>
              <w:kern w:val="2"/>
              <w:sz w:val="15"/>
              <w:szCs w:val="15"/>
              <w:lang w:val="en-US" w:eastAsia="zh-CN" w:bidi="ar-SA"/>
            </w:rPr>
            <w:fldChar w:fldCharType="separate"/>
          </w: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_Toc3087 </w:instrText>
          </w:r>
          <w:r>
            <w:rPr>
              <w:rFonts w:hint="eastAsia" w:ascii="楷体" w:hAnsi="楷体" w:eastAsia="楷体" w:cs="楷体"/>
              <w:snapToGrid/>
              <w:kern w:val="2"/>
              <w:sz w:val="24"/>
              <w:szCs w:val="15"/>
              <w:lang w:val="en-US" w:eastAsia="zh-CN" w:bidi="ar-SA"/>
            </w:rPr>
            <w:fldChar w:fldCharType="separate"/>
          </w:r>
          <w:r>
            <w:rPr>
              <w:rFonts w:hint="eastAsia" w:ascii="黑体" w:hAnsi="黑体" w:eastAsia="黑体" w:cs="黑体"/>
              <w:bCs w:val="0"/>
              <w:spacing w:val="-8"/>
              <w:sz w:val="24"/>
              <w:szCs w:val="24"/>
            </w:rPr>
            <w:t>1.总则</w:t>
          </w:r>
          <w:r>
            <w:rPr>
              <w:sz w:val="24"/>
              <w:szCs w:val="18"/>
            </w:rPr>
            <w:tab/>
          </w:r>
          <w:r>
            <w:rPr>
              <w:sz w:val="24"/>
              <w:szCs w:val="18"/>
            </w:rPr>
            <w:fldChar w:fldCharType="begin"/>
          </w:r>
          <w:r>
            <w:rPr>
              <w:sz w:val="24"/>
              <w:szCs w:val="18"/>
            </w:rPr>
            <w:instrText xml:space="preserve"> PAGEREF _Toc3087 \h </w:instrText>
          </w:r>
          <w:r>
            <w:rPr>
              <w:sz w:val="24"/>
              <w:szCs w:val="18"/>
            </w:rPr>
            <w:fldChar w:fldCharType="separate"/>
          </w:r>
          <w:r>
            <w:rPr>
              <w:sz w:val="24"/>
              <w:szCs w:val="18"/>
            </w:rPr>
            <w:t>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1849AE4C">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_Toc19792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1.1 编制目的</w:t>
          </w:r>
          <w:r>
            <w:rPr>
              <w:sz w:val="24"/>
              <w:szCs w:val="18"/>
            </w:rPr>
            <w:tab/>
          </w:r>
          <w:r>
            <w:rPr>
              <w:sz w:val="24"/>
              <w:szCs w:val="18"/>
            </w:rPr>
            <w:fldChar w:fldCharType="begin"/>
          </w:r>
          <w:r>
            <w:rPr>
              <w:sz w:val="24"/>
              <w:szCs w:val="18"/>
            </w:rPr>
            <w:instrText xml:space="preserve"> PAGEREF _Toc19792 \h </w:instrText>
          </w:r>
          <w:r>
            <w:rPr>
              <w:sz w:val="24"/>
              <w:szCs w:val="18"/>
            </w:rPr>
            <w:fldChar w:fldCharType="separate"/>
          </w:r>
          <w:r>
            <w:rPr>
              <w:sz w:val="24"/>
              <w:szCs w:val="18"/>
            </w:rPr>
            <w:t>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36C7E18A">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_Toc32434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1.2 编制依据</w:t>
          </w:r>
          <w:r>
            <w:rPr>
              <w:sz w:val="24"/>
              <w:szCs w:val="18"/>
            </w:rPr>
            <w:tab/>
          </w:r>
          <w:r>
            <w:rPr>
              <w:sz w:val="24"/>
              <w:szCs w:val="18"/>
            </w:rPr>
            <w:fldChar w:fldCharType="begin"/>
          </w:r>
          <w:r>
            <w:rPr>
              <w:sz w:val="24"/>
              <w:szCs w:val="18"/>
            </w:rPr>
            <w:instrText xml:space="preserve"> PAGEREF _Toc32434 \h </w:instrText>
          </w:r>
          <w:r>
            <w:rPr>
              <w:sz w:val="24"/>
              <w:szCs w:val="18"/>
            </w:rPr>
            <w:fldChar w:fldCharType="separate"/>
          </w:r>
          <w:r>
            <w:rPr>
              <w:sz w:val="24"/>
              <w:szCs w:val="18"/>
            </w:rPr>
            <w:t>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5B8BDC07">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_Toc17675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1.3 适用范围</w:t>
          </w:r>
          <w:r>
            <w:rPr>
              <w:sz w:val="24"/>
              <w:szCs w:val="18"/>
            </w:rPr>
            <w:tab/>
          </w:r>
          <w:r>
            <w:rPr>
              <w:sz w:val="24"/>
              <w:szCs w:val="18"/>
            </w:rPr>
            <w:fldChar w:fldCharType="begin"/>
          </w:r>
          <w:r>
            <w:rPr>
              <w:sz w:val="24"/>
              <w:szCs w:val="18"/>
            </w:rPr>
            <w:instrText xml:space="preserve"> PAGEREF _Toc17675 \h </w:instrText>
          </w:r>
          <w:r>
            <w:rPr>
              <w:sz w:val="24"/>
              <w:szCs w:val="18"/>
            </w:rPr>
            <w:fldChar w:fldCharType="separate"/>
          </w:r>
          <w:r>
            <w:rPr>
              <w:sz w:val="24"/>
              <w:szCs w:val="18"/>
            </w:rPr>
            <w:t>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79D7D4DE">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_Toc29877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1.4 工作原则</w:t>
          </w:r>
          <w:r>
            <w:rPr>
              <w:sz w:val="24"/>
              <w:szCs w:val="18"/>
            </w:rPr>
            <w:tab/>
          </w:r>
          <w:r>
            <w:rPr>
              <w:sz w:val="24"/>
              <w:szCs w:val="18"/>
            </w:rPr>
            <w:fldChar w:fldCharType="begin"/>
          </w:r>
          <w:r>
            <w:rPr>
              <w:sz w:val="24"/>
              <w:szCs w:val="18"/>
            </w:rPr>
            <w:instrText xml:space="preserve"> PAGEREF _Toc29877 \h </w:instrText>
          </w:r>
          <w:r>
            <w:rPr>
              <w:sz w:val="24"/>
              <w:szCs w:val="18"/>
            </w:rPr>
            <w:fldChar w:fldCharType="separate"/>
          </w:r>
          <w:r>
            <w:rPr>
              <w:sz w:val="24"/>
              <w:szCs w:val="18"/>
            </w:rPr>
            <w:t>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4A81D117">
          <w:pPr>
            <w:pStyle w:val="10"/>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_Toc26380 </w:instrText>
          </w:r>
          <w:r>
            <w:rPr>
              <w:rFonts w:hint="eastAsia" w:ascii="楷体" w:hAnsi="楷体" w:eastAsia="楷体" w:cs="楷体"/>
              <w:snapToGrid/>
              <w:kern w:val="2"/>
              <w:sz w:val="24"/>
              <w:szCs w:val="15"/>
              <w:lang w:val="en-US" w:eastAsia="zh-CN" w:bidi="ar-SA"/>
            </w:rPr>
            <w:fldChar w:fldCharType="separate"/>
          </w:r>
          <w:r>
            <w:rPr>
              <w:rFonts w:hint="eastAsia" w:ascii="黑体" w:hAnsi="黑体" w:eastAsia="黑体" w:cs="黑体"/>
              <w:bCs w:val="0"/>
              <w:spacing w:val="-8"/>
              <w:sz w:val="24"/>
              <w:szCs w:val="24"/>
            </w:rPr>
            <w:t>2.</w:t>
          </w:r>
          <w:r>
            <w:rPr>
              <w:rFonts w:hint="eastAsia" w:ascii="黑体" w:hAnsi="黑体" w:eastAsia="黑体" w:cs="黑体"/>
              <w:bCs w:val="0"/>
              <w:spacing w:val="-8"/>
              <w:sz w:val="24"/>
              <w:szCs w:val="24"/>
              <w:lang w:val="en-US" w:eastAsia="zh-CN"/>
            </w:rPr>
            <w:t>组织指挥</w:t>
          </w:r>
          <w:r>
            <w:rPr>
              <w:rFonts w:hint="eastAsia" w:ascii="黑体" w:hAnsi="黑体" w:eastAsia="黑体" w:cs="黑体"/>
              <w:bCs w:val="0"/>
              <w:spacing w:val="-8"/>
              <w:sz w:val="24"/>
              <w:szCs w:val="24"/>
            </w:rPr>
            <w:t>体系</w:t>
          </w:r>
          <w:r>
            <w:rPr>
              <w:sz w:val="24"/>
              <w:szCs w:val="18"/>
            </w:rPr>
            <w:tab/>
          </w:r>
          <w:r>
            <w:rPr>
              <w:sz w:val="24"/>
              <w:szCs w:val="18"/>
            </w:rPr>
            <w:fldChar w:fldCharType="begin"/>
          </w:r>
          <w:r>
            <w:rPr>
              <w:sz w:val="24"/>
              <w:szCs w:val="18"/>
            </w:rPr>
            <w:instrText xml:space="preserve"> PAGEREF _Toc26380 \h </w:instrText>
          </w:r>
          <w:r>
            <w:rPr>
              <w:sz w:val="24"/>
              <w:szCs w:val="18"/>
            </w:rPr>
            <w:fldChar w:fldCharType="separate"/>
          </w:r>
          <w:r>
            <w:rPr>
              <w:sz w:val="24"/>
              <w:szCs w:val="18"/>
            </w:rPr>
            <w:t>2</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44885D44">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_Toc12215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2.1 组织指挥机构</w:t>
          </w:r>
          <w:r>
            <w:rPr>
              <w:sz w:val="24"/>
              <w:szCs w:val="18"/>
            </w:rPr>
            <w:tab/>
          </w:r>
          <w:r>
            <w:rPr>
              <w:sz w:val="24"/>
              <w:szCs w:val="18"/>
            </w:rPr>
            <w:fldChar w:fldCharType="begin"/>
          </w:r>
          <w:r>
            <w:rPr>
              <w:sz w:val="24"/>
              <w:szCs w:val="18"/>
            </w:rPr>
            <w:instrText xml:space="preserve"> PAGEREF _Toc12215 \h </w:instrText>
          </w:r>
          <w:r>
            <w:rPr>
              <w:sz w:val="24"/>
              <w:szCs w:val="18"/>
            </w:rPr>
            <w:fldChar w:fldCharType="separate"/>
          </w:r>
          <w:r>
            <w:rPr>
              <w:sz w:val="24"/>
              <w:szCs w:val="18"/>
            </w:rPr>
            <w:t>2</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410AE279">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_Toc19346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2.2 组织指挥机构职责</w:t>
          </w:r>
          <w:r>
            <w:rPr>
              <w:sz w:val="24"/>
              <w:szCs w:val="18"/>
            </w:rPr>
            <w:tab/>
          </w:r>
          <w:r>
            <w:rPr>
              <w:sz w:val="24"/>
              <w:szCs w:val="18"/>
            </w:rPr>
            <w:fldChar w:fldCharType="begin"/>
          </w:r>
          <w:r>
            <w:rPr>
              <w:sz w:val="24"/>
              <w:szCs w:val="18"/>
            </w:rPr>
            <w:instrText xml:space="preserve"> PAGEREF _Toc19346 \h </w:instrText>
          </w:r>
          <w:r>
            <w:rPr>
              <w:sz w:val="24"/>
              <w:szCs w:val="18"/>
            </w:rPr>
            <w:fldChar w:fldCharType="separate"/>
          </w:r>
          <w:r>
            <w:rPr>
              <w:sz w:val="24"/>
              <w:szCs w:val="18"/>
            </w:rPr>
            <w:t>3</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6606D32C">
          <w:pPr>
            <w:pStyle w:val="10"/>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_Toc22422 </w:instrText>
          </w:r>
          <w:r>
            <w:rPr>
              <w:rFonts w:hint="eastAsia" w:ascii="楷体" w:hAnsi="楷体" w:eastAsia="楷体" w:cs="楷体"/>
              <w:snapToGrid/>
              <w:kern w:val="2"/>
              <w:sz w:val="24"/>
              <w:szCs w:val="15"/>
              <w:lang w:val="en-US" w:eastAsia="zh-CN" w:bidi="ar-SA"/>
            </w:rPr>
            <w:fldChar w:fldCharType="separate"/>
          </w:r>
          <w:r>
            <w:rPr>
              <w:rFonts w:hint="eastAsia" w:ascii="黑体" w:hAnsi="黑体" w:eastAsia="黑体" w:cs="黑体"/>
              <w:bCs w:val="0"/>
              <w:spacing w:val="-8"/>
              <w:sz w:val="24"/>
              <w:szCs w:val="24"/>
              <w:lang w:val="en-US" w:eastAsia="zh-CN"/>
            </w:rPr>
            <w:t>3.应急物资保障准备</w:t>
          </w:r>
          <w:r>
            <w:rPr>
              <w:sz w:val="24"/>
              <w:szCs w:val="18"/>
            </w:rPr>
            <w:tab/>
          </w:r>
          <w:r>
            <w:rPr>
              <w:sz w:val="24"/>
              <w:szCs w:val="18"/>
            </w:rPr>
            <w:fldChar w:fldCharType="begin"/>
          </w:r>
          <w:r>
            <w:rPr>
              <w:sz w:val="24"/>
              <w:szCs w:val="18"/>
            </w:rPr>
            <w:instrText xml:space="preserve"> PAGEREF _Toc22422 \h </w:instrText>
          </w:r>
          <w:r>
            <w:rPr>
              <w:sz w:val="24"/>
              <w:szCs w:val="18"/>
            </w:rPr>
            <w:fldChar w:fldCharType="separate"/>
          </w:r>
          <w:r>
            <w:rPr>
              <w:sz w:val="24"/>
              <w:szCs w:val="18"/>
            </w:rPr>
            <w:t>11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5C445491">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_Toc4413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3.1 储备管理</w:t>
          </w:r>
          <w:r>
            <w:rPr>
              <w:sz w:val="24"/>
              <w:szCs w:val="18"/>
            </w:rPr>
            <w:tab/>
          </w:r>
          <w:r>
            <w:rPr>
              <w:sz w:val="24"/>
              <w:szCs w:val="18"/>
            </w:rPr>
            <w:fldChar w:fldCharType="begin"/>
          </w:r>
          <w:r>
            <w:rPr>
              <w:sz w:val="24"/>
              <w:szCs w:val="18"/>
            </w:rPr>
            <w:instrText xml:space="preserve"> PAGEREF _Toc4413 \h </w:instrText>
          </w:r>
          <w:r>
            <w:rPr>
              <w:sz w:val="24"/>
              <w:szCs w:val="18"/>
            </w:rPr>
            <w:fldChar w:fldCharType="separate"/>
          </w:r>
          <w:r>
            <w:rPr>
              <w:sz w:val="24"/>
              <w:szCs w:val="18"/>
            </w:rPr>
            <w:t>11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29732A33">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_Toc5600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3.2 仓储管理</w:t>
          </w:r>
          <w:r>
            <w:rPr>
              <w:sz w:val="24"/>
              <w:szCs w:val="18"/>
            </w:rPr>
            <w:tab/>
          </w:r>
          <w:r>
            <w:rPr>
              <w:sz w:val="24"/>
              <w:szCs w:val="18"/>
            </w:rPr>
            <w:fldChar w:fldCharType="begin"/>
          </w:r>
          <w:r>
            <w:rPr>
              <w:sz w:val="24"/>
              <w:szCs w:val="18"/>
            </w:rPr>
            <w:instrText xml:space="preserve"> PAGEREF _Toc5600 \h </w:instrText>
          </w:r>
          <w:r>
            <w:rPr>
              <w:sz w:val="24"/>
              <w:szCs w:val="18"/>
            </w:rPr>
            <w:fldChar w:fldCharType="separate"/>
          </w:r>
          <w:r>
            <w:rPr>
              <w:sz w:val="24"/>
              <w:szCs w:val="18"/>
            </w:rPr>
            <w:t>11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03244C45">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_Toc21281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3.3 监测预防</w:t>
          </w:r>
          <w:r>
            <w:rPr>
              <w:sz w:val="24"/>
              <w:szCs w:val="18"/>
            </w:rPr>
            <w:tab/>
          </w:r>
          <w:r>
            <w:rPr>
              <w:sz w:val="24"/>
              <w:szCs w:val="18"/>
            </w:rPr>
            <w:fldChar w:fldCharType="begin"/>
          </w:r>
          <w:r>
            <w:rPr>
              <w:sz w:val="24"/>
              <w:szCs w:val="18"/>
            </w:rPr>
            <w:instrText xml:space="preserve"> PAGEREF _Toc21281 \h </w:instrText>
          </w:r>
          <w:r>
            <w:rPr>
              <w:sz w:val="24"/>
              <w:szCs w:val="18"/>
            </w:rPr>
            <w:fldChar w:fldCharType="separate"/>
          </w:r>
          <w:r>
            <w:rPr>
              <w:sz w:val="24"/>
              <w:szCs w:val="18"/>
            </w:rPr>
            <w:t>12</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42D22B4C">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_Toc23057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3.4 保障准备行动</w:t>
          </w:r>
          <w:r>
            <w:rPr>
              <w:sz w:val="24"/>
              <w:szCs w:val="18"/>
            </w:rPr>
            <w:tab/>
          </w:r>
          <w:r>
            <w:rPr>
              <w:sz w:val="24"/>
              <w:szCs w:val="18"/>
            </w:rPr>
            <w:fldChar w:fldCharType="begin"/>
          </w:r>
          <w:r>
            <w:rPr>
              <w:sz w:val="24"/>
              <w:szCs w:val="18"/>
            </w:rPr>
            <w:instrText xml:space="preserve"> PAGEREF _Toc23057 \h </w:instrText>
          </w:r>
          <w:r>
            <w:rPr>
              <w:sz w:val="24"/>
              <w:szCs w:val="18"/>
            </w:rPr>
            <w:fldChar w:fldCharType="separate"/>
          </w:r>
          <w:r>
            <w:rPr>
              <w:sz w:val="24"/>
              <w:szCs w:val="18"/>
            </w:rPr>
            <w:t>12</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64561502">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_Toc26781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3.5 信息报告与通报</w:t>
          </w:r>
          <w:r>
            <w:rPr>
              <w:sz w:val="24"/>
              <w:szCs w:val="18"/>
            </w:rPr>
            <w:tab/>
          </w:r>
          <w:r>
            <w:rPr>
              <w:sz w:val="24"/>
              <w:szCs w:val="18"/>
            </w:rPr>
            <w:fldChar w:fldCharType="begin"/>
          </w:r>
          <w:r>
            <w:rPr>
              <w:sz w:val="24"/>
              <w:szCs w:val="18"/>
            </w:rPr>
            <w:instrText xml:space="preserve"> PAGEREF _Toc26781 \h </w:instrText>
          </w:r>
          <w:r>
            <w:rPr>
              <w:sz w:val="24"/>
              <w:szCs w:val="18"/>
            </w:rPr>
            <w:fldChar w:fldCharType="separate"/>
          </w:r>
          <w:r>
            <w:rPr>
              <w:sz w:val="24"/>
              <w:szCs w:val="18"/>
            </w:rPr>
            <w:t>13</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1F53BB57">
          <w:pPr>
            <w:pStyle w:val="10"/>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_Toc29841 </w:instrText>
          </w:r>
          <w:r>
            <w:rPr>
              <w:rFonts w:hint="eastAsia" w:ascii="楷体" w:hAnsi="楷体" w:eastAsia="楷体" w:cs="楷体"/>
              <w:snapToGrid/>
              <w:kern w:val="2"/>
              <w:sz w:val="24"/>
              <w:szCs w:val="15"/>
              <w:lang w:val="en-US" w:eastAsia="zh-CN" w:bidi="ar-SA"/>
            </w:rPr>
            <w:fldChar w:fldCharType="separate"/>
          </w:r>
          <w:r>
            <w:rPr>
              <w:rFonts w:hint="eastAsia" w:ascii="黑体" w:hAnsi="黑体" w:eastAsia="黑体" w:cs="黑体"/>
              <w:bCs w:val="0"/>
              <w:spacing w:val="-8"/>
              <w:sz w:val="24"/>
              <w:szCs w:val="24"/>
              <w:lang w:val="en-US" w:eastAsia="zh-CN"/>
            </w:rPr>
            <w:t>4.应急响应</w:t>
          </w:r>
          <w:r>
            <w:rPr>
              <w:sz w:val="24"/>
              <w:szCs w:val="18"/>
            </w:rPr>
            <w:tab/>
          </w:r>
          <w:r>
            <w:rPr>
              <w:sz w:val="24"/>
              <w:szCs w:val="18"/>
            </w:rPr>
            <w:fldChar w:fldCharType="begin"/>
          </w:r>
          <w:r>
            <w:rPr>
              <w:sz w:val="24"/>
              <w:szCs w:val="18"/>
            </w:rPr>
            <w:instrText xml:space="preserve"> PAGEREF _Toc29841 \h </w:instrText>
          </w:r>
          <w:r>
            <w:rPr>
              <w:sz w:val="24"/>
              <w:szCs w:val="18"/>
            </w:rPr>
            <w:fldChar w:fldCharType="separate"/>
          </w:r>
          <w:r>
            <w:rPr>
              <w:sz w:val="24"/>
              <w:szCs w:val="18"/>
            </w:rPr>
            <w:t>13</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1B7563A7">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_Toc1240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4.1 先期处置</w:t>
          </w:r>
          <w:r>
            <w:rPr>
              <w:sz w:val="24"/>
              <w:szCs w:val="18"/>
            </w:rPr>
            <w:tab/>
          </w:r>
          <w:r>
            <w:rPr>
              <w:sz w:val="24"/>
              <w:szCs w:val="18"/>
            </w:rPr>
            <w:fldChar w:fldCharType="begin"/>
          </w:r>
          <w:r>
            <w:rPr>
              <w:sz w:val="24"/>
              <w:szCs w:val="18"/>
            </w:rPr>
            <w:instrText xml:space="preserve"> PAGEREF _Toc1240 \h </w:instrText>
          </w:r>
          <w:r>
            <w:rPr>
              <w:sz w:val="24"/>
              <w:szCs w:val="18"/>
            </w:rPr>
            <w:fldChar w:fldCharType="separate"/>
          </w:r>
          <w:r>
            <w:rPr>
              <w:sz w:val="24"/>
              <w:szCs w:val="18"/>
            </w:rPr>
            <w:t>13</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64437456">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_Toc26317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4.2 四级响应</w:t>
          </w:r>
          <w:r>
            <w:rPr>
              <w:sz w:val="24"/>
              <w:szCs w:val="18"/>
            </w:rPr>
            <w:tab/>
          </w:r>
          <w:r>
            <w:rPr>
              <w:sz w:val="24"/>
              <w:szCs w:val="18"/>
            </w:rPr>
            <w:fldChar w:fldCharType="begin"/>
          </w:r>
          <w:r>
            <w:rPr>
              <w:sz w:val="24"/>
              <w:szCs w:val="18"/>
            </w:rPr>
            <w:instrText xml:space="preserve"> PAGEREF _Toc26317 \h </w:instrText>
          </w:r>
          <w:r>
            <w:rPr>
              <w:sz w:val="24"/>
              <w:szCs w:val="18"/>
            </w:rPr>
            <w:fldChar w:fldCharType="separate"/>
          </w:r>
          <w:r>
            <w:rPr>
              <w:sz w:val="24"/>
              <w:szCs w:val="18"/>
            </w:rPr>
            <w:t>14</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11B3EE10">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_Toc15105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4.3 三级响应</w:t>
          </w:r>
          <w:r>
            <w:rPr>
              <w:sz w:val="24"/>
              <w:szCs w:val="18"/>
            </w:rPr>
            <w:tab/>
          </w:r>
          <w:r>
            <w:rPr>
              <w:sz w:val="24"/>
              <w:szCs w:val="18"/>
            </w:rPr>
            <w:fldChar w:fldCharType="begin"/>
          </w:r>
          <w:r>
            <w:rPr>
              <w:sz w:val="24"/>
              <w:szCs w:val="18"/>
            </w:rPr>
            <w:instrText xml:space="preserve"> PAGEREF _Toc15105 \h </w:instrText>
          </w:r>
          <w:r>
            <w:rPr>
              <w:sz w:val="24"/>
              <w:szCs w:val="18"/>
            </w:rPr>
            <w:fldChar w:fldCharType="separate"/>
          </w:r>
          <w:r>
            <w:rPr>
              <w:sz w:val="24"/>
              <w:szCs w:val="18"/>
            </w:rPr>
            <w:t>14</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5260F692">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_Toc30941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4.4 二级响应</w:t>
          </w:r>
          <w:r>
            <w:rPr>
              <w:sz w:val="24"/>
              <w:szCs w:val="18"/>
            </w:rPr>
            <w:tab/>
          </w:r>
          <w:r>
            <w:rPr>
              <w:sz w:val="24"/>
              <w:szCs w:val="18"/>
            </w:rPr>
            <w:fldChar w:fldCharType="begin"/>
          </w:r>
          <w:r>
            <w:rPr>
              <w:sz w:val="24"/>
              <w:szCs w:val="18"/>
            </w:rPr>
            <w:instrText xml:space="preserve"> PAGEREF _Toc30941 \h </w:instrText>
          </w:r>
          <w:r>
            <w:rPr>
              <w:sz w:val="24"/>
              <w:szCs w:val="18"/>
            </w:rPr>
            <w:fldChar w:fldCharType="separate"/>
          </w:r>
          <w:r>
            <w:rPr>
              <w:sz w:val="24"/>
              <w:szCs w:val="18"/>
            </w:rPr>
            <w:t>14</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2E75522A">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_Toc21968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4.5 一级响应</w:t>
          </w:r>
          <w:r>
            <w:rPr>
              <w:sz w:val="24"/>
              <w:szCs w:val="18"/>
            </w:rPr>
            <w:tab/>
          </w:r>
          <w:r>
            <w:rPr>
              <w:sz w:val="24"/>
              <w:szCs w:val="18"/>
            </w:rPr>
            <w:fldChar w:fldCharType="begin"/>
          </w:r>
          <w:r>
            <w:rPr>
              <w:sz w:val="24"/>
              <w:szCs w:val="18"/>
            </w:rPr>
            <w:instrText xml:space="preserve"> PAGEREF _Toc21968 \h </w:instrText>
          </w:r>
          <w:r>
            <w:rPr>
              <w:sz w:val="24"/>
              <w:szCs w:val="18"/>
            </w:rPr>
            <w:fldChar w:fldCharType="separate"/>
          </w:r>
          <w:r>
            <w:rPr>
              <w:sz w:val="24"/>
              <w:szCs w:val="18"/>
            </w:rPr>
            <w:t>15</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08A3C8A9">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_Toc27028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4.6 启动条件调整</w:t>
          </w:r>
          <w:r>
            <w:rPr>
              <w:sz w:val="24"/>
              <w:szCs w:val="18"/>
            </w:rPr>
            <w:tab/>
          </w:r>
          <w:r>
            <w:rPr>
              <w:sz w:val="24"/>
              <w:szCs w:val="18"/>
            </w:rPr>
            <w:fldChar w:fldCharType="begin"/>
          </w:r>
          <w:r>
            <w:rPr>
              <w:sz w:val="24"/>
              <w:szCs w:val="18"/>
            </w:rPr>
            <w:instrText xml:space="preserve"> PAGEREF _Toc27028 \h </w:instrText>
          </w:r>
          <w:r>
            <w:rPr>
              <w:sz w:val="24"/>
              <w:szCs w:val="18"/>
            </w:rPr>
            <w:fldChar w:fldCharType="separate"/>
          </w:r>
          <w:r>
            <w:rPr>
              <w:sz w:val="24"/>
              <w:szCs w:val="18"/>
            </w:rPr>
            <w:t>16</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4B378ECC">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_Toc9180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4.7 响应终止</w:t>
          </w:r>
          <w:r>
            <w:rPr>
              <w:sz w:val="24"/>
              <w:szCs w:val="18"/>
            </w:rPr>
            <w:tab/>
          </w:r>
          <w:r>
            <w:rPr>
              <w:sz w:val="24"/>
              <w:szCs w:val="18"/>
            </w:rPr>
            <w:fldChar w:fldCharType="begin"/>
          </w:r>
          <w:r>
            <w:rPr>
              <w:sz w:val="24"/>
              <w:szCs w:val="18"/>
            </w:rPr>
            <w:instrText xml:space="preserve"> PAGEREF _Toc9180 \h </w:instrText>
          </w:r>
          <w:r>
            <w:rPr>
              <w:sz w:val="24"/>
              <w:szCs w:val="18"/>
            </w:rPr>
            <w:fldChar w:fldCharType="separate"/>
          </w:r>
          <w:r>
            <w:rPr>
              <w:sz w:val="24"/>
              <w:szCs w:val="18"/>
            </w:rPr>
            <w:t>17</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6CFA987A">
          <w:pPr>
            <w:pStyle w:val="10"/>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_Toc29688 </w:instrText>
          </w:r>
          <w:r>
            <w:rPr>
              <w:rFonts w:hint="eastAsia" w:ascii="楷体" w:hAnsi="楷体" w:eastAsia="楷体" w:cs="楷体"/>
              <w:snapToGrid/>
              <w:kern w:val="2"/>
              <w:sz w:val="24"/>
              <w:szCs w:val="15"/>
              <w:lang w:val="en-US" w:eastAsia="zh-CN" w:bidi="ar-SA"/>
            </w:rPr>
            <w:fldChar w:fldCharType="separate"/>
          </w:r>
          <w:r>
            <w:rPr>
              <w:rFonts w:hint="eastAsia" w:ascii="黑体" w:hAnsi="黑体" w:eastAsia="黑体" w:cs="黑体"/>
              <w:bCs w:val="0"/>
              <w:spacing w:val="-8"/>
              <w:sz w:val="24"/>
              <w:szCs w:val="24"/>
              <w:lang w:val="en-US" w:eastAsia="zh-CN"/>
            </w:rPr>
            <w:t>5.后期处置</w:t>
          </w:r>
          <w:r>
            <w:rPr>
              <w:sz w:val="24"/>
              <w:szCs w:val="18"/>
            </w:rPr>
            <w:tab/>
          </w:r>
          <w:r>
            <w:rPr>
              <w:sz w:val="24"/>
              <w:szCs w:val="18"/>
            </w:rPr>
            <w:fldChar w:fldCharType="begin"/>
          </w:r>
          <w:r>
            <w:rPr>
              <w:sz w:val="24"/>
              <w:szCs w:val="18"/>
            </w:rPr>
            <w:instrText xml:space="preserve"> PAGEREF _Toc29688 \h </w:instrText>
          </w:r>
          <w:r>
            <w:rPr>
              <w:sz w:val="24"/>
              <w:szCs w:val="18"/>
            </w:rPr>
            <w:fldChar w:fldCharType="separate"/>
          </w:r>
          <w:r>
            <w:rPr>
              <w:sz w:val="24"/>
              <w:szCs w:val="18"/>
            </w:rPr>
            <w:t>17</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7EC09FA0">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_Toc10170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5.1 物资回收与管理</w:t>
          </w:r>
          <w:r>
            <w:rPr>
              <w:sz w:val="24"/>
              <w:szCs w:val="18"/>
            </w:rPr>
            <w:tab/>
          </w:r>
          <w:r>
            <w:rPr>
              <w:sz w:val="24"/>
              <w:szCs w:val="18"/>
            </w:rPr>
            <w:fldChar w:fldCharType="begin"/>
          </w:r>
          <w:r>
            <w:rPr>
              <w:sz w:val="24"/>
              <w:szCs w:val="18"/>
            </w:rPr>
            <w:instrText xml:space="preserve"> PAGEREF _Toc10170 \h </w:instrText>
          </w:r>
          <w:r>
            <w:rPr>
              <w:sz w:val="24"/>
              <w:szCs w:val="18"/>
            </w:rPr>
            <w:fldChar w:fldCharType="separate"/>
          </w:r>
          <w:r>
            <w:rPr>
              <w:sz w:val="24"/>
              <w:szCs w:val="18"/>
            </w:rPr>
            <w:t>17</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41FFF706">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_Toc32101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5.2 总结评估</w:t>
          </w:r>
          <w:r>
            <w:rPr>
              <w:sz w:val="24"/>
              <w:szCs w:val="18"/>
            </w:rPr>
            <w:tab/>
          </w:r>
          <w:r>
            <w:rPr>
              <w:sz w:val="24"/>
              <w:szCs w:val="18"/>
            </w:rPr>
            <w:fldChar w:fldCharType="begin"/>
          </w:r>
          <w:r>
            <w:rPr>
              <w:sz w:val="24"/>
              <w:szCs w:val="18"/>
            </w:rPr>
            <w:instrText xml:space="preserve"> PAGEREF _Toc32101 \h </w:instrText>
          </w:r>
          <w:r>
            <w:rPr>
              <w:sz w:val="24"/>
              <w:szCs w:val="18"/>
            </w:rPr>
            <w:fldChar w:fldCharType="separate"/>
          </w:r>
          <w:r>
            <w:rPr>
              <w:sz w:val="24"/>
              <w:szCs w:val="18"/>
            </w:rPr>
            <w:t>18</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5062A5E9">
          <w:pPr>
            <w:pStyle w:val="10"/>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_Toc20997 </w:instrText>
          </w:r>
          <w:r>
            <w:rPr>
              <w:rFonts w:hint="eastAsia" w:ascii="楷体" w:hAnsi="楷体" w:eastAsia="楷体" w:cs="楷体"/>
              <w:snapToGrid/>
              <w:kern w:val="2"/>
              <w:sz w:val="24"/>
              <w:szCs w:val="15"/>
              <w:lang w:val="en-US" w:eastAsia="zh-CN" w:bidi="ar-SA"/>
            </w:rPr>
            <w:fldChar w:fldCharType="separate"/>
          </w:r>
          <w:r>
            <w:rPr>
              <w:rFonts w:hint="eastAsia" w:ascii="黑体" w:hAnsi="黑体" w:eastAsia="黑体" w:cs="黑体"/>
              <w:bCs w:val="0"/>
              <w:spacing w:val="-8"/>
              <w:sz w:val="24"/>
              <w:szCs w:val="24"/>
              <w:lang w:val="en-US" w:eastAsia="zh-CN"/>
            </w:rPr>
            <w:t>6.应急保障</w:t>
          </w:r>
          <w:r>
            <w:rPr>
              <w:sz w:val="24"/>
              <w:szCs w:val="18"/>
            </w:rPr>
            <w:tab/>
          </w:r>
          <w:r>
            <w:rPr>
              <w:sz w:val="24"/>
              <w:szCs w:val="18"/>
            </w:rPr>
            <w:fldChar w:fldCharType="begin"/>
          </w:r>
          <w:r>
            <w:rPr>
              <w:sz w:val="24"/>
              <w:szCs w:val="18"/>
            </w:rPr>
            <w:instrText xml:space="preserve"> PAGEREF _Toc20997 \h </w:instrText>
          </w:r>
          <w:r>
            <w:rPr>
              <w:sz w:val="24"/>
              <w:szCs w:val="18"/>
            </w:rPr>
            <w:fldChar w:fldCharType="separate"/>
          </w:r>
          <w:r>
            <w:rPr>
              <w:sz w:val="24"/>
              <w:szCs w:val="18"/>
            </w:rPr>
            <w:t>18</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05ACFD34">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_Toc6639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6.1 人员保障</w:t>
          </w:r>
          <w:r>
            <w:rPr>
              <w:sz w:val="24"/>
              <w:szCs w:val="18"/>
            </w:rPr>
            <w:tab/>
          </w:r>
          <w:r>
            <w:rPr>
              <w:sz w:val="24"/>
              <w:szCs w:val="18"/>
            </w:rPr>
            <w:fldChar w:fldCharType="begin"/>
          </w:r>
          <w:r>
            <w:rPr>
              <w:sz w:val="24"/>
              <w:szCs w:val="18"/>
            </w:rPr>
            <w:instrText xml:space="preserve"> PAGEREF _Toc6639 \h </w:instrText>
          </w:r>
          <w:r>
            <w:rPr>
              <w:sz w:val="24"/>
              <w:szCs w:val="18"/>
            </w:rPr>
            <w:fldChar w:fldCharType="separate"/>
          </w:r>
          <w:r>
            <w:rPr>
              <w:sz w:val="24"/>
              <w:szCs w:val="18"/>
            </w:rPr>
            <w:t>18</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33C2AEF7">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_Toc23746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6.2 应急物资装备保障</w:t>
          </w:r>
          <w:r>
            <w:rPr>
              <w:sz w:val="24"/>
              <w:szCs w:val="18"/>
            </w:rPr>
            <w:tab/>
          </w:r>
          <w:r>
            <w:rPr>
              <w:sz w:val="24"/>
              <w:szCs w:val="18"/>
            </w:rPr>
            <w:fldChar w:fldCharType="begin"/>
          </w:r>
          <w:r>
            <w:rPr>
              <w:sz w:val="24"/>
              <w:szCs w:val="18"/>
            </w:rPr>
            <w:instrText xml:space="preserve"> PAGEREF _Toc23746 \h </w:instrText>
          </w:r>
          <w:r>
            <w:rPr>
              <w:sz w:val="24"/>
              <w:szCs w:val="18"/>
            </w:rPr>
            <w:fldChar w:fldCharType="separate"/>
          </w:r>
          <w:r>
            <w:rPr>
              <w:sz w:val="24"/>
              <w:szCs w:val="18"/>
            </w:rPr>
            <w:t>19</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51D8A7AB">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_Toc16580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5.3 通信、交通与运输保障</w:t>
          </w:r>
          <w:r>
            <w:rPr>
              <w:sz w:val="24"/>
              <w:szCs w:val="18"/>
            </w:rPr>
            <w:tab/>
          </w:r>
          <w:r>
            <w:rPr>
              <w:sz w:val="24"/>
              <w:szCs w:val="18"/>
            </w:rPr>
            <w:fldChar w:fldCharType="begin"/>
          </w:r>
          <w:r>
            <w:rPr>
              <w:sz w:val="24"/>
              <w:szCs w:val="18"/>
            </w:rPr>
            <w:instrText xml:space="preserve"> PAGEREF _Toc16580 \h </w:instrText>
          </w:r>
          <w:r>
            <w:rPr>
              <w:sz w:val="24"/>
              <w:szCs w:val="18"/>
            </w:rPr>
            <w:fldChar w:fldCharType="separate"/>
          </w:r>
          <w:r>
            <w:rPr>
              <w:sz w:val="24"/>
              <w:szCs w:val="18"/>
            </w:rPr>
            <w:t>19</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4BD745F7">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_Toc23226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5.4 技术与信息化保障</w:t>
          </w:r>
          <w:r>
            <w:rPr>
              <w:sz w:val="24"/>
              <w:szCs w:val="18"/>
            </w:rPr>
            <w:tab/>
          </w:r>
          <w:r>
            <w:rPr>
              <w:sz w:val="24"/>
              <w:szCs w:val="18"/>
            </w:rPr>
            <w:fldChar w:fldCharType="begin"/>
          </w:r>
          <w:r>
            <w:rPr>
              <w:sz w:val="24"/>
              <w:szCs w:val="18"/>
            </w:rPr>
            <w:instrText xml:space="preserve"> PAGEREF _Toc23226 \h </w:instrText>
          </w:r>
          <w:r>
            <w:rPr>
              <w:sz w:val="24"/>
              <w:szCs w:val="18"/>
            </w:rPr>
            <w:fldChar w:fldCharType="separate"/>
          </w:r>
          <w:r>
            <w:rPr>
              <w:sz w:val="24"/>
              <w:szCs w:val="18"/>
            </w:rPr>
            <w:t>20</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3A8EB6C9">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_Toc6294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5.5 资金保障</w:t>
          </w:r>
          <w:r>
            <w:rPr>
              <w:sz w:val="24"/>
              <w:szCs w:val="18"/>
            </w:rPr>
            <w:tab/>
          </w:r>
          <w:r>
            <w:rPr>
              <w:sz w:val="24"/>
              <w:szCs w:val="18"/>
            </w:rPr>
            <w:fldChar w:fldCharType="begin"/>
          </w:r>
          <w:r>
            <w:rPr>
              <w:sz w:val="24"/>
              <w:szCs w:val="18"/>
            </w:rPr>
            <w:instrText xml:space="preserve"> PAGEREF _Toc6294 \h </w:instrText>
          </w:r>
          <w:r>
            <w:rPr>
              <w:sz w:val="24"/>
              <w:szCs w:val="18"/>
            </w:rPr>
            <w:fldChar w:fldCharType="separate"/>
          </w:r>
          <w:r>
            <w:rPr>
              <w:sz w:val="24"/>
              <w:szCs w:val="18"/>
            </w:rPr>
            <w:t>20</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16E6E726">
          <w:pPr>
            <w:pStyle w:val="10"/>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_Toc25274 </w:instrText>
          </w:r>
          <w:r>
            <w:rPr>
              <w:rFonts w:hint="eastAsia" w:ascii="楷体" w:hAnsi="楷体" w:eastAsia="楷体" w:cs="楷体"/>
              <w:snapToGrid/>
              <w:kern w:val="2"/>
              <w:sz w:val="24"/>
              <w:szCs w:val="15"/>
              <w:lang w:val="en-US" w:eastAsia="zh-CN" w:bidi="ar-SA"/>
            </w:rPr>
            <w:fldChar w:fldCharType="separate"/>
          </w:r>
          <w:r>
            <w:rPr>
              <w:rFonts w:hint="eastAsia" w:ascii="黑体" w:hAnsi="黑体" w:eastAsia="黑体" w:cs="黑体"/>
              <w:bCs w:val="0"/>
              <w:spacing w:val="-8"/>
              <w:sz w:val="24"/>
              <w:szCs w:val="24"/>
              <w:lang w:val="en-US" w:eastAsia="zh-CN"/>
            </w:rPr>
            <w:t>7.附则</w:t>
          </w:r>
          <w:r>
            <w:rPr>
              <w:sz w:val="24"/>
              <w:szCs w:val="18"/>
            </w:rPr>
            <w:tab/>
          </w:r>
          <w:r>
            <w:rPr>
              <w:sz w:val="24"/>
              <w:szCs w:val="18"/>
            </w:rPr>
            <w:fldChar w:fldCharType="begin"/>
          </w:r>
          <w:r>
            <w:rPr>
              <w:sz w:val="24"/>
              <w:szCs w:val="18"/>
            </w:rPr>
            <w:instrText xml:space="preserve"> PAGEREF _Toc25274 \h </w:instrText>
          </w:r>
          <w:r>
            <w:rPr>
              <w:sz w:val="24"/>
              <w:szCs w:val="18"/>
            </w:rPr>
            <w:fldChar w:fldCharType="separate"/>
          </w:r>
          <w:r>
            <w:rPr>
              <w:sz w:val="24"/>
              <w:szCs w:val="18"/>
            </w:rPr>
            <w:t>20</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55E35B22">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_Toc17493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7.1 预案编制</w:t>
          </w:r>
          <w:r>
            <w:rPr>
              <w:sz w:val="24"/>
              <w:szCs w:val="18"/>
            </w:rPr>
            <w:tab/>
          </w:r>
          <w:r>
            <w:rPr>
              <w:sz w:val="24"/>
              <w:szCs w:val="18"/>
            </w:rPr>
            <w:fldChar w:fldCharType="begin"/>
          </w:r>
          <w:r>
            <w:rPr>
              <w:sz w:val="24"/>
              <w:szCs w:val="18"/>
            </w:rPr>
            <w:instrText xml:space="preserve"> PAGEREF _Toc17493 \h </w:instrText>
          </w:r>
          <w:r>
            <w:rPr>
              <w:sz w:val="24"/>
              <w:szCs w:val="18"/>
            </w:rPr>
            <w:fldChar w:fldCharType="separate"/>
          </w:r>
          <w:r>
            <w:rPr>
              <w:sz w:val="24"/>
              <w:szCs w:val="18"/>
            </w:rPr>
            <w:t>20</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7B9D458B">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_Toc15844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7.2 预案培训与演练</w:t>
          </w:r>
          <w:r>
            <w:rPr>
              <w:sz w:val="24"/>
              <w:szCs w:val="18"/>
            </w:rPr>
            <w:tab/>
          </w:r>
          <w:r>
            <w:rPr>
              <w:sz w:val="24"/>
              <w:szCs w:val="18"/>
            </w:rPr>
            <w:fldChar w:fldCharType="begin"/>
          </w:r>
          <w:r>
            <w:rPr>
              <w:sz w:val="24"/>
              <w:szCs w:val="18"/>
            </w:rPr>
            <w:instrText xml:space="preserve"> PAGEREF _Toc15844 \h </w:instrText>
          </w:r>
          <w:r>
            <w:rPr>
              <w:sz w:val="24"/>
              <w:szCs w:val="18"/>
            </w:rPr>
            <w:fldChar w:fldCharType="separate"/>
          </w:r>
          <w:r>
            <w:rPr>
              <w:sz w:val="24"/>
              <w:szCs w:val="18"/>
            </w:rPr>
            <w:t>20</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7932BD97">
          <w:pPr>
            <w:pStyle w:val="10"/>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_Toc6850 </w:instrText>
          </w:r>
          <w:r>
            <w:rPr>
              <w:rFonts w:hint="eastAsia" w:ascii="楷体" w:hAnsi="楷体" w:eastAsia="楷体" w:cs="楷体"/>
              <w:snapToGrid/>
              <w:kern w:val="2"/>
              <w:sz w:val="24"/>
              <w:szCs w:val="15"/>
              <w:lang w:val="en-US" w:eastAsia="zh-CN" w:bidi="ar-SA"/>
            </w:rPr>
            <w:fldChar w:fldCharType="separate"/>
          </w:r>
          <w:r>
            <w:rPr>
              <w:rFonts w:hint="eastAsia" w:ascii="黑体" w:hAnsi="黑体" w:eastAsia="黑体" w:cs="黑体"/>
              <w:bCs w:val="0"/>
              <w:spacing w:val="-8"/>
              <w:sz w:val="24"/>
              <w:szCs w:val="24"/>
              <w:lang w:val="en-US" w:eastAsia="zh-CN"/>
            </w:rPr>
            <w:t>8.附则</w:t>
          </w:r>
          <w:r>
            <w:rPr>
              <w:sz w:val="24"/>
              <w:szCs w:val="18"/>
            </w:rPr>
            <w:tab/>
          </w:r>
          <w:r>
            <w:rPr>
              <w:sz w:val="24"/>
              <w:szCs w:val="18"/>
            </w:rPr>
            <w:fldChar w:fldCharType="begin"/>
          </w:r>
          <w:r>
            <w:rPr>
              <w:sz w:val="24"/>
              <w:szCs w:val="18"/>
            </w:rPr>
            <w:instrText xml:space="preserve"> PAGEREF _Toc6850 \h </w:instrText>
          </w:r>
          <w:r>
            <w:rPr>
              <w:sz w:val="24"/>
              <w:szCs w:val="18"/>
            </w:rPr>
            <w:fldChar w:fldCharType="separate"/>
          </w:r>
          <w:r>
            <w:rPr>
              <w:sz w:val="24"/>
              <w:szCs w:val="18"/>
            </w:rPr>
            <w:t>21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6D82AA32">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_Toc31092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8.1 术语解释</w:t>
          </w:r>
          <w:r>
            <w:rPr>
              <w:sz w:val="24"/>
              <w:szCs w:val="18"/>
            </w:rPr>
            <w:tab/>
          </w:r>
          <w:r>
            <w:rPr>
              <w:sz w:val="24"/>
              <w:szCs w:val="18"/>
            </w:rPr>
            <w:fldChar w:fldCharType="begin"/>
          </w:r>
          <w:r>
            <w:rPr>
              <w:sz w:val="24"/>
              <w:szCs w:val="18"/>
            </w:rPr>
            <w:instrText xml:space="preserve"> PAGEREF _Toc31092 \h </w:instrText>
          </w:r>
          <w:r>
            <w:rPr>
              <w:sz w:val="24"/>
              <w:szCs w:val="18"/>
            </w:rPr>
            <w:fldChar w:fldCharType="separate"/>
          </w:r>
          <w:r>
            <w:rPr>
              <w:sz w:val="24"/>
              <w:szCs w:val="18"/>
            </w:rPr>
            <w:t>21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6E392AFD">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_Toc18345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8.2 奖励与责任追究</w:t>
          </w:r>
          <w:r>
            <w:rPr>
              <w:sz w:val="24"/>
              <w:szCs w:val="18"/>
            </w:rPr>
            <w:tab/>
          </w:r>
          <w:r>
            <w:rPr>
              <w:sz w:val="24"/>
              <w:szCs w:val="18"/>
            </w:rPr>
            <w:fldChar w:fldCharType="begin"/>
          </w:r>
          <w:r>
            <w:rPr>
              <w:sz w:val="24"/>
              <w:szCs w:val="18"/>
            </w:rPr>
            <w:instrText xml:space="preserve"> PAGEREF _Toc18345 \h </w:instrText>
          </w:r>
          <w:r>
            <w:rPr>
              <w:sz w:val="24"/>
              <w:szCs w:val="18"/>
            </w:rPr>
            <w:fldChar w:fldCharType="separate"/>
          </w:r>
          <w:r>
            <w:rPr>
              <w:sz w:val="24"/>
              <w:szCs w:val="18"/>
            </w:rPr>
            <w:t>21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57B74C35">
          <w:pPr>
            <w:pStyle w:val="11"/>
            <w:tabs>
              <w:tab w:val="right" w:leader="dot" w:pos="8306"/>
            </w:tabs>
            <w:rPr>
              <w:sz w:val="24"/>
              <w:szCs w:val="18"/>
            </w:rPr>
          </w:pPr>
          <w:r>
            <w:rPr>
              <w:rFonts w:hint="eastAsia" w:ascii="楷体" w:hAnsi="楷体" w:eastAsia="楷体" w:cs="楷体"/>
              <w:snapToGrid/>
              <w:color w:val="000000"/>
              <w:kern w:val="2"/>
              <w:sz w:val="24"/>
              <w:szCs w:val="15"/>
              <w:lang w:val="en-US" w:eastAsia="zh-CN" w:bidi="ar-SA"/>
            </w:rPr>
            <w:fldChar w:fldCharType="begin"/>
          </w:r>
          <w:r>
            <w:rPr>
              <w:rFonts w:hint="eastAsia" w:ascii="楷体" w:hAnsi="楷体" w:eastAsia="楷体" w:cs="楷体"/>
              <w:snapToGrid/>
              <w:kern w:val="2"/>
              <w:sz w:val="24"/>
              <w:szCs w:val="15"/>
              <w:lang w:val="en-US" w:eastAsia="zh-CN" w:bidi="ar-SA"/>
            </w:rPr>
            <w:instrText xml:space="preserve"> HYPERLINK \l _Toc32668 </w:instrText>
          </w:r>
          <w:r>
            <w:rPr>
              <w:rFonts w:hint="eastAsia" w:ascii="楷体" w:hAnsi="楷体" w:eastAsia="楷体" w:cs="楷体"/>
              <w:snapToGrid/>
              <w:kern w:val="2"/>
              <w:sz w:val="24"/>
              <w:szCs w:val="15"/>
              <w:lang w:val="en-US" w:eastAsia="zh-CN" w:bidi="ar-SA"/>
            </w:rPr>
            <w:fldChar w:fldCharType="separate"/>
          </w:r>
          <w:r>
            <w:rPr>
              <w:rFonts w:hint="eastAsia" w:ascii="楷体" w:hAnsi="楷体" w:eastAsia="楷体" w:cs="楷体"/>
              <w:snapToGrid/>
              <w:kern w:val="2"/>
              <w:sz w:val="24"/>
              <w:szCs w:val="24"/>
              <w:lang w:val="en-US" w:eastAsia="zh-CN"/>
            </w:rPr>
            <w:t>8.3 预案实施</w:t>
          </w:r>
          <w:r>
            <w:rPr>
              <w:sz w:val="24"/>
              <w:szCs w:val="18"/>
            </w:rPr>
            <w:tab/>
          </w:r>
          <w:r>
            <w:rPr>
              <w:sz w:val="24"/>
              <w:szCs w:val="18"/>
            </w:rPr>
            <w:fldChar w:fldCharType="begin"/>
          </w:r>
          <w:r>
            <w:rPr>
              <w:sz w:val="24"/>
              <w:szCs w:val="18"/>
            </w:rPr>
            <w:instrText xml:space="preserve"> PAGEREF _Toc32668 \h </w:instrText>
          </w:r>
          <w:r>
            <w:rPr>
              <w:sz w:val="24"/>
              <w:szCs w:val="18"/>
            </w:rPr>
            <w:fldChar w:fldCharType="separate"/>
          </w:r>
          <w:r>
            <w:rPr>
              <w:sz w:val="24"/>
              <w:szCs w:val="18"/>
            </w:rPr>
            <w:t>21</w:t>
          </w:r>
          <w:r>
            <w:rPr>
              <w:sz w:val="24"/>
              <w:szCs w:val="18"/>
            </w:rPr>
            <w:fldChar w:fldCharType="end"/>
          </w:r>
          <w:r>
            <w:rPr>
              <w:rFonts w:hint="eastAsia" w:ascii="楷体" w:hAnsi="楷体" w:eastAsia="楷体" w:cs="楷体"/>
              <w:snapToGrid/>
              <w:color w:val="000000"/>
              <w:kern w:val="2"/>
              <w:sz w:val="24"/>
              <w:szCs w:val="15"/>
              <w:lang w:val="en-US" w:eastAsia="zh-CN" w:bidi="ar-SA"/>
            </w:rPr>
            <w:fldChar w:fldCharType="end"/>
          </w:r>
        </w:p>
        <w:p w14:paraId="7D5CC37A">
          <w:pPr>
            <w:keepNext w:val="0"/>
            <w:keepLines w:val="0"/>
            <w:pageBreakBefore w:val="0"/>
            <w:widowControl w:val="0"/>
            <w:kinsoku/>
            <w:wordWrap/>
            <w:overflowPunct/>
            <w:topLinePunct w:val="0"/>
            <w:autoSpaceDE/>
            <w:autoSpaceDN/>
            <w:bidi w:val="0"/>
            <w:adjustRightInd w:val="0"/>
            <w:snapToGrid w:val="0"/>
            <w:spacing w:line="560" w:lineRule="exact"/>
            <w:jc w:val="both"/>
            <w:textAlignment w:val="baseline"/>
          </w:pPr>
          <w:r>
            <w:rPr>
              <w:rFonts w:hint="eastAsia" w:ascii="楷体" w:hAnsi="楷体" w:eastAsia="楷体" w:cs="楷体"/>
              <w:snapToGrid/>
              <w:color w:val="000000"/>
              <w:kern w:val="2"/>
              <w:sz w:val="18"/>
              <w:szCs w:val="15"/>
              <w:lang w:val="en-US" w:eastAsia="zh-CN" w:bidi="ar-SA"/>
            </w:rPr>
            <w:fldChar w:fldCharType="end"/>
          </w:r>
        </w:p>
      </w:sdtContent>
    </w:sdt>
    <w:p w14:paraId="4DB609FE">
      <w:pPr>
        <w:keepNext w:val="0"/>
        <w:keepLines w:val="0"/>
        <w:pageBreakBefore w:val="0"/>
        <w:widowControl w:val="0"/>
        <w:kinsoku/>
        <w:wordWrap/>
        <w:overflowPunct/>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rPr>
        <w:sectPr>
          <w:headerReference r:id="rId10" w:type="default"/>
          <w:footerReference r:id="rId11" w:type="default"/>
          <w:pgSz w:w="11906" w:h="16838"/>
          <w:pgMar w:top="1440" w:right="1800" w:bottom="1440" w:left="1800" w:header="851" w:footer="992" w:gutter="0"/>
          <w:pgNumType w:fmt="decimal" w:start="1"/>
          <w:cols w:space="425" w:num="1"/>
          <w:docGrid w:type="lines" w:linePitch="312" w:charSpace="0"/>
        </w:sectPr>
      </w:pPr>
      <w:bookmarkStart w:id="0" w:name="_Toc3087"/>
      <w:bookmarkStart w:id="43" w:name="_GoBack"/>
      <w:bookmarkEnd w:id="43"/>
    </w:p>
    <w:p w14:paraId="54E6F1F4">
      <w:pPr>
        <w:keepNext w:val="0"/>
        <w:keepLines w:val="0"/>
        <w:pageBreakBefore w:val="0"/>
        <w:widowControl w:val="0"/>
        <w:kinsoku/>
        <w:wordWrap/>
        <w:overflowPunct/>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rPr>
      </w:pPr>
      <w:r>
        <w:rPr>
          <w:rFonts w:hint="eastAsia" w:ascii="黑体" w:hAnsi="黑体" w:eastAsia="黑体" w:cs="黑体"/>
          <w:b w:val="0"/>
          <w:bCs w:val="0"/>
          <w:spacing w:val="-8"/>
          <w:sz w:val="32"/>
          <w:szCs w:val="32"/>
        </w:rPr>
        <w:t>1.总则</w:t>
      </w:r>
      <w:bookmarkEnd w:id="0"/>
    </w:p>
    <w:p w14:paraId="50A971B2">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 w:name="_Toc19792"/>
      <w:r>
        <w:rPr>
          <w:rFonts w:hint="eastAsia" w:ascii="楷体" w:hAnsi="楷体" w:eastAsia="楷体" w:cs="楷体"/>
          <w:snapToGrid/>
          <w:kern w:val="2"/>
          <w:sz w:val="32"/>
          <w:szCs w:val="32"/>
          <w:lang w:val="en-US" w:eastAsia="zh-CN"/>
        </w:rPr>
        <w:t>1.1 编制目的</w:t>
      </w:r>
      <w:bookmarkEnd w:id="1"/>
    </w:p>
    <w:p w14:paraId="51CFD40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以习近平新时代中国特色社会主义思想为指导，深入贯彻落实习近平总书记关于应急管理和防灾减灾救灾的重要精神，立足澧县灾害实际，建立健全突发事件应急物资保障体系和运行机制，加强应急物资准备、调运和管理，提高处置突发事件的应急物资保障水平，保障受灾群众基本生活，维护社会稳定。</w:t>
      </w:r>
    </w:p>
    <w:p w14:paraId="58EB0F7D">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2" w:name="_Toc32434"/>
      <w:r>
        <w:rPr>
          <w:rFonts w:hint="eastAsia" w:ascii="楷体" w:hAnsi="楷体" w:eastAsia="楷体" w:cs="楷体"/>
          <w:snapToGrid/>
          <w:kern w:val="2"/>
          <w:sz w:val="32"/>
          <w:szCs w:val="32"/>
          <w:lang w:val="en-US" w:eastAsia="zh-CN"/>
        </w:rPr>
        <w:t>1.2 编制依据</w:t>
      </w:r>
      <w:bookmarkEnd w:id="2"/>
    </w:p>
    <w:p w14:paraId="07353D1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中华人民共和国突发事件应对法》《自然灾害救助条例》《湖南省实施〈自然灾害救助条例〉办法》《湖南省应急物资管理暂行办法》《常德市突发事件应急物资保障应急预案》《澧县突发事件总体应急预案》等。</w:t>
      </w:r>
    </w:p>
    <w:p w14:paraId="2E2B6BE8">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 w:name="_Toc17675"/>
      <w:r>
        <w:rPr>
          <w:rFonts w:hint="eastAsia" w:ascii="楷体" w:hAnsi="楷体" w:eastAsia="楷体" w:cs="楷体"/>
          <w:snapToGrid/>
          <w:kern w:val="2"/>
          <w:sz w:val="32"/>
          <w:szCs w:val="32"/>
          <w:lang w:val="en-US" w:eastAsia="zh-CN"/>
        </w:rPr>
        <w:t>1.3 适用范围</w:t>
      </w:r>
      <w:bookmarkEnd w:id="3"/>
    </w:p>
    <w:p w14:paraId="5961A09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预案适用于本县发生突发事件应对过程中，应急物资的统筹储备、调拨运输、分发使用、回收管理等保障工作；适用于上级应急指挥机构、县应急和安全生产委员会（以下简称“县应安委”）、县专项应急指挥机构下达的应急物资保障任务。</w:t>
      </w:r>
    </w:p>
    <w:p w14:paraId="683A5F84">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4" w:name="_Toc29877"/>
      <w:r>
        <w:rPr>
          <w:rFonts w:hint="eastAsia" w:ascii="楷体" w:hAnsi="楷体" w:eastAsia="楷体" w:cs="楷体"/>
          <w:snapToGrid/>
          <w:kern w:val="2"/>
          <w:sz w:val="32"/>
          <w:szCs w:val="32"/>
          <w:lang w:val="en-US" w:eastAsia="zh-CN"/>
        </w:rPr>
        <w:t>1.4 工作原则</w:t>
      </w:r>
      <w:bookmarkEnd w:id="4"/>
    </w:p>
    <w:p w14:paraId="0777E548">
      <w:pPr>
        <w:keepNext w:val="0"/>
        <w:keepLines w:val="0"/>
        <w:pageBreakBefore w:val="0"/>
        <w:widowControl w:val="0"/>
        <w:kinsoku/>
        <w:wordWrap/>
        <w:overflowPunct/>
        <w:autoSpaceDE/>
        <w:autoSpaceDN/>
        <w:bidi w:val="0"/>
        <w:adjustRightInd w:val="0"/>
        <w:snapToGrid w:val="0"/>
        <w:spacing w:line="560" w:lineRule="exact"/>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秉持以人民为中心的理念，切实将保障人民群众生命财产安全作为应急抢险救灾的首要任务；遵循党委、政府统一领导、应急管理部门统筹协调、各相关部门依职责分工协作，统分结合、平战结合的原则；遵循分级分类储备、相互协同保障的原则；遵循以实物储备为基础，以拓展多元储备渠道为补充的原则；立足应对重大险情、重大灾害时对应急物资的需求，持续加强应急物资保障工作，确保应急物资在关键时刻能够调得出、运得快、用得上。</w:t>
      </w:r>
    </w:p>
    <w:p w14:paraId="2719197F">
      <w:pPr>
        <w:keepNext w:val="0"/>
        <w:keepLines w:val="0"/>
        <w:pageBreakBefore w:val="0"/>
        <w:widowControl w:val="0"/>
        <w:kinsoku/>
        <w:wordWrap/>
        <w:overflowPunct/>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rPr>
      </w:pPr>
      <w:bookmarkStart w:id="5" w:name="_Toc26380"/>
      <w:r>
        <w:rPr>
          <w:rFonts w:hint="eastAsia" w:ascii="黑体" w:hAnsi="黑体" w:eastAsia="黑体" w:cs="黑体"/>
          <w:b w:val="0"/>
          <w:bCs w:val="0"/>
          <w:spacing w:val="-8"/>
          <w:sz w:val="32"/>
          <w:szCs w:val="32"/>
        </w:rPr>
        <w:t>2.</w:t>
      </w:r>
      <w:r>
        <w:rPr>
          <w:rFonts w:hint="eastAsia" w:ascii="黑体" w:hAnsi="黑体" w:eastAsia="黑体" w:cs="黑体"/>
          <w:b w:val="0"/>
          <w:bCs w:val="0"/>
          <w:spacing w:val="-8"/>
          <w:sz w:val="32"/>
          <w:szCs w:val="32"/>
          <w:lang w:val="en-US" w:eastAsia="zh-CN"/>
        </w:rPr>
        <w:t>组织指挥</w:t>
      </w:r>
      <w:r>
        <w:rPr>
          <w:rFonts w:hint="eastAsia" w:ascii="黑体" w:hAnsi="黑体" w:eastAsia="黑体" w:cs="黑体"/>
          <w:b w:val="0"/>
          <w:bCs w:val="0"/>
          <w:spacing w:val="-8"/>
          <w:sz w:val="32"/>
          <w:szCs w:val="32"/>
        </w:rPr>
        <w:t>体系</w:t>
      </w:r>
      <w:bookmarkEnd w:id="5"/>
    </w:p>
    <w:p w14:paraId="3B51A345">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default" w:ascii="楷体" w:hAnsi="楷体" w:eastAsia="楷体" w:cs="楷体"/>
          <w:snapToGrid/>
          <w:kern w:val="2"/>
          <w:sz w:val="32"/>
          <w:szCs w:val="32"/>
          <w:lang w:val="en-US" w:eastAsia="zh-CN"/>
        </w:rPr>
      </w:pPr>
      <w:bookmarkStart w:id="6" w:name="_Toc12215"/>
      <w:r>
        <w:rPr>
          <w:rFonts w:hint="eastAsia" w:ascii="楷体" w:hAnsi="楷体" w:eastAsia="楷体" w:cs="楷体"/>
          <w:snapToGrid/>
          <w:kern w:val="2"/>
          <w:sz w:val="32"/>
          <w:szCs w:val="32"/>
          <w:lang w:val="en-US" w:eastAsia="zh-CN"/>
        </w:rPr>
        <w:t>2.1 组织指挥机构</w:t>
      </w:r>
      <w:bookmarkEnd w:id="6"/>
    </w:p>
    <w:p w14:paraId="572C0E36">
      <w:pPr>
        <w:keepNext w:val="0"/>
        <w:keepLines w:val="0"/>
        <w:pageBreakBefore w:val="0"/>
        <w:wordWrap/>
        <w:overflowPunct/>
        <w:bidi w:val="0"/>
        <w:adjustRightInd w:val="0"/>
        <w:snapToGrid w:val="0"/>
        <w:spacing w:line="560" w:lineRule="exact"/>
        <w:ind w:firstLine="640" w:firstLineChars="200"/>
        <w:rPr>
          <w:rFonts w:hint="eastAsia" w:eastAsia="仿宋_GB2312" w:cs="Times New Roman"/>
          <w:color w:val="auto"/>
          <w:kern w:val="0"/>
          <w:sz w:val="32"/>
          <w:szCs w:val="32"/>
          <w:lang w:val="en-US" w:eastAsia="zh-CN"/>
        </w:rPr>
      </w:pPr>
      <w:r>
        <w:rPr>
          <w:rFonts w:hint="eastAsia" w:eastAsia="仿宋_GB2312" w:cs="Times New Roman"/>
          <w:color w:val="auto"/>
          <w:kern w:val="0"/>
          <w:sz w:val="32"/>
          <w:szCs w:val="32"/>
          <w:lang w:val="en-US" w:eastAsia="zh-CN"/>
        </w:rPr>
        <w:t>县应急和安全生产委员会（以下简称“县应安委”）分设县</w:t>
      </w:r>
      <w:r>
        <w:rPr>
          <w:rFonts w:hint="default" w:eastAsia="仿宋_GB2312" w:cs="Times New Roman"/>
          <w:color w:val="auto"/>
          <w:kern w:val="0"/>
          <w:sz w:val="32"/>
          <w:szCs w:val="32"/>
          <w:lang w:val="en-US" w:eastAsia="zh-CN"/>
        </w:rPr>
        <w:t>应急委员会</w:t>
      </w:r>
      <w:r>
        <w:rPr>
          <w:rFonts w:hint="eastAsia" w:eastAsia="仿宋_GB2312" w:cs="Times New Roman"/>
          <w:color w:val="auto"/>
          <w:kern w:val="0"/>
          <w:sz w:val="32"/>
          <w:szCs w:val="32"/>
          <w:lang w:val="en-US" w:eastAsia="zh-CN"/>
        </w:rPr>
        <w:t>（以下简称“县应急委”）负责本县突发事件物资保障工作。县应急委在</w:t>
      </w:r>
      <w:r>
        <w:rPr>
          <w:rFonts w:hint="default" w:eastAsia="仿宋_GB2312" w:cs="Times New Roman"/>
          <w:color w:val="auto"/>
          <w:kern w:val="0"/>
          <w:sz w:val="32"/>
          <w:szCs w:val="32"/>
          <w:lang w:val="en-US" w:eastAsia="zh-CN"/>
        </w:rPr>
        <w:t>物资保障</w:t>
      </w:r>
      <w:r>
        <w:rPr>
          <w:rFonts w:hint="eastAsia" w:eastAsia="仿宋_GB2312" w:cs="Times New Roman"/>
          <w:color w:val="auto"/>
          <w:kern w:val="0"/>
          <w:sz w:val="32"/>
          <w:szCs w:val="32"/>
          <w:lang w:val="en-US" w:eastAsia="zh-CN"/>
        </w:rPr>
        <w:t>组织指挥体系中，由分管副县长任主任，县政府办联系应急工作的副主任、县应急、发改、工信和财政局主要负责人任副主任。县政府办、县委宣传部（县网信办）、县应急局、县发改局（县粮食局）、县工信局、县公安局、县民政局、县商务局、县财政局、县交通运输局、县文旅广体局、县卫健局、县融媒体中心、县市场监管局、县自然资源局、县水利局、县林业局、市生态环境局澧县分局、县卫健局、县农业农村局、县城管局、县消防救援局、县红十字会、各镇（街道）等部门（单位）负责人为成员。</w:t>
      </w:r>
    </w:p>
    <w:p w14:paraId="502D9047">
      <w:pPr>
        <w:keepNext w:val="0"/>
        <w:keepLines w:val="0"/>
        <w:pageBreakBefore w:val="0"/>
        <w:wordWrap/>
        <w:overflowPunct w:val="0"/>
        <w:bidi w:val="0"/>
        <w:adjustRightInd w:val="0"/>
        <w:snapToGrid w:val="0"/>
        <w:spacing w:line="560" w:lineRule="exact"/>
        <w:ind w:firstLine="640" w:firstLineChars="200"/>
        <w:rPr>
          <w:rFonts w:hint="eastAsia" w:ascii="仿宋_GB2312" w:hAnsi="仿宋_GB2312" w:eastAsia="仿宋_GB2312" w:cs="仿宋_GB2312"/>
          <w:sz w:val="32"/>
          <w:szCs w:val="32"/>
          <w:lang w:eastAsia="zh-CN"/>
        </w:rPr>
      </w:pP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下设办公室（</w:t>
      </w:r>
      <w:r>
        <w:rPr>
          <w:rFonts w:hint="eastAsia" w:ascii="Times New Roman" w:hAnsi="Times New Roman" w:eastAsia="仿宋_GB2312" w:cs="Times New Roman"/>
          <w:color w:val="auto"/>
          <w:sz w:val="32"/>
          <w:szCs w:val="32"/>
          <w:highlight w:val="none"/>
          <w:lang w:val="en-US" w:eastAsia="zh-CN"/>
        </w:rPr>
        <w:t>以下简称“</w:t>
      </w:r>
      <w:r>
        <w:rPr>
          <w:rFonts w:hint="eastAsia" w:ascii="Times New Roman" w:eastAsia="仿宋_GB2312" w:cs="Times New Roman"/>
          <w:color w:val="auto"/>
          <w:sz w:val="32"/>
          <w:szCs w:val="32"/>
          <w:highlight w:val="none"/>
          <w:lang w:val="en-US" w:eastAsia="zh-CN"/>
        </w:rPr>
        <w:t>县应急办</w:t>
      </w:r>
      <w:r>
        <w:rPr>
          <w:rFonts w:hint="eastAsia" w:ascii="Times New Roman" w:hAnsi="Times New Roman" w:eastAsia="仿宋_GB2312" w:cs="Times New Roman"/>
          <w:color w:val="auto"/>
          <w:sz w:val="32"/>
          <w:szCs w:val="32"/>
          <w:highlight w:val="none"/>
          <w:lang w:val="en-US" w:eastAsia="zh-CN"/>
        </w:rPr>
        <w:t>”</w:t>
      </w:r>
      <w:r>
        <w:rPr>
          <w:rFonts w:hint="eastAsia" w:ascii="Times New Roman" w:hAnsi="Times New Roman" w:eastAsia="仿宋_GB2312" w:cs="Times New Roman"/>
          <w:color w:val="auto"/>
          <w:kern w:val="0"/>
          <w:sz w:val="32"/>
          <w:szCs w:val="32"/>
          <w:lang w:val="en-US" w:eastAsia="zh-CN"/>
        </w:rPr>
        <w:t>），办公室设在县应急局，承担</w:t>
      </w:r>
      <w:r>
        <w:rPr>
          <w:rFonts w:hint="eastAsia" w:eastAsia="仿宋_GB2312" w:cs="Times New Roman"/>
          <w:color w:val="auto"/>
          <w:kern w:val="0"/>
          <w:sz w:val="32"/>
          <w:szCs w:val="32"/>
          <w:lang w:val="en-US" w:eastAsia="zh-CN"/>
        </w:rPr>
        <w:t>县应急委</w:t>
      </w:r>
      <w:r>
        <w:rPr>
          <w:rFonts w:hint="eastAsia" w:ascii="Times New Roman" w:hAnsi="Times New Roman" w:eastAsia="仿宋_GB2312" w:cs="Times New Roman"/>
          <w:color w:val="auto"/>
          <w:kern w:val="0"/>
          <w:sz w:val="32"/>
          <w:szCs w:val="32"/>
          <w:lang w:val="en-US" w:eastAsia="zh-CN"/>
        </w:rPr>
        <w:t>日常工作，办公室主任由县应急局主要</w:t>
      </w:r>
      <w:r>
        <w:rPr>
          <w:rFonts w:hint="eastAsia" w:ascii="Times New Roman" w:hAnsi="Times New Roman" w:eastAsia="仿宋_GB2312" w:cs="Times New Roman"/>
          <w:color w:val="auto"/>
          <w:kern w:val="0"/>
          <w:sz w:val="32"/>
          <w:szCs w:val="32"/>
          <w:lang w:eastAsia="zh-CN"/>
        </w:rPr>
        <w:t>负责</w:t>
      </w:r>
      <w:r>
        <w:rPr>
          <w:rFonts w:hint="eastAsia" w:eastAsia="仿宋_GB2312" w:cs="Times New Roman"/>
          <w:color w:val="auto"/>
          <w:kern w:val="0"/>
          <w:sz w:val="32"/>
          <w:szCs w:val="32"/>
          <w:lang w:val="en-US" w:eastAsia="zh-CN"/>
        </w:rPr>
        <w:t>人</w:t>
      </w:r>
      <w:r>
        <w:rPr>
          <w:rFonts w:hint="eastAsia" w:ascii="Times New Roman" w:hAnsi="Times New Roman" w:eastAsia="仿宋_GB2312" w:cs="Times New Roman"/>
          <w:color w:val="auto"/>
          <w:kern w:val="0"/>
          <w:sz w:val="32"/>
          <w:szCs w:val="32"/>
          <w:lang w:eastAsia="zh-CN"/>
        </w:rPr>
        <w:t>担任</w:t>
      </w:r>
      <w:r>
        <w:rPr>
          <w:rFonts w:hint="eastAsia" w:eastAsia="仿宋_GB2312" w:cs="Times New Roman"/>
          <w:color w:val="auto"/>
          <w:kern w:val="0"/>
          <w:sz w:val="32"/>
          <w:szCs w:val="32"/>
          <w:lang w:eastAsia="zh-CN"/>
        </w:rPr>
        <w:t>，</w:t>
      </w:r>
      <w:r>
        <w:rPr>
          <w:rFonts w:hint="eastAsia" w:eastAsia="仿宋_GB2312" w:cs="Times New Roman"/>
          <w:color w:val="auto"/>
          <w:kern w:val="0"/>
          <w:sz w:val="32"/>
          <w:szCs w:val="32"/>
          <w:lang w:val="en-US" w:eastAsia="zh-CN"/>
        </w:rPr>
        <w:t>副主任由</w:t>
      </w:r>
      <w:r>
        <w:rPr>
          <w:rFonts w:hint="eastAsia" w:eastAsia="仿宋_GB2312" w:cs="Times New Roman"/>
          <w:color w:val="auto"/>
          <w:kern w:val="0"/>
          <w:sz w:val="32"/>
          <w:szCs w:val="32"/>
          <w:lang w:eastAsia="zh-CN"/>
        </w:rPr>
        <w:t>应急、</w:t>
      </w:r>
      <w:r>
        <w:rPr>
          <w:rFonts w:hint="eastAsia" w:eastAsia="仿宋_GB2312" w:cs="Times New Roman"/>
          <w:color w:val="auto"/>
          <w:kern w:val="0"/>
          <w:sz w:val="32"/>
          <w:szCs w:val="32"/>
          <w:lang w:val="en-US" w:eastAsia="zh-CN"/>
        </w:rPr>
        <w:t>发改、工信、财政等部门分管负责人担任</w:t>
      </w:r>
      <w:r>
        <w:rPr>
          <w:rFonts w:hint="eastAsia" w:ascii="Times New Roman" w:hAnsi="Times New Roman" w:eastAsia="仿宋_GB2312" w:cs="Times New Roman"/>
          <w:color w:val="auto"/>
          <w:kern w:val="0"/>
          <w:sz w:val="32"/>
          <w:szCs w:val="32"/>
          <w:lang w:eastAsia="zh-CN"/>
        </w:rPr>
        <w:t>。</w:t>
      </w:r>
      <w:r>
        <w:rPr>
          <w:rFonts w:hint="eastAsia" w:ascii="仿宋_GB2312" w:hAnsi="仿宋_GB2312" w:eastAsia="仿宋_GB2312" w:cs="仿宋_GB2312"/>
          <w:sz w:val="32"/>
          <w:szCs w:val="32"/>
          <w:lang w:val="en-US" w:eastAsia="zh-CN"/>
        </w:rPr>
        <w:t>另设立的</w:t>
      </w:r>
      <w:r>
        <w:rPr>
          <w:rFonts w:hint="default" w:ascii="仿宋_GB2312" w:hAnsi="仿宋_GB2312" w:eastAsia="仿宋_GB2312" w:cs="仿宋_GB2312"/>
          <w:sz w:val="32"/>
          <w:szCs w:val="32"/>
          <w:lang w:val="en-US" w:eastAsia="zh-CN"/>
        </w:rPr>
        <w:t>县</w:t>
      </w:r>
      <w:r>
        <w:rPr>
          <w:rFonts w:hint="default" w:ascii="Times New Roman" w:hAnsi="Times New Roman" w:eastAsia="仿宋_GB2312" w:cs="Times New Roman"/>
          <w:color w:val="auto"/>
          <w:spacing w:val="0"/>
          <w:sz w:val="32"/>
          <w:szCs w:val="32"/>
        </w:rPr>
        <w:t>减灾救灾和物资保障工作专班</w:t>
      </w:r>
      <w:r>
        <w:rPr>
          <w:rFonts w:hint="eastAsia" w:ascii="仿宋_GB2312" w:hAnsi="仿宋_GB2312" w:eastAsia="仿宋_GB2312" w:cs="仿宋_GB2312"/>
          <w:sz w:val="32"/>
          <w:szCs w:val="32"/>
          <w:lang w:val="en-US" w:eastAsia="zh-CN"/>
        </w:rPr>
        <w:t>按相关规定执行。</w:t>
      </w:r>
    </w:p>
    <w:p w14:paraId="2BA08E60">
      <w:pPr>
        <w:keepNext w:val="0"/>
        <w:keepLines w:val="0"/>
        <w:pageBreakBefore w:val="0"/>
        <w:wordWrap/>
        <w:overflowPunct/>
        <w:bidi w:val="0"/>
        <w:adjustRightInd w:val="0"/>
        <w:snapToGrid w:val="0"/>
        <w:spacing w:line="560" w:lineRule="exact"/>
        <w:ind w:firstLine="640" w:firstLineChars="200"/>
        <w:rPr>
          <w:rFonts w:hint="default" w:ascii="Times New Roman" w:hAnsi="Times New Roman" w:eastAsia="仿宋_GB2312" w:cs="Times New Roman"/>
          <w:color w:val="auto"/>
          <w:kern w:val="0"/>
          <w:sz w:val="32"/>
          <w:szCs w:val="32"/>
          <w:lang w:val="en-US" w:eastAsia="zh-CN"/>
        </w:rPr>
      </w:pPr>
    </w:p>
    <w:p w14:paraId="5DC26175">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各镇人民政府、街道办事处根据实际情况成立自然灾害救助指挥机构。</w:t>
      </w:r>
    </w:p>
    <w:p w14:paraId="526F7D69">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7" w:name="_Toc19346"/>
      <w:r>
        <w:rPr>
          <w:rFonts w:hint="eastAsia" w:ascii="楷体" w:hAnsi="楷体" w:eastAsia="楷体" w:cs="楷体"/>
          <w:snapToGrid/>
          <w:kern w:val="2"/>
          <w:sz w:val="32"/>
          <w:szCs w:val="32"/>
          <w:lang w:val="en-US" w:eastAsia="zh-CN"/>
        </w:rPr>
        <w:t>2.2 组织指挥机构职责</w:t>
      </w:r>
      <w:bookmarkEnd w:id="7"/>
    </w:p>
    <w:p w14:paraId="17D0F411">
      <w:pPr>
        <w:keepNext w:val="0"/>
        <w:keepLines w:val="0"/>
        <w:pageBreakBefore w:val="0"/>
        <w:wordWrap/>
        <w:overflowPunct/>
        <w:bidi w:val="0"/>
        <w:adjustRightInd w:val="0"/>
        <w:snapToGrid w:val="0"/>
        <w:spacing w:line="560" w:lineRule="exact"/>
        <w:ind w:firstLine="640" w:firstLineChars="200"/>
        <w:outlineLvl w:val="2"/>
        <w:rPr>
          <w:rFonts w:hint="eastAsia" w:eastAsia="仿宋_GB2312"/>
          <w:color w:val="auto"/>
          <w:kern w:val="0"/>
          <w:sz w:val="32"/>
          <w:szCs w:val="32"/>
          <w:lang w:bidi="ar"/>
        </w:rPr>
      </w:pPr>
      <w:r>
        <w:rPr>
          <w:rFonts w:hint="eastAsia" w:eastAsia="仿宋_GB2312"/>
          <w:color w:val="auto"/>
          <w:kern w:val="0"/>
          <w:sz w:val="32"/>
          <w:szCs w:val="32"/>
          <w:lang w:bidi="ar"/>
        </w:rPr>
        <w:t xml:space="preserve">2.2.1 </w:t>
      </w:r>
      <w:r>
        <w:rPr>
          <w:rFonts w:hint="eastAsia" w:eastAsia="仿宋_GB2312"/>
          <w:color w:val="auto"/>
          <w:kern w:val="0"/>
          <w:sz w:val="32"/>
          <w:szCs w:val="32"/>
          <w:lang w:val="en-US" w:eastAsia="zh-CN" w:bidi="ar"/>
        </w:rPr>
        <w:t>县应急委</w:t>
      </w:r>
      <w:r>
        <w:rPr>
          <w:rFonts w:hint="eastAsia" w:eastAsia="仿宋_GB2312"/>
          <w:color w:val="auto"/>
          <w:kern w:val="0"/>
          <w:sz w:val="32"/>
          <w:szCs w:val="32"/>
          <w:lang w:bidi="ar"/>
        </w:rPr>
        <w:t>职责</w:t>
      </w:r>
    </w:p>
    <w:p w14:paraId="404510CC">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eastAsia="zh-CN"/>
        </w:rPr>
        <w:t>贯彻落实国家、省、市关于应急物资保障的决策部署和法律法规；研究制定全县应急物资保障重大政策、工作规划和管理制度；统筹整合全县应急物资保障资源，统一指挥、调度、调配全县各类应急物资；审定应急物资储备规划和年度计划；决定启动和终止应急物资保障响应；协调跨区域、跨部门应急物资支援；督促检查各成员单位应急物资保障工作落实情况；完成县委、县政府和县应安委交办的其他物资保障任务。</w:t>
      </w:r>
    </w:p>
    <w:p w14:paraId="094012C8">
      <w:pPr>
        <w:keepNext w:val="0"/>
        <w:keepLines w:val="0"/>
        <w:pageBreakBefore w:val="0"/>
        <w:wordWrap/>
        <w:overflowPunct/>
        <w:bidi w:val="0"/>
        <w:adjustRightInd w:val="0"/>
        <w:snapToGrid w:val="0"/>
        <w:spacing w:line="560" w:lineRule="exact"/>
        <w:ind w:firstLine="640" w:firstLineChars="200"/>
        <w:outlineLvl w:val="2"/>
        <w:rPr>
          <w:rFonts w:hint="eastAsia" w:eastAsia="仿宋_GB2312"/>
          <w:color w:val="auto"/>
          <w:kern w:val="0"/>
          <w:sz w:val="32"/>
          <w:szCs w:val="32"/>
          <w:lang w:bidi="ar"/>
        </w:rPr>
      </w:pPr>
      <w:r>
        <w:rPr>
          <w:rFonts w:hint="eastAsia" w:eastAsia="仿宋_GB2312"/>
          <w:color w:val="auto"/>
          <w:kern w:val="0"/>
          <w:sz w:val="32"/>
          <w:szCs w:val="32"/>
          <w:lang w:bidi="ar"/>
        </w:rPr>
        <w:t>2.2.2</w:t>
      </w:r>
      <w:r>
        <w:rPr>
          <w:rFonts w:hint="eastAsia" w:eastAsia="仿宋_GB2312"/>
          <w:color w:val="auto"/>
          <w:kern w:val="0"/>
          <w:sz w:val="32"/>
          <w:szCs w:val="32"/>
          <w:lang w:val="en-US" w:eastAsia="zh-CN" w:bidi="ar"/>
        </w:rPr>
        <w:t xml:space="preserve"> </w:t>
      </w:r>
      <w:r>
        <w:rPr>
          <w:rFonts w:hint="eastAsia" w:eastAsia="仿宋_GB2312" w:cs="Times New Roman"/>
          <w:color w:val="auto"/>
          <w:kern w:val="0"/>
          <w:sz w:val="32"/>
          <w:szCs w:val="32"/>
          <w:lang w:val="en-US" w:eastAsia="zh-CN"/>
        </w:rPr>
        <w:t>县应急办</w:t>
      </w:r>
      <w:r>
        <w:rPr>
          <w:rFonts w:hint="eastAsia" w:eastAsia="仿宋_GB2312"/>
          <w:color w:val="auto"/>
          <w:kern w:val="0"/>
          <w:sz w:val="32"/>
          <w:szCs w:val="32"/>
          <w:lang w:bidi="ar"/>
        </w:rPr>
        <w:t>职责</w:t>
      </w:r>
    </w:p>
    <w:p w14:paraId="78235154">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eastAsia="zh-CN"/>
        </w:rPr>
      </w:pPr>
      <w:r>
        <w:rPr>
          <w:rFonts w:hint="eastAsia" w:ascii="Times New Roman" w:hAnsi="Times New Roman" w:eastAsia="仿宋_GB2312" w:cs="Times New Roman"/>
          <w:color w:val="auto"/>
          <w:kern w:val="0"/>
          <w:sz w:val="32"/>
          <w:szCs w:val="32"/>
          <w:lang w:val="en-US" w:eastAsia="zh-CN"/>
        </w:rPr>
        <w:t>牵头落实县应急委各项决策部署，统筹协调日常应急物资保障工作；组织编制、修订本预案及相关配套制度；汇总全县应急物资储备、需求、调拨、使用数据，开展物资保障会商研判；牵头组织应急物资储备检查、盘点、更新，指导各单位规范物资管理；负责应急物资调用指令的传达、督办，协调物资调运、配送相关事宜；组织开展预案培训、演练和宣传工作；收集、上报应急物资保障工作信息，对接上级应急物资保障机构；完成县应急委交办的其他工作。</w:t>
      </w:r>
    </w:p>
    <w:p w14:paraId="19C08B0D">
      <w:pPr>
        <w:keepNext w:val="0"/>
        <w:keepLines w:val="0"/>
        <w:pageBreakBefore w:val="0"/>
        <w:wordWrap/>
        <w:overflowPunct/>
        <w:bidi w:val="0"/>
        <w:adjustRightInd w:val="0"/>
        <w:snapToGrid w:val="0"/>
        <w:spacing w:line="560" w:lineRule="exact"/>
        <w:ind w:firstLine="640" w:firstLineChars="200"/>
        <w:outlineLvl w:val="2"/>
        <w:rPr>
          <w:rFonts w:hint="eastAsia" w:eastAsia="仿宋_GB2312"/>
          <w:color w:val="auto"/>
          <w:kern w:val="0"/>
          <w:sz w:val="32"/>
          <w:szCs w:val="32"/>
          <w:lang w:bidi="ar"/>
        </w:rPr>
      </w:pPr>
      <w:r>
        <w:rPr>
          <w:rFonts w:hint="eastAsia" w:eastAsia="仿宋_GB2312"/>
          <w:color w:val="auto"/>
          <w:kern w:val="0"/>
          <w:sz w:val="32"/>
          <w:szCs w:val="32"/>
          <w:lang w:bidi="ar"/>
        </w:rPr>
        <w:t>2.2.3</w:t>
      </w:r>
      <w:r>
        <w:rPr>
          <w:rFonts w:hint="eastAsia" w:eastAsia="仿宋_GB2312"/>
          <w:color w:val="auto"/>
          <w:kern w:val="0"/>
          <w:sz w:val="32"/>
          <w:szCs w:val="32"/>
          <w:lang w:val="en-US" w:eastAsia="zh-CN" w:bidi="ar"/>
        </w:rPr>
        <w:t xml:space="preserve"> </w:t>
      </w:r>
      <w:r>
        <w:rPr>
          <w:rFonts w:hint="eastAsia" w:eastAsia="仿宋_GB2312"/>
          <w:color w:val="auto"/>
          <w:kern w:val="0"/>
          <w:sz w:val="32"/>
          <w:szCs w:val="32"/>
          <w:lang w:eastAsia="zh-CN" w:bidi="ar"/>
        </w:rPr>
        <w:t>县应急委</w:t>
      </w:r>
      <w:r>
        <w:rPr>
          <w:rFonts w:hint="eastAsia" w:eastAsia="仿宋_GB2312"/>
          <w:color w:val="auto"/>
          <w:kern w:val="0"/>
          <w:sz w:val="32"/>
          <w:szCs w:val="32"/>
          <w:lang w:val="en-US" w:eastAsia="zh-CN" w:bidi="ar"/>
        </w:rPr>
        <w:t>各</w:t>
      </w:r>
      <w:r>
        <w:rPr>
          <w:rFonts w:hint="eastAsia" w:eastAsia="仿宋_GB2312"/>
          <w:color w:val="auto"/>
          <w:kern w:val="0"/>
          <w:sz w:val="32"/>
          <w:szCs w:val="32"/>
          <w:lang w:bidi="ar"/>
        </w:rPr>
        <w:t>单位职责</w:t>
      </w:r>
    </w:p>
    <w:p w14:paraId="455E707F">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县政府办：负责县政府层面应急物资保障相关指令、信息的上传下达与报送传达工作；统筹协调县应急委各成员单位的应急物资保障联动工作；负责对全县突发事件应急物资保障工作的指导、协调和督促检查。</w:t>
      </w:r>
    </w:p>
    <w:p w14:paraId="7D3A8A46">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委宣传部（县网信办）：统筹协调应急物资保障宣传报道和舆情引导工作，及时通过官方渠道发布物资储备、调拨、发放等权威信息，回应社会关切；监测处置应急物资保障相关网络舆情，澄清不实信息，营造良好舆论氛围；指导新闻媒体做好防灾避险、物资使用知识宣传。</w:t>
      </w:r>
    </w:p>
    <w:p w14:paraId="3ACA5C1D">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应急局：承担县应急办日常工作；牵头组织、统筹协调、指导监督全县突发事件应急物资保障工作；牵头组织开展应急物资需求会商研判，汇总上报全县应急物资储备、需求、调运、使用情况；依法管理、分配上级下达和县级救灾应急物资，会同相关部门制定物资调拨方案并监督执行；牵头组织应急物资的灾情核查、损失评估、使用效果评价工作；指导社会应急力量、救灾捐赠相关的物资募集、管理与分配工作；牵头编制县级应急物资保障专项规划、应急预案并组织实施；指导各镇（街道）应急物资储备、管理与保障工作。</w:t>
      </w:r>
    </w:p>
    <w:p w14:paraId="5F686177">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发改局（县粮食局）：负责将应急物资保障体系建设纳入全县国民经济和社会发展规划，统筹推进应急物资储备基础设施项目建设与监督管理；承担县级应急物资、救灾粮油、生活类救灾物资的收储、轮换、日常管理和安全保障工作，严格落实县应急委下达的物资动用计划和指令，第一时间组织应急物资、救灾粮油的调运与配送；建立健全应急物资供应链保障体系，对接应急物资生产、供应渠道，保障突发事件状态下物资持续供给；参与制定灾后应急物资补充、储备能力提升规划，推进应急物资保障能力建设。</w:t>
      </w:r>
    </w:p>
    <w:p w14:paraId="61010ADC">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工信局：负责对接应急物资生产企业，建立应急物资生产企业名录，突发事件状态下组织企业紧急生产、转产应急物资，保障物资产能供给；负责协调通信运营企业做好应急通信保障相关物资、设备的储备、调运与抢修，保障应急指挥通信网络畅通；协调电力供应企业做好应急电力保障相关物资、设备的储备与抢修，保障应急物资储备库、调运枢纽、受灾区域的应急电力供应；组织协调灾区工业企业开展生产自救，恢复应急物资相关生产能力。</w:t>
      </w:r>
    </w:p>
    <w:p w14:paraId="6EA2CB91">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公安局：负责应急物资运输、存储、分发的治安秩序维护与安全保障工作；依法打击盗窃、抢劫、哄抢、挪用应急物资，以及编造传播应急物资相关谣言等违法犯罪行为；负责应急物资运输通道的交通管制、交通疏导与优先通行保障，开辟应急物资运输绿色通道，确保应急物资运输车辆快速通行；协助做好应急物资集中存放点、分发点的安全警戒工作，维护灾区及安置点应急物资发放秩序稳定。</w:t>
      </w:r>
    </w:p>
    <w:p w14:paraId="5F3EA599">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民政局：负责做好因突发事件造成生活困难、符合社会救助条件群众的基本生活类应急物资保障与发放工作；指导开展因灾遇难人员善后处置相关物资保障工作；统筹动员、规范引导慈善组织、志愿服务团队等社会力量参与应急物资的募捐、募集、分拣、分发与帮扶等工作；落实特殊群体兜底保障，重点做好困境儿童、孤寡老人、残疾人等弱势群体转移安置期间的生活类应急物资保障与照料服务；协助做好救灾捐赠物资的登记、管理与分配工作。</w:t>
      </w:r>
    </w:p>
    <w:p w14:paraId="71C9D0A9">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商务局：负责统筹协调商贸流通领域应急生活必需品的保障供应工作，建立健全生活必需品应急保供体系与重点保供企业名录，实时监测生活必需品市场供需与价格波动情况；突发事件状态下，组织重点商贸流通企业加大生活必需品采购、调运、储备与投放力度，保障灾区、安置点群众米面油、肉蛋奶、蔬菜等生活必需品稳定供应。</w:t>
      </w:r>
    </w:p>
    <w:p w14:paraId="2E14AB83">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财政局：统筹突发事件应急物资保障资金与管理工作，编制和调整救灾专项资金预算，确保物资采购、储运、调拨等应急支出需求；监督救灾资金拨付和使用效益，制定应急采购和资金管理特殊政策；会同县应急局做好救灾资金的发放和监督工作。</w:t>
      </w:r>
    </w:p>
    <w:p w14:paraId="2BEC29EE">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交通运输局：负责应急物资运输的交通保障工作，统筹协调全县公路、水路等运输资源，建立应急运输保障车队、船舶名录与应急运输联动机制；及时组织抢修损毁的公路、桥梁、港口等交通基础设施，保障应急物资运输通道畅通；在危险路段设立警示标志，配合做好应急运输路线的安全保障；严格落实应急物资运输绿色通道政策，优先保障应急物资运输车辆、船舶通行；配合做好抢险救灾人员、应急物资以及受灾撤离人员的紧急运输工作。</w:t>
      </w:r>
    </w:p>
    <w:p w14:paraId="2C75EA56">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县文旅广体局：根据情况发布旅游预警信息；协同相关部门做好游客的应急救援、疏导、安置等工作；利用应急广播及时传播突发自然灾害预警信息；统计上报文旅领域受灾和物资需求情况。</w:t>
      </w:r>
    </w:p>
    <w:p w14:paraId="000108E7">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卫健局：负责统筹全县医疗卫生类应急物资保障工作，建立健全医疗救治、疫情防控、卫生监督相关应急物资储备体系，制定县级医疗卫生应急物资储备目录，指导医疗机构、疾控机构做好应急物资的储备、管理、轮换与使用工作；突发事件状态下，组织调配医疗急救、传染病防控、消杀防疫、饮用水卫生监督等相关应急物资，保障灾区医疗救治、疫情防控工作物资需求；指导灾区做好医疗卫生应急物资的规范使用与管理，开展相关培训；负责统计上报医疗卫生领域应急物资需求、消耗、补充与受灾损失情况。</w:t>
      </w:r>
    </w:p>
    <w:p w14:paraId="5012E830">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融媒体中心：依托所属广播、电视、网站、新媒体等全媒体矩阵，及时、准确、规范转发经县应急委及权威部门核实的应急物资储备、调运、发放、领取指南、使用知识等权威信息；实时跟进报道应急物资保障工作进展，营造良好舆论氛围；保障所属广播电视信号安全传输和融媒体平台稳定运行。</w:t>
      </w:r>
    </w:p>
    <w:p w14:paraId="69888BDE">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市场监管局：负责全县应急物资的质量安全监督管理工作，对应急储备物资、紧急采购物资、捐赠物资开展质量抽检与监督检查，严防不合格应急物资流入使用环节；负责突发事件状态下应急物资、生活必需品的市场价格监管，依法查处哄抬物价、囤积居奇、价格欺诈等价格违法行为，维护市场价格秩序；负责应急物资相关生产、流通企业的监督管理，规范市场经营行为；配合做好救灾捐赠物资的质量查验工作。</w:t>
      </w:r>
    </w:p>
    <w:p w14:paraId="6334EA3F">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县自然资源局：负责全县地质灾害防治相关应急物资保障工作，指导做好地质灾害监测、预警、应急救援相关应急物资的储备、管理与使用工作；统计上报地质灾害领域应急物资需求、使用与受灾损失情况。</w:t>
      </w:r>
    </w:p>
    <w:p w14:paraId="69489ED9">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水利局：负责全县水旱灾害防御、水利工程应急抢险相关应急物资保障工作，建立健全防汛抗旱、水利工程抢险应急物资储备体系，指导做好相关应急物资的储备、管理、轮换与调运工作；根据水利工程险情、旱情发展，提出应急物资调配需求与方案；负责统计上报水利领域应急物资需求、消耗、补充与水利设施受灾毁损情况；做好灾后水利应急物资储备补充与能力提升工作。</w:t>
      </w:r>
    </w:p>
    <w:p w14:paraId="7A52B724">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林业局：负责全县森林火灾防控、林业有害生物防治、林业生态灾害应急处置相关的应急物资保障工作，建立健全林业领域应急物资储备体系，制定林业应急物资储备目录，指导做好相关应急物资的储备、管理、轮换与使用工作；根据森林火灾、林业灾害发展态势，提出应急物资调配需求与方案，组织调运林业应急救援物资；负责统计上报林业领域应急物资需求、消耗、补充与受灾损失情况；做好灾后林业应急物资储备补充与能力提升工作。</w:t>
      </w:r>
    </w:p>
    <w:p w14:paraId="0B6D6225">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市生态环境局澧县分局：负责全县突发环境事件应急处置相关的应急物资保障工作，建立健全环境应急监测、污染处置相关应急物资储备体系，指导做好环境应急物资的储备、管理、轮换与使用工作；突发事件状态下，组织调配环境应急监测、污染防控、应急处置相关物资，开展灾区及周边区域大气、水体、土壤等环境应急监测，评估污染风险，保障饮用水水源地环境保护应急物资需求；负责统计上报生态环境领域应急物资需求、消耗、补充与受灾损失情况。</w:t>
      </w:r>
    </w:p>
    <w:p w14:paraId="79603A61">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农业农村局：负责全县农业自然灾害、动物疫病防控、农作物病虫害防治相关的应急物资保障工作，建立健全农业救灾、动物防疫、植保植检相关应急物资储备体系，指导做好相关应急物资的储备、管理、轮换与调运工作；突发事件状态下，组织调配种子、化肥、农药、兽药、饲料等农业生产救灾物资，指导灾区开展农业生产自救与恢复工作；负责组织灾区动物疫病预防、控制、扑灭相关应急物资的调配与使用；负责统计上报农业农村领域应急物资需求、消耗、补充与农业受灾损失情况。</w:t>
      </w:r>
    </w:p>
    <w:p w14:paraId="1FAC9006">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城管局：负责全县城市管理领域突发事件应急物资保障工作，建立健全城市市容环境卫生、园林绿化、市政公用设施应急排险相关应急物资储备体系，指导做好相关应急物资的储备、管理与使用工作；突发事件状态下，组织调配城市环卫保洁、垃圾清运、园林绿化修复、市政设施排险相关应急物资，保障灾区城市运行基本需求；根据工作需要，协助做好应急物资集中存放点、分发点的现场管控、秩序维护等工作；负责统计上报城市管理领域应急物资需求、使用与受灾损失情况。</w:t>
      </w:r>
    </w:p>
    <w:p w14:paraId="53880654">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消防救援局：负责全县消防救援、应急抢险相关专业应急物资保障工作，建立健全消防救援、抢险破拆、水域救援、山岳救援等专业应急物资储备体系，做好相关应急物资的储备、管理、维护与使用工作；突发事件状态下，根据县应急委指令，协助开展应急物资的紧急抢运、分发与现场守护工作；参与灾情核查与应急物资需求研判，为应急物资调配提供现场救援依据；负责抢救受灾区域重要应急物资与群众财产，保障应急物资储备库、存放点的消防安全。</w:t>
      </w:r>
    </w:p>
    <w:p w14:paraId="75130076">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红十字会：依法依规开展救灾应急物资社会募捐工作，募集、接收、管理救灾捐赠款物，建立捐赠物资管理台账，按照县应急委统筹安排，精准发放至受灾群众手中；组织志愿者和工作人员参与应急救援，为受灾群众提供应急救护、人道救助相关的物资保障与心理支持；普及防灾避险、自救互救知识与应急物资使用技能；协助做好应急物资的分拣、分发与配送工作。</w:t>
      </w:r>
    </w:p>
    <w:p w14:paraId="5DF7DF32">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各镇（街道）：履行本行政区域内突发事件应急物资保障属地管理主体责任，负责组织实施本辖区应急物资储备、管理、调运、发放全流程工作；建立健全本级应急物资储备库（点），落实应急物资储备任务，指导村（社区）做好应急物资储备与管理工作；突发事件状态下，负责本辖区应急物资需求统计、上报工作，落实上级下达的应急物资调拨指令，做好应急物资的接收、保管、末端分发与公示工作；负责受灾群众临时安置期间的生活类、应急类物资保障工作，组织村（社区）开展自救互救与应急物资使用指导；配合上级部门开展灾情核查、物资使用监督与效果评估工作；负责灾后本级应急物资的补充、盘点与储备能力提升工作。</w:t>
      </w:r>
    </w:p>
    <w:p w14:paraId="18D368DF">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其他部门（单位），根据工作需要和县应急委安排，按照各自法定职责做好突发事件应急物资保障相关工作。</w:t>
      </w:r>
    </w:p>
    <w:p w14:paraId="70F90A9B">
      <w:pPr>
        <w:keepNext w:val="0"/>
        <w:keepLines w:val="0"/>
        <w:pageBreakBefore w:val="0"/>
        <w:widowControl w:val="0"/>
        <w:kinsoku/>
        <w:wordWrap/>
        <w:overflowPunct/>
        <w:bidi w:val="0"/>
        <w:adjustRightInd w:val="0"/>
        <w:snapToGrid w:val="0"/>
        <w:spacing w:line="560" w:lineRule="exact"/>
        <w:ind w:left="0" w:leftChars="0" w:firstLine="608" w:firstLineChars="200"/>
        <w:jc w:val="both"/>
        <w:outlineLvl w:val="0"/>
        <w:rPr>
          <w:rFonts w:hint="default" w:ascii="黑体" w:hAnsi="黑体" w:eastAsia="黑体" w:cs="黑体"/>
          <w:b w:val="0"/>
          <w:bCs w:val="0"/>
          <w:spacing w:val="-8"/>
          <w:sz w:val="32"/>
          <w:szCs w:val="32"/>
          <w:lang w:val="en-US" w:eastAsia="zh-CN"/>
        </w:rPr>
      </w:pPr>
      <w:bookmarkStart w:id="8" w:name="_Toc22422"/>
      <w:r>
        <w:rPr>
          <w:rFonts w:hint="eastAsia" w:ascii="黑体" w:hAnsi="黑体" w:eastAsia="黑体" w:cs="黑体"/>
          <w:b w:val="0"/>
          <w:bCs w:val="0"/>
          <w:spacing w:val="-8"/>
          <w:sz w:val="32"/>
          <w:szCs w:val="32"/>
          <w:lang w:val="en-US" w:eastAsia="zh-CN"/>
        </w:rPr>
        <w:t>3.应急物资保障准备</w:t>
      </w:r>
      <w:bookmarkEnd w:id="8"/>
    </w:p>
    <w:p w14:paraId="2ACC45D2">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9" w:name="_Toc4413"/>
      <w:r>
        <w:rPr>
          <w:rFonts w:hint="eastAsia" w:ascii="楷体" w:hAnsi="楷体" w:eastAsia="楷体" w:cs="楷体"/>
          <w:snapToGrid/>
          <w:kern w:val="2"/>
          <w:sz w:val="32"/>
          <w:szCs w:val="32"/>
          <w:lang w:val="en-US" w:eastAsia="zh-CN"/>
        </w:rPr>
        <w:t>3.1 储备管理</w:t>
      </w:r>
      <w:bookmarkEnd w:id="9"/>
    </w:p>
    <w:p w14:paraId="2A614E95">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按照政府实物储备为主、协议储备和产能储备为辅、社会储备为补充的原则，结合本县灾害实际，构建县、镇（街道）、村（社区）三级储备体系，落实储备责任，规范管理流程。完善定期检查、备案制度，定期组织储备目录评估和物资更新。县应急办对各成员单位的应急物资储备管理情况进行指导、监督。</w:t>
      </w:r>
    </w:p>
    <w:p w14:paraId="30C08D95">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应急委各成员单位应切实做好物资应急保障信息的收集、分析和评估，完善应急保障机制，特别是自然灾害、安全生产、防汛抗旱、工程机械、特种设备、危险化学品、动植物疫情等领域，建立健全物资储备数据信息系统。</w:t>
      </w:r>
    </w:p>
    <w:p w14:paraId="217561B5">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0" w:name="_Toc5600"/>
      <w:r>
        <w:rPr>
          <w:rFonts w:hint="eastAsia" w:ascii="楷体" w:hAnsi="楷体" w:eastAsia="楷体" w:cs="楷体"/>
          <w:snapToGrid/>
          <w:kern w:val="2"/>
          <w:sz w:val="32"/>
          <w:szCs w:val="32"/>
          <w:lang w:val="en-US" w:eastAsia="zh-CN"/>
        </w:rPr>
        <w:t>3.2 仓储管理</w:t>
      </w:r>
      <w:bookmarkEnd w:id="10"/>
    </w:p>
    <w:p w14:paraId="048A6086">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应急局、县发改局和相关部门（单位）要确保储备库建设项目达到储备要求和标准，提升仓储作业的机械化、自动化和可视化。提高应急物资储备库标准和库容，配置机械化装卸设备，提升装卸搬运效率。加快仓库调整步伐，充分利用现有各类物资储备仓库资源，调剂仓库容量余缺，可采用优势互补、联合调配的方式合理利用、有效配置，避免重复建设，提高仓库利用效率。</w:t>
      </w:r>
    </w:p>
    <w:p w14:paraId="569EDFCE">
      <w:pPr>
        <w:keepNext w:val="0"/>
        <w:keepLines w:val="0"/>
        <w:pageBreakBefore w:val="0"/>
        <w:wordWrap/>
        <w:overflowPunct/>
        <w:bidi w:val="0"/>
        <w:adjustRightInd w:val="0"/>
        <w:snapToGrid w:val="0"/>
        <w:spacing w:line="560" w:lineRule="exact"/>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定期检查物资质量，对过期、损毁物资及时更换、报废，确保物资随时可用；汛期、防火期、干旱期等重点时段，加大物资检查频次。</w:t>
      </w:r>
    </w:p>
    <w:p w14:paraId="2C183D04">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1" w:name="_Toc21281"/>
      <w:r>
        <w:rPr>
          <w:rFonts w:hint="eastAsia" w:ascii="楷体" w:hAnsi="楷体" w:eastAsia="楷体" w:cs="楷体"/>
          <w:snapToGrid/>
          <w:kern w:val="2"/>
          <w:sz w:val="32"/>
          <w:szCs w:val="32"/>
          <w:lang w:val="en-US" w:eastAsia="zh-CN"/>
        </w:rPr>
        <w:t>3.3 监测预防</w:t>
      </w:r>
      <w:bookmarkEnd w:id="11"/>
    </w:p>
    <w:p w14:paraId="616C613F">
      <w:pPr>
        <w:keepNext w:val="0"/>
        <w:keepLines w:val="0"/>
        <w:pageBreakBefore w:val="0"/>
        <w:wordWrap/>
        <w:overflowPunct/>
        <w:bidi w:val="0"/>
        <w:adjustRightInd w:val="0"/>
        <w:snapToGrid w:val="0"/>
        <w:spacing w:line="560" w:lineRule="exact"/>
        <w:ind w:firstLine="640" w:firstLineChars="200"/>
        <w:rPr>
          <w:rFonts w:hint="eastAsia" w:ascii="Times New Roman" w:hAnsi="Times New Roman" w:eastAsia="仿宋_GB2312" w:cs="Times New Roman"/>
          <w:color w:val="auto"/>
          <w:kern w:val="0"/>
          <w:sz w:val="32"/>
          <w:szCs w:val="32"/>
          <w:lang w:val="en-US" w:eastAsia="zh-CN"/>
        </w:rPr>
      </w:pPr>
      <w:r>
        <w:rPr>
          <w:rFonts w:hint="eastAsia" w:ascii="Times New Roman" w:hAnsi="Times New Roman" w:eastAsia="仿宋_GB2312" w:cs="Times New Roman"/>
          <w:color w:val="auto"/>
          <w:kern w:val="0"/>
          <w:sz w:val="32"/>
          <w:szCs w:val="32"/>
          <w:lang w:val="en-US" w:eastAsia="zh-CN"/>
        </w:rPr>
        <w:t>县应急委各成员单位应加强对灾害事故有关信息的监测、收集和研判，加强信息沟通和通报，按照各类灾害事故的特征和防范、处置要求，主动研判应急物资需求，及时做好物资保障准备。一旦发生重特大灾害事故或接到灾害事故预警信号，县应急委各成员单位，视情况采取以下物资应急保障准备措施：一是开展应急物资需求评估，及时补充必要的物资储备；检查有关应急物资储备落实情况；二是与有关部门建立信息沟通渠道，及时获取物资应急保障需求；调集、筹措所需物资、人员队伍进入待命状态，并视情况做好后续准备；三是做好其他预防性措施，各部门要建立和完善应急物资储备数据库，及时做好数据采集、整理和更新工作，实现应急物资储备有关数据动态管理和实时更新。每年12月底要将本年度应急物资储备的品种、数量、布局和消耗情况等数据报县应急委备案。</w:t>
      </w:r>
    </w:p>
    <w:p w14:paraId="6B67CEF7">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2" w:name="_Toc23057"/>
      <w:r>
        <w:rPr>
          <w:rFonts w:hint="eastAsia" w:ascii="楷体" w:hAnsi="楷体" w:eastAsia="楷体" w:cs="楷体"/>
          <w:snapToGrid/>
          <w:kern w:val="2"/>
          <w:sz w:val="32"/>
          <w:szCs w:val="32"/>
          <w:lang w:val="en-US" w:eastAsia="zh-CN"/>
        </w:rPr>
        <w:t>3.4 保障准备行动</w:t>
      </w:r>
      <w:bookmarkEnd w:id="12"/>
    </w:p>
    <w:p w14:paraId="151DD3F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县应急办根据研判结果，视情部署应急物资保障相关准备工作：</w:t>
      </w:r>
    </w:p>
    <w:p w14:paraId="7824FDB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1.按有关规定加强应急值班力量，实行24小时应急值守。</w:t>
      </w:r>
    </w:p>
    <w:p w14:paraId="3E53005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2.通知应急物资储备库工作人员及时进入待命状态，视情派出人员赴应急物资储备库现场督导。</w:t>
      </w:r>
    </w:p>
    <w:p w14:paraId="48754EB0">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3.根据需要对接应急物资保障相关单位，做好应急物资紧急调用准备。</w:t>
      </w:r>
    </w:p>
    <w:p w14:paraId="5C25DE48">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4.必要时，县应急办结合实际向澧水沿岸、地质灾害高风险区、山区库区等重点区域前置救生衣、应急食品、饮用水等物资，确保就近调配、快速取用。</w:t>
      </w:r>
    </w:p>
    <w:p w14:paraId="5EDA306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z w:val="32"/>
          <w:szCs w:val="32"/>
          <w:lang w:val="en-US" w:eastAsia="zh-CN"/>
        </w:rPr>
        <w:t>5.提前与供应商签订紧急供货协议，确保快速补充物资。检查维护应急物资，及时更新易损物资，确保物资保持良好状态，</w:t>
      </w:r>
      <w:r>
        <w:rPr>
          <w:rFonts w:hint="eastAsia" w:ascii="仿宋_GB2312" w:hAnsi="仿宋_GB2312" w:eastAsia="仿宋_GB2312" w:cs="仿宋_GB2312"/>
          <w:snapToGrid w:val="0"/>
          <w:color w:val="000000"/>
          <w:kern w:val="0"/>
          <w:sz w:val="32"/>
          <w:szCs w:val="32"/>
          <w:lang w:val="en-US" w:eastAsia="zh-CN" w:bidi="ar-SA"/>
        </w:rPr>
        <w:t>避免影响应急效率。加强与常德市及周边县市对接，建立区域应急物资协同保障机制，做好跨区域支援准备。</w:t>
      </w:r>
    </w:p>
    <w:p w14:paraId="6FBD289C">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3" w:name="_Toc26781"/>
      <w:r>
        <w:rPr>
          <w:rFonts w:hint="eastAsia" w:ascii="楷体" w:hAnsi="楷体" w:eastAsia="楷体" w:cs="楷体"/>
          <w:snapToGrid/>
          <w:kern w:val="2"/>
          <w:sz w:val="32"/>
          <w:szCs w:val="32"/>
          <w:lang w:val="en-US" w:eastAsia="zh-CN"/>
        </w:rPr>
        <w:t>3.5 信息报告与通报</w:t>
      </w:r>
      <w:bookmarkEnd w:id="13"/>
    </w:p>
    <w:p w14:paraId="551C192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有关部门（单位）要加强灾害事故信息通报和协作，并根据重要物资应急保障需要，做好及时通报、联系和协调工作，及时与县应急局沟通协调，发生灾害事故应在1小时内向县委、县政府报告；发生重大以上灾害事故物资应急保障行动或出现特殊情况的，必须立即报告。</w:t>
      </w:r>
    </w:p>
    <w:p w14:paraId="66C731C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wordWrap/>
        <w:overflowPunct/>
        <w:bidi w:val="0"/>
        <w:snapToGrid w:val="0"/>
        <w:spacing w:before="0" w:beforeAutospacing="0" w:after="0" w:afterAutospacing="0" w:line="444" w:lineRule="atLeast"/>
        <w:ind w:left="0" w:leftChars="0" w:right="0" w:rightChars="0" w:firstLine="516" w:firstLineChars="0"/>
        <w:jc w:val="both"/>
        <w:outlineLvl w:val="0"/>
        <w:rPr>
          <w:rFonts w:hint="eastAsia" w:ascii="黑体" w:hAnsi="黑体" w:eastAsia="黑体" w:cs="黑体"/>
          <w:b w:val="0"/>
          <w:bCs w:val="0"/>
          <w:spacing w:val="-8"/>
          <w:sz w:val="32"/>
          <w:szCs w:val="32"/>
          <w:lang w:val="en-US" w:eastAsia="zh-CN"/>
        </w:rPr>
      </w:pPr>
      <w:bookmarkStart w:id="14" w:name="_Toc29841"/>
      <w:r>
        <w:rPr>
          <w:rFonts w:hint="eastAsia" w:ascii="黑体" w:hAnsi="黑体" w:eastAsia="黑体" w:cs="黑体"/>
          <w:b w:val="0"/>
          <w:bCs w:val="0"/>
          <w:spacing w:val="-8"/>
          <w:sz w:val="32"/>
          <w:szCs w:val="32"/>
          <w:lang w:val="en-US" w:eastAsia="zh-CN"/>
        </w:rPr>
        <w:t>4.应急响应</w:t>
      </w:r>
      <w:bookmarkEnd w:id="14"/>
    </w:p>
    <w:p w14:paraId="5942C7ED">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根据突发事件的危害程度、波及范围、物资需求规模，应急物资保障响应由低到高分为四级、三级、二级、一级四个等级。县应安委或县专项应急指挥机构启动相应级别应急响应时，县应急委同步启动对应物资保障响应。特殊情况下，县应急委可根据县政府要求单独启动物资保障响应。</w:t>
      </w:r>
    </w:p>
    <w:p w14:paraId="5B3C9187">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5" w:name="_Toc1240"/>
      <w:r>
        <w:rPr>
          <w:rFonts w:hint="eastAsia" w:ascii="楷体" w:hAnsi="楷体" w:eastAsia="楷体" w:cs="楷体"/>
          <w:snapToGrid/>
          <w:kern w:val="2"/>
          <w:sz w:val="32"/>
          <w:szCs w:val="32"/>
          <w:lang w:val="en-US" w:eastAsia="zh-CN"/>
        </w:rPr>
        <w:t>4.1 先期处置</w:t>
      </w:r>
      <w:bookmarkEnd w:id="15"/>
    </w:p>
    <w:p w14:paraId="2BE5FD8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突发事件发生后，事发地村（社区）、镇（街道）立即开展先期处置：第一时间启用本级储备物资，保障受灾群众临时安置和应急救援需求；快速统计受灾情况和物资缺口，逐级上报；组织人员维护物资发放秩序，做好群众安抚工作；优先保障老弱病残幼等特殊群体物资供应，并提出救援支持请求。</w:t>
      </w:r>
    </w:p>
    <w:p w14:paraId="6926E2C3">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6" w:name="_Toc26317"/>
      <w:r>
        <w:rPr>
          <w:rFonts w:hint="eastAsia" w:ascii="楷体" w:hAnsi="楷体" w:eastAsia="楷体" w:cs="楷体"/>
          <w:snapToGrid/>
          <w:kern w:val="2"/>
          <w:sz w:val="32"/>
          <w:szCs w:val="32"/>
          <w:lang w:val="en-US" w:eastAsia="zh-CN"/>
        </w:rPr>
        <w:t>4.2 四级响应</w:t>
      </w:r>
      <w:bookmarkEnd w:id="16"/>
    </w:p>
    <w:p w14:paraId="7399174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县应急办副主任决定启动四级响应，组织指导应急物资保障，实施以下措施：县应急办根据事发镇（街道）报送的物资保障信息、具体任务及行动要求，指导其开展应急物资保障工作，调动相关镇（街道）的应急物资予以支援保障。必要时县应急办安排工作人员赴现场参与现场指挥部工作，协调、指导现场应急物资保障事宜。及时与相关供应商沟通，确保应急物资的持续供应，满足现场应急需求。</w:t>
      </w:r>
    </w:p>
    <w:p w14:paraId="349294C8">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7" w:name="_Toc15105"/>
      <w:r>
        <w:rPr>
          <w:rFonts w:hint="eastAsia" w:ascii="楷体" w:hAnsi="楷体" w:eastAsia="楷体" w:cs="楷体"/>
          <w:snapToGrid/>
          <w:kern w:val="2"/>
          <w:sz w:val="32"/>
          <w:szCs w:val="32"/>
          <w:lang w:val="en-US" w:eastAsia="zh-CN"/>
        </w:rPr>
        <w:t>4.3 三级响应</w:t>
      </w:r>
      <w:bookmarkEnd w:id="17"/>
    </w:p>
    <w:p w14:paraId="572F6E9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县应急办主任决定启动三级响应，组织指导应急物资保障，实施以下措施：县应急办汇总事发地及周边镇（街道）物资需求、储备及消耗动态。调动县级应急物资储备库物资支援，协调相邻镇（街道）应急物资联动调配，建立物资转运“点对点”直达通道。县应急办主任带队赶赴现场，统筹协调现场物资接收、登记、分发及余缺调配工作。与核心供应商签订应急供应协议，启动物资生产、调运“优先通道”，同时联系备选供应商，确保口罩、食品、帐篷等重点物资供应。建立物资使用台账，监督物资发放的公平性和有效性，及时处置物资保障中的突发问题。</w:t>
      </w:r>
    </w:p>
    <w:p w14:paraId="77BC8AB8">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8" w:name="_Toc30941"/>
      <w:r>
        <w:rPr>
          <w:rFonts w:hint="eastAsia" w:ascii="楷体" w:hAnsi="楷体" w:eastAsia="楷体" w:cs="楷体"/>
          <w:snapToGrid/>
          <w:kern w:val="2"/>
          <w:sz w:val="32"/>
          <w:szCs w:val="32"/>
          <w:lang w:val="en-US" w:eastAsia="zh-CN"/>
        </w:rPr>
        <w:t>4.4 二级响应</w:t>
      </w:r>
      <w:bookmarkEnd w:id="18"/>
    </w:p>
    <w:p w14:paraId="41581DD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县应急委副主任决定启动二级响应，全面统筹全区应急物资保障工作，实施以下措施：县应急办汇总事发地及周边镇（街道）物资需求、储备及消耗动态。全面动用县级应急物资储备，协调周边县（市）应急管理部门支援，申请市级应急物资储备库调拨，确保物资储备量满足应急需求。县应急委副主任带队赶赴现场，指导现场物资保障工作，划定物资集中存放区、分发区和临时储备区，配备专业物流团队负责物资装卸转运。启动应急物资紧急采购程序，财政部门开通资金拨付“绿色通道”，必要时对紧缺物资采取“先采购后备案”方式，联系大型生产企业紧急调运，保障呼吸机、防护服、救援设备等特殊物资供应。建立物资需求预测机制，结合灾情发展趋势提前研判物资缺口，组织相关行业协会、社会组织参与物资募集和捐赠接收工作，规范捐赠物资管理流程，指导</w:t>
      </w:r>
      <w:r>
        <w:rPr>
          <w:rFonts w:hint="eastAsia" w:ascii="仿宋_GB2312" w:hAnsi="仿宋_GB2312" w:eastAsia="仿宋_GB2312" w:cs="仿宋_GB2312"/>
          <w:sz w:val="32"/>
          <w:szCs w:val="32"/>
          <w:lang w:val="en-US" w:eastAsia="zh-CN"/>
        </w:rPr>
        <w:t>后勤保障组</w:t>
      </w:r>
      <w:r>
        <w:rPr>
          <w:rFonts w:hint="eastAsia" w:ascii="仿宋_GB2312" w:hAnsi="仿宋_GB2312" w:eastAsia="仿宋_GB2312" w:cs="仿宋_GB2312"/>
          <w:snapToGrid w:val="0"/>
          <w:color w:val="000000"/>
          <w:kern w:val="0"/>
          <w:sz w:val="32"/>
          <w:szCs w:val="32"/>
          <w:lang w:val="en-US" w:eastAsia="zh-CN" w:bidi="ar-SA"/>
        </w:rPr>
        <w:t>建立物资使用台账。协调交通部门保障应急运输车辆优先通行，联系铁路、公路、航空等运输单位，开通应急物资运输专线，确保物资“进得来、送得到、用得上”。</w:t>
      </w:r>
    </w:p>
    <w:p w14:paraId="3D32A7B8">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19" w:name="_Toc21968"/>
      <w:r>
        <w:rPr>
          <w:rFonts w:hint="eastAsia" w:ascii="楷体" w:hAnsi="楷体" w:eastAsia="楷体" w:cs="楷体"/>
          <w:snapToGrid/>
          <w:kern w:val="2"/>
          <w:sz w:val="32"/>
          <w:szCs w:val="32"/>
          <w:lang w:val="en-US" w:eastAsia="zh-CN"/>
        </w:rPr>
        <w:t>4.5 一级响应</w:t>
      </w:r>
      <w:bookmarkEnd w:id="19"/>
    </w:p>
    <w:p w14:paraId="24712A0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napToGrid w:val="0"/>
          <w:color w:val="000000"/>
          <w:kern w:val="0"/>
          <w:sz w:val="32"/>
          <w:szCs w:val="32"/>
          <w:lang w:val="en-US" w:eastAsia="zh-CN" w:bidi="ar-SA"/>
        </w:rPr>
      </w:pPr>
      <w:r>
        <w:rPr>
          <w:rFonts w:hint="eastAsia" w:ascii="仿宋_GB2312" w:hAnsi="仿宋_GB2312" w:eastAsia="仿宋_GB2312" w:cs="仿宋_GB2312"/>
          <w:snapToGrid w:val="0"/>
          <w:color w:val="000000"/>
          <w:kern w:val="0"/>
          <w:sz w:val="32"/>
          <w:szCs w:val="32"/>
          <w:lang w:val="en-US" w:eastAsia="zh-CN" w:bidi="ar-SA"/>
        </w:rPr>
        <w:t>县应急委主任决定启动一级响应，启动跨区域、全体系应急物资保障联动机制，实施以下措施：县应急委整合全区行政、企事业单位、社会力量资源，建立“统一指挥、分级负责、全域联动”的保障体系，每1小时通报一次物资保障进展。报请市级政府协调跨市级应急物资支援，申请省级应急物资储备库紧急调拨，同时动用社会应急物资储备，实行物资统一征用和调配，确保物资储备量满足应急需求。县应急委主任带队赶赴现场统筹物资保障、人员调配、后勤支撑等工作，启用应急避难场所作为物资集散地，配备无人机、应急通信设备等保障物资精准投放。启动应急物资供应商对接机制，协调企业紧急生产调拨特种应急物资，开通“空中救援通道”保障紧急物资运输。建立物资保障会商研判机制，邀请应急管理、物资供应、医疗救援等领域专家，实时分析物资需求变化，动态调整保障策略，确保物资供应与灾情需求精准匹配。协助上级指挥机构开展</w:t>
      </w:r>
      <w:r>
        <w:rPr>
          <w:rFonts w:hint="eastAsia" w:ascii="仿宋_GB2312" w:hAnsi="仿宋_GB2312" w:eastAsia="仿宋_GB2312" w:cs="仿宋_GB2312"/>
          <w:sz w:val="32"/>
          <w:szCs w:val="32"/>
          <w:lang w:val="en-US" w:eastAsia="zh-CN"/>
        </w:rPr>
        <w:t>后勤保障</w:t>
      </w:r>
      <w:r>
        <w:rPr>
          <w:rFonts w:hint="eastAsia" w:ascii="仿宋_GB2312" w:hAnsi="仿宋_GB2312" w:eastAsia="仿宋_GB2312" w:cs="仿宋_GB2312"/>
          <w:snapToGrid w:val="0"/>
          <w:color w:val="000000"/>
          <w:kern w:val="0"/>
          <w:sz w:val="32"/>
          <w:szCs w:val="32"/>
          <w:lang w:val="en-US" w:eastAsia="zh-CN" w:bidi="ar-SA"/>
        </w:rPr>
        <w:t>工作。统筹做好物资保障后续工作，建立物资消耗、损耗台账，协调卫健等部门做好物资回收、消毒、报废处理，同时组织相关部门开展灾后物资补充储备，恢复正常物资供应秩序。协调宣传部门及时发布物资保障信息，引导社会舆论，鼓励社会各界有序参与物资捐赠和志愿服务，同时加强物资保障纪律监督，严肃查处截留、挪用、浪费应急物资等行为。</w:t>
      </w:r>
    </w:p>
    <w:p w14:paraId="5F27D493">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20" w:name="_Toc27028"/>
      <w:bookmarkStart w:id="21" w:name="_Toc5862"/>
      <w:r>
        <w:rPr>
          <w:rFonts w:hint="eastAsia" w:ascii="楷体" w:hAnsi="楷体" w:eastAsia="楷体" w:cs="楷体"/>
          <w:snapToGrid/>
          <w:kern w:val="2"/>
          <w:sz w:val="32"/>
          <w:szCs w:val="32"/>
          <w:lang w:val="en-US" w:eastAsia="zh-CN"/>
        </w:rPr>
        <w:t>4.6 启动条件调整</w:t>
      </w:r>
      <w:bookmarkEnd w:id="20"/>
      <w:bookmarkEnd w:id="21"/>
    </w:p>
    <w:p w14:paraId="68E03E06">
      <w:pPr>
        <w:keepNext w:val="0"/>
        <w:keepLines w:val="0"/>
        <w:pageBreakBefore w:val="0"/>
        <w:wordWrap/>
        <w:overflowPunct/>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对灾害发生在重点防洪堤垸、地质灾害高风险区、重要交通干线沿线、中心城区、工业园区、风景名胜区等敏感地区、重大活动期间、节假日、主汛期等敏感时间或救助能力相对薄弱的山区库区乡镇、经济发展基础较弱区域等地区，或灾害对本县经济社会运行、重要基础设施、农业生产等造成严重冲击或潜在重大风险时，或其他特殊情况，但符合本县防汛抗旱、地质灾害、森林火灾、低温雨雪冰冻等专项应急预案应急响应启动条件的情形，县应急办可根据灾情预评估和会商研判结果，报请相应领导批准后，可视情调整启动突发事件应急物资保障的应急响应标准。</w:t>
      </w:r>
    </w:p>
    <w:p w14:paraId="22F66F49">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22" w:name="_Toc9794"/>
      <w:bookmarkStart w:id="23" w:name="_Toc5480"/>
      <w:bookmarkStart w:id="24" w:name="_Toc9180"/>
      <w:r>
        <w:rPr>
          <w:rFonts w:hint="eastAsia" w:ascii="楷体" w:hAnsi="楷体" w:eastAsia="楷体" w:cs="楷体"/>
          <w:snapToGrid/>
          <w:kern w:val="2"/>
          <w:sz w:val="32"/>
          <w:szCs w:val="32"/>
          <w:lang w:val="en-US" w:eastAsia="zh-CN"/>
        </w:rPr>
        <w:t>4.7 响应终止</w:t>
      </w:r>
      <w:bookmarkEnd w:id="22"/>
      <w:bookmarkEnd w:id="23"/>
      <w:bookmarkEnd w:id="24"/>
    </w:p>
    <w:p w14:paraId="36EDF098">
      <w:pPr>
        <w:keepNext w:val="0"/>
        <w:keepLines w:val="0"/>
        <w:pageBreakBefore w:val="0"/>
        <w:wordWrap/>
        <w:overflowPunct/>
        <w:bidi w:val="0"/>
        <w:snapToGrid w:val="0"/>
        <w:spacing w:line="560" w:lineRule="exact"/>
        <w:ind w:firstLine="640" w:firstLineChars="200"/>
        <w:rPr>
          <w:rFonts w:hint="eastAsia" w:eastAsia="仿宋_GB2312"/>
          <w:color w:val="auto"/>
          <w:kern w:val="0"/>
          <w:sz w:val="32"/>
          <w:szCs w:val="32"/>
          <w:lang w:val="en-US" w:eastAsia="zh-CN"/>
        </w:rPr>
      </w:pPr>
      <w:r>
        <w:rPr>
          <w:rFonts w:hint="eastAsia" w:eastAsia="仿宋_GB2312"/>
          <w:color w:val="auto"/>
          <w:kern w:val="0"/>
          <w:sz w:val="32"/>
          <w:szCs w:val="32"/>
          <w:lang w:val="en-US" w:eastAsia="zh-CN"/>
        </w:rPr>
        <w:t>突发事件处置完毕，受灾群众基本生活得到有效保障，应急救援工作结束，物资需求恢复常态后，由县应急办提出响应终止建议，按启动程序报批后，宣布响应终止，转入常态物资管理阶段。</w:t>
      </w:r>
    </w:p>
    <w:p w14:paraId="7690A333">
      <w:pPr>
        <w:keepNext w:val="0"/>
        <w:keepLines w:val="0"/>
        <w:pageBreakBefore w:val="0"/>
        <w:widowControl w:val="0"/>
        <w:kinsoku/>
        <w:wordWrap/>
        <w:overflowPunct/>
        <w:bidi w:val="0"/>
        <w:adjustRightInd w:val="0"/>
        <w:snapToGrid w:val="0"/>
        <w:spacing w:line="560" w:lineRule="exact"/>
        <w:ind w:left="0" w:leftChars="0" w:firstLine="608" w:firstLineChars="200"/>
        <w:jc w:val="both"/>
        <w:outlineLvl w:val="0"/>
        <w:rPr>
          <w:rFonts w:hint="eastAsia" w:ascii="仿宋_GB2312" w:hAnsi="仿宋_GB2312" w:eastAsia="仿宋_GB2312" w:cs="仿宋_GB2312"/>
          <w:sz w:val="32"/>
          <w:szCs w:val="32"/>
        </w:rPr>
      </w:pPr>
      <w:bookmarkStart w:id="25" w:name="_Toc29688"/>
      <w:r>
        <w:rPr>
          <w:rFonts w:hint="eastAsia" w:ascii="黑体" w:hAnsi="黑体" w:eastAsia="黑体" w:cs="黑体"/>
          <w:b w:val="0"/>
          <w:bCs w:val="0"/>
          <w:spacing w:val="-8"/>
          <w:sz w:val="32"/>
          <w:szCs w:val="32"/>
          <w:lang w:val="en-US" w:eastAsia="zh-CN"/>
        </w:rPr>
        <w:t>5.后期处置</w:t>
      </w:r>
      <w:bookmarkEnd w:id="25"/>
    </w:p>
    <w:p w14:paraId="0A49D699">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26" w:name="_Toc10170"/>
      <w:r>
        <w:rPr>
          <w:rFonts w:hint="eastAsia" w:ascii="楷体" w:hAnsi="楷体" w:eastAsia="楷体" w:cs="楷体"/>
          <w:snapToGrid/>
          <w:kern w:val="2"/>
          <w:sz w:val="32"/>
          <w:szCs w:val="32"/>
          <w:lang w:val="en-US" w:eastAsia="zh-CN"/>
        </w:rPr>
        <w:t>5.1 物资回收与管理</w:t>
      </w:r>
      <w:bookmarkEnd w:id="26"/>
    </w:p>
    <w:p w14:paraId="3B39AE5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应急物资保障响应终止后，</w:t>
      </w:r>
      <w:r>
        <w:rPr>
          <w:rFonts w:hint="eastAsia" w:ascii="仿宋_GB2312" w:hAnsi="仿宋_GB2312" w:eastAsia="仿宋_GB2312" w:cs="仿宋_GB2312"/>
          <w:sz w:val="32"/>
          <w:szCs w:val="32"/>
          <w:lang w:val="en-US" w:eastAsia="zh-CN"/>
        </w:rPr>
        <w:t>县应急办</w:t>
      </w:r>
      <w:r>
        <w:rPr>
          <w:rFonts w:hint="eastAsia" w:ascii="仿宋_GB2312" w:hAnsi="仿宋_GB2312" w:eastAsia="仿宋_GB2312" w:cs="仿宋_GB2312"/>
          <w:sz w:val="32"/>
          <w:szCs w:val="32"/>
        </w:rPr>
        <w:t>组织指导各相关单位开展物资回收、维保、补库等工作。</w:t>
      </w:r>
    </w:p>
    <w:p w14:paraId="63A3925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1.物资回收与分类：应急物资使用完毕后，立即对物资实施回收与分类操作。回收分类需依据物资的品类、型号及使用状况开展，确保分类精准规范。</w:t>
      </w:r>
    </w:p>
    <w:p w14:paraId="5C1636A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2.清洗与消毒：针对回收物资，尤其是可能接触过污染物或有害介质的物资，必须进行全面彻底的清洗消毒处理，保障其安全卫生性能达标。</w:t>
      </w:r>
    </w:p>
    <w:p w14:paraId="01AEB1E1">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3.检测与评估：对回收物资开展专业检测与性能评估，判定其是否具备继续使用条件。对于损毁严重或无法满足使用要求的物资，需及时按规定流程进行报废处置。</w:t>
      </w:r>
    </w:p>
    <w:p w14:paraId="6290C73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4.维修与保养：对经评估可继续使用的物资，进行必要的维修调试与养护作业，确保其处于良好备用状态，随时能应对突发情况。</w:t>
      </w:r>
    </w:p>
    <w:p w14:paraId="5614BD8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5.储存与管理：按照物资自身特性及储存规范要求，对回收物资重新进行储存安排，并做好库存动态管理，保障物资存放安全有序。</w:t>
      </w:r>
    </w:p>
    <w:p w14:paraId="1109426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6.核算与补偿：对在应急物资保障过程中被征用的物资，要进行详细登记与精准核算。应急响应终止后，及时归还被征用物资；若造成损坏或无法归还，依据相关规定给予合理补偿。</w:t>
      </w:r>
    </w:p>
    <w:p w14:paraId="4A9B1B87">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7.补充与更新：根据应急物资保障过程中的物资消耗情况，</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专项指挥</w:t>
      </w:r>
      <w:r>
        <w:rPr>
          <w:rFonts w:hint="eastAsia" w:ascii="仿宋_GB2312" w:hAnsi="仿宋_GB2312" w:eastAsia="仿宋_GB2312" w:cs="仿宋_GB2312"/>
          <w:sz w:val="32"/>
          <w:szCs w:val="32"/>
          <w:lang w:val="en-US" w:eastAsia="zh-CN"/>
        </w:rPr>
        <w:t>机构</w:t>
      </w:r>
      <w:r>
        <w:rPr>
          <w:rFonts w:hint="eastAsia" w:ascii="仿宋_GB2312" w:hAnsi="仿宋_GB2312" w:eastAsia="仿宋_GB2312" w:cs="仿宋_GB2312"/>
          <w:sz w:val="32"/>
          <w:szCs w:val="32"/>
        </w:rPr>
        <w:t>或主责部门结合总结评估意见，及时补充必需物资，维持应急物资总量稳定、性能优良。</w:t>
      </w:r>
    </w:p>
    <w:p w14:paraId="0F6E9C95">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27" w:name="_Toc32101"/>
      <w:r>
        <w:rPr>
          <w:rFonts w:hint="eastAsia" w:ascii="楷体" w:hAnsi="楷体" w:eastAsia="楷体" w:cs="楷体"/>
          <w:snapToGrid/>
          <w:kern w:val="2"/>
          <w:sz w:val="32"/>
          <w:szCs w:val="32"/>
          <w:lang w:val="en-US" w:eastAsia="zh-CN"/>
        </w:rPr>
        <w:t>5.2 总结评估</w:t>
      </w:r>
      <w:bookmarkEnd w:id="27"/>
    </w:p>
    <w:p w14:paraId="1A1260B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应急物资保障响应终止后，</w:t>
      </w:r>
      <w:r>
        <w:rPr>
          <w:rFonts w:hint="eastAsia" w:ascii="仿宋_GB2312" w:hAnsi="仿宋_GB2312" w:eastAsia="仿宋_GB2312" w:cs="仿宋_GB2312"/>
          <w:sz w:val="32"/>
          <w:szCs w:val="32"/>
          <w:lang w:val="en-US" w:eastAsia="zh-CN"/>
        </w:rPr>
        <w:t>县应急办组织各成员单位、事发地镇（街道）开展总结评估，全面复盘物资保障全过程，重点分析储备、调拨、分发、运输等环节存在的问题，提炼经验做法，形成总结评估报告；针对短板弱项，制定整改措施，优化预案和物资保障流程，完善储备布局。</w:t>
      </w:r>
    </w:p>
    <w:p w14:paraId="4BAD513E">
      <w:pPr>
        <w:keepNext w:val="0"/>
        <w:keepLines w:val="0"/>
        <w:pageBreakBefore w:val="0"/>
        <w:widowControl w:val="0"/>
        <w:kinsoku/>
        <w:wordWrap/>
        <w:overflowPunct/>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lang w:val="en-US" w:eastAsia="zh-CN"/>
        </w:rPr>
      </w:pPr>
      <w:bookmarkStart w:id="28" w:name="_Toc20997"/>
      <w:r>
        <w:rPr>
          <w:rFonts w:hint="eastAsia" w:ascii="黑体" w:hAnsi="黑体" w:eastAsia="黑体" w:cs="黑体"/>
          <w:b w:val="0"/>
          <w:bCs w:val="0"/>
          <w:spacing w:val="-8"/>
          <w:sz w:val="32"/>
          <w:szCs w:val="32"/>
          <w:lang w:val="en-US" w:eastAsia="zh-CN"/>
        </w:rPr>
        <w:t>6.应急保障</w:t>
      </w:r>
      <w:bookmarkEnd w:id="28"/>
    </w:p>
    <w:p w14:paraId="3F2994CD">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29" w:name="_Toc6639"/>
      <w:r>
        <w:rPr>
          <w:rFonts w:hint="eastAsia" w:ascii="楷体" w:hAnsi="楷体" w:eastAsia="楷体" w:cs="楷体"/>
          <w:snapToGrid/>
          <w:kern w:val="2"/>
          <w:sz w:val="32"/>
          <w:szCs w:val="32"/>
          <w:lang w:val="en-US" w:eastAsia="zh-CN"/>
        </w:rPr>
        <w:t>6.1 人员保障</w:t>
      </w:r>
      <w:bookmarkEnd w:id="29"/>
    </w:p>
    <w:p w14:paraId="44B4194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构建</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应急装备操作与维保专业化队伍体系，精准梳理装备台账与人员名册，明确人员岗位权责与工作分工。强化人员技能</w:t>
      </w:r>
      <w:r>
        <w:rPr>
          <w:rFonts w:hint="eastAsia" w:ascii="仿宋_GB2312" w:hAnsi="仿宋_GB2312" w:eastAsia="仿宋_GB2312" w:cs="仿宋_GB2312"/>
          <w:sz w:val="32"/>
          <w:szCs w:val="32"/>
          <w:lang w:val="en-US" w:eastAsia="zh-CN"/>
        </w:rPr>
        <w:t>培训</w:t>
      </w:r>
      <w:r>
        <w:rPr>
          <w:rFonts w:hint="eastAsia" w:ascii="仿宋_GB2312" w:hAnsi="仿宋_GB2312" w:eastAsia="仿宋_GB2312" w:cs="仿宋_GB2312"/>
          <w:sz w:val="32"/>
          <w:szCs w:val="32"/>
        </w:rPr>
        <w:t>，针对</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常见的地质灾害、气象灾害等突发情形，开展应急装备操作、故障排除、日常管护等专题培训，并邀请行业技术专家进行现场教学与实操指导。</w:t>
      </w:r>
    </w:p>
    <w:p w14:paraId="24BF493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各级政府依据</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实际需求，联动当地交通、医疗、电力、通信等重点企事业单位，组建属地应急物资装备保障梯队，形成全域覆盖的人员保障格局。</w:t>
      </w:r>
    </w:p>
    <w:p w14:paraId="026A3436">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0" w:name="_Toc23746"/>
      <w:r>
        <w:rPr>
          <w:rFonts w:hint="eastAsia" w:ascii="楷体" w:hAnsi="楷体" w:eastAsia="楷体" w:cs="楷体"/>
          <w:snapToGrid/>
          <w:kern w:val="2"/>
          <w:sz w:val="32"/>
          <w:szCs w:val="32"/>
          <w:lang w:val="en-US" w:eastAsia="zh-CN"/>
        </w:rPr>
        <w:t>6.2 应急物资装备保障</w:t>
      </w:r>
      <w:bookmarkEnd w:id="30"/>
    </w:p>
    <w:p w14:paraId="1AA1A7D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县应急委各成员单位</w:t>
      </w:r>
      <w:r>
        <w:rPr>
          <w:rFonts w:hint="eastAsia" w:ascii="仿宋_GB2312" w:hAnsi="仿宋_GB2312" w:eastAsia="仿宋_GB2312" w:cs="仿宋_GB2312"/>
          <w:sz w:val="32"/>
          <w:szCs w:val="32"/>
        </w:rPr>
        <w:t>强化应急物资装备的紧急生产、调拨与调配保障工作。结合</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应急物资装备储备现状，动态更新储备清单与库存规模，保障帐篷、食品、药品、抢险救援器械等关键物资储备充足。突发事件发生后，由应急管理部门统筹调度，快速启动紧急生产与调拨程序，确保应急物资装备及时供应到位。建立应急物资分品种重点企业联系制度。加强与联系企业的信息沟通，及时掌握相关企业生产经营能力、库存水平等有关情况，建立动态数据库，形成重要物资应急保障快速反应机制。对本区未储备及不</w:t>
      </w:r>
      <w:r>
        <w:rPr>
          <w:rFonts w:hint="eastAsia" w:ascii="仿宋_GB2312" w:hAnsi="仿宋_GB2312" w:eastAsia="仿宋_GB2312" w:cs="仿宋_GB2312"/>
          <w:sz w:val="32"/>
          <w:szCs w:val="32"/>
          <w:lang w:eastAsia="zh-CN"/>
        </w:rPr>
        <w:t>具备</w:t>
      </w:r>
      <w:r>
        <w:rPr>
          <w:rFonts w:hint="eastAsia" w:ascii="仿宋_GB2312" w:hAnsi="仿宋_GB2312" w:eastAsia="仿宋_GB2312" w:cs="仿宋_GB2312"/>
          <w:sz w:val="32"/>
          <w:szCs w:val="32"/>
        </w:rPr>
        <w:t>生产能力的重要物资进行梳理，建立非储备物资信息库，签订必要的紧急支援、采购意向或协议，确保物资快速到位。</w:t>
      </w:r>
    </w:p>
    <w:p w14:paraId="4ADB5296">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1" w:name="_Toc16580"/>
      <w:r>
        <w:rPr>
          <w:rFonts w:hint="eastAsia" w:ascii="楷体" w:hAnsi="楷体" w:eastAsia="楷体" w:cs="楷体"/>
          <w:snapToGrid/>
          <w:kern w:val="2"/>
          <w:sz w:val="32"/>
          <w:szCs w:val="32"/>
          <w:lang w:val="en-US" w:eastAsia="zh-CN"/>
        </w:rPr>
        <w:t>5.3 通信、交通与运输保障</w:t>
      </w:r>
      <w:bookmarkEnd w:id="31"/>
    </w:p>
    <w:p w14:paraId="61213ACF">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级政府及通信主管部门、通信运营企业构建应对突发事件的应急通信保障机制，加强通信基础设施的日常管护与应急抢修能力建设，配备卫星通信终端等应急通信保障设备，形成稳定可靠的通信保障能力，保障应急期间通信联络与信息传递畅通高效。</w:t>
      </w:r>
      <w:r>
        <w:rPr>
          <w:rFonts w:hint="eastAsia" w:ascii="仿宋_GB2312" w:hAnsi="仿宋_GB2312" w:eastAsia="仿宋_GB2312" w:cs="仿宋_GB2312"/>
          <w:sz w:val="32"/>
          <w:szCs w:val="32"/>
          <w:lang w:eastAsia="zh-CN"/>
        </w:rPr>
        <w:t>县应急委</w:t>
      </w:r>
      <w:r>
        <w:rPr>
          <w:rFonts w:hint="eastAsia" w:ascii="仿宋_GB2312" w:hAnsi="仿宋_GB2312" w:eastAsia="仿宋_GB2312" w:cs="仿宋_GB2312"/>
          <w:sz w:val="32"/>
          <w:szCs w:val="32"/>
        </w:rPr>
        <w:t>强化与</w:t>
      </w:r>
      <w:r>
        <w:rPr>
          <w:rFonts w:hint="eastAsia" w:ascii="仿宋_GB2312" w:hAnsi="仿宋_GB2312" w:eastAsia="仿宋_GB2312" w:cs="仿宋_GB2312"/>
          <w:sz w:val="32"/>
          <w:szCs w:val="32"/>
          <w:lang w:val="en-US" w:eastAsia="zh-CN"/>
        </w:rPr>
        <w:t>本</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lang w:val="en-US" w:eastAsia="zh-CN"/>
        </w:rPr>
        <w:t>各专项指挥机构</w:t>
      </w:r>
      <w:r>
        <w:rPr>
          <w:rFonts w:hint="eastAsia" w:ascii="仿宋_GB2312" w:hAnsi="仿宋_GB2312" w:eastAsia="仿宋_GB2312" w:cs="仿宋_GB2312"/>
          <w:sz w:val="32"/>
          <w:szCs w:val="32"/>
        </w:rPr>
        <w:t>的沟通联动，搭建信息共享平台，做好信息汇总、分析研判及处理工作，及时向上级部门及相关单位报送应急处置进展动态。</w:t>
      </w:r>
    </w:p>
    <w:p w14:paraId="7A4B259C">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交通运输部门完善紧急运输保障体系，整合区域内运输运力，与客运、货运企业建立应急运输协作模式，保障突发事件应急救援所需人员、物资装备的运输需求。必要时实施交通管控，开通应急物资装备保障“绿色通道”，保障应急运输车辆优先通行权。</w:t>
      </w:r>
    </w:p>
    <w:p w14:paraId="38F38505">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2" w:name="_Toc23226"/>
      <w:r>
        <w:rPr>
          <w:rFonts w:hint="eastAsia" w:ascii="楷体" w:hAnsi="楷体" w:eastAsia="楷体" w:cs="楷体"/>
          <w:snapToGrid/>
          <w:kern w:val="2"/>
          <w:sz w:val="32"/>
          <w:szCs w:val="32"/>
          <w:lang w:val="en-US" w:eastAsia="zh-CN"/>
        </w:rPr>
        <w:t>5.4 技术与信息化保障</w:t>
      </w:r>
      <w:bookmarkEnd w:id="32"/>
    </w:p>
    <w:p w14:paraId="46E0D3E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依托</w:t>
      </w:r>
      <w:r>
        <w:rPr>
          <w:rFonts w:hint="eastAsia" w:ascii="仿宋_GB2312" w:hAnsi="仿宋_GB2312" w:eastAsia="仿宋_GB2312" w:cs="仿宋_GB2312"/>
          <w:sz w:val="32"/>
          <w:szCs w:val="32"/>
          <w:lang w:val="en-US" w:eastAsia="zh-CN"/>
        </w:rPr>
        <w:t>上级</w:t>
      </w:r>
      <w:r>
        <w:rPr>
          <w:rFonts w:hint="eastAsia" w:ascii="仿宋_GB2312" w:hAnsi="仿宋_GB2312" w:eastAsia="仿宋_GB2312" w:cs="仿宋_GB2312"/>
          <w:sz w:val="32"/>
          <w:szCs w:val="32"/>
        </w:rPr>
        <w:t>应急物资管理平台，搭建县级应急物资信息化管理系统，实现物资储备、调拨、使用、回收全流程信息化管控；安排专人负责系统维护，实时更新物资数据，确保账物相符、信息准确；推广使用信息化手段开展物资盘点、调度，提升保障效率；加强数据保密管理，严禁泄露物资储备和保障相关敏感信息。</w:t>
      </w:r>
    </w:p>
    <w:p w14:paraId="00F2FB6E">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3" w:name="_Toc6294"/>
      <w:r>
        <w:rPr>
          <w:rFonts w:hint="eastAsia" w:ascii="楷体" w:hAnsi="楷体" w:eastAsia="楷体" w:cs="楷体"/>
          <w:snapToGrid/>
          <w:kern w:val="2"/>
          <w:sz w:val="32"/>
          <w:szCs w:val="32"/>
          <w:lang w:val="en-US" w:eastAsia="zh-CN"/>
        </w:rPr>
        <w:t>5.5 资金保障</w:t>
      </w:r>
      <w:bookmarkEnd w:id="33"/>
    </w:p>
    <w:p w14:paraId="0F6CA4A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县财政局将应急物资采购、储备、运维、调运、征用补偿等资金列入年度财政预算，足额保障；建立应急资金快速拨付机制，突发事件发生后第一时间拨付保障资金；落实税收优惠政策，鼓励企业、社会组织参与应急物资保障；严格资金使用监管，确保专款专用，提高资金使用效益。</w:t>
      </w:r>
    </w:p>
    <w:p w14:paraId="089C8CF6">
      <w:pPr>
        <w:keepNext w:val="0"/>
        <w:keepLines w:val="0"/>
        <w:pageBreakBefore w:val="0"/>
        <w:widowControl w:val="0"/>
        <w:kinsoku/>
        <w:wordWrap/>
        <w:overflowPunct/>
        <w:bidi w:val="0"/>
        <w:adjustRightInd w:val="0"/>
        <w:snapToGrid w:val="0"/>
        <w:spacing w:line="560" w:lineRule="exact"/>
        <w:ind w:left="0" w:leftChars="0" w:firstLine="608" w:firstLineChars="200"/>
        <w:jc w:val="both"/>
        <w:outlineLvl w:val="0"/>
        <w:rPr>
          <w:rFonts w:hint="eastAsia" w:ascii="黑体" w:hAnsi="黑体" w:eastAsia="黑体" w:cs="黑体"/>
          <w:b w:val="0"/>
          <w:bCs w:val="0"/>
          <w:spacing w:val="-8"/>
          <w:sz w:val="32"/>
          <w:szCs w:val="32"/>
          <w:lang w:val="en-US" w:eastAsia="zh-CN"/>
        </w:rPr>
      </w:pPr>
      <w:bookmarkStart w:id="34" w:name="_Toc25274"/>
      <w:r>
        <w:rPr>
          <w:rFonts w:hint="eastAsia" w:ascii="黑体" w:hAnsi="黑体" w:eastAsia="黑体" w:cs="黑体"/>
          <w:b w:val="0"/>
          <w:bCs w:val="0"/>
          <w:spacing w:val="-8"/>
          <w:sz w:val="32"/>
          <w:szCs w:val="32"/>
          <w:lang w:val="en-US" w:eastAsia="zh-CN"/>
        </w:rPr>
        <w:t>7.附则</w:t>
      </w:r>
      <w:bookmarkEnd w:id="34"/>
    </w:p>
    <w:p w14:paraId="45970F83">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5" w:name="_Toc17493"/>
      <w:r>
        <w:rPr>
          <w:rFonts w:hint="eastAsia" w:ascii="楷体" w:hAnsi="楷体" w:eastAsia="楷体" w:cs="楷体"/>
          <w:snapToGrid/>
          <w:kern w:val="2"/>
          <w:sz w:val="32"/>
          <w:szCs w:val="32"/>
          <w:lang w:val="en-US" w:eastAsia="zh-CN"/>
        </w:rPr>
        <w:t>7.1 预案编制</w:t>
      </w:r>
      <w:bookmarkEnd w:id="35"/>
    </w:p>
    <w:p w14:paraId="324A454A">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本预案由县应急局负责牵头编制，并根据实际情况及时更新和修订。有关部门要根据本预案，结合本单位情况，制定相应的突发事件应急物资应急保障预案。</w:t>
      </w:r>
      <w:r>
        <w:rPr>
          <w:rFonts w:hint="eastAsia" w:ascii="Times New Roman" w:hAnsi="Times New Roman" w:eastAsia="仿宋_GB2312" w:cs="Times New Roman"/>
          <w:snapToGrid/>
          <w:kern w:val="2"/>
          <w:sz w:val="32"/>
          <w:szCs w:val="32"/>
          <w:lang w:val="en-US" w:eastAsia="zh-CN"/>
        </w:rPr>
        <w:t>本预案由县应急局负责具体解释工作。</w:t>
      </w:r>
    </w:p>
    <w:p w14:paraId="4FAE64E7">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6" w:name="_Toc15844"/>
      <w:r>
        <w:rPr>
          <w:rFonts w:hint="eastAsia" w:ascii="楷体" w:hAnsi="楷体" w:eastAsia="楷体" w:cs="楷体"/>
          <w:snapToGrid/>
          <w:kern w:val="2"/>
          <w:sz w:val="32"/>
          <w:szCs w:val="32"/>
          <w:lang w:val="en-US" w:eastAsia="zh-CN"/>
        </w:rPr>
        <w:t>7.2 预案培训与演练</w:t>
      </w:r>
      <w:bookmarkEnd w:id="36"/>
    </w:p>
    <w:p w14:paraId="1587CD1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应急办牵头制定预案培训计划，定期组织各成员单位、镇（街道）物资保障人员开展培训，讲解预案流程、职责分工、实操规范；结合本县灾害特点，每3年至少组织一次全县应急物资保障演练，重点演练物资调拨、运输、分发、回收等环节，提升预案实操性和协同保障能力；演练后及时总结评估，优化预案流程。</w:t>
      </w:r>
    </w:p>
    <w:p w14:paraId="0A9C3160">
      <w:pPr>
        <w:keepNext w:val="0"/>
        <w:keepLines w:val="0"/>
        <w:pageBreakBefore w:val="0"/>
        <w:widowControl w:val="0"/>
        <w:kinsoku/>
        <w:wordWrap/>
        <w:overflowPunct/>
        <w:bidi w:val="0"/>
        <w:adjustRightInd w:val="0"/>
        <w:snapToGrid w:val="0"/>
        <w:spacing w:line="560" w:lineRule="exact"/>
        <w:ind w:left="0" w:leftChars="0" w:firstLine="608" w:firstLineChars="200"/>
        <w:jc w:val="both"/>
        <w:outlineLvl w:val="0"/>
        <w:rPr>
          <w:rFonts w:hint="default" w:ascii="黑体" w:hAnsi="黑体" w:eastAsia="黑体" w:cs="黑体"/>
          <w:b w:val="0"/>
          <w:bCs w:val="0"/>
          <w:spacing w:val="-8"/>
          <w:sz w:val="32"/>
          <w:szCs w:val="32"/>
          <w:lang w:val="en-US" w:eastAsia="zh-CN"/>
        </w:rPr>
      </w:pPr>
      <w:bookmarkStart w:id="37" w:name="_Toc6850"/>
      <w:r>
        <w:rPr>
          <w:rFonts w:hint="eastAsia" w:ascii="黑体" w:hAnsi="黑体" w:eastAsia="黑体" w:cs="黑体"/>
          <w:b w:val="0"/>
          <w:bCs w:val="0"/>
          <w:spacing w:val="-8"/>
          <w:sz w:val="32"/>
          <w:szCs w:val="32"/>
          <w:lang w:val="en-US" w:eastAsia="zh-CN"/>
        </w:rPr>
        <w:t>8.附则</w:t>
      </w:r>
      <w:bookmarkEnd w:id="37"/>
    </w:p>
    <w:p w14:paraId="2F8A14F5">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8" w:name="_Toc31092"/>
      <w:r>
        <w:rPr>
          <w:rFonts w:hint="eastAsia" w:ascii="楷体" w:hAnsi="楷体" w:eastAsia="楷体" w:cs="楷体"/>
          <w:snapToGrid/>
          <w:kern w:val="2"/>
          <w:sz w:val="32"/>
          <w:szCs w:val="32"/>
          <w:lang w:val="en-US" w:eastAsia="zh-CN"/>
        </w:rPr>
        <w:t>8.1 术语解释</w:t>
      </w:r>
      <w:bookmarkEnd w:id="38"/>
    </w:p>
    <w:p w14:paraId="3C819C5E">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本预案所称应急物资，是指用于应对各类突发事件的生活保障类、抢险救援类、医疗卫生类、应急处置类等专用物资。</w:t>
      </w:r>
    </w:p>
    <w:p w14:paraId="4D64FCC8">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39" w:name="_Toc18345"/>
      <w:r>
        <w:rPr>
          <w:rFonts w:hint="eastAsia" w:ascii="楷体" w:hAnsi="楷体" w:eastAsia="楷体" w:cs="楷体"/>
          <w:snapToGrid/>
          <w:kern w:val="2"/>
          <w:sz w:val="32"/>
          <w:szCs w:val="32"/>
          <w:lang w:val="en-US" w:eastAsia="zh-CN"/>
        </w:rPr>
        <w:t>8.2 奖励与责任追究</w:t>
      </w:r>
      <w:bookmarkEnd w:id="39"/>
    </w:p>
    <w:p w14:paraId="3DFA041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在应急物资保障工作中表现突出、成效显著的单位和个人，县委、县政府按规定予以表彰奖励；对工作不力、推诿扯皮、失职渎职，导致物资保障不到位、造成严重损失的，依规依纪追究相关单位和人员责任；存在截留、挤占、挪用、贪污应急物资和资金，以及哄抬物价、制售假冒伪劣应急物资等违法行为的，依法依规严肃处理；构成犯罪的，移交司法机关追究刑事责任。</w:t>
      </w:r>
      <w:bookmarkStart w:id="40" w:name="_Toc27904"/>
      <w:bookmarkStart w:id="41" w:name="_Toc15890"/>
    </w:p>
    <w:p w14:paraId="54D12AB3">
      <w:pPr>
        <w:keepNext w:val="0"/>
        <w:keepLines w:val="0"/>
        <w:pageBreakBefore w:val="0"/>
        <w:widowControl w:val="0"/>
        <w:kinsoku/>
        <w:wordWrap/>
        <w:overflowPunct/>
        <w:autoSpaceDE/>
        <w:autoSpaceDN/>
        <w:bidi w:val="0"/>
        <w:adjustRightInd w:val="0"/>
        <w:snapToGrid w:val="0"/>
        <w:spacing w:line="560" w:lineRule="exact"/>
        <w:ind w:left="0" w:leftChars="0" w:firstLine="640" w:firstLineChars="200"/>
        <w:jc w:val="both"/>
        <w:textAlignment w:val="auto"/>
        <w:outlineLvl w:val="1"/>
        <w:rPr>
          <w:rFonts w:hint="eastAsia" w:ascii="楷体" w:hAnsi="楷体" w:eastAsia="楷体" w:cs="楷体"/>
          <w:snapToGrid/>
          <w:kern w:val="2"/>
          <w:sz w:val="32"/>
          <w:szCs w:val="32"/>
          <w:lang w:val="en-US" w:eastAsia="zh-CN"/>
        </w:rPr>
      </w:pPr>
      <w:bookmarkStart w:id="42" w:name="_Toc32668"/>
      <w:r>
        <w:rPr>
          <w:rFonts w:hint="eastAsia" w:ascii="楷体" w:hAnsi="楷体" w:eastAsia="楷体" w:cs="楷体"/>
          <w:snapToGrid/>
          <w:kern w:val="2"/>
          <w:sz w:val="32"/>
          <w:szCs w:val="32"/>
          <w:lang w:val="en-US" w:eastAsia="zh-CN"/>
        </w:rPr>
        <w:t>8.3 预案实施</w:t>
      </w:r>
      <w:bookmarkEnd w:id="40"/>
      <w:bookmarkEnd w:id="41"/>
      <w:bookmarkEnd w:id="42"/>
    </w:p>
    <w:p w14:paraId="6BF42026">
      <w:pPr>
        <w:keepNext w:val="0"/>
        <w:keepLines w:val="0"/>
        <w:pageBreakBefore w:val="0"/>
        <w:widowControl w:val="0"/>
        <w:kinsoku/>
        <w:wordWrap/>
        <w:overflowPunct w:val="0"/>
        <w:autoSpaceDE/>
        <w:autoSpaceDN/>
        <w:bidi w:val="0"/>
        <w:adjustRightInd w:val="0"/>
        <w:snapToGrid w:val="0"/>
        <w:spacing w:line="560" w:lineRule="exact"/>
        <w:ind w:left="0" w:leftChars="0" w:firstLine="640" w:firstLineChars="200"/>
        <w:jc w:val="both"/>
        <w:textAlignment w:val="auto"/>
        <w:rPr>
          <w:rFonts w:hint="eastAsia" w:ascii="Times New Roman" w:hAnsi="Times New Roman" w:eastAsia="仿宋_GB2312" w:cs="Times New Roman"/>
          <w:snapToGrid/>
          <w:kern w:val="2"/>
          <w:sz w:val="32"/>
          <w:szCs w:val="32"/>
          <w:lang w:val="en-US" w:eastAsia="zh-CN"/>
        </w:rPr>
      </w:pPr>
      <w:r>
        <w:rPr>
          <w:rFonts w:hint="eastAsia" w:ascii="Times New Roman" w:hAnsi="Times New Roman" w:eastAsia="仿宋_GB2312" w:cs="Times New Roman"/>
          <w:snapToGrid/>
          <w:kern w:val="2"/>
          <w:sz w:val="32"/>
          <w:szCs w:val="32"/>
          <w:lang w:val="en-US" w:eastAsia="zh-CN"/>
        </w:rPr>
        <w:t>本预案自发布之日起施行。</w:t>
      </w:r>
    </w:p>
    <w:p w14:paraId="36BEFEA5">
      <w:pPr>
        <w:pStyle w:val="2"/>
        <w:rPr>
          <w:rFonts w:hint="default"/>
          <w:lang w:val="en-US" w:eastAsia="zh-CN"/>
        </w:rPr>
      </w:pPr>
    </w:p>
    <w:sectPr>
      <w:footerReference r:id="rId12"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08B434-139B-4B7A-B058-B2E076B856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EFB2BBAF-F256-4BAD-A896-DA74921E1C27}"/>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embedRegular r:id="rId3" w:fontKey="{02BD4320-E476-4D35-B6BC-93990A34A976}"/>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F04E0">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429B2A">
    <w:pPr>
      <w:pStyle w:val="8"/>
      <w:framePr w:wrap="around" w:vAnchor="text" w:hAnchor="margin" w:xAlign="outside" w:y="1"/>
      <w:rPr>
        <w:rStyle w:val="16"/>
      </w:rPr>
    </w:pPr>
    <w:r>
      <w:fldChar w:fldCharType="begin"/>
    </w:r>
    <w:r>
      <w:rPr>
        <w:rStyle w:val="16"/>
      </w:rPr>
      <w:instrText xml:space="preserve">PAGE  </w:instrText>
    </w:r>
    <w:r>
      <w:fldChar w:fldCharType="end"/>
    </w:r>
  </w:p>
  <w:p w14:paraId="3CB1D50F">
    <w:pPr>
      <w:pStyle w:val="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193D93">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A0C3B0">
    <w:pPr>
      <w:spacing w:before="1" w:line="232" w:lineRule="auto"/>
      <w:rPr>
        <w:rFonts w:ascii="宋体" w:hAnsi="宋体" w:eastAsia="宋体" w:cs="宋体"/>
        <w:sz w:val="28"/>
        <w:szCs w:val="2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193BB">
    <w:pPr>
      <w:spacing w:before="1" w:line="232" w:lineRule="auto"/>
      <w:rPr>
        <w:rFonts w:ascii="宋体" w:hAnsi="宋体" w:eastAsia="宋体" w:cs="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258A99">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r>
                            <w:rPr>
                              <w:rFonts w:hint="default" w:ascii="Times New Roman" w:hAnsi="Times New Roman" w:cs="Times New Roman"/>
                              <w:sz w:val="28"/>
                              <w:szCs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1258A99">
                    <w:pPr>
                      <w:pStyle w:val="8"/>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1</w:t>
                    </w:r>
                    <w:r>
                      <w:rPr>
                        <w:rFonts w:hint="default" w:ascii="Times New Roman" w:hAnsi="Times New Roman" w:cs="Times New Roman"/>
                        <w:sz w:val="32"/>
                        <w:szCs w:val="32"/>
                      </w:rPr>
                      <w:fldChar w:fldCharType="end"/>
                    </w:r>
                    <w:r>
                      <w:rPr>
                        <w:rFonts w:hint="default" w:ascii="Times New Roman" w:hAnsi="Times New Roman" w:cs="Times New Roman"/>
                        <w:sz w:val="32"/>
                        <w:szCs w:val="32"/>
                      </w:rPr>
                      <w:t xml:space="preserve"> </w:t>
                    </w:r>
                    <w:r>
                      <w:rPr>
                        <w:rFonts w:hint="default" w:ascii="Times New Roman" w:hAnsi="Times New Roman" w:cs="Times New Roman"/>
                        <w:sz w:val="28"/>
                        <w:szCs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563A0">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703DE">
    <w:pPr>
      <w:pStyle w:val="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90DBC">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F23CE"/>
    <w:rsid w:val="0069744B"/>
    <w:rsid w:val="008D313A"/>
    <w:rsid w:val="00A42231"/>
    <w:rsid w:val="00E635CE"/>
    <w:rsid w:val="00FA5CBC"/>
    <w:rsid w:val="013C690E"/>
    <w:rsid w:val="019A4DC3"/>
    <w:rsid w:val="02274EC8"/>
    <w:rsid w:val="022E26FA"/>
    <w:rsid w:val="02497AEA"/>
    <w:rsid w:val="02741713"/>
    <w:rsid w:val="028E4F47"/>
    <w:rsid w:val="02D07463"/>
    <w:rsid w:val="02D36DFE"/>
    <w:rsid w:val="02FE4CD0"/>
    <w:rsid w:val="030546FA"/>
    <w:rsid w:val="034A70C0"/>
    <w:rsid w:val="0374413D"/>
    <w:rsid w:val="037B371D"/>
    <w:rsid w:val="03C27DCE"/>
    <w:rsid w:val="041651F4"/>
    <w:rsid w:val="042042C5"/>
    <w:rsid w:val="04324015"/>
    <w:rsid w:val="046027B8"/>
    <w:rsid w:val="047563BF"/>
    <w:rsid w:val="04A60F90"/>
    <w:rsid w:val="04AD7C70"/>
    <w:rsid w:val="04F03C97"/>
    <w:rsid w:val="051D1777"/>
    <w:rsid w:val="051F30EB"/>
    <w:rsid w:val="05681356"/>
    <w:rsid w:val="056A3A4A"/>
    <w:rsid w:val="05B253F0"/>
    <w:rsid w:val="05BE78F1"/>
    <w:rsid w:val="05BF4603"/>
    <w:rsid w:val="0636392C"/>
    <w:rsid w:val="065A0D12"/>
    <w:rsid w:val="06915006"/>
    <w:rsid w:val="069F644D"/>
    <w:rsid w:val="06C929F2"/>
    <w:rsid w:val="06D118A6"/>
    <w:rsid w:val="071D53FA"/>
    <w:rsid w:val="072F35A2"/>
    <w:rsid w:val="0774295E"/>
    <w:rsid w:val="078300FA"/>
    <w:rsid w:val="078B7CA7"/>
    <w:rsid w:val="07AF3996"/>
    <w:rsid w:val="07F7533D"/>
    <w:rsid w:val="08465723"/>
    <w:rsid w:val="087A63D0"/>
    <w:rsid w:val="088421CE"/>
    <w:rsid w:val="08FD6983"/>
    <w:rsid w:val="09385C0D"/>
    <w:rsid w:val="096D1D5A"/>
    <w:rsid w:val="09C917B0"/>
    <w:rsid w:val="09D75426"/>
    <w:rsid w:val="0A4F1460"/>
    <w:rsid w:val="0AA01CBB"/>
    <w:rsid w:val="0AB87005"/>
    <w:rsid w:val="0AD81455"/>
    <w:rsid w:val="0B016BFE"/>
    <w:rsid w:val="0B250E6B"/>
    <w:rsid w:val="0B330D82"/>
    <w:rsid w:val="0B8D1773"/>
    <w:rsid w:val="0B9050D0"/>
    <w:rsid w:val="0B943592"/>
    <w:rsid w:val="0C05605E"/>
    <w:rsid w:val="0C0D15D3"/>
    <w:rsid w:val="0C1B3FA7"/>
    <w:rsid w:val="0C1B5A9E"/>
    <w:rsid w:val="0CA85B84"/>
    <w:rsid w:val="0CBD6B55"/>
    <w:rsid w:val="0CE045F1"/>
    <w:rsid w:val="0CE9663A"/>
    <w:rsid w:val="0D1F511A"/>
    <w:rsid w:val="0D314E4D"/>
    <w:rsid w:val="0D4F1B22"/>
    <w:rsid w:val="0D725B91"/>
    <w:rsid w:val="0D7F02AE"/>
    <w:rsid w:val="0DCB34F3"/>
    <w:rsid w:val="0DCE6B40"/>
    <w:rsid w:val="0DE87195"/>
    <w:rsid w:val="0DEA6956"/>
    <w:rsid w:val="0E4F1A2E"/>
    <w:rsid w:val="0E651252"/>
    <w:rsid w:val="0E7D5310"/>
    <w:rsid w:val="0E9C060E"/>
    <w:rsid w:val="0E9E4764"/>
    <w:rsid w:val="0EBE6C53"/>
    <w:rsid w:val="0F693D05"/>
    <w:rsid w:val="0FD96366"/>
    <w:rsid w:val="10790FE5"/>
    <w:rsid w:val="108E1F08"/>
    <w:rsid w:val="10A6256B"/>
    <w:rsid w:val="10C2298C"/>
    <w:rsid w:val="10E94AC2"/>
    <w:rsid w:val="110A7E8F"/>
    <w:rsid w:val="1113541C"/>
    <w:rsid w:val="112D6672"/>
    <w:rsid w:val="11407D54"/>
    <w:rsid w:val="117D3A12"/>
    <w:rsid w:val="123C051C"/>
    <w:rsid w:val="12434F9C"/>
    <w:rsid w:val="12D8788B"/>
    <w:rsid w:val="12FB3F33"/>
    <w:rsid w:val="130C6140"/>
    <w:rsid w:val="133E02C4"/>
    <w:rsid w:val="138F0B1F"/>
    <w:rsid w:val="13A22600"/>
    <w:rsid w:val="13E44CBD"/>
    <w:rsid w:val="13F82B68"/>
    <w:rsid w:val="14180615"/>
    <w:rsid w:val="14496F20"/>
    <w:rsid w:val="14B20F69"/>
    <w:rsid w:val="14D97CB9"/>
    <w:rsid w:val="15221E3A"/>
    <w:rsid w:val="15915022"/>
    <w:rsid w:val="15C54CCC"/>
    <w:rsid w:val="15DD36D8"/>
    <w:rsid w:val="15F80BFE"/>
    <w:rsid w:val="16492CA1"/>
    <w:rsid w:val="16500A3A"/>
    <w:rsid w:val="167A73B7"/>
    <w:rsid w:val="16CB5C81"/>
    <w:rsid w:val="174114E0"/>
    <w:rsid w:val="17B615BD"/>
    <w:rsid w:val="17EF7DDE"/>
    <w:rsid w:val="185112B8"/>
    <w:rsid w:val="1857615A"/>
    <w:rsid w:val="18622CA6"/>
    <w:rsid w:val="186D58D3"/>
    <w:rsid w:val="18B20022"/>
    <w:rsid w:val="19037FE5"/>
    <w:rsid w:val="19444B5F"/>
    <w:rsid w:val="195C5644"/>
    <w:rsid w:val="19793E03"/>
    <w:rsid w:val="19B47531"/>
    <w:rsid w:val="1A0A0EFF"/>
    <w:rsid w:val="1A2C356C"/>
    <w:rsid w:val="1A3B1496"/>
    <w:rsid w:val="1A5A3C35"/>
    <w:rsid w:val="1AF210E2"/>
    <w:rsid w:val="1AFA66D4"/>
    <w:rsid w:val="1B102545"/>
    <w:rsid w:val="1B245FF1"/>
    <w:rsid w:val="1B27066B"/>
    <w:rsid w:val="1B35027A"/>
    <w:rsid w:val="1B4B17D0"/>
    <w:rsid w:val="1BC82E20"/>
    <w:rsid w:val="1BE10EA6"/>
    <w:rsid w:val="1C6074FD"/>
    <w:rsid w:val="1C7A3685"/>
    <w:rsid w:val="1C8E7BC6"/>
    <w:rsid w:val="1CC63804"/>
    <w:rsid w:val="1D0B7468"/>
    <w:rsid w:val="1D7A555D"/>
    <w:rsid w:val="1D9656DC"/>
    <w:rsid w:val="1DBB16FD"/>
    <w:rsid w:val="1DDD721A"/>
    <w:rsid w:val="1E0A7E55"/>
    <w:rsid w:val="1E0C16EA"/>
    <w:rsid w:val="1E1D56A5"/>
    <w:rsid w:val="1E311151"/>
    <w:rsid w:val="1E62755C"/>
    <w:rsid w:val="1E9D2342"/>
    <w:rsid w:val="1ED02718"/>
    <w:rsid w:val="1F204D21"/>
    <w:rsid w:val="1F925C1F"/>
    <w:rsid w:val="1F947BE9"/>
    <w:rsid w:val="1FAD2A59"/>
    <w:rsid w:val="1FE10954"/>
    <w:rsid w:val="203521F9"/>
    <w:rsid w:val="20A13AD8"/>
    <w:rsid w:val="20B9542D"/>
    <w:rsid w:val="213B4094"/>
    <w:rsid w:val="217557F8"/>
    <w:rsid w:val="21A41C3A"/>
    <w:rsid w:val="21A61FC4"/>
    <w:rsid w:val="21B04A82"/>
    <w:rsid w:val="21C67E02"/>
    <w:rsid w:val="2265761B"/>
    <w:rsid w:val="227930C6"/>
    <w:rsid w:val="22D02936"/>
    <w:rsid w:val="22ED19A4"/>
    <w:rsid w:val="23130E25"/>
    <w:rsid w:val="23295AED"/>
    <w:rsid w:val="23BB3D61"/>
    <w:rsid w:val="244A4D1A"/>
    <w:rsid w:val="244F2331"/>
    <w:rsid w:val="25227A45"/>
    <w:rsid w:val="25431D19"/>
    <w:rsid w:val="256811AE"/>
    <w:rsid w:val="2624038B"/>
    <w:rsid w:val="263A07D0"/>
    <w:rsid w:val="267C4F33"/>
    <w:rsid w:val="278422F1"/>
    <w:rsid w:val="27985D9D"/>
    <w:rsid w:val="27D25752"/>
    <w:rsid w:val="28397580"/>
    <w:rsid w:val="284B2E0F"/>
    <w:rsid w:val="287A36F4"/>
    <w:rsid w:val="288033C3"/>
    <w:rsid w:val="28B27332"/>
    <w:rsid w:val="28CF1C92"/>
    <w:rsid w:val="296C74E1"/>
    <w:rsid w:val="29D76728"/>
    <w:rsid w:val="2A5C1303"/>
    <w:rsid w:val="2A765AFD"/>
    <w:rsid w:val="2AA82658"/>
    <w:rsid w:val="2AE009D9"/>
    <w:rsid w:val="2B6F2C13"/>
    <w:rsid w:val="2B766A7C"/>
    <w:rsid w:val="2BC74EA2"/>
    <w:rsid w:val="2C1A76C8"/>
    <w:rsid w:val="2C5030EA"/>
    <w:rsid w:val="2C970D19"/>
    <w:rsid w:val="2CAD4098"/>
    <w:rsid w:val="2CF9552F"/>
    <w:rsid w:val="2D03015C"/>
    <w:rsid w:val="2D1F486A"/>
    <w:rsid w:val="2D6729DE"/>
    <w:rsid w:val="2D8F7C42"/>
    <w:rsid w:val="2DA51213"/>
    <w:rsid w:val="2DD6025F"/>
    <w:rsid w:val="2E1075AE"/>
    <w:rsid w:val="2E126BC6"/>
    <w:rsid w:val="2E3031D3"/>
    <w:rsid w:val="2E426A62"/>
    <w:rsid w:val="2E4D60BC"/>
    <w:rsid w:val="2E5A1FFE"/>
    <w:rsid w:val="2E9C43C4"/>
    <w:rsid w:val="2EFF35B6"/>
    <w:rsid w:val="2F63428C"/>
    <w:rsid w:val="2FD1532A"/>
    <w:rsid w:val="302A5E34"/>
    <w:rsid w:val="305B3A07"/>
    <w:rsid w:val="308570DA"/>
    <w:rsid w:val="30997731"/>
    <w:rsid w:val="30B71989"/>
    <w:rsid w:val="30C47C02"/>
    <w:rsid w:val="30F85AFE"/>
    <w:rsid w:val="31014620"/>
    <w:rsid w:val="31126CE6"/>
    <w:rsid w:val="31647A1E"/>
    <w:rsid w:val="31BB2DB3"/>
    <w:rsid w:val="31FC33CC"/>
    <w:rsid w:val="32AB107A"/>
    <w:rsid w:val="32AC4DF2"/>
    <w:rsid w:val="331309CD"/>
    <w:rsid w:val="331A77C2"/>
    <w:rsid w:val="33294694"/>
    <w:rsid w:val="339C09C3"/>
    <w:rsid w:val="34681CD8"/>
    <w:rsid w:val="3474193F"/>
    <w:rsid w:val="34873898"/>
    <w:rsid w:val="34AD3D69"/>
    <w:rsid w:val="34D80120"/>
    <w:rsid w:val="35040F15"/>
    <w:rsid w:val="35101668"/>
    <w:rsid w:val="351C000D"/>
    <w:rsid w:val="35466E38"/>
    <w:rsid w:val="357D65D2"/>
    <w:rsid w:val="35A40002"/>
    <w:rsid w:val="35EA0E10"/>
    <w:rsid w:val="36F17902"/>
    <w:rsid w:val="3715740A"/>
    <w:rsid w:val="373533F1"/>
    <w:rsid w:val="37403D5B"/>
    <w:rsid w:val="378219F7"/>
    <w:rsid w:val="378B3228"/>
    <w:rsid w:val="37B13D5B"/>
    <w:rsid w:val="381D64B7"/>
    <w:rsid w:val="385B0E4C"/>
    <w:rsid w:val="386C3059"/>
    <w:rsid w:val="38AE308F"/>
    <w:rsid w:val="38BB7B3D"/>
    <w:rsid w:val="38C149C3"/>
    <w:rsid w:val="3911775D"/>
    <w:rsid w:val="394713D0"/>
    <w:rsid w:val="39623296"/>
    <w:rsid w:val="399F745E"/>
    <w:rsid w:val="39B85063"/>
    <w:rsid w:val="39BC591B"/>
    <w:rsid w:val="3A033549"/>
    <w:rsid w:val="3A802DEC"/>
    <w:rsid w:val="3AC727C9"/>
    <w:rsid w:val="3AD43138"/>
    <w:rsid w:val="3AEA68B7"/>
    <w:rsid w:val="3AEC222F"/>
    <w:rsid w:val="3B4A4316"/>
    <w:rsid w:val="3B5129DA"/>
    <w:rsid w:val="3B735CD2"/>
    <w:rsid w:val="3B7364AD"/>
    <w:rsid w:val="3B787F67"/>
    <w:rsid w:val="3BBF7944"/>
    <w:rsid w:val="3C8F0D40"/>
    <w:rsid w:val="3C9E6EDF"/>
    <w:rsid w:val="3C9F3165"/>
    <w:rsid w:val="3CF03B2D"/>
    <w:rsid w:val="3D007D17"/>
    <w:rsid w:val="3D1617E6"/>
    <w:rsid w:val="3D6C7658"/>
    <w:rsid w:val="3D930C1E"/>
    <w:rsid w:val="3DBF3C2B"/>
    <w:rsid w:val="3E7F33BB"/>
    <w:rsid w:val="3EA80B63"/>
    <w:rsid w:val="3EB4772B"/>
    <w:rsid w:val="3EE33949"/>
    <w:rsid w:val="3F1B741F"/>
    <w:rsid w:val="3F3B5533"/>
    <w:rsid w:val="3F5A2E5F"/>
    <w:rsid w:val="3F5B5BD6"/>
    <w:rsid w:val="3F7E3672"/>
    <w:rsid w:val="3F7E650B"/>
    <w:rsid w:val="3F877722"/>
    <w:rsid w:val="3F966C0E"/>
    <w:rsid w:val="3FC25C55"/>
    <w:rsid w:val="3FE200A5"/>
    <w:rsid w:val="3FF676AC"/>
    <w:rsid w:val="3FF9126D"/>
    <w:rsid w:val="4012098A"/>
    <w:rsid w:val="403D52DB"/>
    <w:rsid w:val="40775F49"/>
    <w:rsid w:val="40A70257"/>
    <w:rsid w:val="40CD2B03"/>
    <w:rsid w:val="40D73D5F"/>
    <w:rsid w:val="40F260C6"/>
    <w:rsid w:val="41120516"/>
    <w:rsid w:val="411A2C84"/>
    <w:rsid w:val="412B6BB5"/>
    <w:rsid w:val="417B255F"/>
    <w:rsid w:val="41B810BD"/>
    <w:rsid w:val="41C45CB4"/>
    <w:rsid w:val="41D37CA5"/>
    <w:rsid w:val="41E81277"/>
    <w:rsid w:val="42084A18"/>
    <w:rsid w:val="421D3616"/>
    <w:rsid w:val="422624CB"/>
    <w:rsid w:val="42554B5E"/>
    <w:rsid w:val="42A41642"/>
    <w:rsid w:val="430622FC"/>
    <w:rsid w:val="431272F0"/>
    <w:rsid w:val="43C31F9B"/>
    <w:rsid w:val="43C81360"/>
    <w:rsid w:val="43D47D05"/>
    <w:rsid w:val="43E268C5"/>
    <w:rsid w:val="43E77A38"/>
    <w:rsid w:val="43F026AF"/>
    <w:rsid w:val="441647C1"/>
    <w:rsid w:val="442567B2"/>
    <w:rsid w:val="44295185"/>
    <w:rsid w:val="44531571"/>
    <w:rsid w:val="447B0A98"/>
    <w:rsid w:val="45343151"/>
    <w:rsid w:val="45667082"/>
    <w:rsid w:val="457E617A"/>
    <w:rsid w:val="45941E41"/>
    <w:rsid w:val="460E39A2"/>
    <w:rsid w:val="4618037D"/>
    <w:rsid w:val="464A32B7"/>
    <w:rsid w:val="4670640B"/>
    <w:rsid w:val="46E14C12"/>
    <w:rsid w:val="46E44A1C"/>
    <w:rsid w:val="471634EF"/>
    <w:rsid w:val="47394DFA"/>
    <w:rsid w:val="4750669E"/>
    <w:rsid w:val="476D46F8"/>
    <w:rsid w:val="47906638"/>
    <w:rsid w:val="47A520E4"/>
    <w:rsid w:val="4855757D"/>
    <w:rsid w:val="486B1B3A"/>
    <w:rsid w:val="487108F9"/>
    <w:rsid w:val="48816B5F"/>
    <w:rsid w:val="48897310"/>
    <w:rsid w:val="48CB5DDB"/>
    <w:rsid w:val="48F36E7F"/>
    <w:rsid w:val="49135130"/>
    <w:rsid w:val="495F62C2"/>
    <w:rsid w:val="496F29A9"/>
    <w:rsid w:val="49D722FD"/>
    <w:rsid w:val="4A280C46"/>
    <w:rsid w:val="4A4551BE"/>
    <w:rsid w:val="4A91694F"/>
    <w:rsid w:val="4AC00FE3"/>
    <w:rsid w:val="4B050DFD"/>
    <w:rsid w:val="4B1B110F"/>
    <w:rsid w:val="4B7531CC"/>
    <w:rsid w:val="4B9C37FE"/>
    <w:rsid w:val="4BB837AC"/>
    <w:rsid w:val="4BDF193C"/>
    <w:rsid w:val="4C1E7B1E"/>
    <w:rsid w:val="4C76404F"/>
    <w:rsid w:val="4C8C0A39"/>
    <w:rsid w:val="4CCE1CCF"/>
    <w:rsid w:val="4CE0596C"/>
    <w:rsid w:val="4CFF4044"/>
    <w:rsid w:val="4D205E29"/>
    <w:rsid w:val="4D335BA4"/>
    <w:rsid w:val="4D862070"/>
    <w:rsid w:val="4DD21759"/>
    <w:rsid w:val="4E15789C"/>
    <w:rsid w:val="4E2D698F"/>
    <w:rsid w:val="4E564138"/>
    <w:rsid w:val="4E6B68DC"/>
    <w:rsid w:val="4EA50069"/>
    <w:rsid w:val="4ECE0172"/>
    <w:rsid w:val="4EDC3258"/>
    <w:rsid w:val="4F2B696A"/>
    <w:rsid w:val="4F52414B"/>
    <w:rsid w:val="4F8C3B89"/>
    <w:rsid w:val="4FB512C2"/>
    <w:rsid w:val="4FC155E1"/>
    <w:rsid w:val="4FEA157B"/>
    <w:rsid w:val="4FF260E2"/>
    <w:rsid w:val="50232045"/>
    <w:rsid w:val="506C186F"/>
    <w:rsid w:val="50D9042C"/>
    <w:rsid w:val="510065DD"/>
    <w:rsid w:val="51321A00"/>
    <w:rsid w:val="51695F30"/>
    <w:rsid w:val="517D5E7F"/>
    <w:rsid w:val="51D209DC"/>
    <w:rsid w:val="51F50689"/>
    <w:rsid w:val="52383CD0"/>
    <w:rsid w:val="523F5037"/>
    <w:rsid w:val="52497AA9"/>
    <w:rsid w:val="526F57C8"/>
    <w:rsid w:val="53277E51"/>
    <w:rsid w:val="532E5683"/>
    <w:rsid w:val="532F6D06"/>
    <w:rsid w:val="535D3873"/>
    <w:rsid w:val="536C1D08"/>
    <w:rsid w:val="53C25DCC"/>
    <w:rsid w:val="53C378F8"/>
    <w:rsid w:val="53C813E7"/>
    <w:rsid w:val="54306871"/>
    <w:rsid w:val="54C94F38"/>
    <w:rsid w:val="54DB61E1"/>
    <w:rsid w:val="5503317B"/>
    <w:rsid w:val="554F2BC3"/>
    <w:rsid w:val="555467FF"/>
    <w:rsid w:val="55F53089"/>
    <w:rsid w:val="560079AE"/>
    <w:rsid w:val="56026953"/>
    <w:rsid w:val="5641747C"/>
    <w:rsid w:val="56A45C5C"/>
    <w:rsid w:val="56C97471"/>
    <w:rsid w:val="57201787"/>
    <w:rsid w:val="572172AD"/>
    <w:rsid w:val="57BD6FD6"/>
    <w:rsid w:val="57FB35AE"/>
    <w:rsid w:val="580C5352"/>
    <w:rsid w:val="58230012"/>
    <w:rsid w:val="58247055"/>
    <w:rsid w:val="58BD7A53"/>
    <w:rsid w:val="58FD3402"/>
    <w:rsid w:val="59170968"/>
    <w:rsid w:val="59284923"/>
    <w:rsid w:val="59372DB8"/>
    <w:rsid w:val="5966544B"/>
    <w:rsid w:val="59A32DD2"/>
    <w:rsid w:val="59C572A5"/>
    <w:rsid w:val="5A455061"/>
    <w:rsid w:val="5A6E0A5B"/>
    <w:rsid w:val="5A6E45B7"/>
    <w:rsid w:val="5AC32B55"/>
    <w:rsid w:val="5B1213E7"/>
    <w:rsid w:val="5B8D6CBF"/>
    <w:rsid w:val="5B995664"/>
    <w:rsid w:val="5B9B5880"/>
    <w:rsid w:val="5BA34735"/>
    <w:rsid w:val="5BA81D4B"/>
    <w:rsid w:val="5BC22E0D"/>
    <w:rsid w:val="5BE74621"/>
    <w:rsid w:val="5C5C2D9B"/>
    <w:rsid w:val="5C811A3A"/>
    <w:rsid w:val="5CB12E81"/>
    <w:rsid w:val="5CE648D9"/>
    <w:rsid w:val="5CFF3BED"/>
    <w:rsid w:val="5D1B718C"/>
    <w:rsid w:val="5D445AA3"/>
    <w:rsid w:val="5DA30A1C"/>
    <w:rsid w:val="5DBB5D65"/>
    <w:rsid w:val="5DD72473"/>
    <w:rsid w:val="5DFD637E"/>
    <w:rsid w:val="5E3653EC"/>
    <w:rsid w:val="5E4C4C10"/>
    <w:rsid w:val="5E800D5D"/>
    <w:rsid w:val="5E824AD5"/>
    <w:rsid w:val="5EB033F0"/>
    <w:rsid w:val="5EBB1D95"/>
    <w:rsid w:val="5ECB647C"/>
    <w:rsid w:val="5ECE1AC8"/>
    <w:rsid w:val="5F061262"/>
    <w:rsid w:val="5F067E4A"/>
    <w:rsid w:val="5F5C01D8"/>
    <w:rsid w:val="5FA6034F"/>
    <w:rsid w:val="5FD4310E"/>
    <w:rsid w:val="5FE5356E"/>
    <w:rsid w:val="605E1725"/>
    <w:rsid w:val="60822B6A"/>
    <w:rsid w:val="60C73F1D"/>
    <w:rsid w:val="60CE4002"/>
    <w:rsid w:val="60EA0710"/>
    <w:rsid w:val="613D2F35"/>
    <w:rsid w:val="61532759"/>
    <w:rsid w:val="616E1341"/>
    <w:rsid w:val="61A7087A"/>
    <w:rsid w:val="61FB0BF2"/>
    <w:rsid w:val="62143C96"/>
    <w:rsid w:val="627269A1"/>
    <w:rsid w:val="629D5670"/>
    <w:rsid w:val="62BE3C02"/>
    <w:rsid w:val="62C03E1E"/>
    <w:rsid w:val="62C21944"/>
    <w:rsid w:val="62C23638"/>
    <w:rsid w:val="62DE3608"/>
    <w:rsid w:val="6329367A"/>
    <w:rsid w:val="63A4104A"/>
    <w:rsid w:val="63AA3121"/>
    <w:rsid w:val="63BD3EBA"/>
    <w:rsid w:val="63F21DB5"/>
    <w:rsid w:val="64065861"/>
    <w:rsid w:val="643F0C05"/>
    <w:rsid w:val="6488096B"/>
    <w:rsid w:val="6502071E"/>
    <w:rsid w:val="656F0784"/>
    <w:rsid w:val="65847385"/>
    <w:rsid w:val="65F76AA7"/>
    <w:rsid w:val="6632293D"/>
    <w:rsid w:val="66342B59"/>
    <w:rsid w:val="670D1E38"/>
    <w:rsid w:val="67112C45"/>
    <w:rsid w:val="67566AFF"/>
    <w:rsid w:val="676A6106"/>
    <w:rsid w:val="677613EA"/>
    <w:rsid w:val="679D64DC"/>
    <w:rsid w:val="67A72D76"/>
    <w:rsid w:val="67CD63BE"/>
    <w:rsid w:val="67E73BFB"/>
    <w:rsid w:val="685D400B"/>
    <w:rsid w:val="68774BB2"/>
    <w:rsid w:val="689618A9"/>
    <w:rsid w:val="68D93544"/>
    <w:rsid w:val="69000A2F"/>
    <w:rsid w:val="692A0243"/>
    <w:rsid w:val="692C7B17"/>
    <w:rsid w:val="69AC0C58"/>
    <w:rsid w:val="69C510D4"/>
    <w:rsid w:val="6A2627B9"/>
    <w:rsid w:val="6A7C5719"/>
    <w:rsid w:val="6A7D03A5"/>
    <w:rsid w:val="6AB73D58"/>
    <w:rsid w:val="6ACA583A"/>
    <w:rsid w:val="6B4C44A1"/>
    <w:rsid w:val="6B517D09"/>
    <w:rsid w:val="6B712159"/>
    <w:rsid w:val="6B777044"/>
    <w:rsid w:val="6B851761"/>
    <w:rsid w:val="6BA936A1"/>
    <w:rsid w:val="6BAE57F3"/>
    <w:rsid w:val="6BF32B6E"/>
    <w:rsid w:val="6BFF7884"/>
    <w:rsid w:val="6CD176D0"/>
    <w:rsid w:val="6D0752D9"/>
    <w:rsid w:val="6D125276"/>
    <w:rsid w:val="6D4F42A6"/>
    <w:rsid w:val="6D8F2D6B"/>
    <w:rsid w:val="6DDF7670"/>
    <w:rsid w:val="6DE210EC"/>
    <w:rsid w:val="6E0066B1"/>
    <w:rsid w:val="6E053030"/>
    <w:rsid w:val="6E1D3ED3"/>
    <w:rsid w:val="6E8C15E9"/>
    <w:rsid w:val="6E930639"/>
    <w:rsid w:val="6E9357AB"/>
    <w:rsid w:val="6ED4144E"/>
    <w:rsid w:val="6F0F5F11"/>
    <w:rsid w:val="6F975F07"/>
    <w:rsid w:val="6FC47F71"/>
    <w:rsid w:val="6FED2819"/>
    <w:rsid w:val="70235C73"/>
    <w:rsid w:val="702A17EF"/>
    <w:rsid w:val="706447A2"/>
    <w:rsid w:val="70645DE9"/>
    <w:rsid w:val="70755745"/>
    <w:rsid w:val="7089584F"/>
    <w:rsid w:val="70D24CB2"/>
    <w:rsid w:val="70F52EE5"/>
    <w:rsid w:val="70F80C27"/>
    <w:rsid w:val="71246781"/>
    <w:rsid w:val="71431EA2"/>
    <w:rsid w:val="71566079"/>
    <w:rsid w:val="7189187F"/>
    <w:rsid w:val="718B55F7"/>
    <w:rsid w:val="71AB7A47"/>
    <w:rsid w:val="71B763EC"/>
    <w:rsid w:val="71C64881"/>
    <w:rsid w:val="722A4E10"/>
    <w:rsid w:val="723B701D"/>
    <w:rsid w:val="726A345E"/>
    <w:rsid w:val="72A46970"/>
    <w:rsid w:val="734412AF"/>
    <w:rsid w:val="735848C0"/>
    <w:rsid w:val="73994ACC"/>
    <w:rsid w:val="74367A9C"/>
    <w:rsid w:val="74AD389A"/>
    <w:rsid w:val="74CD2C40"/>
    <w:rsid w:val="74F35D48"/>
    <w:rsid w:val="75404290"/>
    <w:rsid w:val="75C6254A"/>
    <w:rsid w:val="76402E54"/>
    <w:rsid w:val="765468FF"/>
    <w:rsid w:val="76792E50"/>
    <w:rsid w:val="768377DB"/>
    <w:rsid w:val="76A24778"/>
    <w:rsid w:val="76B4160A"/>
    <w:rsid w:val="76F13AF1"/>
    <w:rsid w:val="773065DD"/>
    <w:rsid w:val="77512CB2"/>
    <w:rsid w:val="7762504C"/>
    <w:rsid w:val="778356EE"/>
    <w:rsid w:val="778B00FF"/>
    <w:rsid w:val="779179E5"/>
    <w:rsid w:val="77AB69F3"/>
    <w:rsid w:val="77DF669D"/>
    <w:rsid w:val="78175E36"/>
    <w:rsid w:val="782642CC"/>
    <w:rsid w:val="78753951"/>
    <w:rsid w:val="789B0816"/>
    <w:rsid w:val="78FA19E0"/>
    <w:rsid w:val="7919798C"/>
    <w:rsid w:val="792D4AE8"/>
    <w:rsid w:val="795D1F6F"/>
    <w:rsid w:val="79D264B9"/>
    <w:rsid w:val="79E47F9A"/>
    <w:rsid w:val="79F20407"/>
    <w:rsid w:val="7A340F22"/>
    <w:rsid w:val="7AB14320"/>
    <w:rsid w:val="7AC027B5"/>
    <w:rsid w:val="7AD145DB"/>
    <w:rsid w:val="7AF64836"/>
    <w:rsid w:val="7B0408F4"/>
    <w:rsid w:val="7B0D0C43"/>
    <w:rsid w:val="7B3A3CB3"/>
    <w:rsid w:val="7B446F42"/>
    <w:rsid w:val="7B481F73"/>
    <w:rsid w:val="7BBC7E1A"/>
    <w:rsid w:val="7BD52290"/>
    <w:rsid w:val="7C336FB7"/>
    <w:rsid w:val="7C51421E"/>
    <w:rsid w:val="7C5C4760"/>
    <w:rsid w:val="7CB8672B"/>
    <w:rsid w:val="7CC12815"/>
    <w:rsid w:val="7CD267D0"/>
    <w:rsid w:val="7D034BDB"/>
    <w:rsid w:val="7D277BB0"/>
    <w:rsid w:val="7DCE6F97"/>
    <w:rsid w:val="7DCF0F26"/>
    <w:rsid w:val="7E176B90"/>
    <w:rsid w:val="7E244E09"/>
    <w:rsid w:val="7E494A61"/>
    <w:rsid w:val="7EC30AC6"/>
    <w:rsid w:val="7EEF18BB"/>
    <w:rsid w:val="7EF42A2E"/>
    <w:rsid w:val="7EF667A6"/>
    <w:rsid w:val="7EFB200E"/>
    <w:rsid w:val="7F037115"/>
    <w:rsid w:val="7F1D01D6"/>
    <w:rsid w:val="7F2C21C7"/>
    <w:rsid w:val="7F6578FB"/>
    <w:rsid w:val="7F9D30C5"/>
    <w:rsid w:val="7FA32DA7"/>
    <w:rsid w:val="7FC20F7D"/>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4">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5">
    <w:name w:val="heading 2"/>
    <w:basedOn w:val="1"/>
    <w:next w:val="1"/>
    <w:qFormat/>
    <w:uiPriority w:val="0"/>
    <w:pPr>
      <w:keepNext/>
      <w:keepLines/>
      <w:spacing w:line="560" w:lineRule="exact"/>
      <w:ind w:firstLine="640" w:firstLineChars="200"/>
      <w:outlineLvl w:val="1"/>
    </w:pPr>
    <w:rPr>
      <w:rFonts w:ascii="Times New Roman" w:hAnsi="Times New Roman" w:eastAsia="楷体"/>
      <w:bCs/>
      <w:szCs w:val="32"/>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6">
    <w:name w:val="annotation text"/>
    <w:basedOn w:val="1"/>
    <w:unhideWhenUsed/>
    <w:qFormat/>
    <w:uiPriority w:val="99"/>
    <w:pPr>
      <w:jc w:val="left"/>
    </w:pPr>
  </w:style>
  <w:style w:type="paragraph" w:styleId="7">
    <w:name w:val="Body Text"/>
    <w:basedOn w:val="1"/>
    <w:next w:val="1"/>
    <w:qFormat/>
    <w:uiPriority w:val="0"/>
    <w:rPr>
      <w:rFonts w:ascii="仿宋" w:hAnsi="仿宋" w:eastAsia="仿宋" w:cs="仿宋"/>
      <w:sz w:val="32"/>
      <w:szCs w:val="32"/>
      <w:lang w:val="en-US" w:eastAsia="en-US" w:bidi="ar-SA"/>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rPr>
      <w:rFonts w:ascii="Times New Roman" w:hAnsi="Times New Roman" w:eastAsia="黑体"/>
      <w:sz w:val="32"/>
    </w:rPr>
  </w:style>
  <w:style w:type="paragraph" w:styleId="11">
    <w:name w:val="toc 2"/>
    <w:basedOn w:val="1"/>
    <w:next w:val="1"/>
    <w:qFormat/>
    <w:uiPriority w:val="0"/>
    <w:pPr>
      <w:ind w:left="420" w:leftChars="200"/>
    </w:pPr>
    <w:rPr>
      <w:rFonts w:ascii="Times New Roman" w:hAnsi="Times New Roman" w:eastAsia="楷体"/>
      <w:sz w:val="32"/>
    </w:rPr>
  </w:style>
  <w:style w:type="paragraph" w:styleId="12">
    <w:name w:val="Normal (Web)"/>
    <w:basedOn w:val="1"/>
    <w:qFormat/>
    <w:uiPriority w:val="0"/>
    <w:pPr>
      <w:spacing w:before="100" w:beforeAutospacing="1" w:after="100" w:afterAutospacing="1"/>
      <w:jc w:val="left"/>
    </w:pPr>
    <w:rPr>
      <w:rFonts w:ascii="Calibri" w:hAnsi="Calibri"/>
      <w:kern w:val="0"/>
      <w:sz w:val="24"/>
      <w:szCs w:val="22"/>
    </w:rPr>
  </w:style>
  <w:style w:type="character" w:styleId="15">
    <w:name w:val="Strong"/>
    <w:basedOn w:val="14"/>
    <w:qFormat/>
    <w:uiPriority w:val="0"/>
    <w:rPr>
      <w:b/>
    </w:rPr>
  </w:style>
  <w:style w:type="character" w:styleId="16">
    <w:name w:val="page number"/>
    <w:basedOn w:val="14"/>
    <w:qFormat/>
    <w:uiPriority w:val="0"/>
  </w:style>
  <w:style w:type="paragraph" w:styleId="17">
    <w:name w:val="List Paragraph"/>
    <w:basedOn w:val="1"/>
    <w:qFormat/>
    <w:uiPriority w:val="1"/>
    <w:pPr>
      <w:widowControl w:val="0"/>
      <w:spacing w:line="360" w:lineRule="auto"/>
      <w:ind w:left="1554" w:hanging="801" w:firstLineChars="200"/>
      <w:jc w:val="both"/>
    </w:pPr>
    <w:rPr>
      <w:rFonts w:ascii="宋体" w:hAnsi="宋体" w:eastAsia="宋体" w:cs="宋体"/>
      <w:kern w:val="2"/>
      <w:sz w:val="28"/>
      <w:szCs w:val="24"/>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ontractReview xmlns="http://schemas.wps.cn/vas-ai-hub/contract-review">
  <reviewItems>
    <reviewItem>
      <errorID>a6509235-2649-45c4-9c77-f9e608b8f397</errorID>
      <errorWord>应急物资准备</errorWord>
      <group>L1_Political</group>
      <groupName>政治性问题</groupName>
      <ability>L2_Keyword</ability>
      <abilityName>固定表述</abilityName>
      <candidateList>
        <item>应急物资储备</item>
      </candidateList>
      <explain>词汇“应急物资储备”在特定场景下为固定表述形式，请确认此处的“应急物资准备”是否存在不当。</explain>
      <paraID>51CFD406</paraID>
      <start>85</start>
      <end>91</end>
      <status>unmodified</status>
      <modifiedWord/>
      <trackRevisions>false</trackRevisions>
    </reviewItem>
    <reviewItem>
      <errorID>703e2164-dde8-4603-a6a1-2d8cc66508b2</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572C0E36</paraID>
      <start>134</start>
      <end>138</end>
      <status>ignored</status>
      <modifiedWord/>
      <trackRevisions>false</trackRevisions>
    </reviewItem>
    <reviewItem>
      <errorID>980348e5-8db2-4fec-a49e-d28abec041f3</errorID>
      <errorWord>县网信办</errorWord>
      <group>L1_Political</group>
      <groupName>政治性问题</groupName>
      <ability>L2_Unpolitical</ability>
      <abilityName>政治敏感错误</abilityName>
      <candidateList>
        <item>县委网信办</item>
      </candidateList>
      <explain>机关单位名称不规范，请注意审核。</explain>
      <paraID>7D3A8A46</paraID>
      <start>6</start>
      <end>10</end>
      <status>ignored</status>
      <modifiedWord/>
      <trackRevisions>false</trackRevisions>
    </reviewItem>
    <reviewItem>
      <errorID>4be2dfab-5c23-4084-8d36-6eaf169a4ee7</errorID>
      <errorWord>物资</errorWord>
      <group>L1_Grammar</group>
      <groupName>语法问题</groupName>
      <ability>L2_Grammar</ability>
      <abilityName>语法错误</abilityName>
      <candidateList>
        <item>补给</item>
      </candidateList>
      <explain>“物资～能力”搭配不当，建议修改为“补给～能力”。</explain>
      <paraID>5F686177</paraID>
      <start>219</start>
      <end>221</end>
      <status>unmodified</status>
      <modifiedWord/>
      <trackRevisions>false</trackRevisions>
    </reviewItem>
    <reviewItem>
      <errorID>50b08415-9085-4f54-bfc8-5d302056061e</errorID>
      <errorWord>，</errorWord>
      <group>L1_Word</group>
      <groupName>字词问题</groupName>
      <ability>L2_Typo</ability>
      <abilityName>字词错误</abilityName>
      <candidateList>
        <item>，在</item>
      </candidateList>
      <explain/>
      <paraID>61010ADC</paraID>
      <start>30</start>
      <end>31</end>
      <status>unmodified</status>
      <modifiedWord/>
      <trackRevisions>false</trackRevisions>
    </reviewItem>
    <reviewItem>
      <errorID>0b6e49ea-fa80-44d6-989a-ccb99c0f582a</errorID>
      <errorWord>；</errorWord>
      <group>L1_Word</group>
      <groupName>字词问题</groupName>
      <ability>L2_Typo</ability>
      <abilityName>字词错误</abilityName>
      <candidateList>
        <item>；在</item>
      </candidateList>
      <explain/>
      <paraID>71C9D0A9</paraID>
      <start>77</start>
      <end>78</end>
      <status>unmodified</status>
      <modifiedWord/>
      <trackRevisions>false</trackRevisions>
    </reviewItem>
    <reviewItem>
      <errorID>863db53b-4306-4e49-b464-a5abdbf57846</errorID>
      <errorWord>；</errorWord>
      <group>L1_Word</group>
      <groupName>字词问题</groupName>
      <ability>L2_Typo</ability>
      <abilityName>字词错误</abilityName>
      <candidateList>
        <item>；在</item>
      </candidateList>
      <explain/>
      <paraID>   108E7</paraID>
      <start>102</start>
      <end>103</end>
      <status>unmodified</status>
      <modifiedWord/>
      <trackRevisions>false</trackRevisions>
    </reviewItem>
    <reviewItem>
      <errorID>d870c49e-266c-40d9-bec6-8d01d3152bde</errorID>
      <errorWord>；</errorWord>
      <group>L1_Word</group>
      <groupName>字词问题</groupName>
      <ability>L2_Typo</ability>
      <abilityName>字词错误</abilityName>
      <candidateList>
        <item>；在</item>
      </candidateList>
      <explain/>
      <paraID> B6D6225</paraID>
      <start>87</start>
      <end>88</end>
      <status>unmodified</status>
      <modifiedWord/>
      <trackRevisions>false</trackRevisions>
    </reviewItem>
    <reviewItem>
      <errorID>cf329637-62bb-4122-a559-975e89f26499</errorID>
      <errorWord>；</errorWord>
      <group>L1_Word</group>
      <groupName>字词问题</groupName>
      <ability>L2_Typo</ability>
      <abilityName>字词错误</abilityName>
      <candidateList>
        <item>；在</item>
      </candidateList>
      <explain/>
      <paraID>1FAC9006</paraID>
      <start>88</start>
      <end>89</end>
      <status>unmodified</status>
      <modifiedWord/>
      <trackRevisions>false</trackRevisions>
    </reviewItem>
    <reviewItem>
      <errorID>169acacf-4220-421c-a286-f1706cbecd36</errorID>
      <errorWord>；</errorWord>
      <group>L1_Word</group>
      <groupName>字词问题</groupName>
      <ability>L2_Typo</ability>
      <abilityName>字词错误</abilityName>
      <candidateList>
        <item>；在</item>
      </candidateList>
      <explain/>
      <paraID>5DF7DF32</paraID>
      <start>112</start>
      <end>113</end>
      <status>unmodified</status>
      <modifiedWord/>
      <trackRevisions>false</trackRevisions>
    </reviewItem>
    <reviewItem>
      <errorID>d8bb635a-2a80-4326-8e51-e1622d18caa5</errorID>
      <errorWord>，</errorWord>
      <group>L1_Word</group>
      <groupName>字词问题</groupName>
      <ability>L2_Typo</ability>
      <abilityName>字词错误</abilityName>
      <candidateList>
        <item>，在</item>
      </candidateList>
      <explain/>
      <paraID> F6CA4AE</paraID>
      <start>54</start>
      <end>55</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3bc837-88b4-4f76-8b74-fc2ba833aecb}">
  <ds:schemaRefs/>
</ds:datastoreItem>
</file>

<file path=docProps/app.xml><?xml version="1.0" encoding="utf-8"?>
<Properties xmlns="http://schemas.openxmlformats.org/officeDocument/2006/extended-properties" xmlns:vt="http://schemas.openxmlformats.org/officeDocument/2006/docPropsVTypes">
  <Template>Normal.dotm</Template>
  <Pages>23</Pages>
  <Words>11345</Words>
  <Characters>11540</Characters>
  <Lines>0</Lines>
  <Paragraphs>0</Paragraphs>
  <TotalTime>0</TotalTime>
  <ScaleCrop>false</ScaleCrop>
  <LinksUpToDate>false</LinksUpToDate>
  <CharactersWithSpaces>11719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2024-05-10T01:04:00Z</dcterms:created>
  <dc:creator>49188</dc:creator>
  <cp:lastModifiedBy>胡艳</cp:lastModifiedBy>
  <cp:lastPrinted>2025-10-09T02:17:00Z</cp:lastPrinted>
  <dcterms:modified xsi:type="dcterms:W3CDTF">2026-05-08T02:20:59Z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A419C2DBAEDC4CA2BCC503E8BE9E45E0_13</vt:lpwstr>
  </property>
  <property fmtid="{D5CDD505-2E9C-101B-9397-08002B2CF9AE}" pid="4" name="KSOTemplateDocerSaveRecord">
    <vt:lpwstr>eyJoZGlkIjoiYTRmZTc0NzU3YjgyYTJhZmViMzdhMmE1YmE4NzY3YzciLCJ1c2VySWQiOiIxMjY1Njc1ODkwIn0=</vt:lpwstr>
  </property>
</Properties>
</file>