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EFDC40D">
      <w:pPr>
        <w:rPr>
          <w:rStyle w:val="13"/>
          <w:rFonts w:ascii="宋体"/>
          <w:b/>
          <w:color w:val="FF0000"/>
          <w:sz w:val="44"/>
          <w:szCs w:val="44"/>
        </w:rPr>
      </w:pPr>
    </w:p>
    <w:p w14:paraId="510D7F59">
      <w:pPr>
        <w:rPr>
          <w:rStyle w:val="13"/>
          <w:rFonts w:ascii="宋体"/>
          <w:b/>
          <w:color w:val="FF0000"/>
          <w:sz w:val="44"/>
          <w:szCs w:val="44"/>
        </w:rPr>
      </w:pPr>
    </w:p>
    <w:p w14:paraId="283B7760">
      <w:pPr>
        <w:wordWrap w:val="0"/>
        <w:jc w:val="right"/>
        <w:rPr>
          <w:rFonts w:ascii="宋体" w:hAnsi="宋体" w:cs="仿宋_GB2312"/>
          <w:bCs/>
          <w:color w:val="FF0000"/>
          <w:sz w:val="32"/>
          <w:szCs w:val="32"/>
          <w:lang w:bidi="ar-SA"/>
        </w:rPr>
      </w:pPr>
      <w:r>
        <w:rPr>
          <w:rFonts w:hint="eastAsia" w:ascii="仿宋" w:hAnsi="仿宋" w:eastAsia="仿宋" w:cs="仿宋_GB2312"/>
          <w:bCs/>
          <w:color w:val="FF0000"/>
          <w:sz w:val="32"/>
          <w:szCs w:val="32"/>
          <w:highlight w:val="none"/>
          <w:lang w:bidi="ar-SA"/>
          <w14:textFill>
            <w14:gradFill>
              <w14:gsLst>
                <w14:gs w14:pos="50410">
                  <w14:srgbClr w14:val="1F1F1F"/>
                </w14:gs>
                <w14:gs w14:pos="0">
                  <w14:srgbClr w14:val="020202"/>
                </w14:gs>
                <w14:gs w14:pos="100000">
                  <w14:srgbClr w14:val="424242"/>
                </w14:gs>
              </w14:gsLst>
              <w14:lin w14:ang="5400000" w14:scaled="1"/>
            </w14:gradFill>
          </w14:textFill>
        </w:rPr>
        <w:t>常环</w:t>
      </w:r>
      <w:r>
        <w:rPr>
          <w:rFonts w:hint="eastAsia" w:ascii="仿宋" w:hAnsi="仿宋" w:eastAsia="仿宋" w:cs="仿宋_GB2312"/>
          <w:bCs/>
          <w:color w:val="FF0000"/>
          <w:sz w:val="32"/>
          <w:szCs w:val="32"/>
          <w:highlight w:val="none"/>
          <w:lang w:eastAsia="zh-CN" w:bidi="ar-SA"/>
          <w14:textFill>
            <w14:gradFill>
              <w14:gsLst>
                <w14:gs w14:pos="50410">
                  <w14:srgbClr w14:val="1F1F1F"/>
                </w14:gs>
                <w14:gs w14:pos="0">
                  <w14:srgbClr w14:val="020202"/>
                </w14:gs>
                <w14:gs w14:pos="100000">
                  <w14:srgbClr w14:val="424242"/>
                </w14:gs>
              </w14:gsLst>
              <w14:lin w14:ang="5400000" w14:scaled="1"/>
            </w14:gradFill>
          </w14:textFill>
        </w:rPr>
        <w:t>澧</w:t>
      </w:r>
      <w:r>
        <w:rPr>
          <w:rFonts w:hint="eastAsia" w:ascii="仿宋" w:hAnsi="仿宋" w:eastAsia="仿宋" w:cs="仿宋_GB2312"/>
          <w:bCs/>
          <w:color w:val="FF0000"/>
          <w:sz w:val="32"/>
          <w:szCs w:val="32"/>
          <w:highlight w:val="none"/>
          <w:lang w:bidi="ar-SA"/>
          <w14:textFill>
            <w14:gradFill>
              <w14:gsLst>
                <w14:gs w14:pos="50410">
                  <w14:srgbClr w14:val="1F1F1F"/>
                </w14:gs>
                <w14:gs w14:pos="0">
                  <w14:srgbClr w14:val="020202"/>
                </w14:gs>
                <w14:gs w14:pos="100000">
                  <w14:srgbClr w14:val="424242"/>
                </w14:gs>
              </w14:gsLst>
              <w14:lin w14:ang="5400000" w14:scaled="1"/>
            </w14:gradFill>
          </w14:textFill>
        </w:rPr>
        <w:t>建（6）</w:t>
      </w:r>
      <w:r>
        <w:rPr>
          <w:rFonts w:hint="eastAsia" w:ascii="仿宋" w:hAnsi="仿宋" w:eastAsia="仿宋" w:cs="仿宋"/>
          <w:bCs/>
          <w:color w:val="FF0000"/>
          <w:sz w:val="32"/>
          <w:szCs w:val="32"/>
          <w:highlight w:val="none"/>
          <w:lang w:bidi="ar-SA"/>
          <w14:textFill>
            <w14:gradFill>
              <w14:gsLst>
                <w14:gs w14:pos="50410">
                  <w14:srgbClr w14:val="1F1F1F"/>
                </w14:gs>
                <w14:gs w14:pos="0">
                  <w14:srgbClr w14:val="020202"/>
                </w14:gs>
                <w14:gs w14:pos="100000">
                  <w14:srgbClr w14:val="424242"/>
                </w14:gs>
              </w14:gsLst>
              <w14:lin w14:ang="5400000" w14:scaled="1"/>
            </w14:gradFill>
          </w14:textFill>
        </w:rPr>
        <w:t>〔</w:t>
      </w:r>
      <w:r>
        <w:rPr>
          <w:rFonts w:hint="eastAsia" w:ascii="仿宋" w:hAnsi="仿宋" w:eastAsia="仿宋" w:cs="仿宋_GB2312"/>
          <w:bCs/>
          <w:color w:val="FF0000"/>
          <w:sz w:val="32"/>
          <w:szCs w:val="32"/>
          <w:highlight w:val="none"/>
          <w:lang w:bidi="ar-SA"/>
          <w14:textFill>
            <w14:gradFill>
              <w14:gsLst>
                <w14:gs w14:pos="50410">
                  <w14:srgbClr w14:val="1F1F1F"/>
                </w14:gs>
                <w14:gs w14:pos="0">
                  <w14:srgbClr w14:val="020202"/>
                </w14:gs>
                <w14:gs w14:pos="100000">
                  <w14:srgbClr w14:val="424242"/>
                </w14:gs>
              </w14:gsLst>
              <w14:lin w14:ang="5400000" w14:scaled="1"/>
            </w14:gradFill>
          </w14:textFill>
        </w:rPr>
        <w:t>202</w:t>
      </w:r>
      <w:r>
        <w:rPr>
          <w:rFonts w:hint="eastAsia" w:ascii="仿宋" w:hAnsi="仿宋" w:eastAsia="仿宋" w:cs="仿宋_GB2312"/>
          <w:bCs/>
          <w:color w:val="FF0000"/>
          <w:sz w:val="32"/>
          <w:szCs w:val="32"/>
          <w:highlight w:val="none"/>
          <w:lang w:val="en-US" w:eastAsia="zh-CN" w:bidi="ar-SA"/>
          <w14:textFill>
            <w14:gradFill>
              <w14:gsLst>
                <w14:gs w14:pos="50410">
                  <w14:srgbClr w14:val="1F1F1F"/>
                </w14:gs>
                <w14:gs w14:pos="0">
                  <w14:srgbClr w14:val="020202"/>
                </w14:gs>
                <w14:gs w14:pos="100000">
                  <w14:srgbClr w14:val="424242"/>
                </w14:gs>
              </w14:gsLst>
              <w14:lin w14:ang="5400000" w14:scaled="1"/>
            </w14:gradFill>
          </w14:textFill>
        </w:rPr>
        <w:t>6</w:t>
      </w:r>
      <w:bookmarkStart w:id="0" w:name="_GoBack"/>
      <w:bookmarkEnd w:id="0"/>
      <w:r>
        <w:rPr>
          <w:rFonts w:hint="eastAsia" w:ascii="仿宋" w:hAnsi="仿宋" w:eastAsia="仿宋" w:cs="仿宋"/>
          <w:bCs/>
          <w:color w:val="FF0000"/>
          <w:sz w:val="32"/>
          <w:szCs w:val="32"/>
          <w:highlight w:val="none"/>
          <w:lang w:bidi="ar-SA"/>
          <w14:textFill>
            <w14:gradFill>
              <w14:gsLst>
                <w14:gs w14:pos="50410">
                  <w14:srgbClr w14:val="1F1F1F"/>
                </w14:gs>
                <w14:gs w14:pos="0">
                  <w14:srgbClr w14:val="020202"/>
                </w14:gs>
                <w14:gs w14:pos="100000">
                  <w14:srgbClr w14:val="424242"/>
                </w14:gs>
              </w14:gsLst>
              <w14:lin w14:ang="5400000" w14:scaled="1"/>
            </w14:gradFill>
          </w14:textFill>
        </w:rPr>
        <w:t>〕</w:t>
      </w:r>
      <w:r>
        <w:rPr>
          <w:rFonts w:ascii="仿宋" w:hAnsi="仿宋" w:eastAsia="仿宋" w:cs="仿宋"/>
          <w:bCs/>
          <w:color w:val="FF0000"/>
          <w:sz w:val="32"/>
          <w:szCs w:val="32"/>
          <w:highlight w:val="none"/>
          <w:lang w:bidi="ar-SA"/>
          <w14:textFill>
            <w14:gradFill>
              <w14:gsLst>
                <w14:gs w14:pos="50410">
                  <w14:srgbClr w14:val="1F1F1F"/>
                </w14:gs>
                <w14:gs w14:pos="0">
                  <w14:srgbClr w14:val="020202"/>
                </w14:gs>
                <w14:gs w14:pos="100000">
                  <w14:srgbClr w14:val="424242"/>
                </w14:gs>
              </w14:gsLst>
              <w14:lin w14:ang="5400000" w14:scaled="1"/>
            </w14:gradFill>
          </w14:textFill>
        </w:rPr>
        <w:t>28</w:t>
      </w:r>
      <w:r>
        <w:rPr>
          <w:rFonts w:hint="eastAsia" w:ascii="仿宋" w:hAnsi="仿宋" w:eastAsia="仿宋" w:cs="仿宋_GB2312"/>
          <w:bCs/>
          <w:color w:val="FF0000"/>
          <w:sz w:val="32"/>
          <w:szCs w:val="32"/>
          <w:highlight w:val="none"/>
          <w:lang w:bidi="ar-SA"/>
          <w14:textFill>
            <w14:gradFill>
              <w14:gsLst>
                <w14:gs w14:pos="50410">
                  <w14:srgbClr w14:val="1F1F1F"/>
                </w14:gs>
                <w14:gs w14:pos="0">
                  <w14:srgbClr w14:val="020202"/>
                </w14:gs>
                <w14:gs w14:pos="100000">
                  <w14:srgbClr w14:val="424242"/>
                </w14:gs>
              </w14:gsLst>
              <w14:lin w14:ang="5400000" w14:scaled="1"/>
            </w14:gradFill>
          </w14:textFill>
        </w:rPr>
        <w:t>号</w:t>
      </w:r>
    </w:p>
    <w:p w14:paraId="0CE37D73">
      <w:pPr>
        <w:wordWrap w:val="0"/>
        <w:jc w:val="right"/>
        <w:rPr>
          <w:rFonts w:hint="eastAsia" w:ascii="宋体" w:hAnsi="宋体" w:cs="仿宋_GB2312"/>
          <w:bCs/>
          <w:color w:val="FF0000"/>
          <w:sz w:val="32"/>
          <w:szCs w:val="32"/>
          <w:lang w:bidi="ar-SA"/>
        </w:rPr>
      </w:pPr>
    </w:p>
    <w:p w14:paraId="0B8AF6D0">
      <w:pPr>
        <w:jc w:val="center"/>
        <w:rPr>
          <w:rStyle w:val="13"/>
          <w:rFonts w:ascii="宋体" w:hAnsi="宋体" w:cs="宋体"/>
          <w:b/>
          <w:bCs/>
          <w:sz w:val="42"/>
          <w:szCs w:val="42"/>
        </w:rPr>
      </w:pPr>
      <w:r>
        <w:rPr>
          <w:rStyle w:val="13"/>
          <w:rFonts w:hint="eastAsia" w:ascii="宋体" w:hAnsi="宋体" w:cs="宋体"/>
          <w:b/>
          <w:bCs/>
          <w:sz w:val="42"/>
          <w:szCs w:val="42"/>
        </w:rPr>
        <w:t>关于</w:t>
      </w:r>
      <w:r>
        <w:rPr>
          <w:rStyle w:val="13"/>
          <w:rFonts w:hint="eastAsia" w:ascii="宋体" w:hAnsi="宋体" w:cs="宋体"/>
          <w:b/>
          <w:bCs/>
          <w:snapToGrid w:val="0"/>
          <w:sz w:val="42"/>
          <w:szCs w:val="42"/>
          <w:lang w:val="en-US" w:eastAsia="zh-CN" w:bidi="ar-SA"/>
        </w:rPr>
        <w:t>常德正翔医疗器械有限责任公司</w:t>
      </w:r>
      <w:r>
        <w:rPr>
          <w:rStyle w:val="13"/>
          <w:rFonts w:hint="eastAsia" w:ascii="宋体" w:hAnsi="宋体" w:cs="宋体"/>
          <w:b/>
          <w:bCs/>
          <w:sz w:val="42"/>
          <w:szCs w:val="42"/>
          <w:lang w:val="en-US" w:eastAsia="zh-CN" w:bidi="ar-SA"/>
        </w:rPr>
        <w:t>一次性注射器活塞生产线项目</w:t>
      </w:r>
      <w:r>
        <w:rPr>
          <w:rStyle w:val="13"/>
          <w:rFonts w:hint="eastAsia" w:ascii="宋体" w:hAnsi="宋体" w:cs="宋体"/>
          <w:b/>
          <w:bCs/>
          <w:sz w:val="42"/>
          <w:szCs w:val="42"/>
        </w:rPr>
        <w:t>建设项目环境影响报告表的</w:t>
      </w:r>
    </w:p>
    <w:p w14:paraId="1628F7B2">
      <w:pPr>
        <w:jc w:val="center"/>
        <w:rPr>
          <w:rStyle w:val="13"/>
          <w:rFonts w:hint="eastAsia" w:ascii="宋体" w:hAnsi="宋体" w:cs="宋体"/>
          <w:b/>
          <w:bCs/>
          <w:sz w:val="42"/>
          <w:szCs w:val="42"/>
        </w:rPr>
      </w:pPr>
      <w:r>
        <w:rPr>
          <w:rStyle w:val="13"/>
          <w:rFonts w:hint="eastAsia" w:ascii="宋体" w:hAnsi="宋体" w:cs="宋体"/>
          <w:b/>
          <w:bCs/>
          <w:sz w:val="42"/>
          <w:szCs w:val="42"/>
        </w:rPr>
        <w:t>批</w:t>
      </w:r>
      <w:r>
        <w:rPr>
          <w:rStyle w:val="13"/>
          <w:rFonts w:ascii="宋体" w:hAnsi="宋体" w:cs="宋体"/>
          <w:b/>
          <w:bCs/>
          <w:sz w:val="42"/>
          <w:szCs w:val="42"/>
        </w:rPr>
        <w:t xml:space="preserve">   </w:t>
      </w:r>
      <w:r>
        <w:rPr>
          <w:rStyle w:val="13"/>
          <w:rFonts w:hint="eastAsia" w:ascii="宋体" w:hAnsi="宋体" w:cs="宋体"/>
          <w:b/>
          <w:bCs/>
          <w:sz w:val="42"/>
          <w:szCs w:val="42"/>
        </w:rPr>
        <w:t>复</w:t>
      </w:r>
    </w:p>
    <w:p w14:paraId="7E4CD40A">
      <w:pPr>
        <w:ind w:firstLine="640" w:firstLineChars="200"/>
        <w:rPr>
          <w:rStyle w:val="13"/>
          <w:rFonts w:hint="eastAsia" w:ascii="仿宋" w:hAnsi="仿宋" w:eastAsia="仿宋" w:cs="仿宋"/>
          <w:bCs/>
          <w:color w:val="FF0000"/>
          <w:sz w:val="32"/>
          <w:szCs w:val="32"/>
        </w:rPr>
      </w:pPr>
    </w:p>
    <w:p w14:paraId="26C2EB98">
      <w:pPr>
        <w:rPr>
          <w:rStyle w:val="13"/>
          <w:rFonts w:hint="eastAsia" w:ascii="仿宋" w:hAnsi="仿宋" w:eastAsia="仿宋" w:cs="仿宋"/>
          <w:bCs/>
          <w:sz w:val="32"/>
          <w:szCs w:val="32"/>
        </w:rPr>
      </w:pPr>
      <w:r>
        <w:rPr>
          <w:rStyle w:val="13"/>
          <w:rFonts w:hint="eastAsia" w:ascii="仿宋" w:hAnsi="仿宋" w:eastAsia="仿宋" w:cs="仿宋"/>
          <w:bCs/>
          <w:snapToGrid w:val="0"/>
          <w:sz w:val="32"/>
          <w:szCs w:val="32"/>
          <w:lang w:val="en-US" w:eastAsia="zh-CN" w:bidi="ar-SA"/>
        </w:rPr>
        <w:t>常德正翔医疗器械有限责任公司</w:t>
      </w:r>
      <w:r>
        <w:rPr>
          <w:rStyle w:val="13"/>
          <w:rFonts w:hint="eastAsia" w:ascii="仿宋" w:hAnsi="仿宋" w:eastAsia="仿宋" w:cs="仿宋"/>
          <w:bCs/>
          <w:sz w:val="32"/>
          <w:szCs w:val="32"/>
        </w:rPr>
        <w:t>：</w:t>
      </w:r>
    </w:p>
    <w:p w14:paraId="459533F1">
      <w:pPr>
        <w:ind w:firstLine="640" w:firstLineChars="200"/>
        <w:rPr>
          <w:rStyle w:val="13"/>
          <w:rFonts w:hint="eastAsia" w:ascii="仿宋" w:hAnsi="仿宋" w:eastAsia="仿宋" w:cs="仿宋"/>
          <w:bCs/>
          <w:sz w:val="32"/>
          <w:szCs w:val="32"/>
        </w:rPr>
      </w:pPr>
      <w:r>
        <w:rPr>
          <w:rStyle w:val="13"/>
          <w:rFonts w:hint="eastAsia" w:ascii="仿宋" w:hAnsi="仿宋" w:eastAsia="仿宋" w:cs="仿宋"/>
          <w:bCs/>
          <w:sz w:val="32"/>
          <w:szCs w:val="32"/>
        </w:rPr>
        <w:t>你公司报送的《</w:t>
      </w:r>
      <w:r>
        <w:rPr>
          <w:rStyle w:val="13"/>
          <w:rFonts w:hint="eastAsia" w:ascii="仿宋" w:hAnsi="仿宋" w:eastAsia="仿宋" w:cs="仿宋"/>
          <w:bCs/>
          <w:sz w:val="32"/>
          <w:szCs w:val="32"/>
          <w:lang w:val="en-US" w:eastAsia="zh-CN" w:bidi="ar-SA"/>
        </w:rPr>
        <w:t>一次性注射器活塞生产线项目</w:t>
      </w:r>
      <w:r>
        <w:rPr>
          <w:rStyle w:val="13"/>
          <w:rFonts w:hint="eastAsia" w:ascii="仿宋" w:hAnsi="仿宋" w:eastAsia="仿宋" w:cs="仿宋"/>
          <w:bCs/>
          <w:sz w:val="32"/>
          <w:szCs w:val="32"/>
        </w:rPr>
        <w:t>环境影响报告书》以及《关于申请环境影响报告书审批的请示》已收悉，公示期间无反对意见。根据该项目环评报告书结论和专家审查意见，经研究，现批复如下：</w:t>
      </w:r>
    </w:p>
    <w:p w14:paraId="3876B79D">
      <w:pPr>
        <w:ind w:firstLine="640" w:firstLineChars="200"/>
        <w:rPr>
          <w:rStyle w:val="13"/>
          <w:rFonts w:hint="eastAsia" w:ascii="仿宋" w:hAnsi="仿宋" w:eastAsia="仿宋" w:cs="仿宋"/>
          <w:bCs/>
          <w:snapToGrid w:val="0"/>
          <w:color w:val="000000"/>
          <w:sz w:val="32"/>
          <w:szCs w:val="32"/>
        </w:rPr>
      </w:pPr>
      <w:r>
        <w:rPr>
          <w:rStyle w:val="13"/>
          <w:rFonts w:ascii="仿宋" w:hAnsi="仿宋" w:eastAsia="仿宋" w:cs="仿宋"/>
          <w:bCs/>
          <w:snapToGrid w:val="0"/>
          <w:sz w:val="32"/>
          <w:szCs w:val="32"/>
        </w:rPr>
        <w:t>一、</w:t>
      </w:r>
      <w:r>
        <w:rPr>
          <w:rStyle w:val="13"/>
          <w:rFonts w:hint="eastAsia" w:ascii="仿宋" w:hAnsi="仿宋" w:eastAsia="仿宋" w:cs="仿宋"/>
          <w:bCs/>
          <w:snapToGrid w:val="0"/>
          <w:sz w:val="32"/>
          <w:szCs w:val="32"/>
        </w:rPr>
        <w:t>常德正翔医疗器械有限责任公司位于澧县澧西街道办事处荣家台居委会经济开发区乔家河路18号，租赁湖南天圣药业有限公司厂房</w:t>
      </w:r>
      <w:r>
        <w:rPr>
          <w:rStyle w:val="13"/>
          <w:rFonts w:ascii="仿宋" w:hAnsi="仿宋" w:eastAsia="仿宋" w:cs="仿宋"/>
          <w:bCs/>
          <w:snapToGrid w:val="0"/>
          <w:sz w:val="32"/>
          <w:szCs w:val="32"/>
        </w:rPr>
        <w:t>（一楼原有头炮车间）</w:t>
      </w:r>
      <w:r>
        <w:rPr>
          <w:rStyle w:val="13"/>
          <w:rFonts w:hint="eastAsia" w:ascii="仿宋" w:hAnsi="仿宋" w:eastAsia="仿宋" w:cs="仿宋"/>
          <w:bCs/>
          <w:snapToGrid w:val="0"/>
          <w:sz w:val="32"/>
          <w:szCs w:val="32"/>
        </w:rPr>
        <w:t>，</w:t>
      </w:r>
      <w:r>
        <w:rPr>
          <w:rStyle w:val="13"/>
          <w:rFonts w:ascii="仿宋" w:hAnsi="仿宋" w:eastAsia="仿宋" w:cs="仿宋"/>
          <w:bCs/>
          <w:snapToGrid w:val="0"/>
          <w:sz w:val="32"/>
          <w:szCs w:val="32"/>
        </w:rPr>
        <w:t>建设生产车间一栋，该项目共布设3条硫化生产线。并配套</w:t>
      </w:r>
      <w:r>
        <w:rPr>
          <w:rStyle w:val="13"/>
          <w:rFonts w:hint="eastAsia" w:ascii="仿宋" w:hAnsi="仿宋" w:eastAsia="仿宋" w:cs="仿宋"/>
          <w:bCs/>
          <w:snapToGrid w:val="0"/>
          <w:sz w:val="32"/>
          <w:szCs w:val="32"/>
        </w:rPr>
        <w:t>原材料仓库、辅料仓库、配料间</w:t>
      </w:r>
      <w:r>
        <w:rPr>
          <w:rStyle w:val="13"/>
          <w:rFonts w:ascii="仿宋" w:hAnsi="仿宋" w:eastAsia="仿宋" w:cs="仿宋"/>
          <w:bCs/>
          <w:snapToGrid w:val="0"/>
          <w:sz w:val="32"/>
          <w:szCs w:val="32"/>
        </w:rPr>
        <w:t>等</w:t>
      </w:r>
      <w:r>
        <w:rPr>
          <w:rStyle w:val="13"/>
          <w:rFonts w:hint="eastAsia" w:ascii="仿宋" w:hAnsi="仿宋" w:eastAsia="仿宋" w:cs="仿宋"/>
          <w:bCs/>
          <w:snapToGrid w:val="0"/>
          <w:sz w:val="32"/>
          <w:szCs w:val="32"/>
        </w:rPr>
        <w:t>，</w:t>
      </w:r>
      <w:r>
        <w:rPr>
          <w:rStyle w:val="13"/>
          <w:rFonts w:ascii="仿宋" w:hAnsi="仿宋" w:eastAsia="仿宋" w:cs="仿宋"/>
          <w:bCs/>
          <w:snapToGrid w:val="0"/>
          <w:sz w:val="32"/>
          <w:szCs w:val="32"/>
        </w:rPr>
        <w:t>项目</w:t>
      </w:r>
      <w:r>
        <w:rPr>
          <w:rStyle w:val="13"/>
          <w:rFonts w:hint="eastAsia" w:ascii="仿宋" w:hAnsi="仿宋" w:eastAsia="仿宋" w:cs="仿宋"/>
          <w:bCs/>
          <w:snapToGrid w:val="0"/>
          <w:sz w:val="32"/>
          <w:szCs w:val="32"/>
        </w:rPr>
        <w:t>总投资5000万元，</w:t>
      </w:r>
      <w:r>
        <w:rPr>
          <w:rStyle w:val="13"/>
          <w:rFonts w:ascii="仿宋" w:hAnsi="仿宋" w:eastAsia="仿宋" w:cs="仿宋"/>
          <w:bCs/>
          <w:snapToGrid w:val="0"/>
          <w:sz w:val="32"/>
          <w:szCs w:val="32"/>
        </w:rPr>
        <w:t>占地面积</w:t>
      </w:r>
      <w:r>
        <w:rPr>
          <w:rStyle w:val="13"/>
          <w:rFonts w:hint="eastAsia" w:ascii="仿宋" w:hAnsi="仿宋" w:eastAsia="仿宋" w:cs="仿宋"/>
          <w:bCs/>
          <w:snapToGrid w:val="0"/>
          <w:sz w:val="32"/>
          <w:szCs w:val="32"/>
          <w:lang w:val="en-US" w:eastAsia="zh-CN" w:bidi="ar-SA"/>
        </w:rPr>
        <w:t>1018.59m</w:t>
      </w:r>
      <w:r>
        <w:rPr>
          <w:rStyle w:val="13"/>
          <w:rFonts w:hint="eastAsia" w:ascii="仿宋" w:hAnsi="仿宋" w:eastAsia="仿宋" w:cs="仿宋"/>
          <w:bCs/>
          <w:snapToGrid w:val="0"/>
          <w:sz w:val="32"/>
          <w:szCs w:val="32"/>
          <w:vertAlign w:val="superscript"/>
          <w:lang w:val="en-US" w:eastAsia="zh-CN" w:bidi="ar-SA"/>
        </w:rPr>
        <w:t>2</w:t>
      </w:r>
      <w:r>
        <w:rPr>
          <w:rStyle w:val="13"/>
          <w:rFonts w:hint="eastAsia" w:ascii="仿宋" w:hAnsi="仿宋" w:eastAsia="仿宋" w:cs="仿宋"/>
          <w:bCs/>
          <w:snapToGrid w:val="0"/>
          <w:sz w:val="32"/>
          <w:szCs w:val="32"/>
        </w:rPr>
        <w:t>，</w:t>
      </w:r>
      <w:r>
        <w:rPr>
          <w:rStyle w:val="13"/>
          <w:rFonts w:ascii="仿宋" w:hAnsi="仿宋" w:eastAsia="仿宋" w:cs="仿宋"/>
          <w:bCs/>
          <w:snapToGrid w:val="0"/>
          <w:sz w:val="32"/>
          <w:szCs w:val="32"/>
        </w:rPr>
        <w:t>可</w:t>
      </w:r>
      <w:r>
        <w:rPr>
          <w:rStyle w:val="13"/>
          <w:rFonts w:hint="eastAsia" w:ascii="仿宋" w:hAnsi="仿宋" w:eastAsia="仿宋" w:cs="仿宋"/>
          <w:bCs/>
          <w:snapToGrid w:val="0"/>
          <w:sz w:val="32"/>
          <w:szCs w:val="32"/>
        </w:rPr>
        <w:t>年生产一次性注射器活塞3000万个。</w:t>
      </w:r>
      <w:r>
        <w:rPr>
          <w:rFonts w:hint="eastAsia" w:ascii="仿宋" w:hAnsi="仿宋" w:eastAsia="仿宋" w:cs="仿宋"/>
          <w:bCs/>
          <w:sz w:val="32"/>
          <w:szCs w:val="32"/>
          <w:lang w:eastAsia="zh-CN" w:bidi="ar-SA"/>
        </w:rPr>
        <w:t>经审查</w:t>
      </w:r>
      <w:r>
        <w:rPr>
          <w:rStyle w:val="13"/>
          <w:rFonts w:hint="eastAsia" w:ascii="仿宋" w:hAnsi="仿宋" w:eastAsia="仿宋" w:cs="仿宋"/>
          <w:bCs/>
          <w:sz w:val="32"/>
          <w:szCs w:val="32"/>
        </w:rPr>
        <w:t>该项目</w:t>
      </w:r>
      <w:r>
        <w:rPr>
          <w:rFonts w:hint="eastAsia" w:ascii="仿宋" w:hAnsi="仿宋" w:eastAsia="仿宋" w:cs="Times New Roman"/>
          <w:sz w:val="32"/>
          <w:szCs w:val="32"/>
          <w:lang w:bidi="ar-SA"/>
        </w:rPr>
        <w:t>符合《</w:t>
      </w:r>
      <w:r>
        <w:rPr>
          <w:rFonts w:hint="eastAsia" w:ascii="仿宋" w:hAnsi="仿宋" w:eastAsia="仿宋" w:cs="仿宋"/>
          <w:bCs/>
          <w:sz w:val="32"/>
          <w:szCs w:val="32"/>
          <w:lang w:val="en-US" w:bidi="ar-SA"/>
        </w:rPr>
        <w:t>湖南省生态环境分区管控总体管控要求暨省级以上产业园区生态环境准入清单</w:t>
      </w:r>
      <w:r>
        <w:rPr>
          <w:rFonts w:hint="eastAsia" w:ascii="仿宋" w:hAnsi="仿宋" w:eastAsia="仿宋" w:cs="仿宋"/>
          <w:bCs/>
          <w:sz w:val="32"/>
          <w:szCs w:val="32"/>
          <w:lang w:bidi="ar-SA"/>
        </w:rPr>
        <w:t>》</w:t>
      </w:r>
      <w:r>
        <w:rPr>
          <w:rStyle w:val="13"/>
          <w:rFonts w:hint="eastAsia" w:ascii="仿宋" w:hAnsi="仿宋" w:eastAsia="仿宋" w:cs="仿宋"/>
          <w:bCs/>
          <w:snapToGrid w:val="0"/>
          <w:color w:val="000000"/>
          <w:sz w:val="32"/>
          <w:szCs w:val="32"/>
        </w:rPr>
        <w:t>和环保政策，</w:t>
      </w:r>
      <w:r>
        <w:rPr>
          <w:rFonts w:ascii="仿宋" w:hAnsi="仿宋" w:eastAsia="仿宋"/>
          <w:sz w:val="32"/>
          <w:szCs w:val="32"/>
          <w:lang w:bidi="ar-SA"/>
        </w:rPr>
        <w:t>与</w:t>
      </w:r>
      <w:r>
        <w:rPr>
          <w:rFonts w:hint="eastAsia" w:ascii="仿宋" w:hAnsi="仿宋" w:eastAsia="仿宋"/>
          <w:sz w:val="32"/>
          <w:szCs w:val="32"/>
          <w:lang w:bidi="ar-SA"/>
        </w:rPr>
        <w:t>澧县高新区产业准入和发展规划</w:t>
      </w:r>
      <w:r>
        <w:rPr>
          <w:rFonts w:ascii="仿宋" w:hAnsi="仿宋" w:eastAsia="仿宋"/>
          <w:sz w:val="32"/>
          <w:szCs w:val="32"/>
          <w:lang w:bidi="ar-SA"/>
        </w:rPr>
        <w:t>一致</w:t>
      </w:r>
      <w:r>
        <w:rPr>
          <w:rFonts w:hint="eastAsia" w:ascii="仿宋" w:hAnsi="仿宋" w:eastAsia="仿宋"/>
          <w:sz w:val="32"/>
          <w:szCs w:val="32"/>
        </w:rPr>
        <w:t>。</w:t>
      </w:r>
      <w:r>
        <w:rPr>
          <w:rFonts w:hint="eastAsia" w:ascii="仿宋" w:hAnsi="仿宋" w:eastAsia="仿宋" w:cs="仿宋_GB2312"/>
          <w:bCs/>
          <w:sz w:val="32"/>
          <w:szCs w:val="32"/>
          <w:lang w:bidi="ar-SA"/>
        </w:rPr>
        <w:t>建设单位在认真落实各项污染防治措施的前提下，我局同意办理环评手续。</w:t>
      </w:r>
    </w:p>
    <w:p w14:paraId="0EBB7973">
      <w:pPr>
        <w:keepNext w:val="0"/>
        <w:keepLines w:val="0"/>
        <w:pageBreakBefore w:val="0"/>
        <w:widowControl w:val="0"/>
        <w:kinsoku/>
        <w:wordWrap/>
        <w:overflowPunct/>
        <w:topLinePunct w:val="0"/>
        <w:autoSpaceDE/>
        <w:autoSpaceDN/>
        <w:spacing w:line="600" w:lineRule="exact"/>
        <w:ind w:firstLine="745" w:firstLineChars="233"/>
        <w:textAlignment w:val="auto"/>
        <w:rPr>
          <w:rFonts w:hint="eastAsia" w:ascii="仿宋" w:hAnsi="仿宋" w:eastAsia="仿宋" w:cs="仿宋"/>
          <w:bCs/>
          <w:sz w:val="32"/>
          <w:szCs w:val="32"/>
        </w:rPr>
      </w:pPr>
      <w:r>
        <w:rPr>
          <w:rStyle w:val="13"/>
          <w:rFonts w:hint="eastAsia" w:ascii="仿宋" w:hAnsi="仿宋" w:eastAsia="仿宋" w:cs="仿宋"/>
          <w:bCs/>
          <w:sz w:val="32"/>
          <w:szCs w:val="32"/>
        </w:rPr>
        <w:t>二、</w:t>
      </w:r>
      <w:r>
        <w:rPr>
          <w:rStyle w:val="12"/>
          <w:rFonts w:hint="eastAsia" w:ascii="仿宋" w:hAnsi="仿宋" w:eastAsia="仿宋" w:cs="仿宋"/>
          <w:bCs/>
          <w:sz w:val="32"/>
          <w:szCs w:val="32"/>
          <w:lang w:bidi="ar-SA"/>
        </w:rPr>
        <w:t>项目在建设和营运过程中要按环评要求认真落实各项环保措施，严格执行“三同时”制度，并重点做好以下几项工作：</w:t>
      </w:r>
    </w:p>
    <w:p w14:paraId="764F45D5">
      <w:pPr>
        <w:ind w:firstLine="640" w:firstLineChars="200"/>
        <w:rPr>
          <w:rStyle w:val="13"/>
          <w:rFonts w:ascii="仿宋" w:hAnsi="仿宋" w:eastAsia="仿宋" w:cs="仿宋"/>
          <w:bCs/>
          <w:sz w:val="32"/>
          <w:szCs w:val="32"/>
        </w:rPr>
      </w:pPr>
      <w:r>
        <w:rPr>
          <w:rStyle w:val="13"/>
          <w:rFonts w:ascii="仿宋" w:hAnsi="仿宋" w:eastAsia="仿宋" w:cs="仿宋"/>
          <w:bCs/>
          <w:sz w:val="32"/>
          <w:szCs w:val="32"/>
        </w:rPr>
        <w:t>1.</w:t>
      </w:r>
      <w:r>
        <w:rPr>
          <w:rFonts w:hint="eastAsia" w:ascii="仿宋" w:hAnsi="仿宋" w:eastAsia="仿宋" w:cs="仿宋"/>
          <w:bCs/>
          <w:sz w:val="32"/>
          <w:szCs w:val="32"/>
        </w:rPr>
        <w:t>加强施工期环境管理，</w:t>
      </w:r>
      <w:r>
        <w:rPr>
          <w:rFonts w:ascii="仿宋" w:hAnsi="仿宋" w:eastAsia="仿宋" w:cs="仿宋"/>
          <w:bCs/>
          <w:sz w:val="32"/>
          <w:szCs w:val="32"/>
        </w:rPr>
        <w:t>减少</w:t>
      </w:r>
      <w:r>
        <w:rPr>
          <w:rFonts w:hint="eastAsia" w:ascii="仿宋" w:hAnsi="仿宋" w:eastAsia="仿宋" w:cs="仿宋"/>
          <w:bCs/>
          <w:sz w:val="32"/>
          <w:szCs w:val="32"/>
        </w:rPr>
        <w:t>施工噪声、扬尘</w:t>
      </w:r>
      <w:r>
        <w:rPr>
          <w:rFonts w:ascii="仿宋" w:hAnsi="仿宋" w:eastAsia="仿宋" w:cs="仿宋"/>
          <w:bCs/>
          <w:sz w:val="32"/>
          <w:szCs w:val="32"/>
        </w:rPr>
        <w:t>及固废</w:t>
      </w:r>
      <w:r>
        <w:rPr>
          <w:rFonts w:hint="eastAsia" w:ascii="仿宋" w:hAnsi="仿宋" w:eastAsia="仿宋" w:cs="仿宋"/>
          <w:bCs/>
          <w:sz w:val="32"/>
          <w:szCs w:val="32"/>
        </w:rPr>
        <w:t>对周边环境影响</w:t>
      </w:r>
      <w:r>
        <w:rPr>
          <w:rFonts w:ascii="仿宋" w:hAnsi="仿宋" w:eastAsia="仿宋" w:cs="仿宋"/>
          <w:bCs/>
          <w:sz w:val="32"/>
          <w:szCs w:val="32"/>
        </w:rPr>
        <w:t>。</w:t>
      </w:r>
    </w:p>
    <w:p w14:paraId="0392E3F5">
      <w:pPr>
        <w:ind w:firstLine="640" w:firstLineChars="200"/>
        <w:rPr>
          <w:rStyle w:val="13"/>
          <w:rFonts w:ascii="仿宋" w:hAnsi="仿宋" w:eastAsia="仿宋" w:cs="仿宋"/>
          <w:bCs/>
          <w:sz w:val="32"/>
          <w:szCs w:val="32"/>
        </w:rPr>
      </w:pPr>
      <w:r>
        <w:rPr>
          <w:rStyle w:val="13"/>
          <w:rFonts w:ascii="仿宋" w:hAnsi="仿宋" w:eastAsia="仿宋" w:cs="仿宋"/>
          <w:bCs/>
          <w:sz w:val="32"/>
          <w:szCs w:val="32"/>
        </w:rPr>
        <w:t>2.</w:t>
      </w:r>
      <w:r>
        <w:rPr>
          <w:rFonts w:hint="eastAsia" w:ascii="仿宋" w:hAnsi="仿宋" w:eastAsia="仿宋" w:cs="仿宋"/>
          <w:sz w:val="32"/>
          <w:szCs w:val="32"/>
        </w:rPr>
        <w:t>严格落实水污染防治措施。</w:t>
      </w:r>
      <w:r>
        <w:rPr>
          <w:rFonts w:hint="eastAsia" w:ascii="仿宋" w:hAnsi="仿宋" w:eastAsia="仿宋"/>
          <w:bCs/>
          <w:sz w:val="32"/>
          <w:szCs w:val="32"/>
        </w:rPr>
        <w:t>厂区实行“雨污分流”</w:t>
      </w:r>
      <w:r>
        <w:rPr>
          <w:rFonts w:ascii="仿宋" w:hAnsi="仿宋" w:eastAsia="仿宋"/>
          <w:bCs/>
          <w:sz w:val="32"/>
          <w:szCs w:val="32"/>
        </w:rPr>
        <w:t>，</w:t>
      </w:r>
      <w:r>
        <w:rPr>
          <w:rFonts w:hint="eastAsia" w:ascii="仿宋" w:hAnsi="仿宋" w:eastAsia="仿宋" w:cs="仿宋"/>
          <w:bCs/>
          <w:sz w:val="32"/>
          <w:szCs w:val="32"/>
          <w:lang w:val="en-US" w:eastAsia="zh-CN" w:bidi="ar-SA"/>
        </w:rPr>
        <w:t>生活污水依托湖南天圣药业有限公司化粪池预处理后</w:t>
      </w:r>
      <w:r>
        <w:rPr>
          <w:rFonts w:ascii="仿宋" w:hAnsi="仿宋" w:eastAsia="仿宋" w:cs="仿宋"/>
          <w:bCs/>
          <w:sz w:val="32"/>
          <w:szCs w:val="32"/>
          <w:lang w:val="en-US" w:eastAsia="zh-CN" w:bidi="ar-SA"/>
        </w:rPr>
        <w:t>经</w:t>
      </w:r>
      <w:r>
        <w:rPr>
          <w:rFonts w:hint="eastAsia" w:ascii="仿宋" w:hAnsi="仿宋" w:eastAsia="仿宋" w:cs="仿宋"/>
          <w:bCs/>
          <w:sz w:val="32"/>
          <w:szCs w:val="32"/>
          <w:lang w:val="en-US" w:eastAsia="zh-CN" w:bidi="ar-SA"/>
        </w:rPr>
        <w:t>市政污水管网，进入澧县污水处理厂</w:t>
      </w:r>
      <w:r>
        <w:rPr>
          <w:rFonts w:ascii="仿宋" w:hAnsi="仿宋" w:eastAsia="仿宋" w:cs="仿宋"/>
          <w:bCs/>
          <w:sz w:val="32"/>
          <w:szCs w:val="32"/>
          <w:lang w:val="en-US" w:eastAsia="zh-CN" w:bidi="ar-SA"/>
        </w:rPr>
        <w:t>深度处理</w:t>
      </w:r>
      <w:r>
        <w:rPr>
          <w:rFonts w:hint="eastAsia" w:ascii="仿宋" w:hAnsi="仿宋" w:eastAsia="仿宋" w:cs="仿宋"/>
          <w:bCs/>
          <w:sz w:val="32"/>
          <w:szCs w:val="32"/>
          <w:lang w:val="en-US" w:eastAsia="zh-CN" w:bidi="ar-SA"/>
        </w:rPr>
        <w:t>，</w:t>
      </w:r>
      <w:r>
        <w:rPr>
          <w:rFonts w:ascii="仿宋" w:hAnsi="仿宋" w:eastAsia="仿宋" w:cs="仿宋"/>
          <w:bCs/>
          <w:sz w:val="32"/>
          <w:szCs w:val="32"/>
          <w:lang w:val="en-US" w:eastAsia="zh-CN" w:bidi="ar-SA"/>
        </w:rPr>
        <w:t>外排废水满足</w:t>
      </w:r>
      <w:r>
        <w:rPr>
          <w:rFonts w:hint="eastAsia" w:ascii="仿宋" w:hAnsi="仿宋" w:eastAsia="仿宋" w:cs="仿宋"/>
          <w:bCs/>
          <w:sz w:val="32"/>
          <w:szCs w:val="32"/>
          <w:lang w:val="en-US" w:eastAsia="zh-CN" w:bidi="ar-SA"/>
        </w:rPr>
        <w:t>《污水综合排放标准》（GB8978-1996）</w:t>
      </w:r>
      <w:r>
        <w:rPr>
          <w:rFonts w:ascii="仿宋" w:hAnsi="仿宋" w:eastAsia="仿宋" w:cs="仿宋"/>
          <w:bCs/>
          <w:sz w:val="32"/>
          <w:szCs w:val="32"/>
          <w:lang w:val="en-US" w:eastAsia="zh-CN" w:bidi="ar-SA"/>
        </w:rPr>
        <w:t>表4</w:t>
      </w:r>
      <w:r>
        <w:rPr>
          <w:rFonts w:hint="eastAsia" w:ascii="仿宋" w:hAnsi="仿宋" w:eastAsia="仿宋" w:cs="仿宋"/>
          <w:bCs/>
          <w:sz w:val="32"/>
          <w:szCs w:val="32"/>
          <w:lang w:val="en-US" w:eastAsia="zh-CN" w:bidi="ar-SA"/>
        </w:rPr>
        <w:t>中三级标准</w:t>
      </w:r>
      <w:r>
        <w:rPr>
          <w:rFonts w:ascii="仿宋" w:hAnsi="仿宋" w:eastAsia="仿宋" w:cs="仿宋"/>
          <w:bCs/>
          <w:sz w:val="32"/>
          <w:szCs w:val="32"/>
          <w:lang w:val="en-US" w:eastAsia="zh-CN" w:bidi="ar-SA"/>
        </w:rPr>
        <w:t>及</w:t>
      </w:r>
      <w:r>
        <w:rPr>
          <w:rFonts w:hint="eastAsia" w:ascii="仿宋" w:hAnsi="仿宋" w:eastAsia="仿宋" w:cs="仿宋"/>
          <w:bCs/>
          <w:sz w:val="32"/>
          <w:szCs w:val="32"/>
          <w:lang w:val="en-US" w:eastAsia="zh-CN" w:bidi="ar-SA"/>
        </w:rPr>
        <w:t>澧县</w:t>
      </w:r>
      <w:r>
        <w:rPr>
          <w:rStyle w:val="13"/>
          <w:rFonts w:hint="eastAsia" w:ascii="仿宋" w:hAnsi="仿宋" w:eastAsia="仿宋" w:cs="仿宋"/>
          <w:bCs/>
          <w:sz w:val="32"/>
          <w:szCs w:val="32"/>
          <w:lang w:val="en-US" w:eastAsia="zh-CN" w:bidi="ar-SA"/>
        </w:rPr>
        <w:t>污水处理厂进水水质要求；</w:t>
      </w:r>
      <w:r>
        <w:rPr>
          <w:rStyle w:val="13"/>
          <w:rFonts w:hint="eastAsia" w:ascii="仿宋" w:hAnsi="仿宋" w:eastAsia="仿宋" w:cs="仿宋"/>
          <w:bCs/>
          <w:sz w:val="32"/>
          <w:szCs w:val="32"/>
        </w:rPr>
        <w:t>密炼、开炼、切胶</w:t>
      </w:r>
      <w:r>
        <w:rPr>
          <w:rStyle w:val="13"/>
          <w:rFonts w:ascii="仿宋" w:hAnsi="仿宋" w:eastAsia="仿宋" w:cs="仿宋"/>
          <w:bCs/>
          <w:sz w:val="32"/>
          <w:szCs w:val="32"/>
        </w:rPr>
        <w:t>等生产</w:t>
      </w:r>
      <w:r>
        <w:rPr>
          <w:rStyle w:val="13"/>
          <w:rFonts w:hint="eastAsia" w:ascii="仿宋" w:hAnsi="仿宋" w:eastAsia="仿宋" w:cs="仿宋"/>
          <w:bCs/>
          <w:sz w:val="32"/>
          <w:szCs w:val="32"/>
        </w:rPr>
        <w:t>工序冷却水循环使用</w:t>
      </w:r>
      <w:r>
        <w:rPr>
          <w:rStyle w:val="13"/>
          <w:rFonts w:ascii="仿宋" w:hAnsi="仿宋" w:eastAsia="仿宋" w:cs="仿宋"/>
          <w:bCs/>
          <w:sz w:val="32"/>
          <w:szCs w:val="32"/>
        </w:rPr>
        <w:t>不外排</w:t>
      </w:r>
      <w:r>
        <w:rPr>
          <w:rStyle w:val="13"/>
          <w:rFonts w:hint="eastAsia" w:ascii="仿宋" w:hAnsi="仿宋" w:eastAsia="仿宋" w:cs="仿宋"/>
          <w:bCs/>
          <w:sz w:val="32"/>
          <w:szCs w:val="32"/>
          <w:lang w:val="en-US" w:eastAsia="zh-CN" w:bidi="ar-SA"/>
        </w:rPr>
        <w:t>。</w:t>
      </w:r>
    </w:p>
    <w:p w14:paraId="7A6F7B85">
      <w:pPr>
        <w:ind w:firstLine="637"/>
        <w:rPr>
          <w:rStyle w:val="13"/>
          <w:rFonts w:ascii="仿宋" w:hAnsi="仿宋" w:eastAsia="仿宋" w:cs="仿宋"/>
          <w:bCs/>
          <w:sz w:val="32"/>
          <w:szCs w:val="32"/>
        </w:rPr>
      </w:pPr>
      <w:r>
        <w:rPr>
          <w:rStyle w:val="13"/>
          <w:rFonts w:ascii="仿宋" w:hAnsi="仿宋" w:eastAsia="仿宋" w:cs="仿宋"/>
          <w:bCs/>
          <w:sz w:val="32"/>
          <w:szCs w:val="32"/>
        </w:rPr>
        <w:t>3.</w:t>
      </w:r>
      <w:r>
        <w:rPr>
          <w:rFonts w:hint="eastAsia" w:ascii="仿宋" w:hAnsi="仿宋" w:eastAsia="仿宋" w:cs="仿宋"/>
          <w:sz w:val="32"/>
          <w:szCs w:val="32"/>
        </w:rPr>
        <w:t>严格落实大气污染防治措施</w:t>
      </w:r>
      <w:r>
        <w:rPr>
          <w:rFonts w:ascii="仿宋" w:hAnsi="仿宋" w:eastAsia="仿宋" w:cs="仿宋"/>
          <w:sz w:val="32"/>
          <w:szCs w:val="32"/>
        </w:rPr>
        <w:t>。</w:t>
      </w:r>
      <w:r>
        <w:rPr>
          <w:rStyle w:val="13"/>
          <w:rFonts w:ascii="仿宋" w:hAnsi="仿宋" w:eastAsia="仿宋" w:cs="仿宋"/>
          <w:bCs/>
          <w:sz w:val="32"/>
          <w:szCs w:val="32"/>
        </w:rPr>
        <w:t>整体封闭</w:t>
      </w:r>
      <w:r>
        <w:rPr>
          <w:rStyle w:val="13"/>
          <w:rFonts w:hint="eastAsia" w:ascii="仿宋" w:hAnsi="仿宋" w:eastAsia="仿宋" w:cs="仿宋"/>
          <w:bCs/>
          <w:sz w:val="32"/>
          <w:szCs w:val="32"/>
        </w:rPr>
        <w:t>密炼车间，密炼、开炼、硫化工序废气经“布袋</w:t>
      </w:r>
      <w:r>
        <w:rPr>
          <w:rStyle w:val="13"/>
          <w:rFonts w:hint="eastAsia" w:ascii="仿宋" w:hAnsi="仿宋" w:eastAsia="仿宋" w:cs="仿宋"/>
          <w:bCs/>
          <w:sz w:val="32"/>
          <w:szCs w:val="32"/>
          <w:lang w:val="en-US" w:eastAsia="zh-CN"/>
        </w:rPr>
        <w:t>除尘+碱喷淋处理+三级活性炭吸附处理</w:t>
      </w:r>
      <w:r>
        <w:rPr>
          <w:rStyle w:val="13"/>
          <w:rFonts w:hint="eastAsia" w:ascii="仿宋" w:hAnsi="仿宋" w:eastAsia="仿宋" w:cs="仿宋"/>
          <w:bCs/>
          <w:sz w:val="32"/>
          <w:szCs w:val="32"/>
        </w:rPr>
        <w:t>”</w:t>
      </w:r>
      <w:r>
        <w:rPr>
          <w:rStyle w:val="13"/>
          <w:rFonts w:ascii="仿宋" w:hAnsi="仿宋" w:eastAsia="仿宋" w:cs="仿宋"/>
          <w:bCs/>
          <w:sz w:val="32"/>
          <w:szCs w:val="32"/>
        </w:rPr>
        <w:t>后由</w:t>
      </w:r>
      <w:r>
        <w:rPr>
          <w:rStyle w:val="13"/>
          <w:rFonts w:hint="eastAsia" w:ascii="仿宋" w:hAnsi="仿宋" w:eastAsia="仿宋" w:cs="仿宋"/>
          <w:bCs/>
          <w:sz w:val="32"/>
          <w:szCs w:val="32"/>
          <w:lang w:val="en-US" w:eastAsia="zh-CN"/>
        </w:rPr>
        <w:t>15m排气筒</w:t>
      </w:r>
      <w:r>
        <w:rPr>
          <w:rStyle w:val="13"/>
          <w:rFonts w:hint="eastAsia" w:ascii="仿宋" w:hAnsi="仿宋" w:eastAsia="仿宋" w:cs="仿宋"/>
          <w:bCs/>
          <w:sz w:val="32"/>
          <w:szCs w:val="32"/>
        </w:rPr>
        <w:t>高空排放，</w:t>
      </w:r>
      <w:r>
        <w:rPr>
          <w:rFonts w:hint="eastAsia" w:ascii="仿宋" w:hAnsi="仿宋" w:eastAsia="仿宋"/>
          <w:sz w:val="32"/>
          <w:szCs w:val="32"/>
        </w:rPr>
        <w:t>外排废气满足</w:t>
      </w:r>
      <w:r>
        <w:rPr>
          <w:rStyle w:val="13"/>
          <w:rFonts w:hint="eastAsia" w:ascii="仿宋" w:hAnsi="仿宋" w:eastAsia="仿宋" w:cs="仿宋"/>
          <w:bCs/>
          <w:sz w:val="32"/>
          <w:szCs w:val="32"/>
        </w:rPr>
        <w:t>《橡胶制品工业污染物排放标准》（</w:t>
      </w:r>
      <w:r>
        <w:rPr>
          <w:rStyle w:val="13"/>
          <w:rFonts w:ascii="仿宋" w:hAnsi="仿宋" w:eastAsia="仿宋" w:cs="仿宋"/>
          <w:bCs/>
          <w:sz w:val="32"/>
          <w:szCs w:val="32"/>
        </w:rPr>
        <w:t>GB27632-2011</w:t>
      </w:r>
      <w:r>
        <w:rPr>
          <w:rStyle w:val="13"/>
          <w:rFonts w:hint="eastAsia" w:ascii="仿宋" w:hAnsi="仿宋" w:eastAsia="仿宋" w:cs="仿宋"/>
          <w:bCs/>
          <w:sz w:val="32"/>
          <w:szCs w:val="32"/>
        </w:rPr>
        <w:t>）表</w:t>
      </w:r>
      <w:r>
        <w:rPr>
          <w:rStyle w:val="13"/>
          <w:rFonts w:ascii="仿宋" w:hAnsi="仿宋" w:eastAsia="仿宋" w:cs="仿宋"/>
          <w:bCs/>
          <w:sz w:val="32"/>
          <w:szCs w:val="32"/>
        </w:rPr>
        <w:t>5</w:t>
      </w:r>
      <w:r>
        <w:rPr>
          <w:rStyle w:val="13"/>
          <w:rFonts w:hint="eastAsia" w:ascii="仿宋" w:hAnsi="仿宋" w:eastAsia="仿宋" w:cs="仿宋"/>
          <w:bCs/>
          <w:sz w:val="32"/>
          <w:szCs w:val="32"/>
        </w:rPr>
        <w:t>标准限值和《恶臭污染物排放标准》（</w:t>
      </w:r>
      <w:r>
        <w:rPr>
          <w:rStyle w:val="13"/>
          <w:rFonts w:ascii="仿宋" w:hAnsi="仿宋" w:eastAsia="仿宋" w:cs="仿宋"/>
          <w:bCs/>
          <w:sz w:val="32"/>
          <w:szCs w:val="32"/>
        </w:rPr>
        <w:t>GB14554-93</w:t>
      </w:r>
      <w:r>
        <w:rPr>
          <w:rStyle w:val="13"/>
          <w:rFonts w:hint="eastAsia" w:ascii="仿宋" w:hAnsi="仿宋" w:eastAsia="仿宋" w:cs="仿宋"/>
          <w:bCs/>
          <w:sz w:val="32"/>
          <w:szCs w:val="32"/>
        </w:rPr>
        <w:t>）表</w:t>
      </w:r>
      <w:r>
        <w:rPr>
          <w:rStyle w:val="13"/>
          <w:rFonts w:ascii="仿宋" w:hAnsi="仿宋" w:eastAsia="仿宋" w:cs="仿宋"/>
          <w:bCs/>
          <w:sz w:val="32"/>
          <w:szCs w:val="32"/>
        </w:rPr>
        <w:t>2</w:t>
      </w:r>
      <w:r>
        <w:rPr>
          <w:rStyle w:val="13"/>
          <w:rFonts w:hint="eastAsia" w:ascii="仿宋" w:hAnsi="仿宋" w:eastAsia="仿宋" w:cs="仿宋"/>
          <w:bCs/>
          <w:sz w:val="32"/>
          <w:szCs w:val="32"/>
        </w:rPr>
        <w:t>标准限值要求；</w:t>
      </w:r>
      <w:r>
        <w:rPr>
          <w:rStyle w:val="13"/>
          <w:rFonts w:ascii="仿宋" w:hAnsi="仿宋" w:eastAsia="仿宋" w:cs="仿宋"/>
          <w:bCs/>
          <w:sz w:val="32"/>
          <w:szCs w:val="32"/>
        </w:rPr>
        <w:t>单独封闭配料间，配料粉尘经集成罩</w:t>
      </w:r>
      <w:r>
        <w:rPr>
          <w:rStyle w:val="13"/>
          <w:rFonts w:ascii="仿宋" w:hAnsi="仿宋" w:eastAsia="仿宋" w:cs="仿宋"/>
          <w:bCs/>
          <w:sz w:val="32"/>
          <w:szCs w:val="32"/>
          <w:lang w:val="en-US" w:eastAsia="zh-CN"/>
        </w:rPr>
        <w:t>收集后通过移动式滤筒试除尘器处理后，在车间内排放，</w:t>
      </w:r>
      <w:r>
        <w:rPr>
          <w:rStyle w:val="13"/>
          <w:rFonts w:hint="eastAsia" w:ascii="仿宋" w:hAnsi="仿宋" w:eastAsia="仿宋" w:cs="仿宋"/>
          <w:bCs/>
          <w:sz w:val="32"/>
          <w:szCs w:val="32"/>
        </w:rPr>
        <w:t>厂界无组织废气满足</w:t>
      </w:r>
      <w:r>
        <w:rPr>
          <w:rFonts w:hint="eastAsia" w:ascii="仿宋" w:hAnsi="仿宋" w:eastAsia="仿宋"/>
          <w:sz w:val="32"/>
          <w:szCs w:val="32"/>
        </w:rPr>
        <w:t>《橡胶制品工业污染物排放标准》（GB27632-2011）</w:t>
      </w:r>
      <w:r>
        <w:rPr>
          <w:rFonts w:ascii="仿宋" w:hAnsi="仿宋" w:eastAsia="仿宋"/>
          <w:sz w:val="32"/>
          <w:szCs w:val="32"/>
        </w:rPr>
        <w:t>表6标准限值</w:t>
      </w:r>
      <w:r>
        <w:rPr>
          <w:rFonts w:hint="eastAsia" w:ascii="仿宋" w:hAnsi="仿宋" w:eastAsia="仿宋"/>
          <w:sz w:val="32"/>
          <w:szCs w:val="32"/>
        </w:rPr>
        <w:t>和《恶臭污染物排放标准》（GB14554-93）</w:t>
      </w:r>
      <w:r>
        <w:rPr>
          <w:rFonts w:ascii="仿宋" w:hAnsi="仿宋" w:eastAsia="仿宋"/>
          <w:sz w:val="32"/>
          <w:szCs w:val="32"/>
        </w:rPr>
        <w:t>二级新改扩标准</w:t>
      </w:r>
      <w:r>
        <w:rPr>
          <w:rFonts w:hint="eastAsia" w:ascii="仿宋" w:hAnsi="仿宋" w:eastAsia="仿宋"/>
          <w:sz w:val="32"/>
          <w:szCs w:val="32"/>
        </w:rPr>
        <w:t>限值要求。</w:t>
      </w:r>
    </w:p>
    <w:p w14:paraId="643F450F">
      <w:pPr>
        <w:ind w:firstLine="480" w:firstLineChars="150"/>
        <w:rPr>
          <w:rStyle w:val="13"/>
          <w:rFonts w:ascii="仿宋" w:hAnsi="仿宋" w:eastAsia="仿宋" w:cs="仿宋"/>
          <w:bCs/>
          <w:sz w:val="32"/>
          <w:szCs w:val="32"/>
        </w:rPr>
      </w:pPr>
      <w:r>
        <w:rPr>
          <w:rStyle w:val="13"/>
          <w:rFonts w:ascii="仿宋" w:hAnsi="仿宋" w:eastAsia="仿宋" w:cs="仿宋"/>
          <w:bCs/>
          <w:sz w:val="32"/>
          <w:szCs w:val="32"/>
        </w:rPr>
        <w:t>4.严格落实</w:t>
      </w:r>
      <w:r>
        <w:rPr>
          <w:rFonts w:hint="eastAsia" w:ascii="仿宋" w:hAnsi="仿宋" w:eastAsia="仿宋"/>
          <w:bCs/>
          <w:sz w:val="32"/>
          <w:szCs w:val="32"/>
        </w:rPr>
        <w:t>噪声污染</w:t>
      </w:r>
      <w:r>
        <w:rPr>
          <w:rFonts w:ascii="仿宋" w:hAnsi="仿宋" w:eastAsia="仿宋"/>
          <w:bCs/>
          <w:sz w:val="32"/>
          <w:szCs w:val="32"/>
        </w:rPr>
        <w:t>防治措施</w:t>
      </w:r>
      <w:r>
        <w:rPr>
          <w:rFonts w:hint="eastAsia" w:ascii="仿宋" w:hAnsi="仿宋" w:eastAsia="仿宋"/>
          <w:bCs/>
          <w:sz w:val="32"/>
          <w:szCs w:val="32"/>
        </w:rPr>
        <w:t>制。合理布设噪声源，</w:t>
      </w:r>
      <w:r>
        <w:rPr>
          <w:rFonts w:hint="eastAsia" w:ascii="仿宋" w:hAnsi="仿宋" w:eastAsia="仿宋" w:cs="仿宋"/>
          <w:bCs/>
          <w:sz w:val="32"/>
          <w:szCs w:val="32"/>
        </w:rPr>
        <w:t>并采取消声、隔声、</w:t>
      </w:r>
      <w:r>
        <w:rPr>
          <w:rStyle w:val="13"/>
          <w:rFonts w:hint="eastAsia" w:ascii="仿宋" w:hAnsi="仿宋" w:eastAsia="仿宋" w:cs="仿宋"/>
          <w:bCs/>
          <w:sz w:val="32"/>
          <w:szCs w:val="32"/>
        </w:rPr>
        <w:t>减震、降噪</w:t>
      </w:r>
      <w:r>
        <w:rPr>
          <w:rFonts w:hint="eastAsia" w:ascii="仿宋" w:hAnsi="仿宋" w:eastAsia="仿宋" w:cs="仿宋"/>
          <w:bCs/>
          <w:sz w:val="32"/>
          <w:szCs w:val="32"/>
        </w:rPr>
        <w:t>等措施</w:t>
      </w:r>
      <w:r>
        <w:rPr>
          <w:rStyle w:val="13"/>
          <w:rFonts w:hint="eastAsia" w:ascii="仿宋" w:hAnsi="仿宋" w:eastAsia="仿宋" w:cs="仿宋"/>
          <w:bCs/>
          <w:sz w:val="32"/>
          <w:szCs w:val="32"/>
        </w:rPr>
        <w:t>，</w:t>
      </w:r>
      <w:r>
        <w:rPr>
          <w:rFonts w:hint="eastAsia" w:ascii="仿宋" w:hAnsi="仿宋" w:eastAsia="仿宋"/>
          <w:bCs/>
          <w:sz w:val="32"/>
          <w:szCs w:val="32"/>
        </w:rPr>
        <w:t>加强设备维护与保养，减少噪声对周围环境影响，</w:t>
      </w:r>
      <w:r>
        <w:rPr>
          <w:rStyle w:val="13"/>
          <w:rFonts w:hint="eastAsia" w:ascii="仿宋" w:hAnsi="仿宋" w:eastAsia="仿宋" w:cs="仿宋"/>
          <w:bCs/>
          <w:sz w:val="32"/>
          <w:szCs w:val="32"/>
        </w:rPr>
        <w:t>厂界噪声</w:t>
      </w:r>
      <w:r>
        <w:rPr>
          <w:rStyle w:val="13"/>
          <w:rFonts w:ascii="仿宋" w:hAnsi="仿宋" w:eastAsia="仿宋" w:cs="仿宋"/>
          <w:bCs/>
          <w:sz w:val="32"/>
          <w:szCs w:val="32"/>
        </w:rPr>
        <w:t>满足</w:t>
      </w:r>
      <w:r>
        <w:rPr>
          <w:rStyle w:val="13"/>
          <w:rFonts w:hint="eastAsia" w:ascii="仿宋" w:hAnsi="仿宋" w:eastAsia="仿宋" w:cs="仿宋"/>
          <w:bCs/>
          <w:sz w:val="32"/>
          <w:szCs w:val="32"/>
        </w:rPr>
        <w:t>《工业企业厂界环境噪声排放标准》（</w:t>
      </w:r>
      <w:r>
        <w:rPr>
          <w:rStyle w:val="13"/>
          <w:rFonts w:ascii="仿宋" w:hAnsi="仿宋" w:eastAsia="仿宋" w:cs="仿宋"/>
          <w:bCs/>
          <w:sz w:val="32"/>
          <w:szCs w:val="32"/>
        </w:rPr>
        <w:t>GB12348-2008</w:t>
      </w:r>
      <w:r>
        <w:rPr>
          <w:rStyle w:val="13"/>
          <w:rFonts w:hint="eastAsia" w:ascii="仿宋" w:hAnsi="仿宋" w:eastAsia="仿宋" w:cs="仿宋"/>
          <w:bCs/>
          <w:sz w:val="32"/>
          <w:szCs w:val="32"/>
        </w:rPr>
        <w:t>）中</w:t>
      </w:r>
      <w:r>
        <w:rPr>
          <w:rStyle w:val="13"/>
          <w:rFonts w:ascii="仿宋" w:hAnsi="仿宋" w:eastAsia="仿宋" w:cs="仿宋"/>
          <w:bCs/>
          <w:sz w:val="32"/>
          <w:szCs w:val="32"/>
        </w:rPr>
        <w:t>3</w:t>
      </w:r>
      <w:r>
        <w:rPr>
          <w:rStyle w:val="13"/>
          <w:rFonts w:hint="eastAsia" w:ascii="仿宋" w:hAnsi="仿宋" w:eastAsia="仿宋" w:cs="仿宋"/>
          <w:bCs/>
          <w:sz w:val="32"/>
          <w:szCs w:val="32"/>
        </w:rPr>
        <w:t>类</w:t>
      </w:r>
      <w:r>
        <w:rPr>
          <w:rStyle w:val="13"/>
          <w:rFonts w:ascii="仿宋" w:hAnsi="仿宋" w:eastAsia="仿宋" w:cs="仿宋"/>
          <w:bCs/>
          <w:sz w:val="32"/>
          <w:szCs w:val="32"/>
        </w:rPr>
        <w:t>、4类排放</w:t>
      </w:r>
      <w:r>
        <w:rPr>
          <w:rStyle w:val="13"/>
          <w:rFonts w:hint="eastAsia" w:ascii="仿宋" w:hAnsi="仿宋" w:eastAsia="仿宋" w:cs="仿宋"/>
          <w:bCs/>
          <w:sz w:val="32"/>
          <w:szCs w:val="32"/>
        </w:rPr>
        <w:t>标准。</w:t>
      </w:r>
    </w:p>
    <w:p w14:paraId="0D117E3B">
      <w:pPr>
        <w:ind w:firstLine="745" w:firstLineChars="233"/>
        <w:rPr>
          <w:rFonts w:hint="eastAsia" w:ascii="仿宋" w:hAnsi="仿宋" w:eastAsia="仿宋"/>
          <w:bCs/>
          <w:sz w:val="32"/>
          <w:szCs w:val="32"/>
        </w:rPr>
      </w:pPr>
      <w:r>
        <w:rPr>
          <w:rStyle w:val="13"/>
          <w:rFonts w:ascii="仿宋" w:hAnsi="仿宋" w:eastAsia="仿宋" w:cs="仿宋"/>
          <w:bCs/>
          <w:sz w:val="32"/>
          <w:szCs w:val="32"/>
        </w:rPr>
        <w:t>5.</w:t>
      </w:r>
      <w:r>
        <w:rPr>
          <w:rFonts w:hint="eastAsia" w:ascii="仿宋" w:hAnsi="仿宋" w:eastAsia="仿宋"/>
          <w:bCs/>
          <w:sz w:val="32"/>
          <w:szCs w:val="32"/>
        </w:rPr>
        <w:t>落实各项固废收集处置措施。设置危</w:t>
      </w:r>
      <w:r>
        <w:rPr>
          <w:rStyle w:val="13"/>
          <w:rFonts w:hint="eastAsia" w:ascii="仿宋" w:hAnsi="仿宋" w:eastAsia="仿宋" w:cs="仿宋"/>
          <w:bCs/>
          <w:sz w:val="32"/>
          <w:szCs w:val="32"/>
        </w:rPr>
        <w:t>废暂存间，</w:t>
      </w:r>
      <w:r>
        <w:rPr>
          <w:rFonts w:hint="eastAsia" w:ascii="仿宋" w:hAnsi="仿宋" w:eastAsia="仿宋"/>
          <w:bCs/>
          <w:sz w:val="32"/>
          <w:szCs w:val="32"/>
          <w:lang w:bidi="ar-SA"/>
        </w:rPr>
        <w:t>配料称量、混炼收集粉尘、硫化工序产生的废边角料回用于生产；原料包装袋集中收集后交由厂商回收处置；石蜡</w:t>
      </w:r>
      <w:r>
        <w:rPr>
          <w:rFonts w:hint="eastAsia" w:ascii="仿宋" w:hAnsi="仿宋" w:eastAsia="仿宋"/>
          <w:bCs/>
          <w:sz w:val="32"/>
          <w:szCs w:val="32"/>
          <w:lang w:val="en-US" w:eastAsia="zh-CN" w:bidi="ar-SA"/>
        </w:rPr>
        <w:t>油废包装桶、废活性炭、废润滑油</w:t>
      </w:r>
      <w:r>
        <w:rPr>
          <w:rFonts w:ascii="仿宋" w:hAnsi="仿宋" w:eastAsia="仿宋"/>
          <w:bCs/>
          <w:sz w:val="32"/>
          <w:szCs w:val="32"/>
          <w:lang w:val="en-US" w:eastAsia="zh-CN" w:bidi="ar-SA"/>
        </w:rPr>
        <w:t>属危险废物，需集中收集后</w:t>
      </w:r>
      <w:r>
        <w:rPr>
          <w:rFonts w:hint="eastAsia" w:ascii="仿宋" w:hAnsi="仿宋" w:eastAsia="仿宋"/>
          <w:bCs/>
          <w:sz w:val="32"/>
          <w:szCs w:val="32"/>
          <w:lang w:val="en-US" w:eastAsia="zh-CN" w:bidi="ar-SA"/>
        </w:rPr>
        <w:t>交由有资质的单位进行处置；生活垃圾交由环卫部门清运处置。</w:t>
      </w:r>
    </w:p>
    <w:p w14:paraId="1161DD70">
      <w:pPr>
        <w:keepNext w:val="0"/>
        <w:keepLines w:val="0"/>
        <w:pageBreakBefore w:val="0"/>
        <w:widowControl w:val="0"/>
        <w:kinsoku/>
        <w:wordWrap/>
        <w:overflowPunct/>
        <w:topLinePunct w:val="0"/>
        <w:autoSpaceDE/>
        <w:autoSpaceDN/>
        <w:spacing w:line="600" w:lineRule="exact"/>
        <w:ind w:firstLine="722" w:firstLineChars="233"/>
        <w:textAlignment w:val="auto"/>
        <w:rPr>
          <w:rFonts w:hint="eastAsia" w:ascii="仿宋" w:hAnsi="仿宋" w:eastAsia="仿宋" w:cs="仿宋"/>
          <w:kern w:val="0"/>
          <w:sz w:val="31"/>
          <w:szCs w:val="31"/>
          <w:lang w:val="en-US" w:eastAsia="zh-CN" w:bidi="ar-SA"/>
        </w:rPr>
      </w:pPr>
      <w:r>
        <w:rPr>
          <w:rFonts w:ascii="仿宋" w:hAnsi="仿宋" w:eastAsia="仿宋" w:cs="仿宋"/>
          <w:kern w:val="0"/>
          <w:sz w:val="31"/>
          <w:szCs w:val="31"/>
          <w:lang w:val="en-US" w:eastAsia="zh-CN" w:bidi="ar-SA"/>
        </w:rPr>
        <w:t>三</w:t>
      </w:r>
      <w:r>
        <w:rPr>
          <w:rFonts w:hint="eastAsia" w:ascii="仿宋" w:hAnsi="仿宋" w:eastAsia="仿宋" w:cs="仿宋"/>
          <w:kern w:val="0"/>
          <w:sz w:val="31"/>
          <w:szCs w:val="31"/>
          <w:lang w:val="en-US" w:eastAsia="zh-CN" w:bidi="ar-SA"/>
        </w:rPr>
        <w:t>、做好环境风险事故防范措施，建立应急机构和风险防范体系，以便减少事故率，降低事故危害程度。</w:t>
      </w:r>
    </w:p>
    <w:p w14:paraId="7A4348C8">
      <w:pPr>
        <w:keepNext w:val="0"/>
        <w:keepLines w:val="0"/>
        <w:pageBreakBefore w:val="0"/>
        <w:widowControl w:val="0"/>
        <w:kinsoku/>
        <w:wordWrap/>
        <w:overflowPunct/>
        <w:topLinePunct w:val="0"/>
        <w:autoSpaceDE/>
        <w:autoSpaceDN/>
        <w:adjustRightInd/>
        <w:snapToGrid/>
        <w:spacing w:line="600" w:lineRule="exact"/>
        <w:ind w:firstLine="640" w:firstLineChars="200"/>
        <w:rPr>
          <w:rFonts w:hint="eastAsia" w:ascii="仿宋" w:hAnsi="仿宋" w:eastAsia="仿宋" w:cs="仿宋"/>
          <w:bCs/>
          <w:sz w:val="32"/>
          <w:szCs w:val="32"/>
          <w:lang w:bidi="ar-SA"/>
        </w:rPr>
      </w:pPr>
      <w:r>
        <w:rPr>
          <w:rFonts w:ascii="仿宋" w:hAnsi="仿宋" w:eastAsia="仿宋"/>
          <w:sz w:val="32"/>
          <w:szCs w:val="32"/>
          <w:lang w:eastAsia="zh-CN"/>
        </w:rPr>
        <w:t>四</w:t>
      </w:r>
      <w:r>
        <w:rPr>
          <w:rFonts w:hint="eastAsia" w:ascii="仿宋" w:hAnsi="仿宋" w:eastAsia="仿宋"/>
          <w:sz w:val="32"/>
          <w:szCs w:val="32"/>
          <w:lang w:eastAsia="zh-CN"/>
        </w:rPr>
        <w:t>、</w:t>
      </w:r>
      <w:r>
        <w:rPr>
          <w:rFonts w:hint="eastAsia" w:ascii="仿宋" w:hAnsi="仿宋" w:eastAsia="仿宋" w:cs="仿宋"/>
          <w:bCs/>
          <w:sz w:val="32"/>
          <w:szCs w:val="32"/>
        </w:rPr>
        <w:t>项目建设完成后，</w:t>
      </w:r>
      <w:r>
        <w:rPr>
          <w:rFonts w:hint="eastAsia" w:ascii="仿宋" w:hAnsi="仿宋" w:eastAsia="仿宋" w:cs="仿宋"/>
          <w:color w:val="000000"/>
          <w:sz w:val="32"/>
          <w:szCs w:val="32"/>
        </w:rPr>
        <w:t>建设单位需按</w:t>
      </w:r>
      <w:r>
        <w:rPr>
          <w:rFonts w:hint="eastAsia" w:ascii="仿宋" w:hAnsi="仿宋" w:eastAsia="仿宋" w:cs="仿宋"/>
          <w:bCs/>
          <w:color w:val="000000"/>
          <w:sz w:val="32"/>
          <w:szCs w:val="32"/>
        </w:rPr>
        <w:t>《排污许可管理条例》规定及时办理排污许可手续，并按照《建设项目环境保护管理条例》《建设项目竣工环境保护验收暂行办法》等有关规定自行组织竣工环境保护验收,并通过全国建设项目竣工环境保护验收信息平台向社会公开验收报告</w:t>
      </w:r>
      <w:r>
        <w:rPr>
          <w:rFonts w:hint="eastAsia" w:ascii="仿宋" w:hAnsi="仿宋" w:eastAsia="仿宋" w:cs="仿宋"/>
          <w:bCs/>
          <w:sz w:val="32"/>
          <w:szCs w:val="32"/>
          <w:lang w:bidi="ar-SA"/>
        </w:rPr>
        <w:t>。</w:t>
      </w:r>
      <w:r>
        <w:rPr>
          <w:rFonts w:hint="eastAsia" w:ascii="仿宋" w:hAnsi="仿宋" w:eastAsia="仿宋" w:cs="仿宋"/>
          <w:sz w:val="32"/>
          <w:szCs w:val="32"/>
          <w:lang w:eastAsia="zh-CN" w:bidi="ar-SA"/>
        </w:rPr>
        <w:t>涉及</w:t>
      </w:r>
      <w:r>
        <w:rPr>
          <w:rFonts w:hint="eastAsia" w:ascii="仿宋" w:hAnsi="仿宋" w:eastAsia="仿宋"/>
          <w:sz w:val="32"/>
          <w:szCs w:val="32"/>
        </w:rPr>
        <w:t>土地、规划、</w:t>
      </w:r>
      <w:r>
        <w:rPr>
          <w:rFonts w:hint="eastAsia" w:ascii="仿宋" w:hAnsi="仿宋" w:eastAsia="仿宋"/>
          <w:sz w:val="32"/>
          <w:szCs w:val="32"/>
          <w:lang w:eastAsia="zh-CN"/>
        </w:rPr>
        <w:t>水利</w:t>
      </w:r>
      <w:r>
        <w:rPr>
          <w:rFonts w:hint="eastAsia" w:ascii="仿宋" w:hAnsi="仿宋" w:eastAsia="仿宋"/>
          <w:sz w:val="32"/>
          <w:szCs w:val="32"/>
        </w:rPr>
        <w:t>保护等相关事项，以相关行政主管部门审批意见为准。</w:t>
      </w:r>
    </w:p>
    <w:p w14:paraId="414233D1">
      <w:pPr>
        <w:keepNext w:val="0"/>
        <w:keepLines w:val="0"/>
        <w:pageBreakBefore w:val="0"/>
        <w:widowControl w:val="0"/>
        <w:kinsoku/>
        <w:wordWrap/>
        <w:overflowPunct/>
        <w:topLinePunct w:val="0"/>
        <w:autoSpaceDE/>
        <w:autoSpaceDN/>
        <w:adjustRightInd/>
        <w:snapToGrid/>
        <w:spacing w:line="600" w:lineRule="exact"/>
        <w:ind w:firstLine="640" w:firstLineChars="200"/>
        <w:rPr>
          <w:rFonts w:hint="eastAsia" w:ascii="仿宋" w:hAnsi="仿宋" w:eastAsia="仿宋" w:cs="仿宋"/>
          <w:bCs/>
          <w:sz w:val="32"/>
          <w:szCs w:val="32"/>
          <w:lang w:bidi="ar-SA"/>
        </w:rPr>
      </w:pPr>
      <w:r>
        <w:rPr>
          <w:rFonts w:ascii="仿宋" w:hAnsi="仿宋" w:eastAsia="仿宋" w:cs="仿宋"/>
          <w:bCs/>
          <w:sz w:val="32"/>
          <w:szCs w:val="32"/>
          <w:lang w:bidi="ar-SA"/>
        </w:rPr>
        <w:t>五</w:t>
      </w:r>
      <w:r>
        <w:rPr>
          <w:rFonts w:hint="eastAsia" w:ascii="仿宋" w:hAnsi="仿宋" w:eastAsia="仿宋" w:cs="仿宋"/>
          <w:bCs/>
          <w:sz w:val="32"/>
          <w:szCs w:val="32"/>
          <w:lang w:bidi="ar-SA"/>
        </w:rPr>
        <w:t>、如该项目在报批环保手续过程中存在瞒报、假报等欺骗行为，依据《中华人民共和国行政许可法》第六十九条的规定，我局有权撤销本批复，所造成的一切后果由你单位承担。澧县生态环境保护综合行政执法局负责日常监管。</w:t>
      </w:r>
    </w:p>
    <w:p w14:paraId="0C51C4EA">
      <w:pPr>
        <w:spacing w:line="560" w:lineRule="atLeast"/>
        <w:ind w:firstLine="745" w:firstLineChars="233"/>
        <w:jc w:val="right"/>
        <w:rPr>
          <w:rFonts w:ascii="仿宋" w:hAnsi="仿宋" w:eastAsia="仿宋" w:cs="仿宋"/>
          <w:bCs/>
          <w:sz w:val="32"/>
          <w:szCs w:val="32"/>
          <w:lang w:bidi="ar-SA"/>
        </w:rPr>
      </w:pPr>
    </w:p>
    <w:p w14:paraId="4EE86A96">
      <w:pPr>
        <w:spacing w:line="560" w:lineRule="atLeast"/>
        <w:ind w:firstLine="745" w:firstLineChars="233"/>
        <w:jc w:val="right"/>
        <w:rPr>
          <w:rFonts w:ascii="仿宋" w:hAnsi="仿宋" w:eastAsia="仿宋" w:cs="仿宋"/>
          <w:bCs/>
          <w:sz w:val="32"/>
          <w:szCs w:val="32"/>
          <w:lang w:bidi="ar-SA"/>
        </w:rPr>
      </w:pPr>
    </w:p>
    <w:p w14:paraId="4B1FF246">
      <w:pPr>
        <w:spacing w:line="560" w:lineRule="atLeast"/>
        <w:ind w:firstLine="745" w:firstLineChars="233"/>
        <w:jc w:val="right"/>
        <w:rPr>
          <w:rFonts w:hint="eastAsia" w:ascii="仿宋" w:hAnsi="仿宋" w:eastAsia="仿宋" w:cs="仿宋"/>
          <w:bCs/>
          <w:sz w:val="32"/>
          <w:szCs w:val="32"/>
          <w:lang w:bidi="ar-SA"/>
        </w:rPr>
      </w:pPr>
      <w:r>
        <w:rPr>
          <w:rFonts w:hint="eastAsia" w:ascii="仿宋" w:hAnsi="仿宋" w:eastAsia="仿宋" w:cs="仿宋"/>
          <w:bCs/>
          <w:sz w:val="32"/>
          <w:szCs w:val="32"/>
          <w:lang w:bidi="ar-SA"/>
        </w:rPr>
        <w:t>常德市生态环境局</w:t>
      </w:r>
    </w:p>
    <w:p w14:paraId="0F35B972">
      <w:pPr>
        <w:wordWrap w:val="0"/>
        <w:spacing w:line="560" w:lineRule="atLeast"/>
        <w:ind w:firstLine="745" w:firstLineChars="233"/>
        <w:jc w:val="right"/>
        <w:rPr>
          <w:rFonts w:hint="eastAsia" w:ascii="仿宋" w:hAnsi="仿宋" w:eastAsia="仿宋" w:cs="宋体"/>
          <w:kern w:val="0"/>
          <w:sz w:val="32"/>
          <w:szCs w:val="32"/>
          <w:lang w:bidi="ar-SA"/>
        </w:rPr>
      </w:pPr>
      <w:r>
        <w:rPr>
          <w:rFonts w:hint="eastAsia" w:ascii="仿宋" w:hAnsi="仿宋" w:eastAsia="仿宋" w:cs="仿宋"/>
          <w:bCs/>
          <w:sz w:val="32"/>
          <w:szCs w:val="32"/>
          <w:lang w:bidi="ar-SA"/>
        </w:rPr>
        <w:t>202</w:t>
      </w:r>
      <w:r>
        <w:rPr>
          <w:rFonts w:hint="eastAsia" w:ascii="仿宋" w:hAnsi="仿宋" w:eastAsia="仿宋" w:cs="仿宋"/>
          <w:bCs/>
          <w:sz w:val="32"/>
          <w:szCs w:val="32"/>
          <w:lang w:val="en-US" w:eastAsia="zh-CN" w:bidi="ar-SA"/>
        </w:rPr>
        <w:t>6</w:t>
      </w:r>
      <w:r>
        <w:rPr>
          <w:rFonts w:hint="eastAsia" w:ascii="仿宋" w:hAnsi="仿宋" w:eastAsia="仿宋" w:cs="仿宋"/>
          <w:bCs/>
          <w:sz w:val="32"/>
          <w:szCs w:val="32"/>
          <w:lang w:bidi="ar-SA"/>
        </w:rPr>
        <w:t>年</w:t>
      </w:r>
      <w:r>
        <w:rPr>
          <w:rFonts w:ascii="仿宋" w:hAnsi="仿宋" w:eastAsia="仿宋" w:cs="仿宋"/>
          <w:bCs/>
          <w:sz w:val="32"/>
          <w:szCs w:val="32"/>
          <w:lang w:bidi="ar-SA"/>
        </w:rPr>
        <w:t>9</w:t>
      </w:r>
      <w:r>
        <w:rPr>
          <w:rFonts w:hint="eastAsia" w:ascii="仿宋" w:hAnsi="仿宋" w:eastAsia="仿宋" w:cs="仿宋"/>
          <w:bCs/>
          <w:sz w:val="32"/>
          <w:szCs w:val="32"/>
          <w:lang w:bidi="ar-SA"/>
        </w:rPr>
        <w:t>月</w:t>
      </w:r>
      <w:r>
        <w:rPr>
          <w:rFonts w:ascii="仿宋" w:hAnsi="仿宋" w:eastAsia="仿宋" w:cs="仿宋"/>
          <w:bCs/>
          <w:sz w:val="32"/>
          <w:szCs w:val="32"/>
          <w:lang w:bidi="ar-SA"/>
        </w:rPr>
        <w:t>9</w:t>
      </w:r>
      <w:r>
        <w:rPr>
          <w:rFonts w:hint="eastAsia" w:ascii="仿宋" w:hAnsi="仿宋" w:eastAsia="仿宋" w:cs="仿宋"/>
          <w:bCs/>
          <w:sz w:val="32"/>
          <w:szCs w:val="32"/>
          <w:lang w:bidi="ar-SA"/>
        </w:rPr>
        <w:t>日</w:t>
      </w:r>
    </w:p>
    <w:p w14:paraId="52DAF348">
      <w:pPr>
        <w:tabs>
          <w:tab w:val="left" w:pos="5647"/>
        </w:tabs>
        <w:spacing w:after="0" w:line="560" w:lineRule="exact"/>
        <w:ind w:firstLine="5440" w:firstLineChars="1700"/>
      </w:pPr>
      <w:r>
        <w:rPr>
          <w:rFonts w:hint="eastAsia" w:ascii="仿宋_GB2312" w:eastAsia="仿宋_GB2312"/>
          <w:sz w:val="32"/>
          <w:szCs w:val="32"/>
        </w:rPr>
        <w:t xml:space="preserve">   </w:t>
      </w:r>
    </w:p>
    <w:p w14:paraId="7D894E5D">
      <w:pPr>
        <w:pBdr>
          <w:top w:val="single" w:color="auto" w:sz="4" w:space="1"/>
          <w:bottom w:val="single" w:color="auto" w:sz="4" w:space="1"/>
        </w:pBdr>
        <w:autoSpaceDE w:val="0"/>
        <w:autoSpaceDN w:val="0"/>
        <w:adjustRightInd w:val="0"/>
        <w:snapToGrid/>
        <w:spacing w:after="0" w:line="520" w:lineRule="exact"/>
        <w:rPr>
          <w:rFonts w:hint="eastAsia" w:ascii="仿宋" w:hAnsi="仿宋" w:eastAsia="仿宋" w:cs="仿宋"/>
          <w:sz w:val="32"/>
          <w:szCs w:val="32"/>
        </w:rPr>
      </w:pPr>
      <w:r>
        <w:rPr>
          <w:rFonts w:hint="eastAsia" w:ascii="仿宋_GB2312" w:hAnsi="Times New Roman" w:eastAsia="仿宋_GB2312" w:cs="黑体"/>
          <w:spacing w:val="28"/>
          <w:w w:val="90"/>
          <w:sz w:val="28"/>
          <w:szCs w:val="28"/>
          <w:lang w:bidi="ar-SA"/>
        </w:rPr>
        <w:t>抄送：</w:t>
      </w:r>
      <w:r>
        <w:rPr>
          <w:rFonts w:hint="eastAsia" w:ascii="仿宋_GB2312" w:eastAsia="仿宋_GB2312" w:cs="黑体"/>
          <w:bCs/>
          <w:spacing w:val="28"/>
          <w:w w:val="90"/>
          <w:sz w:val="28"/>
          <w:szCs w:val="28"/>
          <w:lang w:bidi="ar-SA"/>
        </w:rPr>
        <w:t>澧县生态环境保护综合行政执法局</w:t>
      </w:r>
    </w:p>
    <w:sectPr>
      <w:headerReference r:id="rId3" w:type="default"/>
      <w:pgSz w:w="11906" w:h="16838"/>
      <w:pgMar w:top="1400" w:right="1400" w:bottom="1400" w:left="14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Lucida Sans">
    <w:panose1 w:val="020B0602030504020204"/>
    <w:charset w:val="00"/>
    <w:family w:val="auto"/>
    <w:pitch w:val="default"/>
    <w:sig w:usb0="00000003" w:usb1="00000000" w:usb2="00000000" w:usb3="00000000" w:csb0="20000001"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E5AC60">
    <w:pPr>
      <w:pStyle w:val="15"/>
      <w:pBdr>
        <w:bottom w:val="none" w:color="auto" w:sz="0" w:space="0"/>
      </w:pBdr>
      <w:rPr>
        <w:rStyle w:val="13"/>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noLineBreaksAfter w:lang="zh-CN" w:val="$([{£¥·‘“〈《「『【〔〖〝﹙﹛﹝＄（．［｛￡￥"/>
  <w:noLineBreaksBefore w:lang="zh-CN" w:val="!%),.:;&gt;?]}¢¨°·ˇˉ―‖’”…‰′″›℃∶、。〃〉》」』】〕〗〞︶︺︾﹀﹄﹚﹜﹞！＂％＇），．：；？］｀｜｝～￠"/>
  <w:compat>
    <w:spaceForUL/>
    <w:balanceSingleByteDoubleByteWidth/>
    <w:ulTrailSpace/>
    <w:doNotExpandShiftReturn/>
    <w:adjustLineHeightInTable/>
    <w:useFELayout/>
    <w:compatSetting w:name="compatibilityMode" w:uri="http://schemas.microsoft.com/office/word" w:val="14"/>
  </w:compat>
  <w:rsids>
    <w:rsidRoot w:val="00000000"/>
    <w:rsid w:val="5020175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Lucida Sans"/>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nhideWhenUsed="0" w:uiPriority="0" w:semiHidden="0" w:name="heading 2" w:locked="1"/>
    <w:lsdException w:qFormat="1" w:unhideWhenUsed="0" w:uiPriority="0" w:semiHidden="0" w:name="heading 3" w:locked="1"/>
    <w:lsdException w:unhideWhenUsed="0" w:uiPriority="4294967295" w:semiHidden="0" w:name="heading 4" w:locked="1"/>
    <w:lsdException w:unhideWhenUsed="0" w:uiPriority="4294967295" w:semiHidden="0" w:name="heading 5" w:locked="1"/>
    <w:lsdException w:unhideWhenUsed="0" w:uiPriority="4294967295" w:semiHidden="0" w:name="heading 6" w:locked="1"/>
    <w:lsdException w:unhideWhenUsed="0" w:uiPriority="4294967295" w:semiHidden="0" w:name="heading 7" w:locked="1"/>
    <w:lsdException w:unhideWhenUsed="0" w:uiPriority="4294967295" w:semiHidden="0" w:name="heading 8" w:locked="1"/>
    <w:lsdException w:unhideWhenUsed="0" w:uiPriority="4294967295" w:semiHidden="0" w:name="heading 9" w:locked="1"/>
    <w:lsdException w:unhideWhenUsed="0" w:uiPriority="4294967295" w:semiHidden="0" w:name="index 1"/>
    <w:lsdException w:unhideWhenUsed="0" w:uiPriority="4294967295" w:semiHidden="0" w:name="index 2"/>
    <w:lsdException w:unhideWhenUsed="0" w:uiPriority="4294967295" w:semiHidden="0" w:name="index 3"/>
    <w:lsdException w:unhideWhenUsed="0" w:uiPriority="4294967295" w:semiHidden="0" w:name="index 4"/>
    <w:lsdException w:unhideWhenUsed="0" w:uiPriority="4294967295" w:semiHidden="0" w:name="index 5"/>
    <w:lsdException w:unhideWhenUsed="0" w:uiPriority="4294967295" w:semiHidden="0" w:name="index 6"/>
    <w:lsdException w:unhideWhenUsed="0" w:uiPriority="4294967295" w:semiHidden="0" w:name="index 7"/>
    <w:lsdException w:unhideWhenUsed="0" w:uiPriority="4294967295" w:semiHidden="0" w:name="index 8"/>
    <w:lsdException w:unhideWhenUsed="0" w:uiPriority="4294967295" w:semiHidden="0" w:name="index 9"/>
    <w:lsdException w:unhideWhenUsed="0" w:uiPriority="4294967295" w:semiHidden="0" w:name="toc 1" w:locked="1"/>
    <w:lsdException w:unhideWhenUsed="0" w:uiPriority="4294967295" w:semiHidden="0" w:name="toc 2" w:locked="1"/>
    <w:lsdException w:unhideWhenUsed="0" w:uiPriority="4294967295" w:semiHidden="0" w:name="toc 3" w:locked="1"/>
    <w:lsdException w:unhideWhenUsed="0" w:uiPriority="4294967295" w:semiHidden="0" w:name="toc 4" w:locked="1"/>
    <w:lsdException w:unhideWhenUsed="0" w:uiPriority="4294967295" w:semiHidden="0" w:name="toc 5" w:locked="1"/>
    <w:lsdException w:unhideWhenUsed="0" w:uiPriority="4294967295" w:semiHidden="0" w:name="toc 6" w:locked="1"/>
    <w:lsdException w:unhideWhenUsed="0" w:uiPriority="4294967295" w:semiHidden="0" w:name="toc 7" w:locked="1"/>
    <w:lsdException w:unhideWhenUsed="0" w:uiPriority="4294967295" w:semiHidden="0" w:name="toc 8" w:locked="1"/>
    <w:lsdException w:unhideWhenUsed="0" w:uiPriority="4294967295" w:semiHidden="0" w:name="toc 9" w:locked="1"/>
    <w:lsdException w:unhideWhenUsed="0" w:uiPriority="4294967295" w:semiHidden="0" w:name="Normal Indent"/>
    <w:lsdException w:unhideWhenUsed="0" w:uiPriority="4294967295" w:semiHidden="0" w:name="footnote text"/>
    <w:lsdException w:unhideWhenUsed="0" w:uiPriority="4294967295" w:semiHidden="0" w:name="annotation text"/>
    <w:lsdException w:qFormat="1" w:unhideWhenUsed="0" w:uiPriority="0" w:semiHidden="0" w:name="header"/>
    <w:lsdException w:qFormat="1" w:unhideWhenUsed="0" w:uiPriority="0" w:semiHidden="0" w:name="footer"/>
    <w:lsdException w:unhideWhenUsed="0" w:uiPriority="4294967295" w:semiHidden="0" w:name="index heading"/>
    <w:lsdException w:unhideWhenUsed="0" w:uiPriority="4294967295" w:semiHidden="0" w:name="caption" w:locked="1"/>
    <w:lsdException w:unhideWhenUsed="0" w:uiPriority="4294967295" w:semiHidden="0" w:name="table of figures"/>
    <w:lsdException w:unhideWhenUsed="0" w:uiPriority="4294967295" w:semiHidden="0" w:name="envelope address"/>
    <w:lsdException w:unhideWhenUsed="0" w:uiPriority="4294967295" w:semiHidden="0" w:name="envelope return"/>
    <w:lsdException w:unhideWhenUsed="0" w:uiPriority="4294967295" w:semiHidden="0" w:name="footnote reference"/>
    <w:lsdException w:unhideWhenUsed="0" w:uiPriority="4294967295" w:semiHidden="0" w:name="annotation reference"/>
    <w:lsdException w:unhideWhenUsed="0" w:uiPriority="4294967295" w:semiHidden="0" w:name="line number"/>
    <w:lsdException w:unhideWhenUsed="0" w:uiPriority="4294967295" w:semiHidden="0" w:name="page number"/>
    <w:lsdException w:unhideWhenUsed="0" w:uiPriority="4294967295" w:semiHidden="0" w:name="endnote reference"/>
    <w:lsdException w:unhideWhenUsed="0" w:uiPriority="4294967295" w:semiHidden="0" w:name="endnote text"/>
    <w:lsdException w:unhideWhenUsed="0" w:uiPriority="4294967295" w:semiHidden="0" w:name="table of authorities"/>
    <w:lsdException w:unhideWhenUsed="0" w:uiPriority="4294967295" w:semiHidden="0" w:name="macro"/>
    <w:lsdException w:unhideWhenUsed="0" w:uiPriority="4294967295" w:semiHidden="0" w:name="toa heading"/>
    <w:lsdException w:unhideWhenUsed="0" w:uiPriority="4294967295" w:semiHidden="0" w:name="List"/>
    <w:lsdException w:unhideWhenUsed="0" w:uiPriority="4294967295" w:semiHidden="0" w:name="List Bullet"/>
    <w:lsdException w:unhideWhenUsed="0" w:uiPriority="4294967295" w:semiHidden="0" w:name="List Number"/>
    <w:lsdException w:unhideWhenUsed="0" w:uiPriority="4294967295" w:semiHidden="0" w:name="List 2"/>
    <w:lsdException w:unhideWhenUsed="0" w:uiPriority="4294967295" w:semiHidden="0" w:name="List 3"/>
    <w:lsdException w:unhideWhenUsed="0" w:uiPriority="4294967295" w:semiHidden="0" w:name="List 4"/>
    <w:lsdException w:unhideWhenUsed="0" w:uiPriority="4294967295" w:semiHidden="0" w:name="List 5"/>
    <w:lsdException w:unhideWhenUsed="0" w:uiPriority="4294967295" w:semiHidden="0" w:name="List Bullet 2"/>
    <w:lsdException w:unhideWhenUsed="0" w:uiPriority="4294967295" w:semiHidden="0" w:name="List Bullet 3"/>
    <w:lsdException w:unhideWhenUsed="0" w:uiPriority="4294967295" w:semiHidden="0" w:name="List Bullet 4"/>
    <w:lsdException w:unhideWhenUsed="0" w:uiPriority="4294967295" w:semiHidden="0" w:name="List Bullet 5"/>
    <w:lsdException w:unhideWhenUsed="0" w:uiPriority="4294967295" w:semiHidden="0" w:name="List Number 2"/>
    <w:lsdException w:unhideWhenUsed="0" w:uiPriority="4294967295" w:semiHidden="0" w:name="List Number 3"/>
    <w:lsdException w:unhideWhenUsed="0" w:uiPriority="4294967295" w:semiHidden="0" w:name="List Number 4"/>
    <w:lsdException w:unhideWhenUsed="0" w:uiPriority="4294967295" w:semiHidden="0" w:name="List Number 5"/>
    <w:lsdException w:unhideWhenUsed="0" w:uiPriority="4294967295" w:semiHidden="0" w:name="Title" w:locked="1"/>
    <w:lsdException w:unhideWhenUsed="0" w:uiPriority="4294967295" w:semiHidden="0" w:name="Closing"/>
    <w:lsdException w:unhideWhenUsed="0" w:uiPriority="4294967295" w:semiHidden="0" w:name="Signature"/>
    <w:lsdException w:qFormat="1" w:unhideWhenUsed="0" w:uiPriority="0" w:semiHidden="0" w:name="Default Paragraph Font"/>
    <w:lsdException w:unhideWhenUsed="0" w:uiPriority="4294967295" w:semiHidden="0" w:name="Body Text"/>
    <w:lsdException w:unhideWhenUsed="0" w:uiPriority="4294967295" w:semiHidden="0" w:name="Body Text Indent"/>
    <w:lsdException w:unhideWhenUsed="0" w:uiPriority="4294967295" w:semiHidden="0" w:name="List Continue"/>
    <w:lsdException w:unhideWhenUsed="0" w:uiPriority="4294967295" w:semiHidden="0" w:name="List Continue 2"/>
    <w:lsdException w:unhideWhenUsed="0" w:uiPriority="4294967295" w:semiHidden="0" w:name="List Continue 3"/>
    <w:lsdException w:unhideWhenUsed="0" w:uiPriority="4294967295" w:semiHidden="0" w:name="List Continue 4"/>
    <w:lsdException w:unhideWhenUsed="0" w:uiPriority="4294967295" w:semiHidden="0" w:name="List Continue 5"/>
    <w:lsdException w:unhideWhenUsed="0" w:uiPriority="4294967295" w:semiHidden="0" w:name="Message Header"/>
    <w:lsdException w:unhideWhenUsed="0" w:uiPriority="4294967295" w:semiHidden="0" w:name="Subtitle" w:locked="1"/>
    <w:lsdException w:unhideWhenUsed="0" w:uiPriority="4294967295" w:semiHidden="0" w:name="Salutation"/>
    <w:lsdException w:unhideWhenUsed="0" w:uiPriority="4294967295" w:semiHidden="0" w:name="Date"/>
    <w:lsdException w:unhideWhenUsed="0" w:uiPriority="4294967295" w:semiHidden="0" w:name="Body Text First Indent"/>
    <w:lsdException w:unhideWhenUsed="0" w:uiPriority="4294967295" w:semiHidden="0" w:name="Body Text First Indent 2"/>
    <w:lsdException w:unhideWhenUsed="0" w:uiPriority="4294967295" w:semiHidden="0" w:name="Note Heading"/>
    <w:lsdException w:unhideWhenUsed="0" w:uiPriority="4294967295" w:semiHidden="0" w:name="Body Text 2"/>
    <w:lsdException w:unhideWhenUsed="0" w:uiPriority="4294967295" w:semiHidden="0" w:name="Body Text 3"/>
    <w:lsdException w:unhideWhenUsed="0" w:uiPriority="4294967295" w:semiHidden="0" w:name="Body Text Indent 2"/>
    <w:lsdException w:unhideWhenUsed="0" w:uiPriority="4294967295" w:semiHidden="0" w:name="Body Text Indent 3"/>
    <w:lsdException w:unhideWhenUsed="0" w:uiPriority="4294967295" w:semiHidden="0" w:name="Block Text"/>
    <w:lsdException w:unhideWhenUsed="0" w:uiPriority="4294967295" w:semiHidden="0" w:name="Hyperlink"/>
    <w:lsdException w:unhideWhenUsed="0" w:uiPriority="4294967295" w:semiHidden="0" w:name="FollowedHyperlink"/>
    <w:lsdException w:unhideWhenUsed="0" w:uiPriority="4294967295" w:semiHidden="0" w:name="Strong" w:locked="1"/>
    <w:lsdException w:unhideWhenUsed="0" w:uiPriority="4294967295" w:semiHidden="0" w:name="Emphasis" w:locked="1"/>
    <w:lsdException w:unhideWhenUsed="0" w:uiPriority="4294967295" w:semiHidden="0" w:name="Document Map"/>
    <w:lsdException w:unhideWhenUsed="0" w:uiPriority="4294967295" w:semiHidden="0" w:name="Plain Text"/>
    <w:lsdException w:unhideWhenUsed="0" w:uiPriority="4294967295" w:semiHidden="0" w:name="E-mail Signature"/>
    <w:lsdException w:unhideWhenUsed="0" w:uiPriority="4294967295" w:semiHidden="0" w:name="Normal (Web)"/>
    <w:lsdException w:unhideWhenUsed="0" w:uiPriority="4294967295" w:semiHidden="0" w:name="HTML Acronym"/>
    <w:lsdException w:unhideWhenUsed="0" w:uiPriority="4294967295" w:semiHidden="0" w:name="HTML Address"/>
    <w:lsdException w:unhideWhenUsed="0" w:uiPriority="4294967295" w:semiHidden="0" w:name="HTML Cite"/>
    <w:lsdException w:unhideWhenUsed="0" w:uiPriority="4294967295" w:semiHidden="0" w:name="HTML Code"/>
    <w:lsdException w:unhideWhenUsed="0" w:uiPriority="4294967295" w:semiHidden="0" w:name="HTML Definition"/>
    <w:lsdException w:unhideWhenUsed="0" w:uiPriority="4294967295" w:semiHidden="0" w:name="HTML Keyboard"/>
    <w:lsdException w:unhideWhenUsed="0" w:uiPriority="4294967295" w:semiHidden="0" w:name="HTML Preformatted"/>
    <w:lsdException w:unhideWhenUsed="0" w:uiPriority="4294967295" w:semiHidden="0" w:name="HTML Sample"/>
    <w:lsdException w:unhideWhenUsed="0" w:uiPriority="4294967295" w:semiHidden="0" w:name="HTML Typewriter"/>
    <w:lsdException w:unhideWhenUsed="0" w:uiPriority="4294967295" w:semiHidden="0" w:name="HTML Variable"/>
    <w:lsdException w:unhideWhenUsed="0" w:uiPriority="4294967295" w:semiHidden="0" w:name="Normal Table"/>
    <w:lsdException w:unhideWhenUsed="0" w:uiPriority="4294967295" w:semiHidden="0" w:name="annotation subject"/>
    <w:lsdException w:unhideWhenUsed="0" w:uiPriority="4294967295" w:semiHidden="0" w:name="Table Simple 1"/>
    <w:lsdException w:unhideWhenUsed="0" w:uiPriority="4294967295" w:semiHidden="0" w:name="Table Simple 2"/>
    <w:lsdException w:unhideWhenUsed="0" w:uiPriority="4294967295" w:semiHidden="0" w:name="Table Simple 3"/>
    <w:lsdException w:unhideWhenUsed="0" w:uiPriority="4294967295" w:semiHidden="0" w:name="Table Classic 1"/>
    <w:lsdException w:unhideWhenUsed="0" w:uiPriority="4294967295" w:semiHidden="0" w:name="Table Classic 2"/>
    <w:lsdException w:unhideWhenUsed="0" w:uiPriority="4294967295" w:semiHidden="0" w:name="Table Classic 3"/>
    <w:lsdException w:unhideWhenUsed="0" w:uiPriority="4294967295" w:semiHidden="0" w:name="Table Classic 4"/>
    <w:lsdException w:unhideWhenUsed="0" w:uiPriority="4294967295" w:semiHidden="0" w:name="Table Colorful 1"/>
    <w:lsdException w:unhideWhenUsed="0" w:uiPriority="4294967295" w:semiHidden="0" w:name="Table Colorful 2"/>
    <w:lsdException w:unhideWhenUsed="0" w:uiPriority="4294967295" w:semiHidden="0" w:name="Table Colorful 3"/>
    <w:lsdException w:unhideWhenUsed="0" w:uiPriority="4294967295" w:semiHidden="0" w:name="Table Columns 1"/>
    <w:lsdException w:unhideWhenUsed="0" w:uiPriority="4294967295" w:semiHidden="0" w:name="Table Columns 2"/>
    <w:lsdException w:unhideWhenUsed="0" w:uiPriority="4294967295" w:semiHidden="0" w:name="Table Columns 3"/>
    <w:lsdException w:unhideWhenUsed="0" w:uiPriority="4294967295" w:semiHidden="0" w:name="Table Columns 4"/>
    <w:lsdException w:unhideWhenUsed="0" w:uiPriority="4294967295" w:semiHidden="0" w:name="Table Columns 5"/>
    <w:lsdException w:unhideWhenUsed="0" w:uiPriority="4294967295" w:semiHidden="0" w:name="Table Grid 1"/>
    <w:lsdException w:unhideWhenUsed="0" w:uiPriority="4294967295" w:semiHidden="0" w:name="Table Grid 2"/>
    <w:lsdException w:unhideWhenUsed="0" w:uiPriority="4294967295" w:semiHidden="0" w:name="Table Grid 3"/>
    <w:lsdException w:unhideWhenUsed="0" w:uiPriority="4294967295" w:semiHidden="0" w:name="Table Grid 4"/>
    <w:lsdException w:unhideWhenUsed="0" w:uiPriority="4294967295" w:semiHidden="0" w:name="Table Grid 5"/>
    <w:lsdException w:unhideWhenUsed="0" w:uiPriority="4294967295" w:semiHidden="0" w:name="Table Grid 6"/>
    <w:lsdException w:unhideWhenUsed="0" w:uiPriority="4294967295" w:semiHidden="0" w:name="Table Grid 7"/>
    <w:lsdException w:unhideWhenUsed="0" w:uiPriority="4294967295" w:semiHidden="0" w:name="Table Grid 8"/>
    <w:lsdException w:unhideWhenUsed="0" w:uiPriority="4294967295" w:semiHidden="0" w:name="Table List 1"/>
    <w:lsdException w:unhideWhenUsed="0" w:uiPriority="4294967295" w:semiHidden="0" w:name="Table List 2"/>
    <w:lsdException w:unhideWhenUsed="0" w:uiPriority="4294967295" w:semiHidden="0" w:name="Table List 3"/>
    <w:lsdException w:unhideWhenUsed="0" w:uiPriority="4294967295" w:semiHidden="0" w:name="Table List 4"/>
    <w:lsdException w:unhideWhenUsed="0" w:uiPriority="4294967295" w:semiHidden="0" w:name="Table List 5"/>
    <w:lsdException w:unhideWhenUsed="0" w:uiPriority="4294967295" w:semiHidden="0" w:name="Table List 6"/>
    <w:lsdException w:unhideWhenUsed="0" w:uiPriority="4294967295" w:semiHidden="0" w:name="Table List 7"/>
    <w:lsdException w:unhideWhenUsed="0" w:uiPriority="4294967295" w:semiHidden="0" w:name="Table List 8"/>
    <w:lsdException w:unhideWhenUsed="0" w:uiPriority="4294967295" w:semiHidden="0" w:name="Table 3D effects 1"/>
    <w:lsdException w:unhideWhenUsed="0" w:uiPriority="4294967295" w:semiHidden="0" w:name="Table 3D effects 2"/>
    <w:lsdException w:unhideWhenUsed="0" w:uiPriority="4294967295" w:semiHidden="0" w:name="Table 3D effects 3"/>
    <w:lsdException w:unhideWhenUsed="0" w:uiPriority="4294967295" w:semiHidden="0" w:name="Table Contemporary"/>
    <w:lsdException w:unhideWhenUsed="0" w:uiPriority="4294967295" w:semiHidden="0" w:name="Table Elegant"/>
    <w:lsdException w:unhideWhenUsed="0" w:uiPriority="4294967295" w:semiHidden="0" w:name="Table Professional"/>
    <w:lsdException w:unhideWhenUsed="0" w:uiPriority="4294967295" w:semiHidden="0" w:name="Table Subtle 1"/>
    <w:lsdException w:unhideWhenUsed="0" w:uiPriority="4294967295" w:semiHidden="0" w:name="Table Subtle 2"/>
    <w:lsdException w:unhideWhenUsed="0" w:uiPriority="4294967295" w:semiHidden="0" w:name="Table Web 1"/>
    <w:lsdException w:unhideWhenUsed="0" w:uiPriority="4294967295" w:semiHidden="0" w:name="Table Web 2"/>
    <w:lsdException w:unhideWhenUsed="0" w:uiPriority="4294967295" w:semiHidden="0" w:name="Table Web 3"/>
    <w:lsdException w:unhideWhenUsed="0" w:uiPriority="4294967295" w:semiHidden="0" w:name="Balloon Text"/>
    <w:lsdException w:unhideWhenUsed="0" w:uiPriority="4294967295" w:semiHidden="0" w:name="Table Grid"/>
    <w:lsdException w:unhideWhenUsed="0" w:uiPriority="4294967295"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jc w:val="both"/>
      <w:textAlignment w:val="baseline"/>
    </w:pPr>
    <w:rPr>
      <w:rFonts w:ascii="Times New Roman" w:hAnsi="Times New Roman" w:eastAsia="宋体" w:cs="Times New Roman"/>
      <w:kern w:val="2"/>
      <w:sz w:val="21"/>
      <w:szCs w:val="24"/>
      <w:lang w:val="en-US" w:eastAsia="zh-CN" w:bidi="ar-SA"/>
    </w:rPr>
  </w:style>
  <w:style w:type="paragraph" w:styleId="2">
    <w:name w:val="heading 1"/>
    <w:basedOn w:val="1"/>
    <w:next w:val="1"/>
    <w:link w:val="9"/>
    <w:qFormat/>
    <w:locked/>
    <w:uiPriority w:val="0"/>
    <w:pPr>
      <w:keepNext/>
      <w:keepLines/>
      <w:spacing w:before="340" w:after="330" w:line="578" w:lineRule="auto"/>
      <w:outlineLvl w:val="0"/>
    </w:pPr>
    <w:rPr>
      <w:b/>
      <w:bCs/>
      <w:kern w:val="44"/>
      <w:sz w:val="44"/>
      <w:szCs w:val="44"/>
    </w:rPr>
  </w:style>
  <w:style w:type="paragraph" w:styleId="3">
    <w:name w:val="heading 2"/>
    <w:basedOn w:val="1"/>
    <w:next w:val="1"/>
    <w:link w:val="10"/>
    <w:qFormat/>
    <w:locked/>
    <w:uiPriority w:val="0"/>
    <w:pPr>
      <w:keepNext/>
      <w:keepLines/>
      <w:spacing w:before="260" w:after="260" w:line="415" w:lineRule="auto"/>
      <w:outlineLvl w:val="1"/>
    </w:pPr>
    <w:rPr>
      <w:rFonts w:ascii="Times New Roman" w:hAnsi="Times New Roman" w:eastAsia="黑体"/>
      <w:b/>
      <w:bCs/>
      <w:sz w:val="32"/>
      <w:szCs w:val="32"/>
    </w:rPr>
  </w:style>
  <w:style w:type="paragraph" w:styleId="4">
    <w:name w:val="heading 3"/>
    <w:basedOn w:val="1"/>
    <w:next w:val="1"/>
    <w:link w:val="11"/>
    <w:qFormat/>
    <w:locked/>
    <w:uiPriority w:val="0"/>
    <w:pPr>
      <w:keepNext/>
      <w:keepLines/>
      <w:spacing w:before="260" w:after="260" w:line="415" w:lineRule="auto"/>
      <w:outlineLvl w:val="2"/>
    </w:pPr>
    <w:rPr>
      <w:b/>
      <w:bCs/>
      <w:sz w:val="32"/>
      <w:szCs w:val="32"/>
    </w:rPr>
  </w:style>
  <w:style w:type="character" w:default="1" w:styleId="8">
    <w:name w:val="Default Paragraph Font"/>
    <w:qFormat/>
    <w:uiPriority w:val="0"/>
  </w:style>
  <w:style w:type="table" w:default="1" w:styleId="7">
    <w:name w:val="Normal Table"/>
    <w:uiPriority w:val="4294967295"/>
    <w:tblPr>
      <w:tblCellMar>
        <w:top w:w="0" w:type="dxa"/>
        <w:left w:w="108" w:type="dxa"/>
        <w:bottom w:w="0" w:type="dxa"/>
        <w:right w:w="108" w:type="dxa"/>
      </w:tblCellMar>
    </w:tblPr>
  </w:style>
  <w:style w:type="paragraph" w:styleId="5">
    <w:name w:val="footer"/>
    <w:basedOn w:val="1"/>
    <w:qFormat/>
    <w:uiPriority w:val="0"/>
    <w:pPr>
      <w:tabs>
        <w:tab w:val="center" w:pos="4153"/>
        <w:tab w:val="right" w:pos="8306"/>
      </w:tabs>
      <w:snapToGrid w:val="0"/>
      <w:jc w:val="left"/>
    </w:pPr>
    <w:rPr>
      <w:sz w:val="18"/>
      <w:szCs w:val="18"/>
    </w:rPr>
  </w:style>
  <w:style w:type="paragraph" w:styleId="6">
    <w:name w:val="header"/>
    <w:basedOn w:val="1"/>
    <w:qFormat/>
    <w:uiPriority w:val="0"/>
    <w:pPr>
      <w:pBdr>
        <w:bottom w:val="single" w:color="auto" w:sz="6" w:space="1"/>
      </w:pBdr>
      <w:tabs>
        <w:tab w:val="center" w:pos="4153"/>
        <w:tab w:val="right" w:pos="8306"/>
      </w:tabs>
      <w:snapToGrid w:val="0"/>
      <w:jc w:val="center"/>
    </w:pPr>
    <w:rPr>
      <w:sz w:val="18"/>
      <w:szCs w:val="18"/>
    </w:rPr>
  </w:style>
  <w:style w:type="character" w:customStyle="1" w:styleId="9">
    <w:name w:val="heading 1 Char"/>
    <w:basedOn w:val="8"/>
    <w:link w:val="2"/>
    <w:qFormat/>
    <w:uiPriority w:val="0"/>
    <w:rPr>
      <w:rFonts w:ascii="Times New Roman" w:hAnsi="Times New Roman" w:eastAsia="宋体" w:cs="Times New Roman"/>
      <w:b/>
      <w:bCs/>
      <w:kern w:val="44"/>
      <w:sz w:val="44"/>
      <w:szCs w:val="44"/>
      <w:lang w:val="en-US" w:eastAsia="zh-CN" w:bidi="ar-SA"/>
    </w:rPr>
  </w:style>
  <w:style w:type="character" w:customStyle="1" w:styleId="10">
    <w:name w:val="heading 2 Char"/>
    <w:basedOn w:val="8"/>
    <w:link w:val="3"/>
    <w:qFormat/>
    <w:uiPriority w:val="0"/>
    <w:rPr>
      <w:rFonts w:ascii="Times New Roman" w:hAnsi="Times New Roman" w:eastAsia="黑体" w:cs="Times New Roman"/>
      <w:b/>
      <w:bCs/>
      <w:kern w:val="2"/>
      <w:sz w:val="32"/>
      <w:szCs w:val="32"/>
      <w:lang w:val="en-US" w:eastAsia="zh-CN" w:bidi="ar-SA"/>
    </w:rPr>
  </w:style>
  <w:style w:type="character" w:customStyle="1" w:styleId="11">
    <w:name w:val="heading 3 Char"/>
    <w:basedOn w:val="8"/>
    <w:link w:val="4"/>
    <w:qFormat/>
    <w:uiPriority w:val="0"/>
    <w:rPr>
      <w:rFonts w:ascii="Times New Roman" w:hAnsi="Times New Roman" w:eastAsia="宋体" w:cs="Times New Roman"/>
      <w:b/>
      <w:bCs/>
      <w:kern w:val="2"/>
      <w:sz w:val="32"/>
      <w:szCs w:val="32"/>
      <w:lang w:val="en-US" w:eastAsia="zh-CN" w:bidi="ar-SA"/>
    </w:rPr>
  </w:style>
  <w:style w:type="character" w:customStyle="1" w:styleId="12">
    <w:name w:val="NormalCharacter"/>
    <w:qFormat/>
    <w:uiPriority w:val="0"/>
  </w:style>
  <w:style w:type="character" w:customStyle="1" w:styleId="13">
    <w:name w:val="UserStyle_0"/>
    <w:qFormat/>
    <w:uiPriority w:val="0"/>
  </w:style>
  <w:style w:type="paragraph" w:customStyle="1" w:styleId="14">
    <w:name w:val="UserStyle_1"/>
    <w:basedOn w:val="1"/>
    <w:next w:val="1"/>
    <w:qFormat/>
    <w:uiPriority w:val="0"/>
    <w:pPr>
      <w:ind w:firstLine="200" w:firstLineChars="200"/>
    </w:pPr>
  </w:style>
  <w:style w:type="paragraph" w:customStyle="1" w:styleId="15">
    <w:name w:val="Header1"/>
    <w:basedOn w:val="1"/>
    <w:qFormat/>
    <w:uiPriority w:val="0"/>
    <w:pPr>
      <w:pBdr>
        <w:bottom w:val="single" w:color="000000" w:sz="6" w:space="1"/>
      </w:pBdr>
      <w:tabs>
        <w:tab w:val="center" w:pos="4153"/>
        <w:tab w:val="right" w:pos="8306"/>
      </w:tabs>
      <w:snapToGrid w:val="0"/>
      <w:jc w:val="center"/>
    </w:pPr>
    <w:rPr>
      <w:sz w:val="18"/>
      <w:szCs w:val="18"/>
    </w:rPr>
  </w:style>
  <w:style w:type="paragraph" w:customStyle="1" w:styleId="16">
    <w:name w:val="UserStyle_2"/>
    <w:basedOn w:val="1"/>
    <w:next w:val="1"/>
    <w:qFormat/>
    <w:uiPriority w:val="0"/>
    <w:pPr>
      <w:keepNext/>
      <w:keepLines/>
      <w:spacing w:before="260" w:after="260" w:line="415" w:lineRule="auto"/>
    </w:pPr>
    <w:rPr>
      <w:b/>
      <w:bCs/>
      <w:sz w:val="32"/>
      <w:szCs w:val="32"/>
    </w:rPr>
  </w:style>
  <w:style w:type="paragraph" w:customStyle="1" w:styleId="17">
    <w:name w:val="Footer1"/>
    <w:basedOn w:val="1"/>
    <w:qFormat/>
    <w:uiPriority w:val="0"/>
    <w:pPr>
      <w:tabs>
        <w:tab w:val="center" w:pos="4153"/>
        <w:tab w:val="right" w:pos="8306"/>
      </w:tabs>
      <w:snapToGrid w:val="0"/>
      <w:jc w:val="left"/>
    </w:pPr>
    <w:rPr>
      <w:sz w:val="18"/>
      <w:szCs w:val="18"/>
    </w:rPr>
  </w:style>
  <w:style w:type="paragraph" w:customStyle="1" w:styleId="18">
    <w:name w:val="UserStyle_3"/>
    <w:basedOn w:val="1"/>
    <w:qFormat/>
    <w:uiPriority w:val="0"/>
    <w:pPr>
      <w:spacing w:line="360" w:lineRule="auto"/>
      <w:ind w:firstLine="200" w:firstLineChars="200"/>
    </w:pPr>
    <w:rPr>
      <w:sz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The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Theme">
      <a:majorFont>
        <a:latin typeface=""/>
        <a:ea typeface=""/>
        <a:cs typeface=""/>
      </a:majorFont>
      <a:minorFont>
        <a:latin typeface=""/>
        <a:ea typeface=""/>
        <a:cs typefac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1"/>
        </a:gradFill>
      </a:fillStyleLst>
      <a:lnStyleLst>
        <a:ln w="9525" cap="flat" cmpd="sng">
          <a:solidFill>
            <a:schemeClr val="phClr">
              <a:shade val="95000"/>
              <a:satMod val="105000"/>
            </a:schemeClr>
          </a:solidFill>
          <a:prstDash val="solid"/>
          <a:round/>
        </a:ln>
        <a:ln w="25400" cap="flat" cmpd="sng">
          <a:solidFill>
            <a:schemeClr val="phClr"/>
          </a:solidFill>
          <a:prstDash val="solid"/>
          <a:round/>
        </a:ln>
        <a:ln w="38100" cap="flat" cmpd="sng">
          <a:solidFill>
            <a:schemeClr val="phClr"/>
          </a:solidFill>
          <a:prstDash val="solid"/>
          <a:round/>
        </a:ln>
      </a:lnStyleLst>
      <a:effectStyleLst>
        <a:effectStyle>
          <a:effectLst>
            <a:outerShdw blurRad="40000" dist="20000" dir="5400000" rotWithShape="0">
              <a:srgbClr val="000000">
                <a:alpha val="37647"/>
              </a:srgbClr>
            </a:outerShdw>
          </a:effectLst>
        </a:effectStyle>
        <a:effectStyle>
          <a:effectLst>
            <a:outerShdw blurRad="40000" dist="23000" dir="5400000" rotWithShape="0">
              <a:srgbClr val="000000">
                <a:alpha val="34509"/>
              </a:srgbClr>
            </a:outerShdw>
          </a:effectLst>
        </a:effectStyle>
        <a:effectStyle>
          <a:effectLst>
            <a:outerShdw blurRad="40000" dist="23000" dir="5400000" rotWithShape="0">
              <a:srgbClr val="000000">
                <a:alpha val="34509"/>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50000" r="50000" b="5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ustomData xmlns="http://www.yozosoft.com.cn/officeDocument/2016/customData">
  <customProps>
    <docPr revisions="3 0 5 0 0 0 1 0 0 0 26650 1 1 1 1 1"/>
    <sectPr/>
  </customProps>
</customData>
</file>

<file path=customXml/itemProps1.xml><?xml version="1.0" encoding="utf-8"?>
<ds:datastoreItem xmlns:ds="http://schemas.openxmlformats.org/officeDocument/2006/customXml" ds:itemID="{F1D7B266-63B1-42CF-AB25-5D370A6F4941}">
  <ds:schemaRefs/>
</ds:datastoreItem>
</file>

<file path=docProps/app.xml><?xml version="1.0" encoding="utf-8"?>
<Properties xmlns="http://schemas.openxmlformats.org/officeDocument/2006/extended-properties" xmlns:vt="http://schemas.openxmlformats.org/officeDocument/2006/docPropsVTypes">
  <Template>Normal.eit</Template>
  <Company>Microsoft</Company>
  <Pages>3</Pages>
  <Words>1411</Words>
  <Characters>1501</Characters>
  <Lines>0</Lines>
  <Paragraphs>25</Paragraphs>
  <TotalTime>110</TotalTime>
  <ScaleCrop>false</ScaleCrop>
  <LinksUpToDate>false</LinksUpToDate>
  <CharactersWithSpaces>1507</CharactersWithSpaces>
  <Application>WPS Office_12.1.0.22529_F1E327BC-269C-435d-A152-05C5408002CA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2020-12-07T08:49:00Z</dcterms:created>
  <dc:creator>a</dc:creator>
  <cp:lastModifiedBy>陈木沐</cp:lastModifiedBy>
  <cp:lastPrinted>2026-09-10T03:24:00Z</cp:lastPrinted>
  <dcterms:modified xsi:type="dcterms:W3CDTF">2026-09-10T08:31:20Z</dcterms:modified>
  <dc:title>常环建（6）〔2020〕  号</dc:title>
  <cp:revision>33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KSOTemplateDocerSaveRecord">
    <vt:lpwstr>eyJoZGlkIjoiNjZkY2IxY2U3NzVjM2I5YTZkNWI5MmM0OGU0MjY1YmIiLCJ1c2VySWQiOiI0MTc2MzUyMzcifQ==</vt:lpwstr>
  </property>
  <property fmtid="{D5CDD505-2E9C-101B-9397-08002B2CF9AE}" pid="4" name="ICV">
    <vt:lpwstr>9CA780FA5D9A43A9A769268C60612698_12</vt:lpwstr>
  </property>
</Properties>
</file>