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华文仿宋" w:cs="Times New Roman"/>
          <w:b/>
          <w:bCs/>
          <w:sz w:val="28"/>
          <w:szCs w:val="36"/>
          <w:lang w:eastAsia="zh-CN"/>
        </w:rPr>
      </w:pPr>
      <w:r>
        <w:rPr>
          <w:rFonts w:hint="default" w:ascii="Times New Roman" w:hAnsi="Times New Roman" w:eastAsia="华文仿宋" w:cs="Times New Roman"/>
          <w:b/>
          <w:bCs/>
          <w:sz w:val="28"/>
          <w:szCs w:val="36"/>
        </w:rPr>
        <w:t>附件2</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华文仿宋" w:cs="Times New Roman"/>
          <w:b/>
          <w:bCs/>
          <w:sz w:val="28"/>
          <w:szCs w:val="36"/>
        </w:rPr>
      </w:pPr>
      <w:r>
        <w:rPr>
          <w:rFonts w:hint="default" w:ascii="Times New Roman" w:hAnsi="Times New Roman" w:eastAsia="华文仿宋" w:cs="Times New Roman"/>
          <w:b/>
          <w:bCs/>
          <w:sz w:val="28"/>
          <w:szCs w:val="36"/>
        </w:rPr>
        <w:t>2026年</w:t>
      </w:r>
      <w:r>
        <w:rPr>
          <w:rFonts w:hint="eastAsia" w:ascii="Times New Roman" w:hAnsi="Times New Roman" w:eastAsia="华文仿宋" w:cs="Times New Roman"/>
          <w:b/>
          <w:bCs/>
          <w:sz w:val="28"/>
          <w:szCs w:val="36"/>
          <w:lang w:val="en-US" w:eastAsia="zh-CN"/>
        </w:rPr>
        <w:t>澧县</w:t>
      </w:r>
      <w:r>
        <w:rPr>
          <w:rFonts w:hint="default" w:ascii="Times New Roman" w:hAnsi="Times New Roman" w:eastAsia="华文仿宋" w:cs="Times New Roman"/>
          <w:b/>
          <w:bCs/>
          <w:sz w:val="28"/>
          <w:szCs w:val="36"/>
        </w:rPr>
        <w:t>征地区片综合地价（征地补偿标准）调整</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华文仿宋" w:cs="Times New Roman"/>
          <w:b/>
          <w:bCs/>
          <w:sz w:val="28"/>
          <w:szCs w:val="36"/>
        </w:rPr>
      </w:pPr>
      <w:r>
        <w:rPr>
          <w:rFonts w:hint="default" w:ascii="Times New Roman" w:hAnsi="Times New Roman" w:eastAsia="华文仿宋" w:cs="Times New Roman"/>
          <w:b/>
          <w:bCs/>
          <w:sz w:val="28"/>
          <w:szCs w:val="36"/>
        </w:rPr>
        <w:t>社会稳定风险评估民意调查表</w:t>
      </w:r>
    </w:p>
    <w:p>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eastAsia" w:ascii="宋体" w:hAnsi="宋体" w:eastAsia="宋体" w:cs="宋体"/>
          <w:bCs/>
          <w:kern w:val="2"/>
          <w:sz w:val="24"/>
          <w:szCs w:val="24"/>
          <w:u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eastAsia" w:ascii="宋体" w:hAnsi="宋体" w:eastAsia="宋体" w:cs="宋体"/>
          <w:bCs/>
          <w:kern w:val="2"/>
          <w:sz w:val="24"/>
          <w:szCs w:val="24"/>
          <w:u w:val="none"/>
          <w:lang w:val="en-US" w:eastAsia="zh-CN" w:bidi="ar-SA"/>
        </w:rPr>
      </w:pPr>
    </w:p>
    <w:tbl>
      <w:tblPr>
        <w:tblStyle w:val="7"/>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539"/>
        <w:gridCol w:w="3788"/>
        <w:gridCol w:w="1498"/>
        <w:gridCol w:w="1236"/>
        <w:gridCol w:w="1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4" w:type="dxa"/>
            <w:gridSpan w:val="2"/>
            <w:vAlign w:val="center"/>
          </w:tcPr>
          <w:p>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姓名</w:t>
            </w:r>
          </w:p>
        </w:tc>
        <w:tc>
          <w:tcPr>
            <w:tcW w:w="3788" w:type="dxa"/>
            <w:vAlign w:val="center"/>
          </w:tcPr>
          <w:p>
            <w:pPr>
              <w:spacing w:line="240" w:lineRule="auto"/>
              <w:rPr>
                <w:rFonts w:hint="eastAsia" w:ascii="方正仿宋_GB2312" w:hAnsi="方正仿宋_GB2312" w:eastAsia="方正仿宋_GB2312" w:cs="方正仿宋_GB2312"/>
                <w:sz w:val="22"/>
                <w:szCs w:val="22"/>
                <w:lang w:val="en-US" w:eastAsia="zh-CN"/>
              </w:rPr>
            </w:pPr>
          </w:p>
        </w:tc>
        <w:tc>
          <w:tcPr>
            <w:tcW w:w="1498" w:type="dxa"/>
            <w:vAlign w:val="center"/>
          </w:tcPr>
          <w:p>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联系电话</w:t>
            </w:r>
          </w:p>
        </w:tc>
        <w:tc>
          <w:tcPr>
            <w:tcW w:w="2472" w:type="dxa"/>
            <w:gridSpan w:val="2"/>
            <w:vAlign w:val="center"/>
          </w:tcPr>
          <w:p>
            <w:pPr>
              <w:spacing w:line="240" w:lineRule="auto"/>
              <w:rPr>
                <w:rFonts w:hint="eastAsia" w:ascii="方正仿宋_GB2312" w:hAnsi="方正仿宋_GB2312" w:eastAsia="方正仿宋_GB2312" w:cs="方正仿宋_GB2312"/>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4" w:type="dxa"/>
            <w:gridSpan w:val="2"/>
            <w:vMerge w:val="restart"/>
            <w:vAlign w:val="center"/>
          </w:tcPr>
          <w:p>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位置</w:t>
            </w:r>
          </w:p>
        </w:tc>
        <w:tc>
          <w:tcPr>
            <w:tcW w:w="3788" w:type="dxa"/>
            <w:vAlign w:val="center"/>
          </w:tcPr>
          <w:p>
            <w:pPr>
              <w:spacing w:line="240" w:lineRule="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乡镇（街道）：</w:t>
            </w:r>
          </w:p>
        </w:tc>
        <w:tc>
          <w:tcPr>
            <w:tcW w:w="1498" w:type="dxa"/>
            <w:vAlign w:val="center"/>
          </w:tcPr>
          <w:p>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年龄</w:t>
            </w:r>
          </w:p>
        </w:tc>
        <w:tc>
          <w:tcPr>
            <w:tcW w:w="2472" w:type="dxa"/>
            <w:gridSpan w:val="2"/>
            <w:vAlign w:val="center"/>
          </w:tcPr>
          <w:p>
            <w:pPr>
              <w:spacing w:line="240" w:lineRule="auto"/>
              <w:rPr>
                <w:rFonts w:hint="eastAsia" w:ascii="方正仿宋_GB2312" w:hAnsi="方正仿宋_GB2312" w:eastAsia="方正仿宋_GB2312" w:cs="方正仿宋_GB2312"/>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4" w:type="dxa"/>
            <w:gridSpan w:val="2"/>
            <w:vMerge w:val="continue"/>
            <w:vAlign w:val="center"/>
          </w:tcPr>
          <w:p>
            <w:pPr>
              <w:spacing w:line="240" w:lineRule="auto"/>
              <w:rPr>
                <w:rFonts w:hint="eastAsia" w:ascii="方正仿宋_GB2312" w:hAnsi="方正仿宋_GB2312" w:eastAsia="方正仿宋_GB2312" w:cs="方正仿宋_GB2312"/>
                <w:sz w:val="22"/>
                <w:szCs w:val="22"/>
                <w:lang w:val="en-US" w:eastAsia="zh-CN"/>
              </w:rPr>
            </w:pPr>
          </w:p>
        </w:tc>
        <w:tc>
          <w:tcPr>
            <w:tcW w:w="3788" w:type="dxa"/>
            <w:vAlign w:val="center"/>
          </w:tcPr>
          <w:p>
            <w:pPr>
              <w:spacing w:line="240" w:lineRule="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社区/村：</w:t>
            </w:r>
          </w:p>
        </w:tc>
        <w:tc>
          <w:tcPr>
            <w:tcW w:w="1498" w:type="dxa"/>
            <w:vAlign w:val="center"/>
          </w:tcPr>
          <w:p>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性别</w:t>
            </w:r>
          </w:p>
        </w:tc>
        <w:tc>
          <w:tcPr>
            <w:tcW w:w="2472" w:type="dxa"/>
            <w:gridSpan w:val="2"/>
            <w:vAlign w:val="center"/>
          </w:tcPr>
          <w:p>
            <w:pPr>
              <w:spacing w:line="240" w:lineRule="auto"/>
              <w:rPr>
                <w:rFonts w:hint="eastAsia" w:ascii="方正仿宋_GB2312" w:hAnsi="方正仿宋_GB2312" w:eastAsia="方正仿宋_GB2312" w:cs="方正仿宋_GB2312"/>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032" w:type="dxa"/>
            <w:gridSpan w:val="6"/>
            <w:vAlign w:val="center"/>
          </w:tcPr>
          <w:p>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区片综合地价调整工作背景及调整方案介绍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9032" w:type="dxa"/>
            <w:gridSpan w:val="6"/>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left"/>
              <w:rPr>
                <w:rFonts w:hint="eastAsia" w:ascii="仿宋" w:hAnsi="仿宋" w:eastAsia="仿宋" w:cs="仿宋"/>
                <w:kern w:val="2"/>
                <w:sz w:val="22"/>
                <w:szCs w:val="22"/>
                <w:lang w:val="en-US" w:eastAsia="zh-CN" w:bidi="ar"/>
              </w:rPr>
            </w:pPr>
            <w:r>
              <w:rPr>
                <w:rFonts w:hint="eastAsia" w:ascii="仿宋" w:hAnsi="仿宋" w:eastAsia="仿宋" w:cs="仿宋"/>
                <w:kern w:val="2"/>
                <w:sz w:val="22"/>
                <w:szCs w:val="22"/>
                <w:lang w:val="en-US" w:eastAsia="zh-CN" w:bidi="ar"/>
              </w:rPr>
              <w:t>依据《中华人民共和国土地管理法》第四十八条以及《湖南省自然资源厅 湖南省财政厅关于做好湖南省征收农用地区片综合地价调整工作的通知》，征收农用地区片综合地价应当至少每三年调整或重新公布一次。为保持征地补偿标准的现势性，使之与当地经济社会发展水平相适应，有效支撑澧县征地补偿安置相关政策的实施，对被征收人给予公平、合理的补偿，维护被征收人的合法权益，保障被征地农民原有生活水平不降低、长远生计有保障，根据有关法律法规相关规定，对2026年澧县征地区片综合地价标准进行调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重要提示：澧县区片综合地价内涵（征地补偿标准）仅包含土地补偿费和安置补助费两部分，不含青苗、地上建筑物、附着物补偿，以及被征地农民社会保障等其他费用。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032" w:type="dxa"/>
            <w:gridSpan w:val="6"/>
            <w:vAlign w:val="center"/>
          </w:tcPr>
          <w:p>
            <w:pPr>
              <w:spacing w:line="240" w:lineRule="auto"/>
              <w:jc w:val="center"/>
              <w:rPr>
                <w:rFonts w:hint="default"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2026年澧县征地区片综合地价（征地补偿标准）调整方案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7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级别</w:t>
            </w:r>
          </w:p>
        </w:tc>
        <w:tc>
          <w:tcPr>
            <w:tcW w:w="5825" w:type="dxa"/>
            <w:gridSpan w:val="3"/>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区域范围</w:t>
            </w:r>
          </w:p>
        </w:tc>
        <w:tc>
          <w:tcPr>
            <w:tcW w:w="123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center"/>
              <w:rPr>
                <w:rFonts w:hint="eastAsia" w:ascii="仿宋" w:hAnsi="仿宋" w:eastAsia="仿宋" w:cs="仿宋"/>
                <w:kern w:val="2"/>
                <w:sz w:val="22"/>
                <w:szCs w:val="22"/>
                <w:lang w:val="en-US" w:eastAsia="zh-CN" w:bidi="ar"/>
              </w:rPr>
            </w:pPr>
            <w:r>
              <w:rPr>
                <w:rFonts w:hint="eastAsia" w:ascii="仿宋" w:hAnsi="仿宋" w:eastAsia="仿宋" w:cs="仿宋"/>
                <w:kern w:val="2"/>
                <w:sz w:val="22"/>
                <w:szCs w:val="22"/>
                <w:lang w:val="en-US" w:eastAsia="zh-CN" w:bidi="ar"/>
              </w:rPr>
              <w:t>调整后</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补偿标准（元/亩）</w:t>
            </w:r>
          </w:p>
        </w:tc>
        <w:tc>
          <w:tcPr>
            <w:tcW w:w="123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center"/>
              <w:rPr>
                <w:rFonts w:hint="eastAsia" w:ascii="仿宋" w:hAnsi="仿宋" w:eastAsia="仿宋" w:cs="仿宋"/>
                <w:kern w:val="2"/>
                <w:sz w:val="22"/>
                <w:szCs w:val="22"/>
                <w:lang w:val="en-US" w:eastAsia="zh-CN" w:bidi="ar"/>
              </w:rPr>
            </w:pPr>
            <w:r>
              <w:rPr>
                <w:rFonts w:hint="eastAsia" w:ascii="仿宋" w:hAnsi="仿宋" w:eastAsia="仿宋" w:cs="仿宋"/>
                <w:kern w:val="2"/>
                <w:sz w:val="22"/>
                <w:szCs w:val="22"/>
                <w:lang w:val="en-US" w:eastAsia="zh-CN" w:bidi="ar"/>
              </w:rPr>
              <w:t>调整前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补偿标准（元/亩）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atLeast"/>
          <w:jc w:val="center"/>
        </w:trPr>
        <w:tc>
          <w:tcPr>
            <w:tcW w:w="73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I区</w:t>
            </w:r>
          </w:p>
        </w:tc>
        <w:tc>
          <w:tcPr>
            <w:tcW w:w="5825" w:type="dxa"/>
            <w:gridSpan w:val="3"/>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left"/>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澧澹街道</w:t>
            </w:r>
            <w:r>
              <w:rPr>
                <w:rFonts w:hint="eastAsia" w:ascii="仿宋" w:hAnsi="仿宋" w:eastAsia="仿宋" w:cs="仿宋"/>
                <w:kern w:val="2"/>
                <w:sz w:val="24"/>
                <w:szCs w:val="24"/>
                <w:lang w:val="en-US" w:eastAsia="zh-CN" w:bidi="ar"/>
              </w:rPr>
              <w:t>:东洲社区、蔡津社区、玉皇社区、三甲社区、上福社区、拥宪社区、永固社区、仁和社区、樟柳社区、白羊湖社区、大巷口社区、夹堤社区；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left"/>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澧浦街道</w:t>
            </w:r>
            <w:r>
              <w:rPr>
                <w:rFonts w:hint="eastAsia" w:ascii="仿宋" w:hAnsi="仿宋" w:eastAsia="仿宋" w:cs="仿宋"/>
                <w:kern w:val="2"/>
                <w:sz w:val="24"/>
                <w:szCs w:val="24"/>
                <w:lang w:val="en-US" w:eastAsia="zh-CN" w:bidi="ar"/>
              </w:rPr>
              <w:t>：彭家社区、黄沙湾社区、宝塔社区、卢家社区、澧阳社区、多安桥社区、襄阳社区、羊古社区、任家巷社区、三贤社区、柳家社区；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left"/>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澧西街道</w:t>
            </w:r>
            <w:r>
              <w:rPr>
                <w:rFonts w:hint="eastAsia" w:ascii="仿宋" w:hAnsi="仿宋" w:eastAsia="仿宋" w:cs="仿宋"/>
                <w:kern w:val="2"/>
                <w:sz w:val="24"/>
                <w:szCs w:val="24"/>
                <w:lang w:val="en-US" w:eastAsia="zh-CN" w:bidi="ar"/>
              </w:rPr>
              <w:t>：荣隆社区（大坪干渠以南区域）、新高堰社区（洄水渠以东且大坪干渠以南区域）、白米社区（洄水渠以东区域）、小西门社区、黄泥社区、四马社区、关心社区、护城社区、金牛池社区、大西门社区、荣家台社区、马堰村（大坪干渠以南区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b/>
                <w:bCs/>
                <w:kern w:val="2"/>
                <w:sz w:val="24"/>
                <w:szCs w:val="24"/>
                <w:lang w:val="en-US" w:eastAsia="zh-CN" w:bidi="ar"/>
              </w:rPr>
              <w:t>澧阳街道</w:t>
            </w:r>
            <w:r>
              <w:rPr>
                <w:rFonts w:hint="eastAsia" w:ascii="仿宋" w:hAnsi="仿宋" w:eastAsia="仿宋" w:cs="仿宋"/>
                <w:kern w:val="2"/>
                <w:sz w:val="24"/>
                <w:szCs w:val="24"/>
                <w:lang w:val="en-US" w:eastAsia="zh-CN" w:bidi="ar"/>
              </w:rPr>
              <w:t>：黄桥社区、新河社区、珍珠社区、万寿宫社区、永兴寺社区、水德庙社区、棚场街社区、芬司街社区、澹阳社区、洗墨池社区、桃花滩社区、徐家嘴社区、龙潭寺社区、群玉社区。</w:t>
            </w:r>
          </w:p>
        </w:tc>
        <w:tc>
          <w:tcPr>
            <w:tcW w:w="12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78600</w:t>
            </w:r>
          </w:p>
        </w:tc>
        <w:tc>
          <w:tcPr>
            <w:tcW w:w="12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78600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7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II区</w:t>
            </w:r>
          </w:p>
        </w:tc>
        <w:tc>
          <w:tcPr>
            <w:tcW w:w="5825" w:type="dxa"/>
            <w:gridSpan w:val="3"/>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left"/>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澧澹街道</w:t>
            </w:r>
            <w:r>
              <w:rPr>
                <w:rFonts w:hint="eastAsia" w:ascii="仿宋" w:hAnsi="仿宋" w:eastAsia="仿宋" w:cs="仿宋"/>
                <w:kern w:val="2"/>
                <w:sz w:val="24"/>
                <w:szCs w:val="24"/>
                <w:lang w:val="en-US" w:eastAsia="zh-CN" w:bidi="ar"/>
              </w:rPr>
              <w:t>：澧东村、邓家滩村、蔡口滩村、民堰村；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left"/>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澧浦街道</w:t>
            </w:r>
            <w:r>
              <w:rPr>
                <w:rFonts w:hint="eastAsia" w:ascii="仿宋" w:hAnsi="仿宋" w:eastAsia="仿宋" w:cs="仿宋"/>
                <w:kern w:val="2"/>
                <w:sz w:val="24"/>
                <w:szCs w:val="24"/>
                <w:lang w:val="en-US" w:eastAsia="zh-CN" w:bidi="ar"/>
              </w:rPr>
              <w:t>：皇山社区、十回港村；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left"/>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澧西街道</w:t>
            </w:r>
            <w:r>
              <w:rPr>
                <w:rFonts w:hint="eastAsia" w:ascii="仿宋" w:hAnsi="仿宋" w:eastAsia="仿宋" w:cs="仿宋"/>
                <w:kern w:val="2"/>
                <w:sz w:val="24"/>
                <w:szCs w:val="24"/>
                <w:lang w:val="en-US" w:eastAsia="zh-CN" w:bidi="ar"/>
              </w:rPr>
              <w:t>：荣隆社区（大坪干渠以北区域）、新高堰社区（洄水渠以西且大坪干渠以北区域）、白米社区（洄水渠以西区域）、水莲社区、澄坪社区、向阳社区、石虎社区、朱家岗社区、群星社区、荣家河社区、新庙村、石塘堰村、高路铺村、马堰村（大坪干渠以南区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left"/>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澧阳街道</w:t>
            </w:r>
            <w:r>
              <w:rPr>
                <w:rFonts w:hint="eastAsia" w:ascii="仿宋" w:hAnsi="仿宋" w:eastAsia="仿宋" w:cs="仿宋"/>
                <w:kern w:val="2"/>
                <w:sz w:val="24"/>
                <w:szCs w:val="24"/>
                <w:lang w:val="en-US" w:eastAsia="zh-CN" w:bidi="ar"/>
              </w:rPr>
              <w:t>：孟家港社区、澹坪社区、高桥村、平阳社区；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b/>
                <w:bCs/>
                <w:kern w:val="2"/>
                <w:sz w:val="24"/>
                <w:szCs w:val="24"/>
                <w:lang w:val="en-US" w:eastAsia="zh-CN" w:bidi="ar"/>
              </w:rPr>
              <w:t>涔南镇、城头山镇、大堰垱镇、复兴镇、甘溪滩镇、官垸镇、火连坡镇、金罗镇、澧南镇、码头铺镇、梦溪镇、如东镇、王家厂镇、小渡口镇、盐井镇。</w:t>
            </w:r>
          </w:p>
        </w:tc>
        <w:tc>
          <w:tcPr>
            <w:tcW w:w="123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67400</w:t>
            </w:r>
          </w:p>
        </w:tc>
        <w:tc>
          <w:tcPr>
            <w:tcW w:w="123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67400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注：澧县征地地类修正系数：旱地、园地0.83，林地0.67。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1.您通过何种渠道了解本次区片综合地价调整工作？（可多选）?</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□政府正式文件/会议 □政府官网公示 □新闻媒体 □本次调查 □其他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2.您对本次区片综合地价调整政策的了解程度？</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□充分了解 □大致了解 □不了解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3.您认为本次区片综合地价调整方案是否契合本辖区经济、土地实际情况？</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□符合 □部分不符合，理由：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□不符合，理由：                               □无法判断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4.对于本次区片综合地价调整，您最担心哪方面的问题？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补偿标准降低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区片之间补偿标准差异过大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政策程序的合法性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5.您认为本项目的实施对当地经济发展和社会生活的作用如何？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积极作用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作用一般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作用很小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6.您认为本次调整在实施过程中，哪些方面最容易引发社会稳定风险？（可多选）</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地价标准不合理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公众参与度不够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经济社会影响性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媒体舆论导向</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7.您对本项目实施的支持情况？</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支持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不表态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不支持  不支持理由：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8、</w:t>
            </w:r>
            <w:r>
              <w:rPr>
                <w:rFonts w:hint="eastAsia" w:ascii="仿宋" w:hAnsi="仿宋" w:eastAsia="仿宋" w:cs="仿宋"/>
                <w:b/>
                <w:bCs/>
                <w:sz w:val="22"/>
                <w:szCs w:val="22"/>
                <w:lang w:val="en-US" w:eastAsia="zh-CN"/>
              </w:rPr>
              <w:t>您对本次澧县区片综合地价补偿标准调整的建议或意见：</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right"/>
        <w:textAlignment w:val="auto"/>
        <w:rPr>
          <w:rFonts w:hint="default" w:ascii="Times New Roman" w:hAnsi="Times New Roman" w:eastAsia="华文仿宋" w:cs="Times New Roman"/>
          <w:b w:val="0"/>
          <w:bCs w:val="0"/>
          <w:sz w:val="28"/>
          <w:szCs w:val="36"/>
          <w:lang w:eastAsia="zh-CN"/>
        </w:rPr>
      </w:pPr>
      <w:r>
        <w:rPr>
          <w:rFonts w:hint="eastAsia" w:ascii="方正仿宋_GB2312" w:hAnsi="方正仿宋_GB2312" w:eastAsia="方正仿宋_GB2312" w:cs="方正仿宋_GB2312"/>
          <w:sz w:val="24"/>
          <w:szCs w:val="24"/>
          <w:lang w:val="en-US" w:eastAsia="zh-CN"/>
        </w:rPr>
        <w:t>调查时间：2026年   月    日</w:t>
      </w:r>
      <w:r>
        <w:rPr>
          <w:rFonts w:hint="default" w:ascii="Times New Roman" w:hAnsi="Times New Roman" w:eastAsia="华文仿宋" w:cs="Times New Roman"/>
          <w:b w:val="0"/>
          <w:bCs w:val="0"/>
          <w:sz w:val="28"/>
          <w:szCs w:val="36"/>
          <w:lang w:eastAsia="zh-CN"/>
        </w:rPr>
        <w:tab/>
      </w: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851D6C"/>
    <w:rsid w:val="034857B9"/>
    <w:rsid w:val="0605579C"/>
    <w:rsid w:val="117166D6"/>
    <w:rsid w:val="167F6EC5"/>
    <w:rsid w:val="26A60B28"/>
    <w:rsid w:val="3FA43EA9"/>
    <w:rsid w:val="480F51DE"/>
    <w:rsid w:val="539F7670"/>
    <w:rsid w:val="583C6609"/>
    <w:rsid w:val="5E851D6C"/>
    <w:rsid w:val="6A730117"/>
    <w:rsid w:val="6BC17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9"/>
    <w:qFormat/>
    <w:uiPriority w:val="0"/>
    <w:pPr>
      <w:keepNext/>
      <w:keepLines/>
      <w:spacing w:beforeLines="0" w:beforeAutospacing="0" w:afterLines="0" w:afterAutospacing="0" w:line="576" w:lineRule="exact"/>
      <w:ind w:firstLine="723" w:firstLineChars="200"/>
      <w:jc w:val="left"/>
      <w:outlineLvl w:val="0"/>
    </w:pPr>
    <w:rPr>
      <w:rFonts w:ascii="Calibri" w:hAnsi="Calibri" w:eastAsia="黑体" w:cs="Times New Roman"/>
      <w:kern w:val="44"/>
      <w:sz w:val="32"/>
      <w:szCs w:val="22"/>
    </w:rPr>
  </w:style>
  <w:style w:type="paragraph" w:styleId="3">
    <w:name w:val="heading 2"/>
    <w:basedOn w:val="1"/>
    <w:next w:val="1"/>
    <w:semiHidden/>
    <w:unhideWhenUsed/>
    <w:qFormat/>
    <w:uiPriority w:val="0"/>
    <w:pPr>
      <w:keepNext/>
      <w:keepLines/>
      <w:spacing w:beforeLines="0" w:beforeAutospacing="0" w:afterLines="0" w:afterAutospacing="0" w:line="576" w:lineRule="exact"/>
      <w:outlineLvl w:val="1"/>
    </w:pPr>
    <w:rPr>
      <w:rFonts w:ascii="Arial" w:hAnsi="Arial" w:eastAsia="楷体_GB2312"/>
    </w:rPr>
  </w:style>
  <w:style w:type="paragraph" w:styleId="4">
    <w:name w:val="heading 3"/>
    <w:basedOn w:val="1"/>
    <w:next w:val="1"/>
    <w:semiHidden/>
    <w:unhideWhenUsed/>
    <w:qFormat/>
    <w:uiPriority w:val="0"/>
    <w:pPr>
      <w:keepNext/>
      <w:keepLines/>
      <w:spacing w:beforeLines="0" w:beforeAutospacing="0" w:afterLines="0" w:afterAutospacing="0" w:line="576" w:lineRule="exact"/>
      <w:outlineLvl w:val="2"/>
    </w:pPr>
    <w:rPr>
      <w:b/>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Title"/>
    <w:basedOn w:val="1"/>
    <w:qFormat/>
    <w:uiPriority w:val="0"/>
    <w:pPr>
      <w:spacing w:beforeLines="0" w:beforeAutospacing="0" w:afterLines="0" w:afterAutospacing="0" w:line="576" w:lineRule="exact"/>
      <w:ind w:firstLine="0" w:firstLineChars="0"/>
      <w:jc w:val="center"/>
      <w:outlineLvl w:val="0"/>
    </w:pPr>
    <w:rPr>
      <w:rFonts w:eastAsia="方正小标宋简体" w:cs="Times New Roman"/>
      <w:sz w:val="44"/>
      <w:szCs w:val="22"/>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Char"/>
    <w:link w:val="2"/>
    <w:uiPriority w:val="0"/>
    <w:rPr>
      <w:rFonts w:ascii="Calibri" w:hAnsi="Calibri" w:eastAsia="黑体" w:cs="Times New Roman"/>
      <w:kern w:val="44"/>
      <w:sz w:val="3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2026-09-24T01:56:00Z</dcterms:created>
  <dc:creator>阿阿阿阿翔</dc:creator>
  <cp:lastModifiedBy>阿阿阿阿翔</cp:lastModifiedBy>
  <dcterms:modified xsi:type="dcterms:W3CDTF">2026-09-24T01:59:02Z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