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203E1">
      <w:pPr>
        <w:pStyle w:val="2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附件二：</w:t>
      </w:r>
      <w:bookmarkStart w:id="7" w:name="_GoBack"/>
      <w:bookmarkEnd w:id="7"/>
    </w:p>
    <w:p w14:paraId="462A3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澧县</w:t>
      </w:r>
      <w:r>
        <w:rPr>
          <w:rFonts w:hint="eastAsia" w:ascii="华文中宋" w:hAnsi="华文中宋" w:eastAsia="华文中宋" w:cs="华文中宋"/>
          <w:sz w:val="44"/>
          <w:szCs w:val="44"/>
        </w:rPr>
        <w:t>工伤预防项目供应商评分标准表</w:t>
      </w:r>
    </w:p>
    <w:p w14:paraId="77116769">
      <w:pPr>
        <w:pStyle w:val="2"/>
        <w:rPr>
          <w:rFonts w:hint="eastAsi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596"/>
        <w:gridCol w:w="975"/>
        <w:gridCol w:w="1735"/>
        <w:gridCol w:w="4982"/>
        <w:gridCol w:w="950"/>
        <w:gridCol w:w="2216"/>
      </w:tblGrid>
      <w:tr w14:paraId="176FE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tblHeader/>
        </w:trPr>
        <w:tc>
          <w:tcPr>
            <w:tcW w:w="0" w:type="auto"/>
            <w:vAlign w:val="center"/>
          </w:tcPr>
          <w:p w14:paraId="05085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96" w:type="dxa"/>
            <w:vAlign w:val="center"/>
          </w:tcPr>
          <w:p w14:paraId="55E0B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评分项目</w:t>
            </w:r>
          </w:p>
        </w:tc>
        <w:tc>
          <w:tcPr>
            <w:tcW w:w="975" w:type="dxa"/>
            <w:vAlign w:val="center"/>
          </w:tcPr>
          <w:p w14:paraId="5BA7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权重</w:t>
            </w:r>
          </w:p>
          <w:p w14:paraId="0E67A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（总分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100分）</w:t>
            </w:r>
          </w:p>
        </w:tc>
        <w:tc>
          <w:tcPr>
            <w:tcW w:w="1735" w:type="dxa"/>
            <w:vAlign w:val="center"/>
          </w:tcPr>
          <w:p w14:paraId="1D754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具体评分项</w:t>
            </w:r>
          </w:p>
        </w:tc>
        <w:tc>
          <w:tcPr>
            <w:tcW w:w="4982" w:type="dxa"/>
            <w:vAlign w:val="center"/>
          </w:tcPr>
          <w:p w14:paraId="3A2FF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评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标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准</w:t>
            </w:r>
          </w:p>
        </w:tc>
        <w:tc>
          <w:tcPr>
            <w:tcW w:w="950" w:type="dxa"/>
            <w:vAlign w:val="center"/>
          </w:tcPr>
          <w:p w14:paraId="22BEF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得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分</w:t>
            </w:r>
          </w:p>
        </w:tc>
        <w:tc>
          <w:tcPr>
            <w:tcW w:w="2216" w:type="dxa"/>
            <w:vAlign w:val="center"/>
          </w:tcPr>
          <w:p w14:paraId="479C1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备注（佐证材料）</w:t>
            </w:r>
          </w:p>
        </w:tc>
      </w:tr>
      <w:tr w14:paraId="1B390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0" w:type="auto"/>
            <w:vMerge w:val="restart"/>
            <w:vAlign w:val="center"/>
          </w:tcPr>
          <w:p w14:paraId="2EBDE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96" w:type="dxa"/>
            <w:vMerge w:val="restart"/>
            <w:vAlign w:val="center"/>
          </w:tcPr>
          <w:p w14:paraId="10FAC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一、实施方案</w:t>
            </w:r>
          </w:p>
        </w:tc>
        <w:tc>
          <w:tcPr>
            <w:tcW w:w="975" w:type="dxa"/>
            <w:vMerge w:val="restart"/>
            <w:vAlign w:val="center"/>
          </w:tcPr>
          <w:p w14:paraId="43464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1735" w:type="dxa"/>
            <w:vAlign w:val="center"/>
          </w:tcPr>
          <w:p w14:paraId="6A22B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1、项目目标与需求匹配度（10分）</w:t>
            </w:r>
          </w:p>
        </w:tc>
        <w:tc>
          <w:tcPr>
            <w:tcW w:w="4982" w:type="dxa"/>
            <w:vAlign w:val="center"/>
          </w:tcPr>
          <w:p w14:paraId="2CD0D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完全匹配需求得10分，基本匹配得7分，匹配度低得3分</w:t>
            </w:r>
          </w:p>
        </w:tc>
        <w:tc>
          <w:tcPr>
            <w:tcW w:w="950" w:type="dxa"/>
            <w:vAlign w:val="center"/>
          </w:tcPr>
          <w:p w14:paraId="6C13D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59910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实施方案文件</w:t>
            </w:r>
          </w:p>
        </w:tc>
      </w:tr>
      <w:tr w14:paraId="5F45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0" w:type="auto"/>
            <w:vMerge w:val="continue"/>
            <w:vAlign w:val="center"/>
          </w:tcPr>
          <w:p w14:paraId="06D67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2C409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25214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735" w:type="dxa"/>
            <w:vAlign w:val="center"/>
          </w:tcPr>
          <w:p w14:paraId="08DDD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2. 工作内容与流程合理性（10分）</w:t>
            </w:r>
          </w:p>
        </w:tc>
        <w:tc>
          <w:tcPr>
            <w:tcW w:w="4982" w:type="dxa"/>
            <w:vAlign w:val="center"/>
          </w:tcPr>
          <w:p w14:paraId="509E6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流程清晰、可操作性强得10分；基本合理得7分；逻辑混乱得0分。</w:t>
            </w:r>
          </w:p>
        </w:tc>
        <w:tc>
          <w:tcPr>
            <w:tcW w:w="950" w:type="dxa"/>
            <w:vAlign w:val="center"/>
          </w:tcPr>
          <w:p w14:paraId="35A85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68135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含具体工作步骤、阶段划分等</w:t>
            </w:r>
          </w:p>
        </w:tc>
      </w:tr>
      <w:tr w14:paraId="1842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Merge w:val="continue"/>
            <w:vAlign w:val="center"/>
          </w:tcPr>
          <w:p w14:paraId="4C49A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61BA8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24504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735" w:type="dxa"/>
            <w:vAlign w:val="center"/>
          </w:tcPr>
          <w:p w14:paraId="547BC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3. 保障措施与预期成效（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分）</w:t>
            </w:r>
          </w:p>
        </w:tc>
        <w:tc>
          <w:tcPr>
            <w:tcW w:w="4982" w:type="dxa"/>
            <w:vAlign w:val="center"/>
          </w:tcPr>
          <w:p w14:paraId="7595B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保障措施完善、成效可量化得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分；措施一般得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分；无明确措施得0分。</w:t>
            </w:r>
          </w:p>
        </w:tc>
        <w:tc>
          <w:tcPr>
            <w:tcW w:w="950" w:type="dxa"/>
            <w:vAlign w:val="center"/>
          </w:tcPr>
          <w:p w14:paraId="393CA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23F23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含风险应对、质量保障、成效指标等</w:t>
            </w:r>
          </w:p>
        </w:tc>
      </w:tr>
      <w:tr w14:paraId="7353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0" w:type="auto"/>
            <w:vMerge w:val="restart"/>
            <w:vAlign w:val="center"/>
          </w:tcPr>
          <w:p w14:paraId="6D880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96" w:type="dxa"/>
            <w:vMerge w:val="restart"/>
            <w:vAlign w:val="center"/>
          </w:tcPr>
          <w:p w14:paraId="36F83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二、服务团队</w:t>
            </w:r>
          </w:p>
        </w:tc>
        <w:tc>
          <w:tcPr>
            <w:tcW w:w="975" w:type="dxa"/>
            <w:vMerge w:val="restart"/>
            <w:vAlign w:val="center"/>
          </w:tcPr>
          <w:p w14:paraId="7876D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25分</w:t>
            </w:r>
          </w:p>
        </w:tc>
        <w:tc>
          <w:tcPr>
            <w:tcW w:w="1735" w:type="dxa"/>
            <w:vAlign w:val="center"/>
          </w:tcPr>
          <w:p w14:paraId="65723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1、专业人员配置（1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分）</w:t>
            </w:r>
          </w:p>
        </w:tc>
        <w:tc>
          <w:tcPr>
            <w:tcW w:w="4982" w:type="dxa"/>
            <w:vAlign w:val="center"/>
          </w:tcPr>
          <w:p w14:paraId="2E901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至少配备1名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中级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注册安全工程师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或一级（二级）建造师或一级注册消防安全工程师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，每超过1名得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分，最多得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分。</w:t>
            </w:r>
          </w:p>
        </w:tc>
        <w:tc>
          <w:tcPr>
            <w:tcW w:w="950" w:type="dxa"/>
            <w:vAlign w:val="center"/>
          </w:tcPr>
          <w:p w14:paraId="098C8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30EE0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人员简历、专业证书复印件、供应商为其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缴纳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社保证明</w:t>
            </w:r>
          </w:p>
        </w:tc>
      </w:tr>
      <w:tr w14:paraId="7BCC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0" w:type="auto"/>
            <w:vMerge w:val="continue"/>
            <w:vAlign w:val="center"/>
          </w:tcPr>
          <w:p w14:paraId="1D9BE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5F08C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534A8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35" w:type="dxa"/>
            <w:vAlign w:val="center"/>
          </w:tcPr>
          <w:p w14:paraId="330B6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2、项目负责人资质（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分）</w:t>
            </w:r>
          </w:p>
        </w:tc>
        <w:tc>
          <w:tcPr>
            <w:tcW w:w="4982" w:type="dxa"/>
            <w:vAlign w:val="center"/>
          </w:tcPr>
          <w:p w14:paraId="06A8E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具备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年以上工伤预防相关经验+中级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注册安全工程师+一级注册消防安全工程师，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得1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分；满足其一得5分；均不满足得0分。</w:t>
            </w:r>
          </w:p>
        </w:tc>
        <w:tc>
          <w:tcPr>
            <w:tcW w:w="950" w:type="dxa"/>
            <w:vAlign w:val="center"/>
          </w:tcPr>
          <w:p w14:paraId="1F6E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343A9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负责人简历、职称证书、项目经验证明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供应商为其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缴纳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社保证明</w:t>
            </w:r>
          </w:p>
        </w:tc>
      </w:tr>
      <w:tr w14:paraId="4F39B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0" w:type="auto"/>
            <w:vMerge w:val="restart"/>
            <w:vAlign w:val="center"/>
          </w:tcPr>
          <w:p w14:paraId="78740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96" w:type="dxa"/>
            <w:vMerge w:val="restart"/>
            <w:vAlign w:val="center"/>
          </w:tcPr>
          <w:p w14:paraId="3AD62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三、履约工作经验</w:t>
            </w:r>
          </w:p>
        </w:tc>
        <w:tc>
          <w:tcPr>
            <w:tcW w:w="975" w:type="dxa"/>
            <w:vMerge w:val="restart"/>
            <w:vAlign w:val="center"/>
          </w:tcPr>
          <w:p w14:paraId="4FC56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20分</w:t>
            </w:r>
          </w:p>
        </w:tc>
        <w:tc>
          <w:tcPr>
            <w:tcW w:w="1735" w:type="dxa"/>
            <w:vAlign w:val="center"/>
          </w:tcPr>
          <w:p w14:paraId="19AD1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1.从业年限（5分）</w:t>
            </w:r>
          </w:p>
        </w:tc>
        <w:tc>
          <w:tcPr>
            <w:tcW w:w="4982" w:type="dxa"/>
            <w:vAlign w:val="center"/>
          </w:tcPr>
          <w:p w14:paraId="7DB40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从事工伤预防相关工作≥5年得5分；每少一年减1分。</w:t>
            </w:r>
          </w:p>
        </w:tc>
        <w:tc>
          <w:tcPr>
            <w:tcW w:w="950" w:type="dxa"/>
            <w:vAlign w:val="center"/>
          </w:tcPr>
          <w:p w14:paraId="7B265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093C6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企业成立年限证明、相关业务资质</w:t>
            </w:r>
          </w:p>
        </w:tc>
      </w:tr>
      <w:tr w14:paraId="7A2A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0" w:type="auto"/>
            <w:vMerge w:val="continue"/>
            <w:vAlign w:val="center"/>
          </w:tcPr>
          <w:p w14:paraId="40C57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0250F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23D91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35" w:type="dxa"/>
            <w:vAlign w:val="center"/>
          </w:tcPr>
          <w:p w14:paraId="2A1D8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2.类似项目业绩（15分）</w:t>
            </w:r>
          </w:p>
        </w:tc>
        <w:tc>
          <w:tcPr>
            <w:tcW w:w="4982" w:type="dxa"/>
            <w:vAlign w:val="center"/>
          </w:tcPr>
          <w:p w14:paraId="05825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近3年内完成≥3个市级及以上同类项目得15分；每少个市级项目少5分；仅县市区级项目得5分；无业绩得0分。</w:t>
            </w:r>
          </w:p>
        </w:tc>
        <w:tc>
          <w:tcPr>
            <w:tcW w:w="950" w:type="dxa"/>
            <w:vAlign w:val="center"/>
          </w:tcPr>
          <w:p w14:paraId="71F10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22D4D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中标通知书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合同复印件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验收报告</w:t>
            </w:r>
          </w:p>
        </w:tc>
      </w:tr>
      <w:tr w14:paraId="26E32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0" w:type="auto"/>
            <w:vAlign w:val="center"/>
          </w:tcPr>
          <w:p w14:paraId="3F5BC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96" w:type="dxa"/>
            <w:vAlign w:val="center"/>
          </w:tcPr>
          <w:p w14:paraId="0FE89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四、报价</w:t>
            </w:r>
          </w:p>
        </w:tc>
        <w:tc>
          <w:tcPr>
            <w:tcW w:w="975" w:type="dxa"/>
            <w:vAlign w:val="center"/>
          </w:tcPr>
          <w:p w14:paraId="3CDEC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10分</w:t>
            </w:r>
          </w:p>
        </w:tc>
        <w:tc>
          <w:tcPr>
            <w:tcW w:w="1735" w:type="dxa"/>
            <w:vAlign w:val="center"/>
          </w:tcPr>
          <w:p w14:paraId="63AFF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报价合理性（10分）</w:t>
            </w:r>
          </w:p>
        </w:tc>
        <w:tc>
          <w:tcPr>
            <w:tcW w:w="4982" w:type="dxa"/>
            <w:vAlign w:val="center"/>
          </w:tcPr>
          <w:p w14:paraId="72C52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 xml:space="preserve">以预算价为最高限价，取所有有效报价中的最低价作为基准价（得满分）。评分公式：报价得分 = （基准价 ÷ 供应商报价）×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10。</w:t>
            </w:r>
          </w:p>
        </w:tc>
        <w:tc>
          <w:tcPr>
            <w:tcW w:w="950" w:type="dxa"/>
            <w:vAlign w:val="center"/>
          </w:tcPr>
          <w:p w14:paraId="60446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201A1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报价函、分项报价表</w:t>
            </w:r>
          </w:p>
        </w:tc>
      </w:tr>
      <w:tr w14:paraId="30F8F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0" w:type="auto"/>
            <w:vMerge w:val="restart"/>
            <w:vAlign w:val="center"/>
          </w:tcPr>
          <w:p w14:paraId="748AD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96" w:type="dxa"/>
            <w:vMerge w:val="restart"/>
            <w:vAlign w:val="center"/>
          </w:tcPr>
          <w:p w14:paraId="68208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五、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设备设施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与合理化建议</w:t>
            </w:r>
          </w:p>
        </w:tc>
        <w:tc>
          <w:tcPr>
            <w:tcW w:w="975" w:type="dxa"/>
            <w:vMerge w:val="restart"/>
            <w:vAlign w:val="center"/>
          </w:tcPr>
          <w:p w14:paraId="776BA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分</w:t>
            </w:r>
          </w:p>
        </w:tc>
        <w:tc>
          <w:tcPr>
            <w:tcW w:w="1735" w:type="dxa"/>
            <w:vAlign w:val="center"/>
          </w:tcPr>
          <w:p w14:paraId="4D5DA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.设备设施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（1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  <w:t>分）</w:t>
            </w:r>
          </w:p>
        </w:tc>
        <w:tc>
          <w:tcPr>
            <w:tcW w:w="4982" w:type="dxa"/>
            <w:vAlign w:val="center"/>
          </w:tcPr>
          <w:p w14:paraId="703EB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0"/>
                <w:sz w:val="24"/>
                <w:szCs w:val="24"/>
              </w:rPr>
              <w:t>提供触电体验仪、模拟灭火体验屋、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VR 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</w:rPr>
              <w:t>安全体验仪、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  <w:lang w:val="en-US" w:eastAsia="zh-CN"/>
              </w:rPr>
              <w:t>模拟灭火演练设备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AED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</w:rPr>
              <w:t xml:space="preserve"> 自动除颤仪、正压式空气呼吸器、心肺复苏体验仪、醉酒体验仪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  <w:lang w:val="en-US" w:eastAsia="zh-CN"/>
              </w:rPr>
              <w:t>安全带体验装置、</w:t>
            </w:r>
            <w:bookmarkStart w:id="0" w:name="_Toc8296"/>
            <w:bookmarkStart w:id="1" w:name="_Toc18655"/>
            <w:bookmarkStart w:id="2" w:name="_Toc25110"/>
            <w:bookmarkStart w:id="3" w:name="_Toc20074"/>
            <w:bookmarkStart w:id="4" w:name="_Toc16579"/>
            <w:bookmarkStart w:id="5" w:name="_Toc32077"/>
            <w:bookmarkStart w:id="6" w:name="_Toc28566"/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  <w:lang w:val="en-US" w:eastAsia="zh-CN"/>
              </w:rPr>
              <w:t>应急救援担架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>
              <w:rPr>
                <w:rFonts w:hint="default" w:ascii="仿宋" w:hAnsi="仿宋" w:eastAsia="仿宋" w:cs="仿宋"/>
                <w:color w:val="auto"/>
                <w:spacing w:val="11"/>
                <w:sz w:val="24"/>
                <w:szCs w:val="24"/>
                <w:lang w:val="en-US" w:eastAsia="zh-CN"/>
              </w:rPr>
              <w:t>，创伤包扎模拟系统，触电施救系统，静电放电安全体感设备，面部防护体感设备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  <w:lang w:val="en-US" w:eastAsia="zh-CN"/>
              </w:rPr>
              <w:t>教学设备设施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</w:rPr>
              <w:t>用于本项目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  <w:lang w:val="en-US" w:eastAsia="zh-CN"/>
              </w:rPr>
              <w:t>使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</w:rPr>
              <w:t>用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  <w:lang w:val="en-US" w:eastAsia="zh-CN"/>
              </w:rPr>
              <w:t>每提供一项得1分，最多得1</w:t>
            </w:r>
            <w:r>
              <w:rPr>
                <w:rFonts w:hint="default" w:ascii="仿宋" w:hAnsi="仿宋" w:eastAsia="仿宋" w:cs="仿宋"/>
                <w:color w:val="auto"/>
                <w:spacing w:val="5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  <w:lang w:val="en-US" w:eastAsia="zh-CN"/>
              </w:rPr>
              <w:t>分。</w:t>
            </w:r>
          </w:p>
        </w:tc>
        <w:tc>
          <w:tcPr>
            <w:tcW w:w="950" w:type="dxa"/>
            <w:vAlign w:val="center"/>
          </w:tcPr>
          <w:p w14:paraId="38544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758D3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5"/>
                <w:sz w:val="24"/>
                <w:szCs w:val="24"/>
              </w:rPr>
              <w:t>提供购买发票</w:t>
            </w:r>
            <w:r>
              <w:rPr>
                <w:rFonts w:hint="eastAsia" w:ascii="仿宋" w:hAnsi="仿宋" w:eastAsia="仿宋" w:cs="仿宋"/>
                <w:color w:val="auto"/>
                <w:spacing w:val="9"/>
                <w:sz w:val="24"/>
                <w:szCs w:val="24"/>
              </w:rPr>
              <w:t>复印件</w:t>
            </w:r>
            <w:r>
              <w:rPr>
                <w:rFonts w:hint="eastAsia" w:ascii="仿宋" w:hAnsi="仿宋" w:eastAsia="仿宋" w:cs="仿宋"/>
                <w:color w:val="auto"/>
                <w:spacing w:val="9"/>
                <w:sz w:val="24"/>
                <w:szCs w:val="24"/>
                <w:lang w:val="en-US" w:eastAsia="zh-CN"/>
              </w:rPr>
              <w:t>和实物照片</w:t>
            </w:r>
            <w:r>
              <w:rPr>
                <w:rFonts w:hint="eastAsia" w:ascii="仿宋" w:hAnsi="仿宋" w:eastAsia="仿宋" w:cs="仿宋"/>
                <w:color w:val="auto"/>
                <w:spacing w:val="9"/>
                <w:sz w:val="24"/>
                <w:szCs w:val="24"/>
              </w:rPr>
              <w:t>，否则不计分</w:t>
            </w:r>
          </w:p>
        </w:tc>
      </w:tr>
      <w:tr w14:paraId="0E7CD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0" w:type="auto"/>
            <w:vMerge w:val="continue"/>
            <w:vAlign w:val="center"/>
          </w:tcPr>
          <w:p w14:paraId="41973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96" w:type="dxa"/>
            <w:vMerge w:val="continue"/>
            <w:vAlign w:val="center"/>
          </w:tcPr>
          <w:p w14:paraId="70E76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09D43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735" w:type="dxa"/>
            <w:vAlign w:val="center"/>
          </w:tcPr>
          <w:p w14:paraId="3F39B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2.合理化建议（5分）</w:t>
            </w:r>
          </w:p>
        </w:tc>
        <w:tc>
          <w:tcPr>
            <w:tcW w:w="4982" w:type="dxa"/>
            <w:vAlign w:val="center"/>
          </w:tcPr>
          <w:p w14:paraId="46CAD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根据供应商提供的合理化建议方案进行评审。内容完整、条理清晰、针对性强的得5分，较强的得3分，一般的得1分。</w:t>
            </w:r>
          </w:p>
        </w:tc>
        <w:tc>
          <w:tcPr>
            <w:tcW w:w="950" w:type="dxa"/>
            <w:vAlign w:val="center"/>
          </w:tcPr>
          <w:p w14:paraId="2B6A2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216" w:type="dxa"/>
            <w:vAlign w:val="center"/>
          </w:tcPr>
          <w:p w14:paraId="1C0CE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建议方案</w:t>
            </w:r>
          </w:p>
        </w:tc>
      </w:tr>
    </w:tbl>
    <w:p w14:paraId="5C49CCE3">
      <w:pPr>
        <w:rPr>
          <w:rFonts w:hint="default"/>
          <w:lang w:val="en-US" w:eastAsia="zh-CN"/>
        </w:rPr>
      </w:pPr>
    </w:p>
    <w:p w14:paraId="12FABF52">
      <w:pPr>
        <w:rPr>
          <w:rFonts w:hint="eastAsia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B0109D"/>
    <w:rsid w:val="31D567B6"/>
    <w:rsid w:val="3A9A224A"/>
    <w:rsid w:val="55B0109D"/>
    <w:rsid w:val="5BD56B4D"/>
    <w:rsid w:val="66E633D0"/>
    <w:rsid w:val="77861A75"/>
    <w:rsid w:val="7C521066"/>
    <w:rsid w:val="7CBF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widowControl/>
      <w:autoSpaceDE w:val="0"/>
      <w:autoSpaceDN w:val="0"/>
      <w:ind w:right="367"/>
      <w:jc w:val="both"/>
      <w:textAlignment w:val="bottom"/>
    </w:pPr>
    <w:rPr>
      <w:rFonts w:ascii="PMingLiU" w:hAnsi="Calibri" w:eastAsia="宋体" w:cs="Times New Roman"/>
      <w:kern w:val="2"/>
      <w:sz w:val="24"/>
      <w:szCs w:val="24"/>
      <w:lang w:val="en-US" w:eastAsia="zh-CN" w:bidi="ar-SA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786</Words>
  <Characters>818</Characters>
  <Lines>0</Lines>
  <Paragraphs>0</Paragraphs>
  <TotalTime>0</TotalTime>
  <ScaleCrop>false</ScaleCrop>
  <LinksUpToDate>false</LinksUpToDate>
  <CharactersWithSpaces>880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2025-09-05T15:34:00Z</dcterms:created>
  <dc:creator>xiiin</dc:creator>
  <cp:lastModifiedBy>xiiin</cp:lastModifiedBy>
  <cp:lastPrinted>2026-04-27T03:33:00Z</cp:lastPrinted>
  <dcterms:modified xsi:type="dcterms:W3CDTF">2026-04-29T01:02:44Z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9B93B0CA800D44FBA8788AEBF2C2F0BA_11</vt:lpwstr>
  </property>
  <property fmtid="{D5CDD505-2E9C-101B-9397-08002B2CF9AE}" pid="4" name="KSOTemplateDocerSaveRecord">
    <vt:lpwstr>eyJoZGlkIjoiOWNmMDlhMzY0NjA2YzgyZDAyYzM4YjlmYTUyOTJlMjYiLCJ1c2VySWQiOiI3NDQ3NzMxNjcifQ==</vt:lpwstr>
  </property>
</Properties>
</file>