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E8D8FC"/>
    <w:p w14:paraId="61D6D389">
      <w:pPr>
        <w:keepNext w:val="0"/>
        <w:keepLines w:val="0"/>
        <w:pageBreakBefore w:val="0"/>
        <w:widowControl w:val="0"/>
        <w:kinsoku/>
        <w:wordWrap/>
        <w:overflowPunct/>
        <w:topLinePunct w:val="0"/>
        <w:autoSpaceDE/>
        <w:autoSpaceDN/>
        <w:bidi w:val="0"/>
        <w:adjustRightInd w:val="0"/>
        <w:snapToGrid w:val="0"/>
        <w:spacing w:line="576" w:lineRule="exact"/>
        <w:jc w:val="center"/>
        <w:textAlignment w:val="auto"/>
        <w:rPr>
          <w:rFonts w:hint="eastAsia" w:ascii="方正小标宋简体" w:hAnsi="方正小标宋简体" w:eastAsia="方正小标宋简体" w:cs="方正小标宋简体"/>
          <w:b w:val="0"/>
          <w:bCs w:val="0"/>
          <w:sz w:val="44"/>
          <w:szCs w:val="44"/>
          <w:lang w:val="en-US" w:eastAsia="zh-CN"/>
        </w:rPr>
      </w:pPr>
      <w:bookmarkStart w:id="0" w:name="_GoBack"/>
      <w:r>
        <w:rPr>
          <w:rFonts w:hint="eastAsia" w:ascii="方正小标宋简体" w:hAnsi="方正小标宋简体" w:eastAsia="方正小标宋简体" w:cs="方正小标宋简体"/>
          <w:b w:val="0"/>
          <w:bCs w:val="0"/>
          <w:sz w:val="44"/>
          <w:szCs w:val="44"/>
          <w:lang w:val="en-US" w:eastAsia="zh-CN"/>
        </w:rPr>
        <w:t>关于划定禁止使用高排放非道路</w:t>
      </w:r>
    </w:p>
    <w:p w14:paraId="6EB51CD8">
      <w:pPr>
        <w:keepNext w:val="0"/>
        <w:keepLines w:val="0"/>
        <w:pageBreakBefore w:val="0"/>
        <w:widowControl w:val="0"/>
        <w:kinsoku/>
        <w:wordWrap/>
        <w:overflowPunct/>
        <w:topLinePunct w:val="0"/>
        <w:autoSpaceDE/>
        <w:autoSpaceDN/>
        <w:bidi w:val="0"/>
        <w:adjustRightInd w:val="0"/>
        <w:snapToGrid w:val="0"/>
        <w:spacing w:line="576"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移动机械区域的通告</w:t>
      </w:r>
    </w:p>
    <w:p w14:paraId="1F1434AE">
      <w:pPr>
        <w:keepNext w:val="0"/>
        <w:keepLines w:val="0"/>
        <w:pageBreakBefore w:val="0"/>
        <w:widowControl w:val="0"/>
        <w:kinsoku/>
        <w:wordWrap/>
        <w:overflowPunct/>
        <w:topLinePunct w:val="0"/>
        <w:autoSpaceDE/>
        <w:autoSpaceDN/>
        <w:bidi w:val="0"/>
        <w:spacing w:line="576" w:lineRule="exact"/>
        <w:jc w:val="center"/>
        <w:textAlignment w:val="auto"/>
        <w:rPr>
          <w:rFonts w:hint="eastAsia" w:ascii="楷体" w:hAnsi="楷体" w:eastAsia="楷体" w:cs="楷体"/>
          <w:b/>
          <w:bCs/>
          <w:color w:val="auto"/>
          <w:kern w:val="2"/>
          <w:sz w:val="28"/>
          <w:szCs w:val="28"/>
          <w:lang w:val="en-US" w:eastAsia="zh-CN" w:bidi="ar-SA"/>
        </w:rPr>
      </w:pPr>
      <w:r>
        <w:rPr>
          <w:rFonts w:hint="eastAsia" w:ascii="楷体" w:hAnsi="楷体" w:eastAsia="楷体" w:cs="楷体"/>
          <w:b/>
          <w:bCs/>
          <w:color w:val="auto"/>
          <w:kern w:val="2"/>
          <w:sz w:val="28"/>
          <w:szCs w:val="28"/>
          <w:lang w:val="en-US" w:eastAsia="zh-CN" w:bidi="ar-SA"/>
        </w:rPr>
        <w:t>（送审稿）</w:t>
      </w:r>
    </w:p>
    <w:bookmarkEnd w:id="0"/>
    <w:p w14:paraId="2CC96906">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 w:hAnsi="仿宋" w:eastAsia="仿宋" w:cs="仿宋"/>
          <w:sz w:val="32"/>
          <w:szCs w:val="32"/>
        </w:rPr>
      </w:pPr>
    </w:p>
    <w:p w14:paraId="01E6E9E0">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为进一步改善我县环境空气质量，减少非道路移动机械污染物排放，根据《中华人民共和国生态环境法典》《湖南省大气污染防治条例》等法律法规，</w:t>
      </w:r>
      <w:r>
        <w:rPr>
          <w:rFonts w:hint="eastAsia" w:ascii="仿宋" w:hAnsi="仿宋" w:eastAsia="仿宋" w:cs="仿宋"/>
          <w:sz w:val="32"/>
          <w:szCs w:val="32"/>
          <w:lang w:val="en-US" w:eastAsia="zh-CN"/>
        </w:rPr>
        <w:t>以及</w:t>
      </w:r>
      <w:r>
        <w:rPr>
          <w:rFonts w:hint="eastAsia" w:ascii="仿宋" w:hAnsi="仿宋" w:eastAsia="仿宋" w:cs="仿宋"/>
          <w:sz w:val="32"/>
          <w:szCs w:val="32"/>
        </w:rPr>
        <w:t>《湖南省生态环境厅办公室关于印发〈进一步加强非道路移动机械监督管理工作方案〉的通知》（湘环办〔2026〕46号）等相关规定，县人民政府决定</w:t>
      </w:r>
      <w:r>
        <w:rPr>
          <w:rFonts w:hint="eastAsia" w:ascii="仿宋" w:hAnsi="仿宋" w:eastAsia="仿宋" w:cs="仿宋"/>
          <w:color w:val="000000" w:themeColor="text1"/>
          <w:sz w:val="32"/>
          <w:szCs w:val="32"/>
          <w:lang w:eastAsia="zh-CN"/>
          <w14:textFill>
            <w14:solidFill>
              <w14:schemeClr w14:val="tx1"/>
            </w14:solidFill>
          </w14:textFill>
        </w:rPr>
        <w:t>在全县范围内</w:t>
      </w:r>
      <w:r>
        <w:rPr>
          <w:rFonts w:hint="eastAsia" w:ascii="仿宋" w:hAnsi="仿宋" w:eastAsia="仿宋" w:cs="仿宋"/>
          <w:color w:val="000000" w:themeColor="text1"/>
          <w:sz w:val="32"/>
          <w:szCs w:val="32"/>
          <w14:textFill>
            <w14:solidFill>
              <w14:schemeClr w14:val="tx1"/>
            </w14:solidFill>
          </w14:textFill>
        </w:rPr>
        <w:t>划定禁止使用高排</w:t>
      </w:r>
      <w:r>
        <w:rPr>
          <w:rFonts w:hint="eastAsia" w:ascii="仿宋" w:hAnsi="仿宋" w:eastAsia="仿宋" w:cs="仿宋"/>
          <w:sz w:val="32"/>
          <w:szCs w:val="32"/>
        </w:rPr>
        <w:t>放非道路移动机械区域（以下简称“低排放控制区”）。现将有关事项通告如下：</w:t>
      </w:r>
    </w:p>
    <w:p w14:paraId="512B1A93">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一、高排放非道路移动机械认定标准</w:t>
      </w:r>
    </w:p>
    <w:p w14:paraId="6B67552E">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符合下列情形之一</w:t>
      </w:r>
      <w:r>
        <w:rPr>
          <w:rFonts w:hint="eastAsia" w:ascii="仿宋" w:hAnsi="仿宋" w:eastAsia="仿宋" w:cs="仿宋"/>
          <w:color w:val="000000" w:themeColor="text1"/>
          <w:sz w:val="32"/>
          <w:szCs w:val="32"/>
          <w14:textFill>
            <w14:solidFill>
              <w14:schemeClr w14:val="tx1"/>
            </w14:solidFill>
          </w14:textFill>
        </w:rPr>
        <w:t>的非道路移动机械</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指装配柴油发动机的工程机械、物料装卸设备，主要包括装载机、</w:t>
      </w:r>
      <w:r>
        <w:rPr>
          <w:rFonts w:hint="eastAsia" w:ascii="仿宋" w:hAnsi="仿宋" w:eastAsia="仿宋" w:cs="仿宋"/>
          <w:sz w:val="32"/>
          <w:szCs w:val="32"/>
        </w:rPr>
        <w:t>推土机、挖掘机、打桩机、铲车、压路机、沥青摊铺机、叉车、旋挖钻机、混凝土输送泵、空气压缩机、柴油发电机组等</w:t>
      </w:r>
      <w:r>
        <w:rPr>
          <w:rFonts w:hint="eastAsia" w:ascii="仿宋" w:hAnsi="仿宋" w:eastAsia="仿宋" w:cs="仿宋"/>
          <w:sz w:val="32"/>
          <w:szCs w:val="32"/>
          <w:lang w:eastAsia="zh-CN"/>
        </w:rPr>
        <w:t>），</w:t>
      </w:r>
      <w:r>
        <w:rPr>
          <w:rFonts w:hint="eastAsia" w:ascii="仿宋" w:hAnsi="仿宋" w:eastAsia="仿宋" w:cs="仿宋"/>
          <w:sz w:val="32"/>
          <w:szCs w:val="32"/>
        </w:rPr>
        <w:t>为高排放非道路移动机械：</w:t>
      </w:r>
    </w:p>
    <w:p w14:paraId="24EB4B89">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（一）排放阶段为国Ⅱ及以下标准的非道路移动机械（含档案标注X代号、无法核实排放标准的老旧机械）；</w:t>
      </w:r>
    </w:p>
    <w:p w14:paraId="421D6D1D">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（二）排气烟度超过《非道路移动柴油机械排气烟度限值及测量方法》（GB36886—2018）Ⅲ类限值的柴油非道路移动机械；</w:t>
      </w:r>
    </w:p>
    <w:p w14:paraId="59486479">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（三）达不到《非道路移动机械用柴油机排气污染物排放限值及测量方法（中国第三、四阶段）》（GB20891-2014）中规定的第三阶段排放标准，或排放可见烟的非道路移动机械。</w:t>
      </w:r>
    </w:p>
    <w:p w14:paraId="0B300996">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所有在用非道路移动机械应当按照相关规定完成编码登记，规范设置环保识别标识。</w:t>
      </w:r>
    </w:p>
    <w:p w14:paraId="1E7C365F">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二、低排放控制区范围</w:t>
      </w:r>
    </w:p>
    <w:p w14:paraId="2EDADB8B">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（一）澧阳街道、澧浦街道、澧澹街道、澧西街道全域；</w:t>
      </w:r>
    </w:p>
    <w:p w14:paraId="7977CFC1">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（二）常德城发新材料科技有限公司澧县三元矿区所在区域；</w:t>
      </w:r>
    </w:p>
    <w:p w14:paraId="2ADD6C8E">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（三）澧县小渡口镇戴家湾码头所在区域。</w:t>
      </w:r>
    </w:p>
    <w:p w14:paraId="60775AC9">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（四）</w:t>
      </w:r>
      <w:r>
        <w:rPr>
          <w:rFonts w:hint="eastAsia" w:ascii="仿宋" w:hAnsi="仿宋" w:eastAsia="仿宋" w:cs="仿宋"/>
          <w:color w:val="000000" w:themeColor="text1"/>
          <w:sz w:val="32"/>
          <w:szCs w:val="32"/>
          <w14:textFill>
            <w14:solidFill>
              <w14:schemeClr w14:val="tx1"/>
            </w14:solidFill>
          </w14:textFill>
        </w:rPr>
        <w:t>根据</w:t>
      </w:r>
      <w:r>
        <w:rPr>
          <w:rFonts w:hint="eastAsia" w:ascii="仿宋" w:hAnsi="仿宋" w:eastAsia="仿宋" w:cs="仿宋"/>
          <w:color w:val="000000" w:themeColor="text1"/>
          <w:sz w:val="32"/>
          <w:szCs w:val="32"/>
          <w:lang w:eastAsia="zh-CN"/>
          <w14:textFill>
            <w14:solidFill>
              <w14:schemeClr w14:val="tx1"/>
            </w14:solidFill>
          </w14:textFill>
        </w:rPr>
        <w:t>法律法规和</w:t>
      </w:r>
      <w:r>
        <w:rPr>
          <w:rFonts w:hint="eastAsia" w:ascii="仿宋" w:hAnsi="仿宋" w:eastAsia="仿宋" w:cs="仿宋"/>
          <w:color w:val="000000" w:themeColor="text1"/>
          <w:sz w:val="32"/>
          <w:szCs w:val="32"/>
          <w14:textFill>
            <w14:solidFill>
              <w14:schemeClr w14:val="tx1"/>
            </w14:solidFill>
          </w14:textFill>
        </w:rPr>
        <w:t>大气污染防治工作</w:t>
      </w:r>
      <w:r>
        <w:rPr>
          <w:rFonts w:hint="eastAsia" w:ascii="仿宋" w:hAnsi="仿宋" w:eastAsia="仿宋" w:cs="仿宋"/>
          <w:color w:val="000000" w:themeColor="text1"/>
          <w:sz w:val="32"/>
          <w:szCs w:val="32"/>
          <w:lang w:eastAsia="zh-CN"/>
          <w14:textFill>
            <w14:solidFill>
              <w14:schemeClr w14:val="tx1"/>
            </w14:solidFill>
          </w14:textFill>
        </w:rPr>
        <w:t>要求</w:t>
      </w:r>
      <w:r>
        <w:rPr>
          <w:rFonts w:hint="eastAsia" w:ascii="仿宋" w:hAnsi="仿宋" w:eastAsia="仿宋" w:cs="仿宋"/>
          <w:color w:val="000000" w:themeColor="text1"/>
          <w:sz w:val="32"/>
          <w:szCs w:val="32"/>
          <w14:textFill>
            <w14:solidFill>
              <w14:schemeClr w14:val="tx1"/>
            </w14:solidFill>
          </w14:textFill>
        </w:rPr>
        <w:t>及我县矿区、码头、工业园区等重点区域发展实际，</w:t>
      </w:r>
      <w:r>
        <w:rPr>
          <w:rFonts w:hint="eastAsia" w:ascii="仿宋" w:hAnsi="仿宋" w:eastAsia="仿宋" w:cs="仿宋"/>
          <w:color w:val="000000" w:themeColor="text1"/>
          <w:sz w:val="32"/>
          <w:szCs w:val="32"/>
          <w:lang w:eastAsia="zh-CN"/>
          <w14:textFill>
            <w14:solidFill>
              <w14:schemeClr w14:val="tx1"/>
            </w14:solidFill>
          </w14:textFill>
        </w:rPr>
        <w:t>需要控制的</w:t>
      </w:r>
      <w:r>
        <w:rPr>
          <w:rFonts w:hint="eastAsia" w:ascii="仿宋" w:hAnsi="仿宋" w:eastAsia="仿宋" w:cs="仿宋"/>
          <w:color w:val="000000" w:themeColor="text1"/>
          <w:sz w:val="32"/>
          <w:szCs w:val="32"/>
          <w:lang w:val="en-US" w:eastAsia="zh-CN"/>
          <w14:textFill>
            <w14:solidFill>
              <w14:schemeClr w14:val="tx1"/>
            </w14:solidFill>
          </w14:textFill>
        </w:rPr>
        <w:t>其他</w:t>
      </w:r>
      <w:r>
        <w:rPr>
          <w:rFonts w:hint="eastAsia" w:ascii="仿宋" w:hAnsi="仿宋" w:eastAsia="仿宋" w:cs="仿宋"/>
          <w:color w:val="000000" w:themeColor="text1"/>
          <w:sz w:val="32"/>
          <w:szCs w:val="32"/>
          <w:lang w:eastAsia="zh-CN"/>
          <w14:textFill>
            <w14:solidFill>
              <w14:schemeClr w14:val="tx1"/>
            </w14:solidFill>
          </w14:textFill>
        </w:rPr>
        <w:t>区域。</w:t>
      </w:r>
    </w:p>
    <w:p w14:paraId="51C0E591">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color w:val="000000" w:themeColor="text1"/>
          <w:sz w:val="32"/>
          <w:szCs w:val="32"/>
          <w:lang w:eastAsia="zh-CN"/>
          <w14:textFill>
            <w14:solidFill>
              <w14:schemeClr w14:val="tx1"/>
            </w14:solidFill>
          </w14:textFill>
        </w:rPr>
        <w:t>低排放控制区范围如有调整，</w:t>
      </w:r>
      <w:r>
        <w:rPr>
          <w:rFonts w:hint="eastAsia" w:ascii="仿宋" w:hAnsi="仿宋" w:eastAsia="仿宋" w:cs="仿宋"/>
          <w:color w:val="000000" w:themeColor="text1"/>
          <w:sz w:val="32"/>
          <w:szCs w:val="32"/>
          <w14:textFill>
            <w14:solidFill>
              <w14:schemeClr w14:val="tx1"/>
            </w14:solidFill>
          </w14:textFill>
        </w:rPr>
        <w:t>由县生环委办会同相关部门适时评估</w:t>
      </w:r>
      <w:r>
        <w:rPr>
          <w:rFonts w:hint="eastAsia" w:ascii="仿宋" w:hAnsi="仿宋" w:eastAsia="仿宋" w:cs="仿宋"/>
          <w:color w:val="000000" w:themeColor="text1"/>
          <w:sz w:val="32"/>
          <w:szCs w:val="32"/>
          <w:lang w:eastAsia="zh-CN"/>
          <w14:textFill>
            <w14:solidFill>
              <w14:schemeClr w14:val="tx1"/>
            </w14:solidFill>
          </w14:textFill>
        </w:rPr>
        <w:t>后进行</w:t>
      </w:r>
      <w:r>
        <w:rPr>
          <w:rFonts w:hint="eastAsia" w:ascii="仿宋" w:hAnsi="仿宋" w:eastAsia="仿宋" w:cs="仿宋"/>
          <w:color w:val="000000" w:themeColor="text1"/>
          <w:sz w:val="32"/>
          <w:szCs w:val="32"/>
          <w14:textFill>
            <w14:solidFill>
              <w14:schemeClr w14:val="tx1"/>
            </w14:solidFill>
          </w14:textFill>
        </w:rPr>
        <w:t>动态</w:t>
      </w:r>
      <w:r>
        <w:rPr>
          <w:rFonts w:hint="eastAsia" w:ascii="仿宋" w:hAnsi="仿宋" w:eastAsia="仿宋" w:cs="仿宋"/>
          <w:color w:val="000000" w:themeColor="text1"/>
          <w:sz w:val="32"/>
          <w:szCs w:val="32"/>
          <w:lang w:eastAsia="zh-CN"/>
          <w14:textFill>
            <w14:solidFill>
              <w14:schemeClr w14:val="tx1"/>
            </w14:solidFill>
          </w14:textFill>
        </w:rPr>
        <w:t>更新</w:t>
      </w:r>
      <w:r>
        <w:rPr>
          <w:rFonts w:hint="eastAsia" w:ascii="仿宋" w:hAnsi="仿宋" w:eastAsia="仿宋" w:cs="仿宋"/>
          <w:color w:val="000000" w:themeColor="text1"/>
          <w:sz w:val="32"/>
          <w:szCs w:val="32"/>
          <w14:textFill>
            <w14:solidFill>
              <w14:schemeClr w14:val="tx1"/>
            </w14:solidFill>
          </w14:textFill>
        </w:rPr>
        <w:t>，报县人民政府同意后公布</w:t>
      </w:r>
      <w:r>
        <w:rPr>
          <w:rFonts w:hint="eastAsia" w:ascii="仿宋" w:hAnsi="仿宋" w:eastAsia="仿宋" w:cs="仿宋"/>
          <w:color w:val="000000" w:themeColor="text1"/>
          <w:sz w:val="32"/>
          <w:szCs w:val="32"/>
          <w:lang w:eastAsia="zh-CN"/>
          <w14:textFill>
            <w14:solidFill>
              <w14:schemeClr w14:val="tx1"/>
            </w14:solidFill>
          </w14:textFill>
        </w:rPr>
        <w:t>施行</w:t>
      </w:r>
      <w:r>
        <w:rPr>
          <w:rFonts w:hint="eastAsia" w:ascii="仿宋" w:hAnsi="仿宋" w:eastAsia="仿宋" w:cs="仿宋"/>
          <w:color w:val="000000" w:themeColor="text1"/>
          <w:sz w:val="32"/>
          <w:szCs w:val="32"/>
          <w14:textFill>
            <w14:solidFill>
              <w14:schemeClr w14:val="tx1"/>
            </w14:solidFill>
          </w14:textFill>
        </w:rPr>
        <w:t>。</w:t>
      </w:r>
    </w:p>
    <w:p w14:paraId="2FFADECB">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三、</w:t>
      </w:r>
      <w:r>
        <w:rPr>
          <w:rFonts w:hint="eastAsia" w:ascii="黑体" w:hAnsi="黑体" w:eastAsia="黑体" w:cs="黑体"/>
          <w:color w:val="000000" w:themeColor="text1"/>
          <w:sz w:val="32"/>
          <w:szCs w:val="32"/>
          <w:lang w:eastAsia="zh-CN"/>
          <w14:textFill>
            <w14:solidFill>
              <w14:schemeClr w14:val="tx1"/>
            </w14:solidFill>
          </w14:textFill>
        </w:rPr>
        <w:t>低排放控制区非道路移动机械</w:t>
      </w:r>
      <w:r>
        <w:rPr>
          <w:rFonts w:hint="eastAsia" w:ascii="黑体" w:hAnsi="黑体" w:eastAsia="黑体" w:cs="黑体"/>
          <w:color w:val="000000" w:themeColor="text1"/>
          <w:sz w:val="32"/>
          <w:szCs w:val="32"/>
          <w14:textFill>
            <w14:solidFill>
              <w14:schemeClr w14:val="tx1"/>
            </w14:solidFill>
          </w14:textFill>
        </w:rPr>
        <w:t>管控要求</w:t>
      </w:r>
    </w:p>
    <w:p w14:paraId="225783B1">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（一）禁止使用高排放非道路移动机械</w:t>
      </w:r>
      <w:r>
        <w:rPr>
          <w:rFonts w:hint="eastAsia" w:ascii="仿宋" w:hAnsi="仿宋" w:eastAsia="仿宋" w:cs="仿宋"/>
          <w:color w:val="000000" w:themeColor="text1"/>
          <w:sz w:val="32"/>
          <w:szCs w:val="32"/>
          <w:lang w:eastAsia="zh-CN"/>
          <w14:textFill>
            <w14:solidFill>
              <w14:schemeClr w14:val="tx1"/>
            </w14:solidFill>
          </w14:textFill>
        </w:rPr>
        <w:t>；</w:t>
      </w:r>
    </w:p>
    <w:p w14:paraId="13EDF589">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（二）</w:t>
      </w:r>
      <w:r>
        <w:rPr>
          <w:rFonts w:hint="eastAsia" w:ascii="仿宋" w:hAnsi="仿宋" w:eastAsia="仿宋" w:cs="仿宋"/>
          <w:color w:val="000000" w:themeColor="text1"/>
          <w:sz w:val="32"/>
          <w:szCs w:val="32"/>
          <w:lang w:eastAsia="zh-CN"/>
          <w14:textFill>
            <w14:solidFill>
              <w14:schemeClr w14:val="tx1"/>
            </w14:solidFill>
          </w14:textFill>
        </w:rPr>
        <w:t>使用的其他</w:t>
      </w:r>
      <w:r>
        <w:rPr>
          <w:rFonts w:hint="eastAsia" w:ascii="仿宋" w:hAnsi="仿宋" w:eastAsia="仿宋" w:cs="仿宋"/>
          <w:color w:val="000000" w:themeColor="text1"/>
          <w:sz w:val="32"/>
          <w:szCs w:val="32"/>
          <w14:textFill>
            <w14:solidFill>
              <w14:schemeClr w14:val="tx1"/>
            </w14:solidFill>
          </w14:textFill>
        </w:rPr>
        <w:t>非道路移动机械，应当完成编码登记并规范设置环保识别标识，污染物排放符合现行标准要求</w:t>
      </w:r>
      <w:r>
        <w:rPr>
          <w:rFonts w:hint="eastAsia" w:ascii="仿宋" w:hAnsi="仿宋" w:eastAsia="仿宋" w:cs="仿宋"/>
          <w:color w:val="000000" w:themeColor="text1"/>
          <w:sz w:val="32"/>
          <w:szCs w:val="32"/>
          <w:lang w:eastAsia="zh-CN"/>
          <w14:textFill>
            <w14:solidFill>
              <w14:schemeClr w14:val="tx1"/>
            </w14:solidFill>
          </w14:textFill>
        </w:rPr>
        <w:t>；</w:t>
      </w:r>
    </w:p>
    <w:p w14:paraId="4E8BE7B9">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color w:val="000000" w:themeColor="text1"/>
          <w:sz w:val="32"/>
          <w:szCs w:val="32"/>
          <w14:textFill>
            <w14:solidFill>
              <w14:schemeClr w14:val="tx1"/>
            </w14:solidFill>
          </w14:textFill>
        </w:rPr>
        <w:t>（三）</w:t>
      </w:r>
      <w:r>
        <w:rPr>
          <w:rFonts w:hint="eastAsia" w:ascii="仿宋" w:hAnsi="仿宋" w:eastAsia="仿宋" w:cs="仿宋"/>
          <w:color w:val="000000" w:themeColor="text1"/>
          <w:sz w:val="32"/>
          <w:szCs w:val="32"/>
          <w:lang w:eastAsia="zh-CN"/>
          <w14:textFill>
            <w14:solidFill>
              <w14:schemeClr w14:val="tx1"/>
            </w14:solidFill>
          </w14:textFill>
        </w:rPr>
        <w:t>确需使用</w:t>
      </w:r>
      <w:r>
        <w:rPr>
          <w:rFonts w:hint="eastAsia" w:ascii="仿宋" w:hAnsi="仿宋" w:eastAsia="仿宋" w:cs="仿宋"/>
          <w:color w:val="000000" w:themeColor="text1"/>
          <w:sz w:val="32"/>
          <w:szCs w:val="32"/>
          <w14:textFill>
            <w14:solidFill>
              <w14:schemeClr w14:val="tx1"/>
            </w14:solidFill>
          </w14:textFill>
        </w:rPr>
        <w:t>不符合低排放控制区排放标准的非道路移动机械，实施尾气治理技术改造后，经具备资质的第三方检测机构检验合格，</w:t>
      </w:r>
      <w:r>
        <w:rPr>
          <w:rFonts w:hint="eastAsia" w:ascii="仿宋" w:hAnsi="仿宋" w:eastAsia="仿宋" w:cs="仿宋"/>
          <w:color w:val="000000" w:themeColor="text1"/>
          <w:sz w:val="32"/>
          <w:szCs w:val="32"/>
          <w:lang w:eastAsia="zh-CN"/>
          <w14:textFill>
            <w14:solidFill>
              <w14:schemeClr w14:val="tx1"/>
            </w14:solidFill>
          </w14:textFill>
        </w:rPr>
        <w:t>方可</w:t>
      </w:r>
      <w:r>
        <w:rPr>
          <w:rFonts w:hint="eastAsia" w:ascii="仿宋" w:hAnsi="仿宋" w:eastAsia="仿宋" w:cs="仿宋"/>
          <w:color w:val="000000" w:themeColor="text1"/>
          <w:sz w:val="32"/>
          <w:szCs w:val="32"/>
          <w14:textFill>
            <w14:solidFill>
              <w14:schemeClr w14:val="tx1"/>
            </w14:solidFill>
          </w14:textFill>
        </w:rPr>
        <w:t>在低排放控制区内作业使用</w:t>
      </w:r>
      <w:r>
        <w:rPr>
          <w:rFonts w:hint="eastAsia" w:ascii="仿宋" w:hAnsi="仿宋" w:eastAsia="仿宋" w:cs="仿宋"/>
          <w:sz w:val="32"/>
          <w:szCs w:val="32"/>
          <w:lang w:eastAsia="zh-CN"/>
        </w:rPr>
        <w:t>；</w:t>
      </w:r>
    </w:p>
    <w:p w14:paraId="1ADDD775">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（四）鼓励优先选用新能源、清洁能源非道路移动机械。</w:t>
      </w:r>
    </w:p>
    <w:p w14:paraId="74023E13">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经相关应急救援指挥机构同意，</w:t>
      </w:r>
      <w:r>
        <w:rPr>
          <w:rFonts w:hint="eastAsia" w:ascii="仿宋" w:hAnsi="仿宋" w:eastAsia="仿宋" w:cs="仿宋"/>
          <w:color w:val="000000" w:themeColor="text1"/>
          <w:sz w:val="32"/>
          <w:szCs w:val="32"/>
          <w14:textFill>
            <w14:solidFill>
              <w14:schemeClr w14:val="tx1"/>
            </w14:solidFill>
          </w14:textFill>
        </w:rPr>
        <w:t>因应急抢险、防汛救灾、应急救援等应急作业需要</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低排放控制区</w:t>
      </w:r>
      <w:r>
        <w:rPr>
          <w:rFonts w:hint="eastAsia" w:ascii="仿宋" w:hAnsi="仿宋" w:eastAsia="仿宋" w:cs="仿宋"/>
          <w:color w:val="000000" w:themeColor="text1"/>
          <w:sz w:val="32"/>
          <w:szCs w:val="32"/>
          <w:lang w:eastAsia="zh-CN"/>
          <w14:textFill>
            <w14:solidFill>
              <w14:schemeClr w14:val="tx1"/>
            </w14:solidFill>
          </w14:textFill>
        </w:rPr>
        <w:t>可</w:t>
      </w:r>
      <w:r>
        <w:rPr>
          <w:rFonts w:hint="eastAsia" w:ascii="仿宋" w:hAnsi="仿宋" w:eastAsia="仿宋" w:cs="仿宋"/>
          <w:color w:val="000000" w:themeColor="text1"/>
          <w:sz w:val="32"/>
          <w:szCs w:val="32"/>
          <w14:textFill>
            <w14:solidFill>
              <w14:schemeClr w14:val="tx1"/>
            </w14:solidFill>
          </w14:textFill>
        </w:rPr>
        <w:t>使用高排放非道路移动机械。</w:t>
      </w:r>
    </w:p>
    <w:p w14:paraId="017B733D">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四</w:t>
      </w:r>
      <w:r>
        <w:rPr>
          <w:rFonts w:hint="eastAsia" w:ascii="黑体" w:hAnsi="黑体" w:eastAsia="黑体" w:cs="黑体"/>
          <w:color w:val="000000" w:themeColor="text1"/>
          <w:sz w:val="32"/>
          <w:szCs w:val="32"/>
          <w14:textFill>
            <w14:solidFill>
              <w14:schemeClr w14:val="tx1"/>
            </w14:solidFill>
          </w14:textFill>
        </w:rPr>
        <w:t>、监督管理职责</w:t>
      </w:r>
    </w:p>
    <w:p w14:paraId="29E095BB">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常德市生态环境局澧县分局统筹负责全县非道路移动机械统一编码登记、尾气监督检测等管理工作。县交通运输、住房和城乡建设、农业农村、林业、水利等行业主管部门按照各自职责对非道路移动机械大气污染物排放实施监督管理。</w:t>
      </w:r>
    </w:p>
    <w:p w14:paraId="6B080775">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五</w:t>
      </w:r>
      <w:r>
        <w:rPr>
          <w:rFonts w:hint="eastAsia" w:ascii="黑体" w:hAnsi="黑体" w:eastAsia="黑体" w:cs="黑体"/>
          <w:color w:val="000000" w:themeColor="text1"/>
          <w:sz w:val="32"/>
          <w:szCs w:val="32"/>
          <w14:textFill>
            <w14:solidFill>
              <w14:schemeClr w14:val="tx1"/>
            </w14:solidFill>
          </w14:textFill>
        </w:rPr>
        <w:t>、法律责任</w:t>
      </w:r>
    </w:p>
    <w:p w14:paraId="7BA95ED6">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在低排放控制区内违规使用高排放非道路移动机械的，由常德市生态环境局澧县分局依据《中华人民共和国生态环境法典》相关规定依法查处。</w:t>
      </w:r>
    </w:p>
    <w:p w14:paraId="690ABFDF">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六</w:t>
      </w:r>
      <w:r>
        <w:rPr>
          <w:rFonts w:hint="eastAsia" w:ascii="黑体" w:hAnsi="黑体" w:eastAsia="黑体" w:cs="黑体"/>
          <w:color w:val="000000" w:themeColor="text1"/>
          <w:sz w:val="32"/>
          <w:szCs w:val="32"/>
          <w14:textFill>
            <w14:solidFill>
              <w14:schemeClr w14:val="tx1"/>
            </w14:solidFill>
          </w14:textFill>
        </w:rPr>
        <w:t>、施行日期</w:t>
      </w:r>
    </w:p>
    <w:p w14:paraId="3C4EC500">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本通告自公布之日起施行，有效期五年。《澧县人民政府关于划定禁止使用高排放非道路移动机械区域的通告》（澧政通告〔2020〕9号）同步废止。</w:t>
      </w:r>
    </w:p>
    <w:p w14:paraId="3F323281">
      <w:pPr>
        <w:keepNext w:val="0"/>
        <w:keepLines w:val="0"/>
        <w:pageBreakBefore w:val="0"/>
        <w:widowControl w:val="0"/>
        <w:kinsoku/>
        <w:wordWrap/>
        <w:overflowPunct/>
        <w:topLinePunct w:val="0"/>
        <w:autoSpaceDE/>
        <w:autoSpaceDN/>
        <w:bidi w:val="0"/>
        <w:spacing w:line="576" w:lineRule="exact"/>
        <w:textAlignment w:val="auto"/>
        <w:rPr>
          <w:rFonts w:hint="eastAsia" w:ascii="仿宋" w:hAnsi="仿宋" w:eastAsia="仿宋" w:cs="仿宋"/>
          <w:sz w:val="32"/>
          <w:szCs w:val="32"/>
        </w:rPr>
      </w:pPr>
    </w:p>
    <w:p w14:paraId="61B3FF4F">
      <w:pPr>
        <w:keepNext w:val="0"/>
        <w:keepLines w:val="0"/>
        <w:pageBreakBefore w:val="0"/>
        <w:widowControl w:val="0"/>
        <w:kinsoku/>
        <w:wordWrap/>
        <w:overflowPunct/>
        <w:topLinePunct w:val="0"/>
        <w:autoSpaceDE/>
        <w:autoSpaceDN/>
        <w:bidi w:val="0"/>
        <w:spacing w:line="576" w:lineRule="exact"/>
        <w:textAlignment w:val="auto"/>
        <w:rPr>
          <w:rFonts w:hint="eastAsia" w:ascii="仿宋" w:hAnsi="仿宋" w:eastAsia="仿宋" w:cs="仿宋"/>
          <w:sz w:val="32"/>
          <w:szCs w:val="32"/>
        </w:rPr>
      </w:pPr>
    </w:p>
    <w:p w14:paraId="552C6D57">
      <w:pPr>
        <w:keepNext w:val="0"/>
        <w:keepLines w:val="0"/>
        <w:pageBreakBefore w:val="0"/>
        <w:widowControl w:val="0"/>
        <w:kinsoku/>
        <w:wordWrap/>
        <w:overflowPunct/>
        <w:topLinePunct w:val="0"/>
        <w:autoSpaceDE/>
        <w:autoSpaceDN/>
        <w:bidi w:val="0"/>
        <w:spacing w:line="576" w:lineRule="exact"/>
        <w:ind w:firstLine="5440" w:firstLineChars="1700"/>
        <w:textAlignment w:val="auto"/>
        <w:rPr>
          <w:rFonts w:hint="eastAsia" w:ascii="仿宋" w:hAnsi="仿宋" w:eastAsia="仿宋" w:cs="仿宋"/>
          <w:sz w:val="32"/>
          <w:szCs w:val="32"/>
        </w:rPr>
      </w:pPr>
      <w:r>
        <w:rPr>
          <w:rFonts w:hint="eastAsia" w:ascii="仿宋" w:hAnsi="仿宋" w:eastAsia="仿宋" w:cs="仿宋"/>
          <w:sz w:val="32"/>
          <w:szCs w:val="32"/>
        </w:rPr>
        <w:t>澧县人民政府</w:t>
      </w:r>
    </w:p>
    <w:p w14:paraId="7D80015B">
      <w:pPr>
        <w:keepNext w:val="0"/>
        <w:keepLines w:val="0"/>
        <w:pageBreakBefore w:val="0"/>
        <w:widowControl w:val="0"/>
        <w:kinsoku/>
        <w:wordWrap/>
        <w:overflowPunct/>
        <w:topLinePunct w:val="0"/>
        <w:autoSpaceDE/>
        <w:autoSpaceDN/>
        <w:bidi w:val="0"/>
        <w:spacing w:line="576" w:lineRule="exact"/>
        <w:ind w:firstLine="5120" w:firstLineChars="1600"/>
        <w:textAlignment w:val="auto"/>
        <w:rPr>
          <w:rFonts w:hint="eastAsia" w:ascii="仿宋" w:hAnsi="仿宋" w:eastAsia="仿宋" w:cs="方正小标宋简体"/>
          <w:sz w:val="32"/>
          <w:szCs w:val="32"/>
        </w:rPr>
      </w:pPr>
      <w:r>
        <w:rPr>
          <w:rFonts w:hint="eastAsia" w:ascii="仿宋" w:hAnsi="仿宋" w:eastAsia="仿宋" w:cs="仿宋"/>
          <w:sz w:val="32"/>
          <w:szCs w:val="32"/>
        </w:rPr>
        <w:t>2026年</w:t>
      </w:r>
      <w:r>
        <w:rPr>
          <w:rFonts w:hint="eastAsia" w:ascii="仿宋" w:hAnsi="仿宋" w:eastAsia="仿宋" w:cs="仿宋"/>
          <w:sz w:val="32"/>
          <w:szCs w:val="32"/>
          <w:lang w:val="en-US" w:eastAsia="zh-CN"/>
        </w:rPr>
        <w:t>9</w:t>
      </w:r>
      <w:r>
        <w:rPr>
          <w:rFonts w:hint="eastAsia" w:ascii="仿宋" w:hAnsi="仿宋" w:eastAsia="仿宋" w:cs="仿宋"/>
          <w:sz w:val="32"/>
          <w:szCs w:val="32"/>
        </w:rPr>
        <w:t>月　日</w:t>
      </w:r>
    </w:p>
    <w:p w14:paraId="18C4E608">
      <w:pPr>
        <w:keepNext w:val="0"/>
        <w:keepLines w:val="0"/>
        <w:pageBreakBefore w:val="0"/>
        <w:widowControl w:val="0"/>
        <w:kinsoku/>
        <w:wordWrap/>
        <w:overflowPunct/>
        <w:topLinePunct w:val="0"/>
        <w:autoSpaceDE/>
        <w:autoSpaceDN/>
        <w:bidi w:val="0"/>
        <w:spacing w:line="576" w:lineRule="exact"/>
        <w:ind w:firstLine="5120" w:firstLineChars="1600"/>
        <w:textAlignment w:val="auto"/>
        <w:rPr>
          <w:rFonts w:hint="eastAsia" w:ascii="仿宋" w:hAnsi="仿宋" w:eastAsia="仿宋" w:cs="方正小标宋简体"/>
          <w:sz w:val="32"/>
          <w:szCs w:val="32"/>
        </w:rPr>
      </w:pPr>
    </w:p>
    <w:p w14:paraId="3767D5A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9F2398"/>
    <w:rsid w:val="7C9F23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2026-10-16T01:27:00Z</dcterms:created>
  <dc:creator>余亚东</dc:creator>
  <cp:lastModifiedBy>余亚东</cp:lastModifiedBy>
  <dcterms:modified xsi:type="dcterms:W3CDTF">2026-10-16T01:28:44Z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DF2726F3345D4A58B2BFD145C4B1BBC4_11</vt:lpwstr>
  </property>
  <property fmtid="{D5CDD505-2E9C-101B-9397-08002B2CF9AE}" pid="4" name="KSOTemplateDocerSaveRecord">
    <vt:lpwstr>eyJoZGlkIjoiYzI0NTY1NzgwOWUyZDk1NTlhNjJhMWJlMmY3ZmU1OWUiLCJ1c2VySWQiOiIzMjQ1Mzc4MjQifQ==</vt:lpwstr>
  </property>
</Properties>
</file>